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hint="default" w:ascii="方正小标宋简体" w:hAnsi="宋体" w:eastAsia="方正小标宋简体"/>
          <w:color w:val="auto"/>
          <w:sz w:val="72"/>
          <w:szCs w:val="72"/>
          <w:highlight w:val="none"/>
          <w:lang w:val="en-US" w:eastAsia="zh-CN"/>
        </w:rPr>
      </w:pPr>
      <w:bookmarkStart w:id="0" w:name="_Toc15306267"/>
    </w:p>
    <w:p>
      <w:pPr>
        <w:spacing w:line="600" w:lineRule="exact"/>
        <w:jc w:val="center"/>
        <w:outlineLvl w:val="0"/>
        <w:rPr>
          <w:rFonts w:ascii="方正小标宋简体" w:hAnsi="宋体" w:eastAsia="方正小标宋简体"/>
          <w:color w:val="auto"/>
          <w:sz w:val="72"/>
          <w:szCs w:val="72"/>
          <w:highlight w:val="none"/>
        </w:rPr>
      </w:pPr>
    </w:p>
    <w:p>
      <w:pPr>
        <w:spacing w:line="600" w:lineRule="exact"/>
        <w:jc w:val="center"/>
        <w:outlineLvl w:val="0"/>
        <w:rPr>
          <w:rFonts w:ascii="方正小标宋简体" w:hAnsi="宋体" w:eastAsia="方正小标宋简体"/>
          <w:color w:val="auto"/>
          <w:sz w:val="72"/>
          <w:szCs w:val="72"/>
          <w:highlight w:val="none"/>
        </w:rPr>
      </w:pPr>
    </w:p>
    <w:p>
      <w:pPr>
        <w:spacing w:line="600" w:lineRule="exact"/>
        <w:jc w:val="center"/>
        <w:outlineLvl w:val="0"/>
        <w:rPr>
          <w:rFonts w:ascii="方正小标宋简体" w:hAnsi="宋体" w:eastAsia="方正小标宋简体"/>
          <w:color w:val="auto"/>
          <w:sz w:val="72"/>
          <w:szCs w:val="72"/>
          <w:highlight w:val="none"/>
        </w:rPr>
      </w:pPr>
    </w:p>
    <w:p>
      <w:pPr>
        <w:keepNext w:val="0"/>
        <w:keepLines w:val="0"/>
        <w:pageBreakBefore w:val="0"/>
        <w:widowControl w:val="0"/>
        <w:kinsoku/>
        <w:wordWrap/>
        <w:overflowPunct/>
        <w:topLinePunct w:val="0"/>
        <w:autoSpaceDE/>
        <w:autoSpaceDN/>
        <w:bidi w:val="0"/>
        <w:adjustRightInd w:val="0"/>
        <w:snapToGrid w:val="0"/>
        <w:spacing w:line="300" w:lineRule="auto"/>
        <w:jc w:val="center"/>
        <w:textAlignment w:val="auto"/>
        <w:outlineLvl w:val="0"/>
        <w:rPr>
          <w:rFonts w:hint="eastAsia" w:ascii="方正小标宋简体" w:hAnsi="方正小标宋简体" w:eastAsia="方正小标宋简体" w:cs="方正小标宋简体"/>
          <w:color w:val="auto"/>
          <w:sz w:val="72"/>
          <w:szCs w:val="72"/>
          <w:highlight w:val="none"/>
        </w:rPr>
      </w:pPr>
      <w:bookmarkStart w:id="1" w:name="_Toc15378441"/>
      <w:bookmarkStart w:id="2" w:name="_Toc15377425"/>
      <w:bookmarkStart w:id="3" w:name="_Toc15396475"/>
      <w:bookmarkStart w:id="4" w:name="_Toc15377193"/>
      <w:bookmarkStart w:id="5" w:name="_Toc15396597"/>
      <w:r>
        <w:rPr>
          <w:rFonts w:hint="eastAsia" w:ascii="方正小标宋简体" w:hAnsi="方正小标宋简体" w:eastAsia="方正小标宋简体" w:cs="方正小标宋简体"/>
          <w:color w:val="auto"/>
          <w:sz w:val="72"/>
          <w:szCs w:val="72"/>
          <w:highlight w:val="none"/>
        </w:rPr>
        <w:t>20</w:t>
      </w:r>
      <w:r>
        <w:rPr>
          <w:rFonts w:hint="eastAsia" w:ascii="方正小标宋简体" w:hAnsi="方正小标宋简体" w:eastAsia="方正小标宋简体" w:cs="方正小标宋简体"/>
          <w:color w:val="auto"/>
          <w:sz w:val="72"/>
          <w:szCs w:val="72"/>
          <w:highlight w:val="none"/>
          <w:lang w:val="en-US" w:eastAsia="zh-CN"/>
        </w:rPr>
        <w:t>21</w:t>
      </w:r>
      <w:r>
        <w:rPr>
          <w:rFonts w:hint="eastAsia" w:ascii="方正小标宋简体" w:hAnsi="方正小标宋简体" w:eastAsia="方正小标宋简体" w:cs="方正小标宋简体"/>
          <w:color w:val="auto"/>
          <w:sz w:val="72"/>
          <w:szCs w:val="72"/>
          <w:highlight w:val="none"/>
        </w:rPr>
        <w:t>年度</w:t>
      </w:r>
      <w:bookmarkEnd w:id="1"/>
      <w:bookmarkEnd w:id="2"/>
      <w:bookmarkEnd w:id="3"/>
      <w:bookmarkEnd w:id="4"/>
      <w:bookmarkEnd w:id="5"/>
    </w:p>
    <w:p>
      <w:pPr>
        <w:keepNext w:val="0"/>
        <w:keepLines w:val="0"/>
        <w:pageBreakBefore w:val="0"/>
        <w:widowControl w:val="0"/>
        <w:kinsoku/>
        <w:wordWrap/>
        <w:overflowPunct/>
        <w:topLinePunct w:val="0"/>
        <w:autoSpaceDE/>
        <w:autoSpaceDN/>
        <w:bidi w:val="0"/>
        <w:adjustRightInd w:val="0"/>
        <w:snapToGrid w:val="0"/>
        <w:spacing w:line="300" w:lineRule="auto"/>
        <w:jc w:val="center"/>
        <w:textAlignment w:val="auto"/>
        <w:outlineLvl w:val="0"/>
        <w:rPr>
          <w:rFonts w:hint="eastAsia" w:ascii="方正小标宋简体" w:hAnsi="方正小标宋简体" w:eastAsia="方正小标宋简体" w:cs="方正小标宋简体"/>
          <w:color w:val="auto"/>
          <w:sz w:val="72"/>
          <w:szCs w:val="72"/>
          <w:highlight w:val="none"/>
        </w:rPr>
      </w:pPr>
      <w:bookmarkStart w:id="6" w:name="_Toc15396598"/>
      <w:bookmarkStart w:id="7" w:name="_Toc15396476"/>
      <w:bookmarkStart w:id="8" w:name="_Toc15378442"/>
      <w:bookmarkStart w:id="9" w:name="_Toc15377194"/>
      <w:bookmarkStart w:id="10" w:name="_Toc15377426"/>
      <w:r>
        <w:rPr>
          <w:rFonts w:hint="eastAsia" w:ascii="方正小标宋简体" w:hAnsi="方正小标宋简体" w:eastAsia="方正小标宋简体" w:cs="方正小标宋简体"/>
          <w:color w:val="auto"/>
          <w:sz w:val="72"/>
          <w:szCs w:val="72"/>
          <w:highlight w:val="none"/>
        </w:rPr>
        <w:t>四川省</w:t>
      </w:r>
      <w:bookmarkEnd w:id="0"/>
      <w:bookmarkStart w:id="11" w:name="_Toc15306268"/>
      <w:r>
        <w:rPr>
          <w:rFonts w:hint="eastAsia" w:ascii="方正小标宋简体" w:hAnsi="方正小标宋简体" w:eastAsia="方正小标宋简体" w:cs="方正小标宋简体"/>
          <w:color w:val="auto"/>
          <w:sz w:val="72"/>
          <w:szCs w:val="72"/>
          <w:highlight w:val="none"/>
          <w:lang w:eastAsia="zh-CN"/>
        </w:rPr>
        <w:t>攀枝花市人民政府办公室单位</w:t>
      </w:r>
      <w:r>
        <w:rPr>
          <w:rFonts w:hint="eastAsia" w:ascii="方正小标宋简体" w:hAnsi="方正小标宋简体" w:eastAsia="方正小标宋简体" w:cs="方正小标宋简体"/>
          <w:color w:val="auto"/>
          <w:sz w:val="72"/>
          <w:szCs w:val="72"/>
          <w:highlight w:val="none"/>
        </w:rPr>
        <w:t>决算</w:t>
      </w:r>
      <w:bookmarkEnd w:id="6"/>
      <w:bookmarkEnd w:id="7"/>
      <w:bookmarkEnd w:id="8"/>
      <w:bookmarkEnd w:id="9"/>
      <w:bookmarkEnd w:id="10"/>
      <w:bookmarkEnd w:id="11"/>
    </w:p>
    <w:p>
      <w:pPr>
        <w:widowControl/>
        <w:jc w:val="center"/>
        <w:rPr>
          <w:rFonts w:hint="eastAsia" w:ascii="方正小标宋_GBK" w:hAnsi="方正小标宋_GBK" w:eastAsia="方正小标宋_GBK" w:cs="方正小标宋_GBK"/>
          <w:color w:val="auto"/>
          <w:sz w:val="44"/>
          <w:szCs w:val="44"/>
          <w:highlight w:val="none"/>
        </w:rPr>
      </w:pPr>
      <w:r>
        <w:rPr>
          <w:rFonts w:ascii="方正小标宋简体" w:hAnsi="宋体" w:eastAsia="方正小标宋简体"/>
          <w:color w:val="auto"/>
          <w:sz w:val="36"/>
          <w:szCs w:val="36"/>
          <w:highlight w:val="none"/>
        </w:rPr>
        <w:br w:type="page"/>
      </w:r>
      <w:r>
        <w:rPr>
          <w:rFonts w:hint="eastAsia" w:ascii="方正小标宋_GBK" w:hAnsi="方正小标宋_GBK" w:eastAsia="方正小标宋_GBK" w:cs="方正小标宋_GBK"/>
          <w:color w:val="auto"/>
          <w:sz w:val="44"/>
          <w:szCs w:val="44"/>
          <w:highlight w:val="none"/>
        </w:rPr>
        <w:t>目</w:t>
      </w:r>
      <w:r>
        <w:rPr>
          <w:rFonts w:hint="eastAsia" w:ascii="方正小标宋_GBK" w:hAnsi="方正小标宋_GBK" w:eastAsia="方正小标宋_GBK" w:cs="方正小标宋_GBK"/>
          <w:color w:val="auto"/>
          <w:sz w:val="44"/>
          <w:szCs w:val="44"/>
          <w:highlight w:val="none"/>
          <w:lang w:eastAsia="zh-CN"/>
        </w:rPr>
        <w:t>　</w:t>
      </w:r>
      <w:r>
        <w:rPr>
          <w:rFonts w:hint="eastAsia" w:ascii="方正小标宋_GBK" w:hAnsi="方正小标宋_GBK" w:eastAsia="方正小标宋_GBK" w:cs="方正小标宋_GBK"/>
          <w:color w:val="auto"/>
          <w:sz w:val="44"/>
          <w:szCs w:val="44"/>
          <w:highlight w:val="none"/>
        </w:rPr>
        <w:t>录</w:t>
      </w:r>
    </w:p>
    <w:p>
      <w:pPr>
        <w:widowControl/>
        <w:jc w:val="center"/>
        <w:rPr>
          <w:rFonts w:ascii="黑体" w:hAnsi="黑体" w:eastAsia="黑体" w:cstheme="minorBidi"/>
          <w:color w:val="auto"/>
          <w:sz w:val="28"/>
          <w:szCs w:val="28"/>
          <w:highlight w:val="none"/>
        </w:rPr>
      </w:pPr>
    </w:p>
    <w:p>
      <w:pPr>
        <w:pStyle w:val="10"/>
        <w:rPr>
          <w:rFonts w:hint="eastAsia" w:ascii="方正仿宋_GBK" w:hAnsi="方正仿宋_GBK" w:eastAsia="方正仿宋_GBK" w:cs="方正仿宋_GBK"/>
          <w:color w:val="auto"/>
          <w:sz w:val="32"/>
          <w:szCs w:val="32"/>
          <w:highlight w:val="none"/>
        </w:rPr>
      </w:pPr>
      <w:r>
        <w:rPr>
          <w:rFonts w:hint="eastAsia" w:ascii="Times New Roman" w:hAnsi="Times New Roman" w:eastAsia="仿宋_GB2312" w:cs="Times New Roman"/>
          <w:sz w:val="32"/>
          <w:szCs w:val="32"/>
        </w:rPr>
        <w:t>公开时间：20</w:t>
      </w:r>
      <w:r>
        <w:rPr>
          <w:rFonts w:hint="eastAsia" w:ascii="Times New Roman" w:hAnsi="Times New Roman" w:eastAsia="仿宋_GB2312" w:cs="Times New Roman"/>
          <w:sz w:val="32"/>
          <w:szCs w:val="32"/>
          <w:lang w:val="en-US" w:eastAsia="zh-CN"/>
        </w:rPr>
        <w:t>22</w:t>
      </w:r>
      <w:r>
        <w:rPr>
          <w:rFonts w:hint="eastAsia"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9</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14</w:t>
      </w:r>
      <w:r>
        <w:rPr>
          <w:rFonts w:hint="eastAsia" w:ascii="Times New Roman" w:hAnsi="Times New Roman" w:eastAsia="仿宋_GB2312" w:cs="Times New Roman"/>
          <w:sz w:val="32"/>
          <w:szCs w:val="32"/>
        </w:rPr>
        <w:t>日</w:t>
      </w:r>
    </w:p>
    <w:sdt>
      <w:sdtPr>
        <w:rPr>
          <w:rFonts w:ascii="宋体" w:hAnsi="宋体" w:eastAsia="宋体" w:cs="Times New Roman"/>
          <w:kern w:val="2"/>
          <w:sz w:val="21"/>
          <w:szCs w:val="24"/>
          <w:lang w:val="en-US" w:eastAsia="zh-CN" w:bidi="ar-SA"/>
        </w:rPr>
        <w:id w:val="365167287"/>
        <w:docPartObj>
          <w:docPartGallery w:val="Table of Contents"/>
          <w:docPartUnique/>
        </w:docPartObj>
      </w:sdtPr>
      <w:sdtEndPr>
        <w:rPr>
          <w:rFonts w:ascii="宋体" w:hAnsi="宋体" w:eastAsia="宋体" w:cs="Times New Roman"/>
          <w:kern w:val="2"/>
          <w:sz w:val="20"/>
          <w:szCs w:val="20"/>
          <w:lang w:val="en-US" w:eastAsia="zh-CN" w:bidi="ar-SA"/>
        </w:rPr>
      </w:sdtEndPr>
      <w:sdtContent>
        <w:p>
          <w:pPr>
            <w:spacing w:before="0" w:beforeLines="0" w:after="0" w:afterLines="0" w:line="240" w:lineRule="auto"/>
            <w:ind w:left="0" w:leftChars="0" w:right="0" w:rightChars="0" w:firstLine="0" w:firstLineChars="0"/>
            <w:jc w:val="center"/>
          </w:pPr>
          <w:bookmarkStart w:id="12" w:name="_Toc1912159281_WPSOffice_Type2"/>
        </w:p>
        <w:p>
          <w:pPr>
            <w:pStyle w:val="31"/>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_Toc984461275_WPSOffice_Level1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c58c44f0-321b-43a5-bb70-8bef0eae7939}"/>
              </w:placeholder>
            </w:sdtPr>
            <w:sdtEndPr>
              <w:rPr>
                <w:rFonts w:hint="default"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第一部分</w:t>
              </w:r>
              <w:r>
                <w:rPr>
                  <w:rFonts w:hint="eastAsia" w:eastAsia="仿宋_GB2312" w:cs="Times New Roman"/>
                  <w:kern w:val="2"/>
                  <w:sz w:val="32"/>
                  <w:szCs w:val="32"/>
                  <w:lang w:val="en-US" w:eastAsia="zh-CN" w:bidi="ar-SA"/>
                </w:rPr>
                <w:t>　</w:t>
              </w:r>
              <w:r>
                <w:rPr>
                  <w:rFonts w:hint="eastAsia" w:ascii="Times New Roman" w:hAnsi="Times New Roman" w:eastAsia="仿宋_GB2312" w:cs="Times New Roman"/>
                  <w:kern w:val="2"/>
                  <w:sz w:val="32"/>
                  <w:szCs w:val="32"/>
                  <w:lang w:val="en-US" w:eastAsia="zh-CN" w:bidi="ar-SA"/>
                </w:rPr>
                <w:t>单位概况.................................................................4</w:t>
              </w:r>
            </w:sdtContent>
          </w:sdt>
          <w:r>
            <w:rPr>
              <w:rFonts w:hint="eastAsia" w:ascii="Times New Roman" w:hAnsi="Times New Roman" w:eastAsia="仿宋_GB2312" w:cs="Times New Roman"/>
              <w:kern w:val="2"/>
              <w:sz w:val="32"/>
              <w:szCs w:val="32"/>
              <w:lang w:val="en-US" w:eastAsia="zh-CN" w:bidi="ar-SA"/>
            </w:rPr>
            <w:fldChar w:fldCharType="end"/>
          </w:r>
        </w:p>
        <w:p>
          <w:pPr>
            <w:pStyle w:val="32"/>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w:instrText>
          </w:r>
          <w:bookmarkStart w:id="13" w:name="hmjd_error_1_0_Toc_黑马提示无_196"/>
          <w:r>
            <w:rPr>
              <w:rFonts w:hint="eastAsia" w:ascii="Times New Roman" w:hAnsi="Times New Roman" w:eastAsia="仿宋_GB2312" w:cs="Times New Roman"/>
              <w:kern w:val="2"/>
              <w:sz w:val="32"/>
              <w:szCs w:val="32"/>
              <w:highlight w:val="yellow"/>
              <w:lang w:val="en-US" w:eastAsia="zh-CN" w:bidi="ar-SA"/>
            </w:rPr>
            <w:instrText xml:space="preserve">Toc</w:instrText>
          </w:r>
          <w:bookmarkEnd w:id="13"/>
          <w:r>
            <w:rPr>
              <w:rFonts w:hint="eastAsia" w:ascii="Times New Roman" w:hAnsi="Times New Roman" w:eastAsia="仿宋_GB2312" w:cs="Times New Roman"/>
              <w:kern w:val="2"/>
              <w:sz w:val="32"/>
              <w:szCs w:val="32"/>
              <w:lang w:val="en-US" w:eastAsia="zh-CN" w:bidi="ar-SA"/>
            </w:rPr>
            <w:instrText xml:space="preserve">1912159281_WPSOffice_Level2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681d87a0-b447-4a73-bd8f-bb1fe297316e}"/>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一、职能简介</w:t>
              </w:r>
            </w:sdtContent>
          </w:sdt>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t>4</w:t>
          </w:r>
          <w:r>
            <w:rPr>
              <w:rFonts w:hint="eastAsia" w:ascii="Times New Roman" w:hAnsi="Times New Roman" w:eastAsia="仿宋_GB2312" w:cs="Times New Roman"/>
              <w:kern w:val="2"/>
              <w:sz w:val="32"/>
              <w:szCs w:val="32"/>
              <w:lang w:val="en-US" w:eastAsia="zh-CN" w:bidi="ar-SA"/>
            </w:rPr>
            <w:fldChar w:fldCharType="end"/>
          </w:r>
        </w:p>
        <w:p>
          <w:pPr>
            <w:pStyle w:val="32"/>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_Toc601101011_WPSOffice_Level2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608a8e35-8a35-46aa-b038-65c5af4cc547}"/>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二、2021年重点工作完成情况</w:t>
              </w:r>
            </w:sdtContent>
          </w:sdt>
          <w:r>
            <w:rPr>
              <w:rFonts w:hint="eastAsia" w:ascii="Times New Roman" w:hAnsi="Times New Roman" w:eastAsia="仿宋_GB2312" w:cs="Times New Roman"/>
              <w:kern w:val="2"/>
              <w:sz w:val="32"/>
              <w:szCs w:val="32"/>
              <w:lang w:val="en-US" w:eastAsia="zh-CN" w:bidi="ar-SA"/>
            </w:rPr>
            <w:tab/>
          </w:r>
          <w:r>
            <w:rPr>
              <w:rFonts w:hint="eastAsia" w:eastAsia="仿宋_GB2312" w:cs="Times New Roman"/>
              <w:kern w:val="2"/>
              <w:sz w:val="32"/>
              <w:szCs w:val="32"/>
              <w:lang w:val="en-US" w:eastAsia="zh-CN" w:bidi="ar-SA"/>
            </w:rPr>
            <w:t>6</w:t>
          </w:r>
          <w:r>
            <w:rPr>
              <w:rFonts w:hint="eastAsia" w:ascii="Times New Roman" w:hAnsi="Times New Roman" w:eastAsia="仿宋_GB2312" w:cs="Times New Roman"/>
              <w:kern w:val="2"/>
              <w:sz w:val="32"/>
              <w:szCs w:val="32"/>
              <w:lang w:val="en-US" w:eastAsia="zh-CN" w:bidi="ar-SA"/>
            </w:rPr>
            <w:fldChar w:fldCharType="end"/>
          </w:r>
        </w:p>
        <w:p>
          <w:pPr>
            <w:pStyle w:val="32"/>
            <w:tabs>
              <w:tab w:val="right" w:leader="dot" w:pos="8306"/>
            </w:tabs>
            <w:rPr>
              <w:rFonts w:hint="default" w:ascii="Times New Roman" w:hAnsi="Times New Roman"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三、机构设置</w:t>
          </w:r>
          <w:r>
            <w:rPr>
              <w:rFonts w:hint="eastAsia" w:ascii="Times New Roman" w:hAnsi="Times New Roman" w:eastAsia="仿宋_GB2312" w:cs="Times New Roman"/>
              <w:kern w:val="2"/>
              <w:sz w:val="32"/>
              <w:szCs w:val="32"/>
              <w:lang w:val="en-US" w:eastAsia="zh-CN" w:bidi="ar-SA"/>
            </w:rPr>
            <w:tab/>
          </w:r>
          <w:r>
            <w:rPr>
              <w:rFonts w:hint="eastAsia" w:eastAsia="仿宋_GB2312" w:cs="Times New Roman"/>
              <w:kern w:val="2"/>
              <w:sz w:val="32"/>
              <w:szCs w:val="32"/>
              <w:lang w:val="en-US" w:eastAsia="zh-CN" w:bidi="ar-SA"/>
            </w:rPr>
            <w:t>10</w:t>
          </w:r>
        </w:p>
        <w:p>
          <w:pPr>
            <w:pStyle w:val="31"/>
            <w:tabs>
              <w:tab w:val="right" w:leader="dot" w:pos="8306"/>
            </w:tabs>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_Toc1912159281_WPSOffice_Level1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e78d776b-e5d3-4792-9d16-4c65899f9657}"/>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第二部分</w:t>
              </w:r>
              <w:r>
                <w:rPr>
                  <w:rFonts w:hint="eastAsia" w:eastAsia="仿宋_GB2312" w:cs="Times New Roman"/>
                  <w:kern w:val="2"/>
                  <w:sz w:val="32"/>
                  <w:szCs w:val="32"/>
                  <w:lang w:val="en-US" w:eastAsia="zh-CN" w:bidi="ar-SA"/>
                </w:rPr>
                <w:t>　</w:t>
              </w:r>
              <w:r>
                <w:rPr>
                  <w:rFonts w:hint="eastAsia" w:ascii="Times New Roman" w:hAnsi="Times New Roman" w:eastAsia="仿宋_GB2312" w:cs="Times New Roman"/>
                  <w:kern w:val="2"/>
                  <w:sz w:val="32"/>
                  <w:szCs w:val="32"/>
                  <w:lang w:val="en-US" w:eastAsia="zh-CN" w:bidi="ar-SA"/>
                </w:rPr>
                <w:t>2021年度单位决算情况说明</w:t>
              </w:r>
            </w:sdtContent>
          </w:sdt>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fldChar w:fldCharType="end"/>
          </w:r>
          <w:r>
            <w:rPr>
              <w:rFonts w:hint="eastAsia" w:eastAsia="仿宋_GB2312" w:cs="Times New Roman"/>
              <w:kern w:val="2"/>
              <w:sz w:val="32"/>
              <w:szCs w:val="32"/>
              <w:lang w:val="en-US" w:eastAsia="zh-CN" w:bidi="ar-SA"/>
            </w:rPr>
            <w:t>1</w:t>
          </w:r>
        </w:p>
        <w:p>
          <w:pPr>
            <w:pStyle w:val="32"/>
            <w:tabs>
              <w:tab w:val="right" w:leader="dot" w:pos="8306"/>
            </w:tabs>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_Toc1336236743_WPSOffice_Level2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791227f7-d7dc-44b8-b52e-f8a16cc293fd}"/>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一、收入支出决算总体情况说明</w:t>
              </w:r>
            </w:sdtContent>
          </w:sdt>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fldChar w:fldCharType="end"/>
          </w:r>
          <w:r>
            <w:rPr>
              <w:rFonts w:hint="eastAsia" w:eastAsia="仿宋_GB2312" w:cs="Times New Roman"/>
              <w:kern w:val="2"/>
              <w:sz w:val="32"/>
              <w:szCs w:val="32"/>
              <w:lang w:val="en-US" w:eastAsia="zh-CN" w:bidi="ar-SA"/>
            </w:rPr>
            <w:t>1</w:t>
          </w:r>
        </w:p>
        <w:p>
          <w:pPr>
            <w:pStyle w:val="32"/>
            <w:tabs>
              <w:tab w:val="right" w:leader="dot" w:pos="8306"/>
            </w:tabs>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w:instrText>
          </w:r>
          <w:bookmarkStart w:id="14" w:name="hmjd_error_1_0_Toc_黑马提示无_467"/>
          <w:r>
            <w:rPr>
              <w:rFonts w:hint="eastAsia" w:ascii="Times New Roman" w:hAnsi="Times New Roman" w:eastAsia="仿宋_GB2312" w:cs="Times New Roman"/>
              <w:kern w:val="2"/>
              <w:sz w:val="32"/>
              <w:szCs w:val="32"/>
              <w:highlight w:val="yellow"/>
              <w:lang w:val="en-US" w:eastAsia="zh-CN" w:bidi="ar-SA"/>
            </w:rPr>
            <w:instrText xml:space="preserve">Toc</w:instrText>
          </w:r>
          <w:bookmarkEnd w:id="14"/>
          <w:r>
            <w:rPr>
              <w:rFonts w:hint="eastAsia" w:ascii="Times New Roman" w:hAnsi="Times New Roman" w:eastAsia="仿宋_GB2312" w:cs="Times New Roman"/>
              <w:kern w:val="2"/>
              <w:sz w:val="32"/>
              <w:szCs w:val="32"/>
              <w:lang w:val="en-US" w:eastAsia="zh-CN" w:bidi="ar-SA"/>
            </w:rPr>
            <w:instrText xml:space="preserve">1467199575_WPSOffice_Level2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2bd58519-5e01-4113-8a7e-1ec1c68358c2}"/>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二、收入决算情况说明</w:t>
              </w:r>
            </w:sdtContent>
          </w:sdt>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fldChar w:fldCharType="end"/>
          </w:r>
          <w:r>
            <w:rPr>
              <w:rFonts w:hint="eastAsia" w:eastAsia="仿宋_GB2312" w:cs="Times New Roman"/>
              <w:kern w:val="2"/>
              <w:sz w:val="32"/>
              <w:szCs w:val="32"/>
              <w:lang w:val="en-US" w:eastAsia="zh-CN" w:bidi="ar-SA"/>
            </w:rPr>
            <w:t>1</w:t>
          </w:r>
        </w:p>
        <w:p>
          <w:pPr>
            <w:pStyle w:val="32"/>
            <w:tabs>
              <w:tab w:val="right" w:leader="dot" w:pos="8306"/>
            </w:tabs>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w:instrText>
          </w:r>
          <w:bookmarkStart w:id="15" w:name="hmjd_error_1_0_Toc_黑马提示无_532"/>
          <w:r>
            <w:rPr>
              <w:rFonts w:hint="eastAsia" w:ascii="Times New Roman" w:hAnsi="Times New Roman" w:eastAsia="仿宋_GB2312" w:cs="Times New Roman"/>
              <w:kern w:val="2"/>
              <w:sz w:val="32"/>
              <w:szCs w:val="32"/>
              <w:highlight w:val="yellow"/>
              <w:lang w:val="en-US" w:eastAsia="zh-CN" w:bidi="ar-SA"/>
            </w:rPr>
            <w:instrText xml:space="preserve">Toc</w:instrText>
          </w:r>
          <w:bookmarkEnd w:id="15"/>
          <w:r>
            <w:rPr>
              <w:rFonts w:hint="eastAsia" w:ascii="Times New Roman" w:hAnsi="Times New Roman" w:eastAsia="仿宋_GB2312" w:cs="Times New Roman"/>
              <w:kern w:val="2"/>
              <w:sz w:val="32"/>
              <w:szCs w:val="32"/>
              <w:lang w:val="en-US" w:eastAsia="zh-CN" w:bidi="ar-SA"/>
            </w:rPr>
            <w:instrText xml:space="preserve">862111719_WPSOffice_Level2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269422a2-b27c-4644-a7fc-4a2b24fa0f83}"/>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三、支出决算情况说明</w:t>
              </w:r>
            </w:sdtContent>
          </w:sdt>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fldChar w:fldCharType="end"/>
          </w:r>
          <w:r>
            <w:rPr>
              <w:rFonts w:hint="eastAsia" w:eastAsia="仿宋_GB2312" w:cs="Times New Roman"/>
              <w:kern w:val="2"/>
              <w:sz w:val="32"/>
              <w:szCs w:val="32"/>
              <w:lang w:val="en-US" w:eastAsia="zh-CN" w:bidi="ar-SA"/>
            </w:rPr>
            <w:t>2</w:t>
          </w:r>
        </w:p>
        <w:p>
          <w:pPr>
            <w:pStyle w:val="32"/>
            <w:tabs>
              <w:tab w:val="right" w:leader="dot" w:pos="8306"/>
            </w:tabs>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_Toc811048671_WPSOffice_Level2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42227ee1-abe6-4fe5-87ee-1e00658029fc}"/>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四、财政拨款收入支出决算总体情况说明</w:t>
              </w:r>
            </w:sdtContent>
          </w:sdt>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fldChar w:fldCharType="end"/>
          </w:r>
          <w:r>
            <w:rPr>
              <w:rFonts w:hint="eastAsia" w:eastAsia="仿宋_GB2312" w:cs="Times New Roman"/>
              <w:kern w:val="2"/>
              <w:sz w:val="32"/>
              <w:szCs w:val="32"/>
              <w:lang w:val="en-US" w:eastAsia="zh-CN" w:bidi="ar-SA"/>
            </w:rPr>
            <w:t>3</w:t>
          </w:r>
        </w:p>
        <w:p>
          <w:pPr>
            <w:pStyle w:val="32"/>
            <w:tabs>
              <w:tab w:val="right" w:leader="dot" w:pos="8306"/>
            </w:tabs>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_Toc1947983317_WPSOffice_Level2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1f63c19c-3314-41bd-b2b4-895c93777474}"/>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五、一般公共预算财政拨款支出决算情况说明</w:t>
              </w:r>
            </w:sdtContent>
          </w:sdt>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fldChar w:fldCharType="end"/>
          </w:r>
          <w:r>
            <w:rPr>
              <w:rFonts w:hint="eastAsia" w:eastAsia="仿宋_GB2312" w:cs="Times New Roman"/>
              <w:kern w:val="2"/>
              <w:sz w:val="32"/>
              <w:szCs w:val="32"/>
              <w:lang w:val="en-US" w:eastAsia="zh-CN" w:bidi="ar-SA"/>
            </w:rPr>
            <w:t>4</w:t>
          </w:r>
        </w:p>
        <w:p>
          <w:pPr>
            <w:pStyle w:val="32"/>
            <w:tabs>
              <w:tab w:val="right" w:leader="dot" w:pos="8306"/>
            </w:tabs>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_Toc1298595002_WPSOffice_Level2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040513a2-10f6-48b9-bd4b-7b2227aca418}"/>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六、一般公共预算财政拨款基本支出决算情况说明</w:t>
              </w:r>
            </w:sdtContent>
          </w:sdt>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fldChar w:fldCharType="end"/>
          </w:r>
          <w:r>
            <w:rPr>
              <w:rFonts w:hint="eastAsia" w:eastAsia="仿宋_GB2312" w:cs="Times New Roman"/>
              <w:kern w:val="2"/>
              <w:sz w:val="32"/>
              <w:szCs w:val="32"/>
              <w:lang w:val="en-US" w:eastAsia="zh-CN" w:bidi="ar-SA"/>
            </w:rPr>
            <w:t>7</w:t>
          </w:r>
        </w:p>
        <w:p>
          <w:pPr>
            <w:pStyle w:val="32"/>
            <w:tabs>
              <w:tab w:val="right" w:leader="dot" w:pos="8306"/>
            </w:tabs>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_Toc2014270657_WPSOffice_Level2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af262233-ea87-43d8-9d24-63969aa98ca3}"/>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七、“三公”经费财政拨款支出决算情况说明</w:t>
              </w:r>
            </w:sdtContent>
          </w:sdt>
          <w:r>
            <w:rPr>
              <w:rFonts w:hint="eastAsia" w:ascii="Times New Roman" w:hAnsi="Times New Roman" w:eastAsia="仿宋_GB2312" w:cs="Times New Roman"/>
              <w:kern w:val="2"/>
              <w:sz w:val="32"/>
              <w:szCs w:val="32"/>
              <w:lang w:val="en-US" w:eastAsia="zh-CN" w:bidi="ar-SA"/>
            </w:rPr>
            <w:tab/>
          </w:r>
          <w:r>
            <w:rPr>
              <w:rFonts w:hint="eastAsia"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fldChar w:fldCharType="end"/>
          </w:r>
          <w:r>
            <w:rPr>
              <w:rFonts w:hint="eastAsia" w:eastAsia="仿宋_GB2312" w:cs="Times New Roman"/>
              <w:kern w:val="2"/>
              <w:sz w:val="32"/>
              <w:szCs w:val="32"/>
              <w:lang w:val="en-US" w:eastAsia="zh-CN" w:bidi="ar-SA"/>
            </w:rPr>
            <w:t>7</w:t>
          </w:r>
        </w:p>
        <w:p>
          <w:pPr>
            <w:pStyle w:val="32"/>
            <w:tabs>
              <w:tab w:val="right" w:leader="dot" w:pos="8306"/>
            </w:tabs>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_Toc245219600_WPSOffice_Level2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93eb80d4-e5c0-44fb-a811-a032a47cfc20}"/>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八、政府性基金预算支出决算情况说明</w:t>
              </w:r>
            </w:sdtContent>
          </w:sdt>
          <w:r>
            <w:rPr>
              <w:rFonts w:hint="eastAsia" w:ascii="Times New Roman" w:hAnsi="Times New Roman" w:eastAsia="仿宋_GB2312" w:cs="Times New Roman"/>
              <w:kern w:val="2"/>
              <w:sz w:val="32"/>
              <w:szCs w:val="32"/>
              <w:lang w:val="en-US" w:eastAsia="zh-CN" w:bidi="ar-SA"/>
            </w:rPr>
            <w:tab/>
          </w:r>
          <w:r>
            <w:rPr>
              <w:rFonts w:hint="eastAsia"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fldChar w:fldCharType="end"/>
          </w:r>
          <w:r>
            <w:rPr>
              <w:rFonts w:hint="eastAsia" w:eastAsia="仿宋_GB2312" w:cs="Times New Roman"/>
              <w:kern w:val="2"/>
              <w:sz w:val="32"/>
              <w:szCs w:val="32"/>
              <w:lang w:val="en-US" w:eastAsia="zh-CN" w:bidi="ar-SA"/>
            </w:rPr>
            <w:t>9</w:t>
          </w:r>
        </w:p>
        <w:p>
          <w:pPr>
            <w:pStyle w:val="32"/>
            <w:tabs>
              <w:tab w:val="right" w:leader="dot" w:pos="8306"/>
            </w:tabs>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_Toc2126297341_WPSOffice_Level2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334b7058-c408-4833-826e-4b683a85c7ba}"/>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九、国有资本经营预算支出决算情况说明</w:t>
              </w:r>
            </w:sdtContent>
          </w:sdt>
          <w:r>
            <w:rPr>
              <w:rFonts w:hint="eastAsia" w:ascii="Times New Roman" w:hAnsi="Times New Roman" w:eastAsia="仿宋_GB2312" w:cs="Times New Roman"/>
              <w:kern w:val="2"/>
              <w:sz w:val="32"/>
              <w:szCs w:val="32"/>
              <w:lang w:val="en-US" w:eastAsia="zh-CN" w:bidi="ar-SA"/>
            </w:rPr>
            <w:tab/>
          </w:r>
          <w:r>
            <w:rPr>
              <w:rFonts w:hint="eastAsia"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fldChar w:fldCharType="end"/>
          </w:r>
          <w:r>
            <w:rPr>
              <w:rFonts w:hint="eastAsia" w:eastAsia="仿宋_GB2312" w:cs="Times New Roman"/>
              <w:kern w:val="2"/>
              <w:sz w:val="32"/>
              <w:szCs w:val="32"/>
              <w:lang w:val="en-US" w:eastAsia="zh-CN" w:bidi="ar-SA"/>
            </w:rPr>
            <w:t>9</w:t>
          </w:r>
        </w:p>
        <w:p>
          <w:pPr>
            <w:pStyle w:val="32"/>
            <w:tabs>
              <w:tab w:val="right" w:leader="dot" w:pos="8306"/>
            </w:tabs>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_Toc1229294583_WPSOffice_Level2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83eb7f5f-27e8-4c63-89cd-a240a9c6ca7c}"/>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十、其他重要事项的情况说明</w:t>
              </w:r>
            </w:sdtContent>
          </w:sdt>
          <w:r>
            <w:rPr>
              <w:rFonts w:hint="eastAsia" w:ascii="Times New Roman" w:hAnsi="Times New Roman" w:eastAsia="仿宋_GB2312" w:cs="Times New Roman"/>
              <w:kern w:val="2"/>
              <w:sz w:val="32"/>
              <w:szCs w:val="32"/>
              <w:lang w:val="en-US" w:eastAsia="zh-CN" w:bidi="ar-SA"/>
            </w:rPr>
            <w:tab/>
          </w:r>
          <w:r>
            <w:rPr>
              <w:rFonts w:hint="eastAsia"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fldChar w:fldCharType="end"/>
          </w:r>
          <w:r>
            <w:rPr>
              <w:rFonts w:hint="eastAsia" w:eastAsia="仿宋_GB2312" w:cs="Times New Roman"/>
              <w:kern w:val="2"/>
              <w:sz w:val="32"/>
              <w:szCs w:val="32"/>
              <w:lang w:val="en-US" w:eastAsia="zh-CN" w:bidi="ar-SA"/>
            </w:rPr>
            <w:t>9</w:t>
          </w:r>
        </w:p>
        <w:p>
          <w:pPr>
            <w:pStyle w:val="31"/>
            <w:tabs>
              <w:tab w:val="right" w:leader="dot" w:pos="8306"/>
            </w:tabs>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w:instrText>
          </w:r>
          <w:bookmarkStart w:id="16" w:name="hmjd_error_1_0_Toc_黑马提示无_1106"/>
          <w:r>
            <w:rPr>
              <w:rFonts w:hint="eastAsia" w:ascii="Times New Roman" w:hAnsi="Times New Roman" w:eastAsia="仿宋_GB2312" w:cs="Times New Roman"/>
              <w:kern w:val="2"/>
              <w:sz w:val="32"/>
              <w:szCs w:val="32"/>
              <w:highlight w:val="yellow"/>
              <w:lang w:val="en-US" w:eastAsia="zh-CN" w:bidi="ar-SA"/>
            </w:rPr>
            <w:instrText xml:space="preserve">Toc</w:instrText>
          </w:r>
          <w:bookmarkEnd w:id="16"/>
          <w:r>
            <w:rPr>
              <w:rFonts w:hint="eastAsia" w:ascii="Times New Roman" w:hAnsi="Times New Roman" w:eastAsia="仿宋_GB2312" w:cs="Times New Roman"/>
              <w:kern w:val="2"/>
              <w:sz w:val="32"/>
              <w:szCs w:val="32"/>
              <w:lang w:val="en-US" w:eastAsia="zh-CN" w:bidi="ar-SA"/>
            </w:rPr>
            <w:instrText xml:space="preserve">601101011_WPSOffice_Level1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ffdf4e74-e33c-4ab1-8a35-486b5616d190}"/>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第三部分</w:t>
              </w:r>
              <w:r>
                <w:rPr>
                  <w:rFonts w:hint="eastAsia" w:eastAsia="仿宋_GB2312" w:cs="Times New Roman"/>
                  <w:kern w:val="2"/>
                  <w:sz w:val="32"/>
                  <w:szCs w:val="32"/>
                  <w:lang w:val="en-US" w:eastAsia="zh-CN" w:bidi="ar-SA"/>
                </w:rPr>
                <w:t>　</w:t>
              </w:r>
              <w:r>
                <w:rPr>
                  <w:rFonts w:hint="eastAsia" w:ascii="Times New Roman" w:hAnsi="Times New Roman" w:eastAsia="仿宋_GB2312" w:cs="Times New Roman"/>
                  <w:kern w:val="2"/>
                  <w:sz w:val="32"/>
                  <w:szCs w:val="32"/>
                  <w:lang w:val="en-US" w:eastAsia="zh-CN" w:bidi="ar-SA"/>
                </w:rPr>
                <w:t>名词解释</w:t>
              </w:r>
            </w:sdtContent>
          </w:sdt>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t>2</w:t>
          </w:r>
          <w:r>
            <w:rPr>
              <w:rFonts w:hint="eastAsia" w:ascii="Times New Roman" w:hAnsi="Times New Roman" w:eastAsia="仿宋_GB2312" w:cs="Times New Roman"/>
              <w:kern w:val="2"/>
              <w:sz w:val="32"/>
              <w:szCs w:val="32"/>
              <w:lang w:val="en-US" w:eastAsia="zh-CN" w:bidi="ar-SA"/>
            </w:rPr>
            <w:fldChar w:fldCharType="end"/>
          </w:r>
          <w:r>
            <w:rPr>
              <w:rFonts w:hint="eastAsia" w:eastAsia="仿宋_GB2312" w:cs="Times New Roman"/>
              <w:kern w:val="2"/>
              <w:sz w:val="32"/>
              <w:szCs w:val="32"/>
              <w:lang w:val="en-US" w:eastAsia="zh-CN" w:bidi="ar-SA"/>
            </w:rPr>
            <w:t>2</w:t>
          </w:r>
        </w:p>
        <w:p>
          <w:pPr>
            <w:pStyle w:val="31"/>
            <w:tabs>
              <w:tab w:val="right" w:leader="dot" w:pos="8306"/>
            </w:tabs>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w:instrText>
          </w:r>
          <w:bookmarkStart w:id="17" w:name="hmjd_error_1_0_Toc_黑马提示无_1169"/>
          <w:r>
            <w:rPr>
              <w:rFonts w:hint="eastAsia" w:ascii="Times New Roman" w:hAnsi="Times New Roman" w:eastAsia="仿宋_GB2312" w:cs="Times New Roman"/>
              <w:kern w:val="2"/>
              <w:sz w:val="32"/>
              <w:szCs w:val="32"/>
              <w:highlight w:val="yellow"/>
              <w:lang w:val="en-US" w:eastAsia="zh-CN" w:bidi="ar-SA"/>
            </w:rPr>
            <w:instrText xml:space="preserve">Toc</w:instrText>
          </w:r>
          <w:bookmarkEnd w:id="17"/>
          <w:r>
            <w:rPr>
              <w:rFonts w:hint="eastAsia" w:ascii="Times New Roman" w:hAnsi="Times New Roman" w:eastAsia="仿宋_GB2312" w:cs="Times New Roman"/>
              <w:kern w:val="2"/>
              <w:sz w:val="32"/>
              <w:szCs w:val="32"/>
              <w:lang w:val="en-US" w:eastAsia="zh-CN" w:bidi="ar-SA"/>
            </w:rPr>
            <w:instrText xml:space="preserve">1336236743_WPSOffice_Level1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185e0a0b-4deb-46d0-af44-7ee5b1aad078}"/>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第四部分</w:t>
              </w:r>
              <w:r>
                <w:rPr>
                  <w:rFonts w:hint="eastAsia" w:eastAsia="仿宋_GB2312" w:cs="Times New Roman"/>
                  <w:kern w:val="2"/>
                  <w:sz w:val="32"/>
                  <w:szCs w:val="32"/>
                  <w:lang w:val="en-US" w:eastAsia="zh-CN" w:bidi="ar-SA"/>
                </w:rPr>
                <w:t>　</w:t>
              </w:r>
              <w:r>
                <w:rPr>
                  <w:rFonts w:hint="eastAsia" w:ascii="Times New Roman" w:hAnsi="Times New Roman" w:eastAsia="仿宋_GB2312" w:cs="Times New Roman"/>
                  <w:kern w:val="2"/>
                  <w:sz w:val="32"/>
                  <w:szCs w:val="32"/>
                  <w:lang w:val="en-US" w:eastAsia="zh-CN" w:bidi="ar-SA"/>
                </w:rPr>
                <w:t>附件</w:t>
              </w:r>
            </w:sdtContent>
          </w:sdt>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t>2</w:t>
          </w:r>
          <w:r>
            <w:rPr>
              <w:rFonts w:hint="eastAsia" w:ascii="Times New Roman" w:hAnsi="Times New Roman" w:eastAsia="仿宋_GB2312" w:cs="Times New Roman"/>
              <w:kern w:val="2"/>
              <w:sz w:val="32"/>
              <w:szCs w:val="32"/>
              <w:lang w:val="en-US" w:eastAsia="zh-CN" w:bidi="ar-SA"/>
            </w:rPr>
            <w:fldChar w:fldCharType="end"/>
          </w:r>
          <w:r>
            <w:rPr>
              <w:rFonts w:hint="eastAsia" w:eastAsia="仿宋_GB2312" w:cs="Times New Roman"/>
              <w:kern w:val="2"/>
              <w:sz w:val="32"/>
              <w:szCs w:val="32"/>
              <w:lang w:val="en-US" w:eastAsia="zh-CN" w:bidi="ar-SA"/>
            </w:rPr>
            <w:t>7</w:t>
          </w:r>
        </w:p>
        <w:p>
          <w:pPr>
            <w:pStyle w:val="31"/>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w:instrText>
          </w:r>
          <w:bookmarkStart w:id="18" w:name="hmjd_error_1_0_Toc_黑马提示无_1231"/>
          <w:r>
            <w:rPr>
              <w:rFonts w:hint="eastAsia" w:ascii="Times New Roman" w:hAnsi="Times New Roman" w:eastAsia="仿宋_GB2312" w:cs="Times New Roman"/>
              <w:kern w:val="2"/>
              <w:sz w:val="32"/>
              <w:szCs w:val="32"/>
              <w:highlight w:val="yellow"/>
              <w:lang w:val="en-US" w:eastAsia="zh-CN" w:bidi="ar-SA"/>
            </w:rPr>
            <w:instrText xml:space="preserve">Toc</w:instrText>
          </w:r>
          <w:bookmarkEnd w:id="18"/>
          <w:r>
            <w:rPr>
              <w:rFonts w:hint="eastAsia" w:ascii="Times New Roman" w:hAnsi="Times New Roman" w:eastAsia="仿宋_GB2312" w:cs="Times New Roman"/>
              <w:kern w:val="2"/>
              <w:sz w:val="32"/>
              <w:szCs w:val="32"/>
              <w:lang w:val="en-US" w:eastAsia="zh-CN" w:bidi="ar-SA"/>
            </w:rPr>
            <w:instrText xml:space="preserve">1467199575_WPSOffice_Level1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7696006b-3814-47c1-90b3-4c5ac7ef28d9}"/>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第五部分</w:t>
              </w:r>
              <w:r>
                <w:rPr>
                  <w:rFonts w:hint="eastAsia" w:eastAsia="仿宋_GB2312" w:cs="Times New Roman"/>
                  <w:kern w:val="2"/>
                  <w:sz w:val="32"/>
                  <w:szCs w:val="32"/>
                  <w:lang w:val="en-US" w:eastAsia="zh-CN" w:bidi="ar-SA"/>
                </w:rPr>
                <w:t>　</w:t>
              </w:r>
              <w:r>
                <w:rPr>
                  <w:rFonts w:hint="eastAsia" w:ascii="Times New Roman" w:hAnsi="Times New Roman" w:eastAsia="仿宋_GB2312" w:cs="Times New Roman"/>
                  <w:kern w:val="2"/>
                  <w:sz w:val="32"/>
                  <w:szCs w:val="32"/>
                  <w:lang w:val="en-US" w:eastAsia="zh-CN" w:bidi="ar-SA"/>
                </w:rPr>
                <w:t>附表</w:t>
              </w:r>
            </w:sdtContent>
          </w:sdt>
          <w:r>
            <w:rPr>
              <w:rFonts w:hint="eastAsia" w:ascii="Times New Roman" w:hAnsi="Times New Roman" w:eastAsia="仿宋_GB2312" w:cs="Times New Roman"/>
              <w:kern w:val="2"/>
              <w:sz w:val="32"/>
              <w:szCs w:val="32"/>
              <w:lang w:val="en-US" w:eastAsia="zh-CN" w:bidi="ar-SA"/>
            </w:rPr>
            <w:tab/>
          </w:r>
          <w:bookmarkStart w:id="19" w:name="_Toc1467199575_WPSOffice_Level1Page"/>
          <w:r>
            <w:rPr>
              <w:rFonts w:hint="eastAsia" w:ascii="Times New Roman" w:hAnsi="Times New Roman" w:eastAsia="仿宋_GB2312" w:cs="Times New Roman"/>
              <w:kern w:val="2"/>
              <w:sz w:val="32"/>
              <w:szCs w:val="32"/>
              <w:lang w:val="en-US" w:eastAsia="zh-CN" w:bidi="ar-SA"/>
            </w:rPr>
            <w:t>3</w:t>
          </w:r>
          <w:bookmarkEnd w:id="19"/>
          <w:r>
            <w:rPr>
              <w:rFonts w:hint="eastAsia"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fldChar w:fldCharType="end"/>
          </w:r>
        </w:p>
        <w:p>
          <w:pPr>
            <w:pStyle w:val="32"/>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w:instrText>
          </w:r>
          <w:bookmarkStart w:id="20" w:name="hmjd_error_1_0_Toc_黑马提示无_1293"/>
          <w:r>
            <w:rPr>
              <w:rFonts w:hint="eastAsia" w:ascii="Times New Roman" w:hAnsi="Times New Roman" w:eastAsia="仿宋_GB2312" w:cs="Times New Roman"/>
              <w:kern w:val="2"/>
              <w:sz w:val="32"/>
              <w:szCs w:val="32"/>
              <w:highlight w:val="yellow"/>
              <w:lang w:val="en-US" w:eastAsia="zh-CN" w:bidi="ar-SA"/>
            </w:rPr>
            <w:instrText xml:space="preserve">Toc</w:instrText>
          </w:r>
          <w:bookmarkEnd w:id="20"/>
          <w:r>
            <w:rPr>
              <w:rFonts w:hint="eastAsia" w:ascii="Times New Roman" w:hAnsi="Times New Roman" w:eastAsia="仿宋_GB2312" w:cs="Times New Roman"/>
              <w:kern w:val="2"/>
              <w:sz w:val="32"/>
              <w:szCs w:val="32"/>
              <w:lang w:val="en-US" w:eastAsia="zh-CN" w:bidi="ar-SA"/>
            </w:rPr>
            <w:instrText xml:space="preserve">196784605_WPSOffice_Level2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31bb0158-c2bd-44ae-a956-7760d0b384c5}"/>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一、收入支出决算总表</w:t>
              </w:r>
            </w:sdtContent>
          </w:sdt>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t>3</w:t>
          </w:r>
          <w:r>
            <w:rPr>
              <w:rFonts w:hint="eastAsia"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fldChar w:fldCharType="end"/>
          </w:r>
        </w:p>
        <w:p>
          <w:pPr>
            <w:pStyle w:val="32"/>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w:instrText>
          </w:r>
          <w:bookmarkStart w:id="21" w:name="hmjd_error_1_0_Toc_黑马提示无_1357"/>
          <w:r>
            <w:rPr>
              <w:rFonts w:hint="eastAsia" w:ascii="Times New Roman" w:hAnsi="Times New Roman" w:eastAsia="仿宋_GB2312" w:cs="Times New Roman"/>
              <w:kern w:val="2"/>
              <w:sz w:val="32"/>
              <w:szCs w:val="32"/>
              <w:highlight w:val="yellow"/>
              <w:lang w:val="en-US" w:eastAsia="zh-CN" w:bidi="ar-SA"/>
            </w:rPr>
            <w:instrText xml:space="preserve">Toc</w:instrText>
          </w:r>
          <w:bookmarkEnd w:id="21"/>
          <w:r>
            <w:rPr>
              <w:rFonts w:hint="eastAsia" w:ascii="Times New Roman" w:hAnsi="Times New Roman" w:eastAsia="仿宋_GB2312" w:cs="Times New Roman"/>
              <w:kern w:val="2"/>
              <w:sz w:val="32"/>
              <w:szCs w:val="32"/>
              <w:lang w:val="en-US" w:eastAsia="zh-CN" w:bidi="ar-SA"/>
            </w:rPr>
            <w:instrText xml:space="preserve">934109070_WPSOffice_Level2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57bf727e-cca9-4260-922f-21451d6d3b36}"/>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二、收入决算表</w:t>
              </w:r>
            </w:sdtContent>
          </w:sdt>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kern w:val="2"/>
              <w:sz w:val="32"/>
              <w:szCs w:val="32"/>
              <w:lang w:val="en-US" w:eastAsia="zh-CN" w:bidi="ar-SA"/>
            </w:rPr>
            <w:t>3</w:t>
          </w:r>
          <w:r>
            <w:rPr>
              <w:rFonts w:hint="eastAsia"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fldChar w:fldCharType="end"/>
          </w:r>
        </w:p>
        <w:p>
          <w:pPr>
            <w:pStyle w:val="32"/>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w:instrText>
          </w:r>
          <w:bookmarkStart w:id="22" w:name="hmjd_error_1_0_Toc_黑马提示无_1418"/>
          <w:r>
            <w:rPr>
              <w:rFonts w:hint="eastAsia" w:ascii="Times New Roman" w:hAnsi="Times New Roman" w:eastAsia="仿宋_GB2312" w:cs="Times New Roman"/>
              <w:kern w:val="2"/>
              <w:sz w:val="32"/>
              <w:szCs w:val="32"/>
              <w:highlight w:val="yellow"/>
              <w:lang w:val="en-US" w:eastAsia="zh-CN" w:bidi="ar-SA"/>
            </w:rPr>
            <w:instrText xml:space="preserve">Toc</w:instrText>
          </w:r>
          <w:bookmarkEnd w:id="22"/>
          <w:r>
            <w:rPr>
              <w:rFonts w:hint="eastAsia" w:ascii="Times New Roman" w:hAnsi="Times New Roman" w:eastAsia="仿宋_GB2312" w:cs="Times New Roman"/>
              <w:kern w:val="2"/>
              <w:sz w:val="32"/>
              <w:szCs w:val="32"/>
              <w:lang w:val="en-US" w:eastAsia="zh-CN" w:bidi="ar-SA"/>
            </w:rPr>
            <w:instrText xml:space="preserve">144827057_WPSOffice_Level2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11b7629f-0a3d-4ada-85bd-aec675027c46}"/>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三、支出决算表</w:t>
              </w:r>
            </w:sdtContent>
          </w:sdt>
          <w:r>
            <w:rPr>
              <w:rFonts w:hint="eastAsia" w:ascii="Times New Roman" w:hAnsi="Times New Roman" w:eastAsia="仿宋_GB2312" w:cs="Times New Roman"/>
              <w:kern w:val="2"/>
              <w:sz w:val="32"/>
              <w:szCs w:val="32"/>
              <w:lang w:val="en-US" w:eastAsia="zh-CN" w:bidi="ar-SA"/>
            </w:rPr>
            <w:tab/>
          </w:r>
          <w:bookmarkStart w:id="23" w:name="_Toc144827057_WPSOffice_Level2Page"/>
          <w:r>
            <w:rPr>
              <w:rFonts w:hint="eastAsia" w:ascii="Times New Roman" w:hAnsi="Times New Roman" w:eastAsia="仿宋_GB2312" w:cs="Times New Roman"/>
              <w:kern w:val="2"/>
              <w:sz w:val="32"/>
              <w:szCs w:val="32"/>
              <w:lang w:val="en-US" w:eastAsia="zh-CN" w:bidi="ar-SA"/>
            </w:rPr>
            <w:t>3</w:t>
          </w:r>
          <w:bookmarkEnd w:id="23"/>
          <w:r>
            <w:rPr>
              <w:rFonts w:hint="eastAsia"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fldChar w:fldCharType="end"/>
          </w:r>
        </w:p>
        <w:p>
          <w:pPr>
            <w:pStyle w:val="32"/>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_Toc499115464_WPSOffice_Level2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4b3b640d-a091-4bb6-a70c-70f582501b8e}"/>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四、财政拨款收入支出决算总表</w:t>
              </w:r>
            </w:sdtContent>
          </w:sdt>
          <w:r>
            <w:rPr>
              <w:rFonts w:hint="eastAsia" w:ascii="Times New Roman" w:hAnsi="Times New Roman" w:eastAsia="仿宋_GB2312" w:cs="Times New Roman"/>
              <w:kern w:val="2"/>
              <w:sz w:val="32"/>
              <w:szCs w:val="32"/>
              <w:lang w:val="en-US" w:eastAsia="zh-CN" w:bidi="ar-SA"/>
            </w:rPr>
            <w:tab/>
          </w:r>
          <w:bookmarkStart w:id="24" w:name="_Toc499115464_WPSOffice_Level2Page"/>
          <w:r>
            <w:rPr>
              <w:rFonts w:hint="eastAsia" w:ascii="Times New Roman" w:hAnsi="Times New Roman" w:eastAsia="仿宋_GB2312" w:cs="Times New Roman"/>
              <w:kern w:val="2"/>
              <w:sz w:val="32"/>
              <w:szCs w:val="32"/>
              <w:lang w:val="en-US" w:eastAsia="zh-CN" w:bidi="ar-SA"/>
            </w:rPr>
            <w:t>3</w:t>
          </w:r>
          <w:bookmarkEnd w:id="24"/>
          <w:r>
            <w:rPr>
              <w:rFonts w:hint="eastAsia"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fldChar w:fldCharType="end"/>
          </w:r>
        </w:p>
        <w:p>
          <w:pPr>
            <w:pStyle w:val="32"/>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_Toc1320182806_WPSOffice_Level2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a1eea49d-bcff-4ba8-9bce-bcca8476565b}"/>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五、财政拨款支出决算明细表</w:t>
              </w:r>
            </w:sdtContent>
          </w:sdt>
          <w:r>
            <w:rPr>
              <w:rFonts w:hint="eastAsia" w:ascii="Times New Roman" w:hAnsi="Times New Roman" w:eastAsia="仿宋_GB2312" w:cs="Times New Roman"/>
              <w:kern w:val="2"/>
              <w:sz w:val="32"/>
              <w:szCs w:val="32"/>
              <w:lang w:val="en-US" w:eastAsia="zh-CN" w:bidi="ar-SA"/>
            </w:rPr>
            <w:tab/>
          </w:r>
          <w:bookmarkStart w:id="25" w:name="_Toc1320182806_WPSOffice_Level2Page"/>
          <w:r>
            <w:rPr>
              <w:rFonts w:hint="eastAsia" w:ascii="Times New Roman" w:hAnsi="Times New Roman" w:eastAsia="仿宋_GB2312" w:cs="Times New Roman"/>
              <w:kern w:val="2"/>
              <w:sz w:val="32"/>
              <w:szCs w:val="32"/>
              <w:lang w:val="en-US" w:eastAsia="zh-CN" w:bidi="ar-SA"/>
            </w:rPr>
            <w:t>3</w:t>
          </w:r>
          <w:bookmarkEnd w:id="25"/>
          <w:r>
            <w:rPr>
              <w:rFonts w:hint="eastAsia"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fldChar w:fldCharType="end"/>
          </w:r>
        </w:p>
        <w:p>
          <w:pPr>
            <w:pStyle w:val="32"/>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_Toc1364948587_WPSOffice_Level2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a8216df8-7135-4e11-b0fe-53f7e7496ef0}"/>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六、一般公共预算财政拨款支出决算表</w:t>
              </w:r>
            </w:sdtContent>
          </w:sdt>
          <w:r>
            <w:rPr>
              <w:rFonts w:hint="eastAsia" w:ascii="Times New Roman" w:hAnsi="Times New Roman" w:eastAsia="仿宋_GB2312" w:cs="Times New Roman"/>
              <w:kern w:val="2"/>
              <w:sz w:val="32"/>
              <w:szCs w:val="32"/>
              <w:lang w:val="en-US" w:eastAsia="zh-CN" w:bidi="ar-SA"/>
            </w:rPr>
            <w:tab/>
          </w:r>
          <w:bookmarkStart w:id="26" w:name="_Toc1364948587_WPSOffice_Level2Page"/>
          <w:r>
            <w:rPr>
              <w:rFonts w:hint="eastAsia" w:ascii="Times New Roman" w:hAnsi="Times New Roman" w:eastAsia="仿宋_GB2312" w:cs="Times New Roman"/>
              <w:kern w:val="2"/>
              <w:sz w:val="32"/>
              <w:szCs w:val="32"/>
              <w:lang w:val="en-US" w:eastAsia="zh-CN" w:bidi="ar-SA"/>
            </w:rPr>
            <w:t>3</w:t>
          </w:r>
          <w:bookmarkEnd w:id="26"/>
          <w:r>
            <w:rPr>
              <w:rFonts w:hint="eastAsia"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fldChar w:fldCharType="end"/>
          </w:r>
        </w:p>
        <w:p>
          <w:pPr>
            <w:pStyle w:val="32"/>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_Toc2066112063_WPSOffice_Level2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e3aeddc1-89f2-4521-9e94-d508602c66ed}"/>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七、一般公共预算财政拨款支出决算明细表</w:t>
              </w:r>
            </w:sdtContent>
          </w:sdt>
          <w:r>
            <w:rPr>
              <w:rFonts w:hint="eastAsia" w:ascii="Times New Roman" w:hAnsi="Times New Roman" w:eastAsia="仿宋_GB2312" w:cs="Times New Roman"/>
              <w:kern w:val="2"/>
              <w:sz w:val="32"/>
              <w:szCs w:val="32"/>
              <w:lang w:val="en-US" w:eastAsia="zh-CN" w:bidi="ar-SA"/>
            </w:rPr>
            <w:tab/>
          </w:r>
          <w:bookmarkStart w:id="27" w:name="_Toc2066112063_WPSOffice_Level2Page"/>
          <w:r>
            <w:rPr>
              <w:rFonts w:hint="eastAsia" w:ascii="Times New Roman" w:hAnsi="Times New Roman" w:eastAsia="仿宋_GB2312" w:cs="Times New Roman"/>
              <w:kern w:val="2"/>
              <w:sz w:val="32"/>
              <w:szCs w:val="32"/>
              <w:lang w:val="en-US" w:eastAsia="zh-CN" w:bidi="ar-SA"/>
            </w:rPr>
            <w:t>3</w:t>
          </w:r>
          <w:bookmarkEnd w:id="27"/>
          <w:r>
            <w:rPr>
              <w:rFonts w:hint="eastAsia"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fldChar w:fldCharType="end"/>
          </w:r>
        </w:p>
        <w:p>
          <w:pPr>
            <w:pStyle w:val="32"/>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_Toc1290917655_WPSOffice_Level2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38bf7a72-4c56-42fa-a3da-7cf7ea57c4e6}"/>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八、一般公共预算财政拨款基本支出决算表</w:t>
              </w:r>
            </w:sdtContent>
          </w:sdt>
          <w:r>
            <w:rPr>
              <w:rFonts w:hint="eastAsia" w:ascii="Times New Roman" w:hAnsi="Times New Roman" w:eastAsia="仿宋_GB2312" w:cs="Times New Roman"/>
              <w:kern w:val="2"/>
              <w:sz w:val="32"/>
              <w:szCs w:val="32"/>
              <w:lang w:val="en-US" w:eastAsia="zh-CN" w:bidi="ar-SA"/>
            </w:rPr>
            <w:tab/>
          </w:r>
          <w:bookmarkStart w:id="28" w:name="_Toc1290917655_WPSOffice_Level2Page"/>
          <w:r>
            <w:rPr>
              <w:rFonts w:hint="eastAsia" w:ascii="Times New Roman" w:hAnsi="Times New Roman" w:eastAsia="仿宋_GB2312" w:cs="Times New Roman"/>
              <w:kern w:val="2"/>
              <w:sz w:val="32"/>
              <w:szCs w:val="32"/>
              <w:lang w:val="en-US" w:eastAsia="zh-CN" w:bidi="ar-SA"/>
            </w:rPr>
            <w:t>3</w:t>
          </w:r>
          <w:bookmarkEnd w:id="28"/>
          <w:r>
            <w:rPr>
              <w:rFonts w:hint="eastAsia"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fldChar w:fldCharType="end"/>
          </w:r>
        </w:p>
        <w:p>
          <w:pPr>
            <w:pStyle w:val="32"/>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_Toc77286930_WPSOffice_Level2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1977d9c3-6be4-42b3-b2a7-0de03d0504a2}"/>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九、一般公共预算财政拨款项目支出决算表</w:t>
              </w:r>
            </w:sdtContent>
          </w:sdt>
          <w:r>
            <w:rPr>
              <w:rFonts w:hint="eastAsia" w:ascii="Times New Roman" w:hAnsi="Times New Roman" w:eastAsia="仿宋_GB2312" w:cs="Times New Roman"/>
              <w:kern w:val="2"/>
              <w:sz w:val="32"/>
              <w:szCs w:val="32"/>
              <w:lang w:val="en-US" w:eastAsia="zh-CN" w:bidi="ar-SA"/>
            </w:rPr>
            <w:tab/>
          </w:r>
          <w:bookmarkStart w:id="29" w:name="_Toc77286930_WPSOffice_Level2Page"/>
          <w:r>
            <w:rPr>
              <w:rFonts w:hint="eastAsia" w:ascii="Times New Roman" w:hAnsi="Times New Roman" w:eastAsia="仿宋_GB2312" w:cs="Times New Roman"/>
              <w:kern w:val="2"/>
              <w:sz w:val="32"/>
              <w:szCs w:val="32"/>
              <w:lang w:val="en-US" w:eastAsia="zh-CN" w:bidi="ar-SA"/>
            </w:rPr>
            <w:t>3</w:t>
          </w:r>
          <w:bookmarkEnd w:id="29"/>
          <w:r>
            <w:rPr>
              <w:rFonts w:hint="eastAsia"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fldChar w:fldCharType="end"/>
          </w:r>
        </w:p>
        <w:p>
          <w:pPr>
            <w:pStyle w:val="32"/>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_Toc1069879596_WPSOffice_Level2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00c8ef91-30b8-48d6-9281-152376441c30}"/>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十、一般公共预算财政拨款“三公”经费支出决算表</w:t>
              </w:r>
            </w:sdtContent>
          </w:sdt>
          <w:r>
            <w:rPr>
              <w:rFonts w:hint="eastAsia" w:ascii="Times New Roman" w:hAnsi="Times New Roman" w:eastAsia="仿宋_GB2312" w:cs="Times New Roman"/>
              <w:kern w:val="2"/>
              <w:sz w:val="32"/>
              <w:szCs w:val="32"/>
              <w:lang w:val="en-US" w:eastAsia="zh-CN" w:bidi="ar-SA"/>
            </w:rPr>
            <w:tab/>
          </w:r>
          <w:bookmarkStart w:id="30" w:name="_Toc1069879596_WPSOffice_Level2Page"/>
          <w:r>
            <w:rPr>
              <w:rFonts w:hint="eastAsia" w:ascii="Times New Roman" w:hAnsi="Times New Roman" w:eastAsia="仿宋_GB2312" w:cs="Times New Roman"/>
              <w:kern w:val="2"/>
              <w:sz w:val="32"/>
              <w:szCs w:val="32"/>
              <w:lang w:val="en-US" w:eastAsia="zh-CN" w:bidi="ar-SA"/>
            </w:rPr>
            <w:t>3</w:t>
          </w:r>
          <w:bookmarkEnd w:id="30"/>
          <w:r>
            <w:rPr>
              <w:rFonts w:hint="eastAsia"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fldChar w:fldCharType="end"/>
          </w:r>
        </w:p>
        <w:p>
          <w:pPr>
            <w:pStyle w:val="32"/>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_Toc1303117684_WPSOffice_Level2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b60b77e6-6c2b-4450-aa3a-a3680059d696}"/>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十一、政府性基金预算财政拨款收入支出决算表</w:t>
              </w:r>
            </w:sdtContent>
          </w:sdt>
          <w:r>
            <w:rPr>
              <w:rFonts w:hint="eastAsia" w:ascii="Times New Roman" w:hAnsi="Times New Roman" w:eastAsia="仿宋_GB2312" w:cs="Times New Roman"/>
              <w:kern w:val="2"/>
              <w:sz w:val="32"/>
              <w:szCs w:val="32"/>
              <w:lang w:val="en-US" w:eastAsia="zh-CN" w:bidi="ar-SA"/>
            </w:rPr>
            <w:tab/>
          </w:r>
          <w:bookmarkStart w:id="31" w:name="_Toc1303117684_WPSOffice_Level2Page"/>
          <w:r>
            <w:rPr>
              <w:rFonts w:hint="eastAsia" w:ascii="Times New Roman" w:hAnsi="Times New Roman" w:eastAsia="仿宋_GB2312" w:cs="Times New Roman"/>
              <w:kern w:val="2"/>
              <w:sz w:val="32"/>
              <w:szCs w:val="32"/>
              <w:lang w:val="en-US" w:eastAsia="zh-CN" w:bidi="ar-SA"/>
            </w:rPr>
            <w:t>3</w:t>
          </w:r>
          <w:bookmarkEnd w:id="31"/>
          <w:r>
            <w:rPr>
              <w:rFonts w:hint="eastAsia"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fldChar w:fldCharType="end"/>
          </w:r>
        </w:p>
        <w:p>
          <w:pPr>
            <w:pStyle w:val="32"/>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_Toc1041466712_WPSOffice_Level2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spacing w:val="-11"/>
                <w:kern w:val="2"/>
                <w:sz w:val="32"/>
                <w:szCs w:val="32"/>
                <w:lang w:val="en-US" w:eastAsia="zh-CN" w:bidi="ar-SA"/>
              </w:rPr>
              <w:id w:val="365167287"/>
              <w:placeholder>
                <w:docPart w:val="{716f83ef-04a9-4394-b719-9555d11daeb0}"/>
              </w:placeholder>
            </w:sdtPr>
            <w:sdtEndPr>
              <w:rPr>
                <w:rFonts w:hint="eastAsia" w:ascii="Times New Roman" w:hAnsi="Times New Roman" w:eastAsia="仿宋_GB2312" w:cs="Times New Roman"/>
                <w:spacing w:val="-11"/>
                <w:kern w:val="2"/>
                <w:sz w:val="32"/>
                <w:szCs w:val="32"/>
                <w:lang w:val="en-US" w:eastAsia="zh-CN" w:bidi="ar-SA"/>
              </w:rPr>
            </w:sdtEndPr>
            <w:sdtContent>
              <w:r>
                <w:rPr>
                  <w:rFonts w:hint="eastAsia" w:ascii="Times New Roman" w:hAnsi="Times New Roman" w:eastAsia="仿宋_GB2312" w:cs="Times New Roman"/>
                  <w:snapToGrid w:val="0"/>
                  <w:spacing w:val="-11"/>
                  <w:kern w:val="0"/>
                  <w:sz w:val="32"/>
                  <w:szCs w:val="32"/>
                  <w:lang w:val="en-US" w:eastAsia="zh-CN" w:bidi="ar-SA"/>
                </w:rPr>
                <w:t>十二、政府性基金预算财政拨款“三公”经费支出决算</w:t>
              </w:r>
              <w:r>
                <w:rPr>
                  <w:rFonts w:hint="eastAsia" w:ascii="Times New Roman" w:hAnsi="Times New Roman" w:eastAsia="仿宋_GB2312" w:cs="Times New Roman"/>
                  <w:kern w:val="2"/>
                  <w:sz w:val="32"/>
                  <w:szCs w:val="32"/>
                  <w:lang w:val="en-US" w:eastAsia="zh-CN" w:bidi="ar-SA"/>
                </w:rPr>
                <w:tab/>
              </w:r>
              <w:r>
                <w:rPr>
                  <w:rFonts w:hint="eastAsia" w:ascii="Times New Roman" w:hAnsi="Times New Roman" w:eastAsia="仿宋_GB2312" w:cs="Times New Roman"/>
                  <w:snapToGrid w:val="0"/>
                  <w:spacing w:val="-11"/>
                  <w:kern w:val="0"/>
                  <w:sz w:val="32"/>
                  <w:szCs w:val="32"/>
                  <w:lang w:val="en-US" w:eastAsia="zh-CN" w:bidi="ar-SA"/>
                </w:rPr>
                <w:t>3</w:t>
              </w:r>
            </w:sdtContent>
          </w:sdt>
          <w:r>
            <w:rPr>
              <w:rFonts w:hint="eastAsia"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fldChar w:fldCharType="end"/>
          </w:r>
        </w:p>
        <w:p>
          <w:pPr>
            <w:pStyle w:val="32"/>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_Toc417619276_WPSOffice_Level2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a70f2ec3-33b8-4bec-8d30-7622f80bef70}"/>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十三、国有资本经营预算财政拨款收入支出决算表</w:t>
              </w:r>
            </w:sdtContent>
          </w:sdt>
          <w:r>
            <w:rPr>
              <w:rFonts w:hint="eastAsia" w:ascii="Times New Roman" w:hAnsi="Times New Roman" w:eastAsia="仿宋_GB2312" w:cs="Times New Roman"/>
              <w:kern w:val="2"/>
              <w:sz w:val="32"/>
              <w:szCs w:val="32"/>
              <w:lang w:val="en-US" w:eastAsia="zh-CN" w:bidi="ar-SA"/>
            </w:rPr>
            <w:tab/>
          </w:r>
          <w:bookmarkStart w:id="32" w:name="_Toc417619276_WPSOffice_Level2Page"/>
          <w:r>
            <w:rPr>
              <w:rFonts w:hint="eastAsia" w:ascii="Times New Roman" w:hAnsi="Times New Roman" w:eastAsia="仿宋_GB2312" w:cs="Times New Roman"/>
              <w:kern w:val="2"/>
              <w:sz w:val="32"/>
              <w:szCs w:val="32"/>
              <w:lang w:val="en-US" w:eastAsia="zh-CN" w:bidi="ar-SA"/>
            </w:rPr>
            <w:t>3</w:t>
          </w:r>
          <w:bookmarkEnd w:id="32"/>
          <w:r>
            <w:rPr>
              <w:rFonts w:hint="eastAsia"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fldChar w:fldCharType="end"/>
          </w:r>
        </w:p>
        <w:p>
          <w:pPr>
            <w:pStyle w:val="32"/>
            <w:tabs>
              <w:tab w:val="right" w:leader="dot" w:pos="8306"/>
            </w:tabs>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\l _Toc1842677569_WPSOffice_Level2 </w:instrText>
          </w:r>
          <w:r>
            <w:rPr>
              <w:rFonts w:hint="eastAsia" w:ascii="Times New Roman" w:hAnsi="Times New Roman" w:eastAsia="仿宋_GB2312" w:cs="Times New Roman"/>
              <w:kern w:val="2"/>
              <w:sz w:val="32"/>
              <w:szCs w:val="32"/>
              <w:lang w:val="en-US" w:eastAsia="zh-CN" w:bidi="ar-SA"/>
            </w:rPr>
            <w:fldChar w:fldCharType="separate"/>
          </w:r>
          <w:sdt>
            <w:sdtPr>
              <w:rPr>
                <w:rFonts w:hint="eastAsia" w:ascii="Times New Roman" w:hAnsi="Times New Roman" w:eastAsia="仿宋_GB2312" w:cs="Times New Roman"/>
                <w:kern w:val="2"/>
                <w:sz w:val="32"/>
                <w:szCs w:val="32"/>
                <w:lang w:val="en-US" w:eastAsia="zh-CN" w:bidi="ar-SA"/>
              </w:rPr>
              <w:id w:val="365167287"/>
              <w:placeholder>
                <w:docPart w:val="{a64029c7-77dc-4134-8083-a9ca5b7ee1ad}"/>
              </w:placeholder>
            </w:sdtPr>
            <w:sdtEndPr>
              <w:rPr>
                <w:rFonts w:hint="eastAsia" w:ascii="Times New Roman" w:hAnsi="Times New Roman" w:eastAsia="仿宋_GB2312" w:cs="Times New Roman"/>
                <w:kern w:val="2"/>
                <w:sz w:val="32"/>
                <w:szCs w:val="32"/>
                <w:lang w:val="en-US" w:eastAsia="zh-CN" w:bidi="ar-SA"/>
              </w:rPr>
            </w:sdtEndPr>
            <w:sdtContent>
              <w:r>
                <w:rPr>
                  <w:rFonts w:hint="eastAsia" w:ascii="Times New Roman" w:hAnsi="Times New Roman" w:eastAsia="仿宋_GB2312" w:cs="Times New Roman"/>
                  <w:kern w:val="2"/>
                  <w:sz w:val="32"/>
                  <w:szCs w:val="32"/>
                  <w:lang w:val="en-US" w:eastAsia="zh-CN" w:bidi="ar-SA"/>
                </w:rPr>
                <w:t>十四、国有资本经营预算财政拨款支出决算表</w:t>
              </w:r>
            </w:sdtContent>
          </w:sdt>
          <w:r>
            <w:rPr>
              <w:rFonts w:hint="eastAsia" w:ascii="Times New Roman" w:hAnsi="Times New Roman" w:eastAsia="仿宋_GB2312" w:cs="Times New Roman"/>
              <w:kern w:val="2"/>
              <w:sz w:val="32"/>
              <w:szCs w:val="32"/>
              <w:lang w:val="en-US" w:eastAsia="zh-CN" w:bidi="ar-SA"/>
            </w:rPr>
            <w:tab/>
          </w:r>
          <w:bookmarkStart w:id="33" w:name="_Toc1842677569_WPSOffice_Level2Page"/>
          <w:r>
            <w:rPr>
              <w:rFonts w:hint="eastAsia" w:ascii="Times New Roman" w:hAnsi="Times New Roman" w:eastAsia="仿宋_GB2312" w:cs="Times New Roman"/>
              <w:kern w:val="2"/>
              <w:sz w:val="32"/>
              <w:szCs w:val="32"/>
              <w:lang w:val="en-US" w:eastAsia="zh-CN" w:bidi="ar-SA"/>
            </w:rPr>
            <w:t>3</w:t>
          </w:r>
          <w:bookmarkEnd w:id="33"/>
          <w:r>
            <w:rPr>
              <w:rFonts w:hint="eastAsia"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fldChar w:fldCharType="end"/>
          </w:r>
        </w:p>
        <w:bookmarkEnd w:id="12"/>
        <w:p>
          <w:pPr>
            <w:pStyle w:val="31"/>
            <w:tabs>
              <w:tab w:val="right" w:leader="dot" w:pos="8306"/>
            </w:tabs>
            <w:ind w:left="0" w:leftChars="0"/>
            <w:rPr>
              <w:rFonts w:hint="eastAsia" w:ascii="方正小标宋_GBK" w:hAnsi="方正小标宋_GBK" w:eastAsia="方正小标宋_GBK" w:cs="方正小标宋_GBK"/>
              <w:b w:val="0"/>
              <w:color w:val="auto"/>
              <w:highlight w:val="none"/>
            </w:rPr>
          </w:pPr>
          <w:bookmarkStart w:id="34" w:name="_Toc15377196"/>
          <w:bookmarkStart w:id="35" w:name="_Toc862111719_WPSOffice_Level1"/>
          <w:bookmarkStart w:id="36" w:name="_Toc15396599"/>
        </w:p>
      </w:sdtContent>
    </w:sdt>
    <w:bookmarkEnd w:id="34"/>
    <w:bookmarkEnd w:id="35"/>
    <w:bookmarkEnd w:id="36"/>
    <w:p>
      <w:pPr>
        <w:widowControl w:val="0"/>
        <w:numPr>
          <w:ilvl w:val="0"/>
          <w:numId w:val="0"/>
        </w:numPr>
        <w:jc w:val="both"/>
      </w:pPr>
    </w:p>
    <w:p>
      <w:pPr>
        <w:pStyle w:val="2"/>
      </w:pPr>
    </w:p>
    <w:p>
      <w:pPr>
        <w:pStyle w:val="4"/>
        <w:pageBreakBefore w:val="0"/>
        <w:widowControl w:val="0"/>
        <w:numPr>
          <w:ilvl w:val="0"/>
          <w:numId w:val="0"/>
        </w:numPr>
        <w:kinsoku/>
        <w:wordWrap/>
        <w:overflowPunct/>
        <w:topLinePunct w:val="0"/>
        <w:autoSpaceDE/>
        <w:autoSpaceDN/>
        <w:bidi w:val="0"/>
        <w:adjustRightInd w:val="0"/>
        <w:snapToGrid w:val="0"/>
        <w:spacing w:before="0" w:after="0" w:line="339" w:lineRule="auto"/>
        <w:jc w:val="both"/>
        <w:textAlignment w:val="auto"/>
        <w:rPr>
          <w:rStyle w:val="26"/>
          <w:rFonts w:hint="eastAsia" w:ascii="方正小标宋_GBK" w:hAnsi="方正小标宋_GBK" w:eastAsia="方正小标宋_GBK" w:cs="方正小标宋_GBK"/>
          <w:b w:val="0"/>
          <w:bCs w:val="0"/>
          <w:color w:val="auto"/>
          <w:sz w:val="32"/>
          <w:szCs w:val="32"/>
          <w:highlight w:val="none"/>
          <w:lang w:eastAsia="zh-CN"/>
        </w:rPr>
      </w:pPr>
      <w:bookmarkStart w:id="37" w:name="_Toc79115929_WPSOffice_Level2"/>
      <w:bookmarkStart w:id="38" w:name="_Toc15396600"/>
      <w:bookmarkStart w:id="39" w:name="_Toc15377197"/>
    </w:p>
    <w:p>
      <w:pPr>
        <w:rPr>
          <w:rStyle w:val="26"/>
          <w:rFonts w:hint="eastAsia" w:ascii="方正小标宋_GBK" w:hAnsi="方正小标宋_GBK" w:eastAsia="方正小标宋_GBK" w:cs="方正小标宋_GBK"/>
          <w:b w:val="0"/>
          <w:bCs w:val="0"/>
          <w:color w:val="auto"/>
          <w:sz w:val="32"/>
          <w:szCs w:val="32"/>
          <w:highlight w:val="none"/>
          <w:lang w:eastAsia="zh-CN"/>
        </w:rPr>
      </w:pPr>
    </w:p>
    <w:p>
      <w:pPr>
        <w:pStyle w:val="2"/>
        <w:rPr>
          <w:rFonts w:hint="eastAsia"/>
          <w:lang w:eastAsia="zh-CN"/>
        </w:rPr>
      </w:pPr>
    </w:p>
    <w:p>
      <w:pPr>
        <w:pStyle w:val="4"/>
        <w:pageBreakBefore w:val="0"/>
        <w:widowControl w:val="0"/>
        <w:numPr>
          <w:ilvl w:val="0"/>
          <w:numId w:val="0"/>
        </w:numPr>
        <w:kinsoku/>
        <w:wordWrap/>
        <w:overflowPunct/>
        <w:topLinePunct w:val="0"/>
        <w:autoSpaceDE/>
        <w:autoSpaceDN/>
        <w:bidi w:val="0"/>
        <w:adjustRightInd w:val="0"/>
        <w:snapToGrid w:val="0"/>
        <w:spacing w:before="0" w:after="0" w:line="339" w:lineRule="auto"/>
        <w:jc w:val="center"/>
        <w:textAlignment w:val="auto"/>
        <w:rPr>
          <w:rStyle w:val="26"/>
          <w:rFonts w:hint="eastAsia" w:ascii="黑体" w:hAnsi="黑体" w:eastAsia="黑体"/>
          <w:b w:val="0"/>
          <w:bCs w:val="0"/>
          <w:color w:val="auto"/>
          <w:highlight w:val="none"/>
          <w:lang w:eastAsia="zh-CN"/>
        </w:rPr>
      </w:pPr>
      <w:r>
        <w:rPr>
          <w:rStyle w:val="26"/>
          <w:rFonts w:hint="eastAsia" w:ascii="方正小标宋_GBK" w:hAnsi="方正小标宋_GBK" w:eastAsia="方正小标宋_GBK" w:cs="方正小标宋_GBK"/>
          <w:b w:val="0"/>
          <w:bCs w:val="0"/>
          <w:color w:val="auto"/>
          <w:sz w:val="44"/>
          <w:szCs w:val="44"/>
          <w:highlight w:val="none"/>
          <w:lang w:eastAsia="zh-CN"/>
        </w:rPr>
        <w:t>第一部分　单位概况</w:t>
      </w:r>
    </w:p>
    <w:p>
      <w:pPr>
        <w:pStyle w:val="4"/>
        <w:pageBreakBefore w:val="0"/>
        <w:widowControl w:val="0"/>
        <w:numPr>
          <w:ilvl w:val="0"/>
          <w:numId w:val="0"/>
        </w:numPr>
        <w:kinsoku/>
        <w:wordWrap/>
        <w:overflowPunct/>
        <w:topLinePunct w:val="0"/>
        <w:autoSpaceDE/>
        <w:autoSpaceDN/>
        <w:bidi w:val="0"/>
        <w:adjustRightInd w:val="0"/>
        <w:snapToGrid w:val="0"/>
        <w:spacing w:before="0" w:after="0" w:line="339" w:lineRule="auto"/>
        <w:ind w:firstLine="0" w:firstLineChars="0"/>
        <w:textAlignment w:val="auto"/>
        <w:rPr>
          <w:rStyle w:val="26"/>
          <w:rFonts w:hint="eastAsia" w:ascii="黑体" w:hAnsi="黑体" w:eastAsia="黑体"/>
          <w:b w:val="0"/>
          <w:bCs w:val="0"/>
          <w:color w:val="auto"/>
          <w:highlight w:val="none"/>
          <w:lang w:eastAsia="zh-CN"/>
        </w:rPr>
      </w:pPr>
      <w:r>
        <w:rPr>
          <w:rStyle w:val="26"/>
          <w:rFonts w:hint="eastAsia" w:ascii="黑体" w:hAnsi="黑体" w:eastAsia="黑体"/>
          <w:b w:val="0"/>
          <w:bCs w:val="0"/>
          <w:color w:val="auto"/>
          <w:highlight w:val="none"/>
          <w:lang w:eastAsia="zh-CN"/>
        </w:rPr>
        <w:t>　　一、</w:t>
      </w:r>
      <w:r>
        <w:rPr>
          <w:rStyle w:val="26"/>
          <w:rFonts w:hint="eastAsia" w:ascii="黑体" w:hAnsi="黑体" w:eastAsia="黑体"/>
          <w:b w:val="0"/>
          <w:bCs w:val="0"/>
          <w:color w:val="auto"/>
          <w:highlight w:val="none"/>
        </w:rPr>
        <w:t>职能</w:t>
      </w:r>
      <w:r>
        <w:rPr>
          <w:rStyle w:val="26"/>
          <w:rFonts w:hint="eastAsia" w:ascii="黑体" w:hAnsi="黑体" w:eastAsia="黑体"/>
          <w:b w:val="0"/>
          <w:bCs w:val="0"/>
          <w:color w:val="auto"/>
          <w:highlight w:val="none"/>
          <w:lang w:eastAsia="zh-CN"/>
        </w:rPr>
        <w:t>简介</w:t>
      </w:r>
      <w:bookmarkEnd w:id="37"/>
      <w:bookmarkStart w:id="40" w:name="_Toc15378445"/>
      <w:bookmarkStart w:id="41" w:name="_Toc15377198"/>
    </w:p>
    <w:p>
      <w:pPr>
        <w:pStyle w:val="4"/>
        <w:pageBreakBefore w:val="0"/>
        <w:widowControl w:val="0"/>
        <w:numPr>
          <w:ilvl w:val="0"/>
          <w:numId w:val="0"/>
        </w:numPr>
        <w:kinsoku/>
        <w:wordWrap/>
        <w:overflowPunct/>
        <w:topLinePunct w:val="0"/>
        <w:autoSpaceDE/>
        <w:autoSpaceDN/>
        <w:bidi w:val="0"/>
        <w:adjustRightInd w:val="0"/>
        <w:snapToGrid w:val="0"/>
        <w:spacing w:before="0" w:after="0" w:line="339" w:lineRule="auto"/>
        <w:ind w:firstLine="0" w:firstLineChars="0"/>
        <w:textAlignment w:val="auto"/>
        <w:rPr>
          <w:rFonts w:ascii="楷体_GB2312" w:hAnsi="楷体_GB2312" w:eastAsia="楷体_GB2312" w:cs="楷体_GB2312"/>
          <w:b w:val="0"/>
          <w:bCs w:val="0"/>
          <w:color w:val="000000"/>
          <w:sz w:val="32"/>
          <w:szCs w:val="32"/>
        </w:rPr>
      </w:pPr>
      <w:r>
        <w:rPr>
          <w:rFonts w:hint="eastAsia" w:ascii="楷体_GB2312" w:hAnsi="楷体_GB2312" w:eastAsia="楷体_GB2312" w:cs="楷体_GB2312"/>
          <w:color w:val="000000"/>
          <w:sz w:val="32"/>
          <w:szCs w:val="32"/>
          <w:lang w:eastAsia="zh-CN"/>
        </w:rPr>
        <w:t>　</w:t>
      </w:r>
      <w:r>
        <w:rPr>
          <w:rFonts w:hint="eastAsia" w:ascii="楷体_GB2312" w:hAnsi="楷体_GB2312" w:eastAsia="楷体_GB2312" w:cs="楷体_GB2312"/>
          <w:b w:val="0"/>
          <w:bCs w:val="0"/>
          <w:color w:val="000000"/>
          <w:sz w:val="32"/>
          <w:szCs w:val="32"/>
          <w:lang w:eastAsia="zh-CN"/>
        </w:rPr>
        <w:t>　</w:t>
      </w:r>
      <w:r>
        <w:rPr>
          <w:rFonts w:hint="eastAsia" w:ascii="楷体_GB2312" w:hAnsi="楷体_GB2312" w:eastAsia="楷体_GB2312" w:cs="楷体_GB2312"/>
          <w:b w:val="0"/>
          <w:bCs w:val="0"/>
          <w:color w:val="000000"/>
          <w:sz w:val="32"/>
          <w:szCs w:val="32"/>
        </w:rPr>
        <w:t>（一）主要职能。</w:t>
      </w:r>
    </w:p>
    <w:bookmarkEnd w:id="40"/>
    <w:bookmarkEnd w:id="41"/>
    <w:p>
      <w:pPr>
        <w:pStyle w:val="2"/>
        <w:pageBreakBefore w:val="0"/>
        <w:widowControl w:val="0"/>
        <w:kinsoku/>
        <w:wordWrap/>
        <w:overflowPunct/>
        <w:topLinePunct w:val="0"/>
        <w:autoSpaceDE/>
        <w:autoSpaceDN/>
        <w:bidi w:val="0"/>
        <w:adjustRightInd w:val="0"/>
        <w:snapToGrid w:val="0"/>
        <w:spacing w:beforeLines="0" w:line="339" w:lineRule="auto"/>
        <w:ind w:firstLine="0" w:firstLineChars="0"/>
        <w:textAlignment w:val="auto"/>
        <w:outlineLvl w:val="2"/>
        <w:rPr>
          <w:rFonts w:ascii="Times New Roman"/>
          <w:bCs/>
          <w:color w:val="000000"/>
          <w:sz w:val="32"/>
          <w:szCs w:val="32"/>
        </w:rPr>
      </w:pPr>
      <w:r>
        <w:rPr>
          <w:rFonts w:hint="eastAsia" w:ascii="Times New Roman"/>
          <w:bCs/>
          <w:color w:val="000000"/>
          <w:sz w:val="32"/>
          <w:szCs w:val="32"/>
          <w:lang w:eastAsia="zh-CN"/>
        </w:rPr>
        <w:t>　　</w:t>
      </w:r>
      <w:r>
        <w:rPr>
          <w:rFonts w:hint="eastAsia" w:ascii="Times New Roman"/>
          <w:bCs/>
          <w:color w:val="000000"/>
          <w:sz w:val="32"/>
          <w:szCs w:val="32"/>
        </w:rPr>
        <w:t>（</w:t>
      </w:r>
      <w:r>
        <w:rPr>
          <w:rFonts w:ascii="Times New Roman"/>
          <w:bCs/>
          <w:color w:val="000000"/>
          <w:sz w:val="32"/>
          <w:szCs w:val="32"/>
        </w:rPr>
        <w:t>1</w:t>
      </w:r>
      <w:r>
        <w:rPr>
          <w:rFonts w:hint="eastAsia" w:ascii="Times New Roman"/>
          <w:bCs/>
          <w:color w:val="000000"/>
          <w:sz w:val="32"/>
          <w:szCs w:val="32"/>
        </w:rPr>
        <w:t>）协助市政府领导同志组织起草或审核以市政府、市政府办公室名义发布的公文。办理省政府、省政府办公厅及省直部门发送市政府的文电。指导全市行政机关公文处理工作。</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2</w:t>
      </w:r>
      <w:r>
        <w:rPr>
          <w:rFonts w:hint="eastAsia" w:ascii="Times New Roman"/>
          <w:bCs/>
          <w:color w:val="000000"/>
          <w:sz w:val="32"/>
          <w:szCs w:val="32"/>
        </w:rPr>
        <w:t>）研究市政府部门和县（区）政府请示市政府的事项，提出审核意见，报市政府领导同志审批。</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3</w:t>
      </w:r>
      <w:r>
        <w:rPr>
          <w:rFonts w:hint="eastAsia" w:ascii="Times New Roman"/>
          <w:bCs/>
          <w:color w:val="000000"/>
          <w:sz w:val="32"/>
          <w:szCs w:val="32"/>
        </w:rPr>
        <w:t>）负责市政府会议的准备工作，协助市政府领导同志组织实施会议决定事项。</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4</w:t>
      </w:r>
      <w:r>
        <w:rPr>
          <w:rFonts w:hint="eastAsia" w:ascii="Times New Roman"/>
          <w:bCs/>
          <w:color w:val="000000"/>
          <w:sz w:val="32"/>
          <w:szCs w:val="32"/>
        </w:rPr>
        <w:t>）督促检查市政府部门和县（区）政府对市政府决定事项及市政府领导同志指示的贯彻落实情况，及时向市政府领导同志报告。</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5</w:t>
      </w:r>
      <w:r>
        <w:rPr>
          <w:rFonts w:hint="eastAsia" w:ascii="Times New Roman"/>
          <w:bCs/>
          <w:color w:val="000000"/>
          <w:sz w:val="32"/>
          <w:szCs w:val="32"/>
        </w:rPr>
        <w:t>）根据市政府领导同志的指示，对市政府部门间争议问题提出处理意见和建议，报市政府领导同志决定。</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6</w:t>
      </w:r>
      <w:r>
        <w:rPr>
          <w:rFonts w:hint="eastAsia" w:ascii="Times New Roman"/>
          <w:bCs/>
          <w:color w:val="000000"/>
          <w:sz w:val="32"/>
          <w:szCs w:val="32"/>
        </w:rPr>
        <w:t>）负责市政府值班工作，指导市政府部门和县（区）政府值班工作，及时报告重要情况。</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7</w:t>
      </w:r>
      <w:r>
        <w:rPr>
          <w:rFonts w:hint="eastAsia" w:ascii="Times New Roman"/>
          <w:bCs/>
          <w:color w:val="000000"/>
          <w:sz w:val="32"/>
          <w:szCs w:val="32"/>
        </w:rPr>
        <w:t>）指导、监督全市政府信息公开工作和机关行政效能建设工作，指导、监督全市政府系统电子政务工作和政府网站建设。</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8</w:t>
      </w:r>
      <w:r>
        <w:rPr>
          <w:rFonts w:hint="eastAsia" w:ascii="Times New Roman"/>
          <w:bCs/>
          <w:color w:val="000000"/>
          <w:sz w:val="32"/>
          <w:szCs w:val="32"/>
        </w:rPr>
        <w:t>）围绕市政府中心工作和市政府领导同志的指示，组织专题调查研究，及时反映情况，提出政策性建议。</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9</w:t>
      </w:r>
      <w:r>
        <w:rPr>
          <w:rFonts w:hint="eastAsia" w:ascii="Times New Roman"/>
          <w:bCs/>
          <w:color w:val="000000"/>
          <w:sz w:val="32"/>
          <w:szCs w:val="32"/>
        </w:rPr>
        <w:t>）贯彻执行国家口岸工作方针、政策和规定，指导全市口岸管理工作。</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10</w:t>
      </w:r>
      <w:r>
        <w:rPr>
          <w:rFonts w:hint="eastAsia" w:ascii="Times New Roman"/>
          <w:bCs/>
          <w:color w:val="000000"/>
          <w:sz w:val="32"/>
          <w:szCs w:val="32"/>
        </w:rPr>
        <w:t>）贯彻执行党和国家的外事方针政策、法律、法规以及市委、市政府关于外事工作的决策部署，统筹管理全市外事工作。</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11</w:t>
      </w:r>
      <w:r>
        <w:rPr>
          <w:rFonts w:hint="eastAsia" w:ascii="Times New Roman"/>
          <w:bCs/>
          <w:color w:val="000000"/>
          <w:sz w:val="32"/>
          <w:szCs w:val="32"/>
        </w:rPr>
        <w:t>）负责职责范围内的安全生产和职业健康、生态环境保护、行政审批便民化工作。</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12</w:t>
      </w:r>
      <w:r>
        <w:rPr>
          <w:rFonts w:hint="eastAsia" w:ascii="Times New Roman"/>
          <w:bCs/>
          <w:color w:val="000000"/>
          <w:sz w:val="32"/>
          <w:szCs w:val="32"/>
        </w:rPr>
        <w:t>）负责机关事务管理、公共机构节能工作。</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13</w:t>
      </w:r>
      <w:r>
        <w:rPr>
          <w:rFonts w:hint="eastAsia" w:ascii="Times New Roman"/>
          <w:bCs/>
          <w:color w:val="000000"/>
          <w:sz w:val="32"/>
          <w:szCs w:val="32"/>
        </w:rPr>
        <w:t>）负责市政府驻外机构的管理工作。</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hint="eastAsia" w:ascii="Times New Roman"/>
          <w:bCs/>
          <w:color w:val="000000"/>
          <w:sz w:val="32"/>
          <w:szCs w:val="32"/>
          <w:lang w:eastAsia="zh-CN"/>
        </w:rPr>
      </w:pPr>
      <w:r>
        <w:rPr>
          <w:rFonts w:hint="eastAsia" w:ascii="Times New Roman"/>
          <w:bCs/>
          <w:color w:val="000000"/>
          <w:sz w:val="32"/>
          <w:szCs w:val="32"/>
        </w:rPr>
        <w:t>（</w:t>
      </w:r>
      <w:r>
        <w:rPr>
          <w:rFonts w:hint="eastAsia" w:ascii="Times New Roman"/>
          <w:bCs/>
          <w:color w:val="000000"/>
          <w:sz w:val="32"/>
          <w:szCs w:val="32"/>
          <w:lang w:val="en-US" w:eastAsia="zh-CN"/>
        </w:rPr>
        <w:t>14</w:t>
      </w:r>
      <w:r>
        <w:rPr>
          <w:rFonts w:hint="eastAsia" w:ascii="Times New Roman"/>
          <w:bCs/>
          <w:color w:val="000000"/>
          <w:sz w:val="32"/>
          <w:szCs w:val="32"/>
        </w:rPr>
        <w:t>）</w:t>
      </w:r>
      <w:r>
        <w:rPr>
          <w:rFonts w:hint="eastAsia" w:ascii="Times New Roman"/>
          <w:bCs/>
          <w:color w:val="000000"/>
          <w:sz w:val="32"/>
          <w:szCs w:val="32"/>
          <w:lang w:eastAsia="zh-CN"/>
        </w:rPr>
        <w:t>贯彻执行国家、省大数据发展方针政策；开展全市大数据发展规划、政策措施、管理办法和考核细则的基础性研究工作，提出相关政策建议。</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hint="eastAsia" w:ascii="Times New Roman"/>
          <w:bCs/>
          <w:color w:val="000000"/>
          <w:sz w:val="32"/>
          <w:szCs w:val="32"/>
          <w:lang w:eastAsia="zh-CN"/>
        </w:rPr>
      </w:pPr>
      <w:r>
        <w:rPr>
          <w:rFonts w:hint="eastAsia" w:ascii="Times New Roman"/>
          <w:bCs/>
          <w:color w:val="000000"/>
          <w:sz w:val="32"/>
          <w:szCs w:val="32"/>
        </w:rPr>
        <w:t>（</w:t>
      </w:r>
      <w:r>
        <w:rPr>
          <w:rFonts w:hint="eastAsia" w:ascii="Times New Roman"/>
          <w:bCs/>
          <w:color w:val="000000"/>
          <w:sz w:val="32"/>
          <w:szCs w:val="32"/>
          <w:lang w:val="en-US" w:eastAsia="zh-CN"/>
        </w:rPr>
        <w:t>15</w:t>
      </w:r>
      <w:r>
        <w:rPr>
          <w:rFonts w:hint="eastAsia" w:ascii="Times New Roman"/>
          <w:bCs/>
          <w:color w:val="000000"/>
          <w:sz w:val="32"/>
          <w:szCs w:val="32"/>
        </w:rPr>
        <w:t>）</w:t>
      </w:r>
      <w:r>
        <w:rPr>
          <w:rFonts w:hint="eastAsia" w:ascii="Times New Roman"/>
          <w:bCs/>
          <w:color w:val="000000"/>
          <w:sz w:val="32"/>
          <w:szCs w:val="32"/>
          <w:lang w:eastAsia="zh-CN"/>
        </w:rPr>
        <w:t>负责全市电子政务外网等基础设施建设和运维管理，为全市电子政务基础设施规划建设、组织实施、运行维护提供支撑服务。</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hint="eastAsia" w:ascii="Times New Roman"/>
          <w:bCs/>
          <w:color w:val="000000"/>
          <w:sz w:val="32"/>
          <w:szCs w:val="32"/>
          <w:lang w:eastAsia="zh-CN"/>
        </w:rPr>
      </w:pPr>
      <w:r>
        <w:rPr>
          <w:rFonts w:hint="eastAsia" w:ascii="Times New Roman"/>
          <w:bCs/>
          <w:color w:val="000000"/>
          <w:sz w:val="32"/>
          <w:szCs w:val="32"/>
        </w:rPr>
        <w:t>（</w:t>
      </w:r>
      <w:r>
        <w:rPr>
          <w:rFonts w:hint="eastAsia" w:ascii="Times New Roman"/>
          <w:bCs/>
          <w:color w:val="000000"/>
          <w:sz w:val="32"/>
          <w:szCs w:val="32"/>
          <w:lang w:val="en-US" w:eastAsia="zh-CN"/>
        </w:rPr>
        <w:t>16</w:t>
      </w:r>
      <w:r>
        <w:rPr>
          <w:rFonts w:hint="eastAsia" w:ascii="Times New Roman"/>
          <w:bCs/>
          <w:color w:val="000000"/>
          <w:sz w:val="32"/>
          <w:szCs w:val="32"/>
        </w:rPr>
        <w:t>）</w:t>
      </w:r>
      <w:r>
        <w:rPr>
          <w:rFonts w:hint="eastAsia" w:ascii="Times New Roman"/>
          <w:bCs/>
          <w:color w:val="000000"/>
          <w:sz w:val="32"/>
          <w:szCs w:val="32"/>
          <w:lang w:eastAsia="zh-CN"/>
        </w:rPr>
        <w:t>承担全市政府数据、公共数据、社会数据汇聚整合、共享开放、应用融合等数据管理的具体事务性、技术性工作，为政府履行政府数据所有者职责提供支撑。负责市级政务信息资源共享交换平台等数据资源平台建设和运维管理。</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hint="eastAsia" w:ascii="Times New Roman"/>
          <w:bCs/>
          <w:color w:val="000000"/>
          <w:sz w:val="32"/>
          <w:szCs w:val="32"/>
          <w:lang w:eastAsia="zh-CN"/>
        </w:rPr>
      </w:pPr>
      <w:r>
        <w:rPr>
          <w:rFonts w:hint="eastAsia" w:ascii="Times New Roman"/>
          <w:bCs/>
          <w:color w:val="000000"/>
          <w:sz w:val="32"/>
          <w:szCs w:val="32"/>
        </w:rPr>
        <w:t>（</w:t>
      </w:r>
      <w:r>
        <w:rPr>
          <w:rFonts w:hint="eastAsia" w:ascii="Times New Roman"/>
          <w:bCs/>
          <w:color w:val="000000"/>
          <w:sz w:val="32"/>
          <w:szCs w:val="32"/>
          <w:lang w:val="en-US" w:eastAsia="zh-CN"/>
        </w:rPr>
        <w:t>17</w:t>
      </w:r>
      <w:r>
        <w:rPr>
          <w:rFonts w:hint="eastAsia" w:ascii="Times New Roman"/>
          <w:bCs/>
          <w:color w:val="000000"/>
          <w:sz w:val="32"/>
          <w:szCs w:val="32"/>
        </w:rPr>
        <w:t>）</w:t>
      </w:r>
      <w:r>
        <w:rPr>
          <w:rFonts w:hint="eastAsia" w:ascii="Times New Roman"/>
          <w:bCs/>
          <w:color w:val="000000"/>
          <w:sz w:val="32"/>
          <w:szCs w:val="32"/>
          <w:lang w:eastAsia="zh-CN"/>
        </w:rPr>
        <w:t>为政务系统大数据发展和重大应用建设提供支撑服务，承担办公运行、工作监测、信息公开、为民服务等跨部门跨层级综合性应用系统建设、运维管理和支撑服务。对“走好网上群众”等群众诉求网络渠道办理情况进行统计分析，并提出建议。</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hint="eastAsia" w:ascii="Times New Roman"/>
          <w:bCs/>
          <w:color w:val="000000"/>
          <w:sz w:val="32"/>
          <w:szCs w:val="32"/>
          <w:lang w:eastAsia="zh-CN"/>
        </w:rPr>
      </w:pPr>
      <w:r>
        <w:rPr>
          <w:rFonts w:hint="eastAsia" w:ascii="Times New Roman"/>
          <w:bCs/>
          <w:color w:val="000000"/>
          <w:sz w:val="32"/>
          <w:szCs w:val="32"/>
        </w:rPr>
        <w:t>（</w:t>
      </w:r>
      <w:r>
        <w:rPr>
          <w:rFonts w:hint="eastAsia" w:ascii="Times New Roman"/>
          <w:bCs/>
          <w:color w:val="000000"/>
          <w:sz w:val="32"/>
          <w:szCs w:val="32"/>
          <w:lang w:val="en-US" w:eastAsia="zh-CN"/>
        </w:rPr>
        <w:t>18</w:t>
      </w:r>
      <w:r>
        <w:rPr>
          <w:rFonts w:hint="eastAsia" w:ascii="Times New Roman"/>
          <w:bCs/>
          <w:color w:val="000000"/>
          <w:sz w:val="32"/>
          <w:szCs w:val="32"/>
        </w:rPr>
        <w:t>）</w:t>
      </w:r>
      <w:r>
        <w:rPr>
          <w:rFonts w:hint="eastAsia" w:ascii="Times New Roman"/>
          <w:bCs/>
          <w:color w:val="000000"/>
          <w:sz w:val="32"/>
          <w:szCs w:val="32"/>
          <w:lang w:eastAsia="zh-CN"/>
        </w:rPr>
        <w:t>负责攀枝花市政府网站集约化平台和政务新媒体运维建设和运维管理工作，为政务公开、信息发布、政策解读等相关工作提供支撑服务，参与全市政府网站和政务新媒体绩效评估工作。</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hint="eastAsia" w:ascii="Times New Roman"/>
          <w:bCs/>
          <w:color w:val="000000"/>
          <w:sz w:val="32"/>
          <w:szCs w:val="32"/>
          <w:lang w:eastAsia="zh-CN"/>
        </w:rPr>
      </w:pPr>
      <w:r>
        <w:rPr>
          <w:rFonts w:hint="eastAsia" w:ascii="Times New Roman"/>
          <w:bCs/>
          <w:color w:val="000000"/>
          <w:sz w:val="32"/>
          <w:szCs w:val="32"/>
        </w:rPr>
        <w:t>（</w:t>
      </w:r>
      <w:r>
        <w:rPr>
          <w:rFonts w:hint="eastAsia" w:ascii="Times New Roman"/>
          <w:bCs/>
          <w:color w:val="000000"/>
          <w:sz w:val="32"/>
          <w:szCs w:val="32"/>
          <w:lang w:val="en-US" w:eastAsia="zh-CN"/>
        </w:rPr>
        <w:t>19</w:t>
      </w:r>
      <w:r>
        <w:rPr>
          <w:rFonts w:hint="eastAsia" w:ascii="Times New Roman"/>
          <w:bCs/>
          <w:color w:val="000000"/>
          <w:sz w:val="32"/>
          <w:szCs w:val="32"/>
        </w:rPr>
        <w:t>）</w:t>
      </w:r>
      <w:r>
        <w:rPr>
          <w:rFonts w:hint="eastAsia" w:ascii="Times New Roman"/>
          <w:bCs/>
          <w:color w:val="000000"/>
          <w:sz w:val="32"/>
          <w:szCs w:val="32"/>
          <w:lang w:eastAsia="zh-CN"/>
        </w:rPr>
        <w:t>负责统筹协调全市政府信息化建设，按照“共用统建、集约发展”原则，推动全市政务信息系统集约化、标准化、规范化建设，为市政府统筹全市政府信息化建设提供建议，对市级预算安排的信息化建设备案提出共享开放建议意见。</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hint="eastAsia" w:ascii="Times New Roman"/>
          <w:bCs/>
          <w:color w:val="000000"/>
          <w:sz w:val="32"/>
          <w:szCs w:val="32"/>
          <w:lang w:eastAsia="zh-CN"/>
        </w:rPr>
      </w:pPr>
      <w:r>
        <w:rPr>
          <w:rFonts w:hint="eastAsia" w:ascii="Times New Roman"/>
          <w:bCs/>
          <w:color w:val="000000"/>
          <w:sz w:val="32"/>
          <w:szCs w:val="32"/>
        </w:rPr>
        <w:t>（</w:t>
      </w:r>
      <w:r>
        <w:rPr>
          <w:rFonts w:hint="eastAsia" w:ascii="Times New Roman"/>
          <w:bCs/>
          <w:color w:val="000000"/>
          <w:sz w:val="32"/>
          <w:szCs w:val="32"/>
          <w:lang w:val="en-US" w:eastAsia="zh-CN"/>
        </w:rPr>
        <w:t>20</w:t>
      </w:r>
      <w:r>
        <w:rPr>
          <w:rFonts w:hint="eastAsia" w:ascii="Times New Roman"/>
          <w:bCs/>
          <w:color w:val="000000"/>
          <w:sz w:val="32"/>
          <w:szCs w:val="32"/>
        </w:rPr>
        <w:t>）</w:t>
      </w:r>
      <w:r>
        <w:rPr>
          <w:rFonts w:hint="eastAsia" w:ascii="Times New Roman"/>
          <w:bCs/>
          <w:color w:val="000000"/>
          <w:sz w:val="32"/>
          <w:szCs w:val="32"/>
          <w:lang w:eastAsia="zh-CN"/>
        </w:rPr>
        <w:t>推进电子政务外网、政务应用系统及数据的安全体系建设和安全保障工作。</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hint="eastAsia" w:ascii="Times New Roman" w:eastAsia="仿宋_GB2312"/>
          <w:bCs/>
          <w:color w:val="000000"/>
          <w:sz w:val="32"/>
          <w:szCs w:val="32"/>
          <w:lang w:eastAsia="zh-CN"/>
        </w:rPr>
      </w:pPr>
      <w:r>
        <w:rPr>
          <w:rFonts w:hint="eastAsia" w:ascii="Times New Roman"/>
          <w:bCs/>
          <w:color w:val="000000"/>
          <w:sz w:val="32"/>
          <w:szCs w:val="32"/>
        </w:rPr>
        <w:t>（</w:t>
      </w:r>
      <w:r>
        <w:rPr>
          <w:rFonts w:hint="eastAsia" w:ascii="Times New Roman"/>
          <w:bCs/>
          <w:color w:val="000000"/>
          <w:sz w:val="32"/>
          <w:szCs w:val="32"/>
          <w:lang w:val="en-US" w:eastAsia="zh-CN"/>
        </w:rPr>
        <w:t>21</w:t>
      </w:r>
      <w:r>
        <w:rPr>
          <w:rFonts w:hint="eastAsia" w:ascii="Times New Roman"/>
          <w:bCs/>
          <w:color w:val="000000"/>
          <w:sz w:val="32"/>
          <w:szCs w:val="32"/>
        </w:rPr>
        <w:t>）承办市政府和市政府领导同志交办的其他事项</w:t>
      </w:r>
      <w:r>
        <w:rPr>
          <w:rFonts w:hint="eastAsia" w:ascii="Times New Roman"/>
          <w:bCs/>
          <w:color w:val="000000"/>
          <w:sz w:val="32"/>
          <w:szCs w:val="32"/>
          <w:lang w:eastAsia="zh-CN"/>
        </w:rPr>
        <w:t>。</w:t>
      </w:r>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hint="default" w:ascii="Times New Roman" w:hAnsi="Times New Roman" w:eastAsia="黑体" w:cs="Times New Roman"/>
          <w:b w:val="0"/>
          <w:color w:val="auto"/>
          <w:sz w:val="32"/>
          <w:szCs w:val="32"/>
          <w:highlight w:val="none"/>
          <w:lang w:eastAsia="zh-CN"/>
        </w:rPr>
      </w:pPr>
      <w:bookmarkStart w:id="42" w:name="_Toc1682881553_WPSOffice_Level2"/>
      <w:r>
        <w:rPr>
          <w:rFonts w:hint="default" w:ascii="Times New Roman" w:hAnsi="Times New Roman" w:eastAsia="黑体" w:cs="Times New Roman"/>
          <w:b w:val="0"/>
          <w:color w:val="auto"/>
          <w:sz w:val="32"/>
          <w:szCs w:val="32"/>
          <w:highlight w:val="none"/>
          <w:lang w:val="en-US" w:eastAsia="zh-CN"/>
        </w:rPr>
        <w:t>二、2021年重点</w:t>
      </w:r>
      <w:r>
        <w:rPr>
          <w:rFonts w:hint="default" w:ascii="Times New Roman" w:hAnsi="Times New Roman" w:eastAsia="黑体" w:cs="Times New Roman"/>
          <w:b w:val="0"/>
          <w:color w:val="auto"/>
          <w:sz w:val="32"/>
          <w:szCs w:val="32"/>
          <w:highlight w:val="none"/>
        </w:rPr>
        <w:t>工作</w:t>
      </w:r>
      <w:bookmarkEnd w:id="38"/>
      <w:bookmarkEnd w:id="39"/>
      <w:r>
        <w:rPr>
          <w:rFonts w:hint="default" w:ascii="Times New Roman" w:hAnsi="Times New Roman" w:eastAsia="黑体" w:cs="Times New Roman"/>
          <w:b w:val="0"/>
          <w:color w:val="auto"/>
          <w:sz w:val="32"/>
          <w:szCs w:val="32"/>
          <w:highlight w:val="none"/>
          <w:lang w:eastAsia="zh-CN"/>
        </w:rPr>
        <w:t>完成情况</w:t>
      </w:r>
      <w:bookmarkEnd w:id="42"/>
    </w:p>
    <w:p>
      <w:pPr>
        <w:pStyle w:val="2"/>
        <w:pageBreakBefore w:val="0"/>
        <w:widowControl w:val="0"/>
        <w:kinsoku/>
        <w:wordWrap/>
        <w:overflowPunct/>
        <w:topLinePunct w:val="0"/>
        <w:autoSpaceDE/>
        <w:autoSpaceDN/>
        <w:bidi w:val="0"/>
        <w:adjustRightInd w:val="0"/>
        <w:snapToGrid w:val="0"/>
        <w:spacing w:beforeLines="0" w:line="339" w:lineRule="auto"/>
        <w:ind w:firstLine="640" w:firstLineChars="200"/>
        <w:textAlignment w:val="auto"/>
        <w:outlineLvl w:val="2"/>
        <w:rPr>
          <w:rFonts w:ascii="Times New Roman" w:hAnsi="Times New Roman" w:eastAsia="仿宋_GB2312" w:cs="Times New Roman"/>
          <w:sz w:val="32"/>
          <w:szCs w:val="32"/>
          <w:lang w:val="en-US" w:eastAsia="zh-CN"/>
        </w:rPr>
      </w:pPr>
      <w:r>
        <w:rPr>
          <w:rFonts w:ascii="Times New Roman" w:hAnsi="Times New Roman" w:eastAsia="仿宋_GB2312" w:cs="Times New Roman"/>
          <w:sz w:val="32"/>
          <w:szCs w:val="32"/>
          <w:lang w:val="en-US" w:eastAsia="zh-CN"/>
        </w:rPr>
        <w:t>2021年，在市委、市政府的坚强领导下，市政府办公室解放思想、真抓实干，充分发挥综合协调、参谋助手、服务保障等职能作用，确保各项工作有序运转。</w:t>
      </w:r>
    </w:p>
    <w:p>
      <w:pPr>
        <w:keepNext w:val="0"/>
        <w:keepLines w:val="0"/>
        <w:pageBreakBefore w:val="0"/>
        <w:widowControl w:val="0"/>
        <w:kinsoku/>
        <w:wordWrap/>
        <w:overflowPunct/>
        <w:topLinePunct w:val="0"/>
        <w:autoSpaceDE/>
        <w:autoSpaceDN/>
        <w:bidi w:val="0"/>
        <w:adjustRightInd w:val="0"/>
        <w:snapToGrid w:val="0"/>
        <w:spacing w:line="339" w:lineRule="auto"/>
        <w:ind w:left="0" w:right="0" w:firstLine="640" w:firstLineChars="200"/>
        <w:jc w:val="both"/>
        <w:textAlignment w:val="auto"/>
        <w:outlineLvl w:val="9"/>
        <w:rPr>
          <w:rFonts w:ascii="Times New Roman" w:hAnsi="Times New Roman" w:eastAsia="仿宋_GB2312" w:cs="Times New Roman"/>
          <w:b w:val="0"/>
          <w:bCs w:val="0"/>
          <w:color w:val="000000"/>
          <w:sz w:val="32"/>
          <w:szCs w:val="32"/>
          <w:lang w:val="en-US" w:eastAsia="zh-CN"/>
        </w:rPr>
      </w:pPr>
      <w:r>
        <w:rPr>
          <w:rFonts w:hint="eastAsia" w:ascii="楷体_GB2312" w:eastAsia="楷体_GB2312" w:cs="楷体_GB2312"/>
          <w:b w:val="0"/>
          <w:bCs w:val="0"/>
          <w:sz w:val="32"/>
          <w:szCs w:val="32"/>
          <w:lang w:val="en-US" w:eastAsia="zh-CN"/>
        </w:rPr>
        <w:t>（一）恪尽职守，助力政务工作高效运转。</w:t>
      </w:r>
      <w:r>
        <w:rPr>
          <w:rFonts w:ascii="Times New Roman" w:hAnsi="Times New Roman" w:eastAsia="仿宋_GB2312" w:cs="Times New Roman"/>
          <w:sz w:val="32"/>
          <w:szCs w:val="32"/>
          <w:lang w:val="en-US" w:eastAsia="zh-CN"/>
        </w:rPr>
        <w:t>一是提高办文办会质量。修订完善《攀枝花市人民政府办公室公文运转规</w:t>
      </w:r>
      <w:r>
        <w:rPr>
          <w:rFonts w:ascii="Times New Roman" w:hAnsi="Times New Roman" w:eastAsia="仿宋_GB2312" w:cs="Times New Roman"/>
          <w:sz w:val="32"/>
          <w:szCs w:val="32"/>
          <w:highlight w:val="none"/>
          <w:lang w:val="en-US" w:eastAsia="zh-CN"/>
        </w:rPr>
        <w:t>则》等12项公文处理制度，</w:t>
      </w:r>
      <w:r>
        <w:rPr>
          <w:rFonts w:hint="eastAsia" w:ascii="Times New Roman" w:hAnsi="Times New Roman" w:eastAsia="仿宋_GB2312" w:cs="Times New Roman"/>
          <w:sz w:val="32"/>
          <w:szCs w:val="32"/>
          <w:highlight w:val="none"/>
          <w:lang w:val="en-US" w:eastAsia="zh-CN"/>
        </w:rPr>
        <w:t>进一步提升</w:t>
      </w:r>
      <w:r>
        <w:rPr>
          <w:rFonts w:ascii="Times New Roman" w:hAnsi="Times New Roman" w:eastAsia="仿宋_GB2312" w:cs="Times New Roman"/>
          <w:sz w:val="32"/>
          <w:szCs w:val="32"/>
          <w:highlight w:val="none"/>
          <w:lang w:val="en-US" w:eastAsia="zh-CN"/>
        </w:rPr>
        <w:t>公文运转</w:t>
      </w:r>
      <w:r>
        <w:rPr>
          <w:rFonts w:hint="eastAsia" w:ascii="Times New Roman" w:hAnsi="Times New Roman" w:eastAsia="仿宋_GB2312" w:cs="Times New Roman"/>
          <w:sz w:val="32"/>
          <w:szCs w:val="32"/>
          <w:highlight w:val="none"/>
          <w:lang w:val="en-US" w:eastAsia="zh-CN"/>
        </w:rPr>
        <w:t>规范化水平</w:t>
      </w:r>
      <w:r>
        <w:rPr>
          <w:rFonts w:ascii="Times New Roman" w:hAnsi="Times New Roman" w:eastAsia="仿宋_GB2312" w:cs="Times New Roman"/>
          <w:sz w:val="32"/>
          <w:szCs w:val="32"/>
          <w:highlight w:val="none"/>
          <w:lang w:val="en-US" w:eastAsia="zh-CN"/>
        </w:rPr>
        <w:t>；严格办理收发文，办理收文2.</w:t>
      </w:r>
      <w:bookmarkStart w:id="43" w:name="hmjd_error_1_0_2余_黑马提示有错_3681"/>
      <w:r>
        <w:rPr>
          <w:rFonts w:ascii="Times New Roman" w:hAnsi="Times New Roman" w:eastAsia="仿宋_GB2312" w:cs="Times New Roman"/>
          <w:sz w:val="32"/>
          <w:szCs w:val="32"/>
          <w:highlight w:val="none"/>
          <w:lang w:val="en-US" w:eastAsia="zh-CN"/>
        </w:rPr>
        <w:t>2余</w:t>
      </w:r>
      <w:bookmarkEnd w:id="43"/>
      <w:r>
        <w:rPr>
          <w:rFonts w:ascii="Times New Roman" w:hAnsi="Times New Roman" w:eastAsia="仿宋_GB2312" w:cs="Times New Roman"/>
          <w:sz w:val="32"/>
          <w:szCs w:val="32"/>
          <w:highlight w:val="none"/>
          <w:lang w:val="en-US" w:eastAsia="zh-CN"/>
        </w:rPr>
        <w:t>万件，发文120余件，退修</w:t>
      </w:r>
      <w:bookmarkStart w:id="44" w:name="hmjd_error_2_0_退改_黑马提示无建议_3696"/>
      <w:r>
        <w:rPr>
          <w:rFonts w:ascii="Times New Roman" w:hAnsi="Times New Roman" w:eastAsia="仿宋_GB2312" w:cs="Times New Roman"/>
          <w:sz w:val="32"/>
          <w:szCs w:val="32"/>
          <w:highlight w:val="none"/>
          <w:lang w:val="en-US" w:eastAsia="zh-CN"/>
        </w:rPr>
        <w:t>退改</w:t>
      </w:r>
      <w:bookmarkEnd w:id="44"/>
      <w:r>
        <w:rPr>
          <w:rFonts w:ascii="Times New Roman" w:hAnsi="Times New Roman" w:eastAsia="仿宋_GB2312" w:cs="Times New Roman"/>
          <w:sz w:val="32"/>
          <w:szCs w:val="32"/>
          <w:highlight w:val="none"/>
          <w:lang w:val="en-US" w:eastAsia="zh-CN"/>
        </w:rPr>
        <w:t>公文361件，开展公文质量“红黄牌”预警处置情况通报1次。扎实做好会议筹办和协</w:t>
      </w:r>
      <w:r>
        <w:rPr>
          <w:rFonts w:ascii="Times New Roman" w:hAnsi="Times New Roman" w:eastAsia="仿宋_GB2312" w:cs="Times New Roman"/>
          <w:sz w:val="32"/>
          <w:szCs w:val="32"/>
          <w:lang w:val="en-US" w:eastAsia="zh-CN"/>
        </w:rPr>
        <w:t>调工作，全年承办、协办各类会议1300余次。</w:t>
      </w:r>
      <w:r>
        <w:rPr>
          <w:rFonts w:ascii="Times New Roman" w:hAnsi="Times New Roman" w:eastAsia="仿宋_GB2312" w:cs="Times New Roman"/>
          <w:b/>
          <w:bCs/>
          <w:sz w:val="32"/>
          <w:szCs w:val="32"/>
          <w:lang w:val="en-US" w:eastAsia="zh-CN"/>
        </w:rPr>
        <w:t>二是</w:t>
      </w:r>
      <w:r>
        <w:rPr>
          <w:rFonts w:ascii="Times New Roman" w:hAnsi="Times New Roman" w:eastAsia="仿宋_GB2312" w:cs="Times New Roman"/>
          <w:sz w:val="32"/>
          <w:szCs w:val="32"/>
          <w:lang w:val="en-US" w:eastAsia="zh-CN"/>
        </w:rPr>
        <w:t>强化应急值班处置。确保应急信息上传下达及时通畅，累计向省政府总值班室报送突发事件信息3次，传达省市领导指示批示56次；做好重要节假日和国、省、市“两会”等重大敏感时段及疫情防控值班值守，同时加大值班值守检查力度，暗访抽查74次，电话抽查456人次，协助市领导视频调度检查1次。</w:t>
      </w:r>
      <w:r>
        <w:rPr>
          <w:rFonts w:ascii="Times New Roman" w:hAnsi="Times New Roman" w:eastAsia="仿宋_GB2312" w:cs="Times New Roman"/>
          <w:b/>
          <w:bCs/>
          <w:sz w:val="32"/>
          <w:szCs w:val="32"/>
          <w:lang w:val="en-US" w:eastAsia="zh-CN"/>
        </w:rPr>
        <w:t>三是</w:t>
      </w:r>
      <w:r>
        <w:rPr>
          <w:rFonts w:ascii="Times New Roman" w:hAnsi="Times New Roman" w:eastAsia="仿宋_GB2312" w:cs="Times New Roman"/>
          <w:sz w:val="32"/>
          <w:szCs w:val="32"/>
          <w:lang w:val="en-US" w:eastAsia="zh-CN"/>
        </w:rPr>
        <w:t>加大政务公开力度。累计公开政府信息</w:t>
      </w:r>
      <w:r>
        <w:rPr>
          <w:rFonts w:hint="eastAsia" w:ascii="Times New Roman" w:hAnsi="Times New Roman" w:eastAsia="仿宋_GB2312" w:cs="Times New Roman"/>
          <w:sz w:val="32"/>
          <w:szCs w:val="32"/>
          <w:lang w:val="en-US" w:eastAsia="zh-CN"/>
        </w:rPr>
        <w:t>2.4万</w:t>
      </w:r>
      <w:r>
        <w:rPr>
          <w:rFonts w:ascii="Times New Roman" w:hAnsi="Times New Roman" w:eastAsia="仿宋_GB2312" w:cs="Times New Roman"/>
          <w:sz w:val="32"/>
          <w:szCs w:val="32"/>
          <w:lang w:val="en-US" w:eastAsia="zh-CN"/>
        </w:rPr>
        <w:t>余条，向省政府网站报送信息2180条，被采用206条，发布各类解读信息710余条，制作完成1期大型访谈、7期微访谈节目，邀请市领导参加省政府网在线访谈节目1期，严格按照法律规定办理依申请公开事项6件，办结率达100%</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lang w:val="en-US" w:eastAsia="zh-CN"/>
        </w:rPr>
        <w:t>强化政务公开平台监管，整改错字、断链、断更、空白等问题9400余条，在全国政务新媒体报送系统报送52个申请注销账号、补报16个漏报账号，整改不规范网站栏目257个。</w:t>
      </w:r>
    </w:p>
    <w:p>
      <w:pPr>
        <w:keepNext w:val="0"/>
        <w:keepLines w:val="0"/>
        <w:pageBreakBefore w:val="0"/>
        <w:widowControl w:val="0"/>
        <w:kinsoku/>
        <w:wordWrap/>
        <w:overflowPunct/>
        <w:topLinePunct w:val="0"/>
        <w:autoSpaceDE/>
        <w:autoSpaceDN/>
        <w:bidi w:val="0"/>
        <w:adjustRightInd w:val="0"/>
        <w:snapToGrid w:val="0"/>
        <w:spacing w:line="339" w:lineRule="auto"/>
        <w:ind w:left="0" w:right="0" w:firstLine="640" w:firstLineChars="200"/>
        <w:jc w:val="both"/>
        <w:textAlignment w:val="auto"/>
        <w:outlineLvl w:val="9"/>
        <w:rPr>
          <w:rFonts w:ascii="Times New Roman" w:hAnsi="Times New Roman" w:eastAsia="仿宋_GB2312" w:cs="Times New Roman"/>
          <w:b w:val="0"/>
          <w:bCs w:val="0"/>
          <w:color w:val="000000"/>
          <w:sz w:val="32"/>
          <w:szCs w:val="32"/>
          <w:lang w:val="en-US" w:eastAsia="zh-CN"/>
        </w:rPr>
      </w:pPr>
      <w:r>
        <w:rPr>
          <w:rFonts w:hint="eastAsia" w:ascii="楷体_GB2312" w:hAnsi="楷体_GB2312" w:eastAsia="楷体_GB2312" w:cs="楷体_GB2312"/>
          <w:b w:val="0"/>
          <w:bCs w:val="0"/>
          <w:sz w:val="32"/>
          <w:szCs w:val="32"/>
          <w:lang w:val="en-US" w:eastAsia="zh-CN"/>
        </w:rPr>
        <w:t>（二）主动作为，充分发挥参谋助手作用</w:t>
      </w:r>
      <w:r>
        <w:rPr>
          <w:rFonts w:hint="eastAsia" w:ascii="楷体_GB2312" w:hAnsi="楷体_GB2312" w:eastAsia="楷体_GB2312" w:cs="楷体_GB2312"/>
          <w:b/>
          <w:bCs/>
          <w:sz w:val="32"/>
          <w:szCs w:val="32"/>
          <w:lang w:val="en-US" w:eastAsia="zh-CN"/>
        </w:rPr>
        <w:t>。</w:t>
      </w:r>
      <w:r>
        <w:rPr>
          <w:rFonts w:ascii="Times New Roman" w:hAnsi="Times New Roman" w:eastAsia="仿宋_GB2312" w:cs="Times New Roman"/>
          <w:b/>
          <w:bCs/>
          <w:color w:val="000000"/>
          <w:sz w:val="32"/>
          <w:szCs w:val="32"/>
          <w:lang w:val="en-US" w:eastAsia="zh-CN"/>
        </w:rPr>
        <w:t>一是</w:t>
      </w:r>
      <w:r>
        <w:rPr>
          <w:rFonts w:ascii="Times New Roman" w:hAnsi="Times New Roman" w:eastAsia="仿宋_GB2312" w:cs="Times New Roman"/>
          <w:b w:val="0"/>
          <w:bCs w:val="0"/>
          <w:color w:val="000000"/>
          <w:sz w:val="32"/>
          <w:szCs w:val="32"/>
          <w:lang w:val="en-US" w:eastAsia="zh-CN"/>
        </w:rPr>
        <w:t>做深调查研究。完成《以人为中心推进川西南滇西北现代化区域中心城市建设》《关于攀枝花市政府系统综合文稿工作队伍相关情况的调研报告》《他们如何崛起，我们怎么做大？</w:t>
      </w:r>
      <w:r>
        <w:rPr>
          <w:rFonts w:hint="eastAsia" w:eastAsia="仿宋_GB2312" w:cs="Times New Roman"/>
          <w:b w:val="0"/>
          <w:bCs w:val="0"/>
          <w:color w:val="000000"/>
          <w:sz w:val="32"/>
          <w:szCs w:val="32"/>
          <w:lang w:val="en-US" w:eastAsia="zh-CN"/>
        </w:rPr>
        <w:t>—</w:t>
      </w:r>
      <w:r>
        <w:rPr>
          <w:rFonts w:ascii="Times New Roman" w:hAnsi="Times New Roman" w:eastAsia="仿宋_GB2312" w:cs="Times New Roman"/>
          <w:b w:val="0"/>
          <w:bCs w:val="0"/>
          <w:color w:val="000000"/>
          <w:sz w:val="32"/>
          <w:szCs w:val="32"/>
          <w:lang w:val="en-US" w:eastAsia="zh-CN"/>
        </w:rPr>
        <w:t>对沙县小吃、“三通一达”快递和新化文印产业发展路径的研究与思考》等调研课题，并转化为服务发展的工作举措，按期完</w:t>
      </w:r>
      <w:r>
        <w:rPr>
          <w:rFonts w:ascii="Times New Roman" w:hAnsi="Times New Roman" w:eastAsia="仿宋_GB2312" w:cs="Times New Roman"/>
          <w:b w:val="0"/>
          <w:bCs w:val="0"/>
          <w:color w:val="000000"/>
          <w:sz w:val="32"/>
          <w:szCs w:val="32"/>
          <w:highlight w:val="none"/>
          <w:lang w:val="en-US" w:eastAsia="zh-CN"/>
        </w:rPr>
        <w:t>成2020年度优秀成果评选并汇编成册，以及各类文稿500余篇，工作成果获得市政府主要领导肯定，为</w:t>
      </w:r>
      <w:bookmarkStart w:id="45" w:name="hmjd_error_1_0_市委市政府_市委、市政府_4319"/>
      <w:r>
        <w:rPr>
          <w:rFonts w:ascii="Times New Roman" w:hAnsi="Times New Roman" w:eastAsia="仿宋_GB2312" w:cs="Times New Roman"/>
          <w:b w:val="0"/>
          <w:bCs w:val="0"/>
          <w:color w:val="000000"/>
          <w:sz w:val="32"/>
          <w:szCs w:val="32"/>
          <w:highlight w:val="none"/>
          <w:lang w:val="en-US" w:eastAsia="zh-CN"/>
        </w:rPr>
        <w:t>市委</w:t>
      </w:r>
      <w:r>
        <w:rPr>
          <w:rFonts w:hint="eastAsia" w:eastAsia="仿宋_GB2312" w:cs="Times New Roman"/>
          <w:b w:val="0"/>
          <w:bCs w:val="0"/>
          <w:color w:val="000000"/>
          <w:sz w:val="32"/>
          <w:szCs w:val="32"/>
          <w:highlight w:val="none"/>
          <w:lang w:val="en-US" w:eastAsia="zh-CN"/>
        </w:rPr>
        <w:t>、</w:t>
      </w:r>
      <w:r>
        <w:rPr>
          <w:rFonts w:ascii="Times New Roman" w:hAnsi="Times New Roman" w:eastAsia="仿宋_GB2312" w:cs="Times New Roman"/>
          <w:b w:val="0"/>
          <w:bCs w:val="0"/>
          <w:color w:val="000000"/>
          <w:sz w:val="32"/>
          <w:szCs w:val="32"/>
          <w:highlight w:val="none"/>
          <w:lang w:val="en-US" w:eastAsia="zh-CN"/>
        </w:rPr>
        <w:t>市政府</w:t>
      </w:r>
      <w:bookmarkEnd w:id="45"/>
      <w:r>
        <w:rPr>
          <w:rFonts w:ascii="Times New Roman" w:hAnsi="Times New Roman" w:eastAsia="仿宋_GB2312" w:cs="Times New Roman"/>
          <w:b w:val="0"/>
          <w:bCs w:val="0"/>
          <w:color w:val="000000"/>
          <w:sz w:val="32"/>
          <w:szCs w:val="32"/>
          <w:highlight w:val="none"/>
          <w:lang w:val="en-US" w:eastAsia="zh-CN"/>
        </w:rPr>
        <w:t>决策提供了重要参考。</w:t>
      </w:r>
      <w:r>
        <w:rPr>
          <w:rFonts w:ascii="Times New Roman" w:hAnsi="Times New Roman" w:eastAsia="仿宋_GB2312" w:cs="Times New Roman"/>
          <w:b/>
          <w:bCs/>
          <w:color w:val="000000"/>
          <w:sz w:val="32"/>
          <w:szCs w:val="32"/>
          <w:highlight w:val="none"/>
          <w:lang w:val="en-US" w:eastAsia="zh-CN"/>
        </w:rPr>
        <w:t>二是</w:t>
      </w:r>
      <w:r>
        <w:rPr>
          <w:rFonts w:ascii="Times New Roman" w:hAnsi="Times New Roman" w:eastAsia="仿宋_GB2312" w:cs="Times New Roman"/>
          <w:b w:val="0"/>
          <w:bCs w:val="0"/>
          <w:color w:val="000000"/>
          <w:sz w:val="32"/>
          <w:szCs w:val="32"/>
          <w:highlight w:val="none"/>
          <w:lang w:val="en-US" w:eastAsia="zh-CN"/>
        </w:rPr>
        <w:t>做实信息编报。</w:t>
      </w:r>
      <w:r>
        <w:rPr>
          <w:rFonts w:hint="eastAsia" w:ascii="Times New Roman" w:hAnsi="Times New Roman" w:eastAsia="仿宋_GB2312" w:cs="Times New Roman"/>
          <w:b w:val="0"/>
          <w:bCs w:val="0"/>
          <w:color w:val="000000"/>
          <w:sz w:val="32"/>
          <w:szCs w:val="32"/>
          <w:highlight w:val="none"/>
          <w:lang w:val="en-US" w:eastAsia="zh-CN"/>
        </w:rPr>
        <w:t>将原《工作动态》整合纳入《每日</w:t>
      </w:r>
      <w:bookmarkStart w:id="46" w:name="hmjd_error_2_0_政_黑马提示无建议_4358"/>
      <w:r>
        <w:rPr>
          <w:rFonts w:hint="eastAsia" w:ascii="Times New Roman" w:hAnsi="Times New Roman" w:eastAsia="仿宋_GB2312" w:cs="Times New Roman"/>
          <w:b w:val="0"/>
          <w:bCs w:val="0"/>
          <w:color w:val="000000"/>
          <w:sz w:val="32"/>
          <w:szCs w:val="32"/>
          <w:highlight w:val="none"/>
          <w:lang w:val="en-US" w:eastAsia="zh-CN"/>
        </w:rPr>
        <w:t>政</w:t>
      </w:r>
      <w:bookmarkEnd w:id="46"/>
      <w:r>
        <w:rPr>
          <w:rFonts w:hint="eastAsia" w:ascii="Times New Roman" w:hAnsi="Times New Roman" w:eastAsia="仿宋_GB2312" w:cs="Times New Roman"/>
          <w:b w:val="0"/>
          <w:bCs w:val="0"/>
          <w:color w:val="000000"/>
          <w:sz w:val="32"/>
          <w:szCs w:val="32"/>
          <w:highlight w:val="none"/>
          <w:lang w:val="en-US" w:eastAsia="zh-CN"/>
        </w:rPr>
        <w:t>情》中，新增“内圈动态、中圈资讯、外圈广角”内容，</w:t>
      </w:r>
      <w:r>
        <w:rPr>
          <w:rFonts w:ascii="Times New Roman" w:hAnsi="Times New Roman" w:eastAsia="仿宋_GB2312" w:cs="Times New Roman"/>
          <w:b w:val="0"/>
          <w:bCs w:val="0"/>
          <w:color w:val="000000"/>
          <w:sz w:val="32"/>
          <w:szCs w:val="32"/>
          <w:highlight w:val="none"/>
          <w:lang w:val="en-US" w:eastAsia="zh-CN"/>
        </w:rPr>
        <w:t>编发《每日</w:t>
      </w:r>
      <w:bookmarkStart w:id="47" w:name="hmjd_error_2_0_政_黑马提示无建议_4389"/>
      <w:r>
        <w:rPr>
          <w:rFonts w:ascii="Times New Roman" w:hAnsi="Times New Roman" w:eastAsia="仿宋_GB2312" w:cs="Times New Roman"/>
          <w:b w:val="0"/>
          <w:bCs w:val="0"/>
          <w:color w:val="000000"/>
          <w:sz w:val="32"/>
          <w:szCs w:val="32"/>
          <w:highlight w:val="none"/>
          <w:lang w:val="en-US" w:eastAsia="zh-CN"/>
        </w:rPr>
        <w:t>政</w:t>
      </w:r>
      <w:bookmarkEnd w:id="47"/>
      <w:r>
        <w:rPr>
          <w:rFonts w:ascii="Times New Roman" w:hAnsi="Times New Roman" w:eastAsia="仿宋_GB2312" w:cs="Times New Roman"/>
          <w:b w:val="0"/>
          <w:bCs w:val="0"/>
          <w:color w:val="000000"/>
          <w:sz w:val="32"/>
          <w:szCs w:val="32"/>
          <w:highlight w:val="none"/>
          <w:lang w:val="en-US" w:eastAsia="zh-CN"/>
        </w:rPr>
        <w:t>情》</w:t>
      </w:r>
      <w:r>
        <w:rPr>
          <w:rFonts w:hint="eastAsia" w:ascii="Times New Roman" w:hAnsi="Times New Roman" w:eastAsia="仿宋_GB2312" w:cs="Times New Roman"/>
          <w:b w:val="0"/>
          <w:bCs w:val="0"/>
          <w:color w:val="000000"/>
          <w:sz w:val="32"/>
          <w:szCs w:val="32"/>
          <w:highlight w:val="none"/>
          <w:lang w:val="en-US" w:eastAsia="zh-CN"/>
        </w:rPr>
        <w:t>新刊</w:t>
      </w:r>
      <w:r>
        <w:rPr>
          <w:rFonts w:ascii="Times New Roman" w:hAnsi="Times New Roman" w:eastAsia="仿宋_GB2312" w:cs="Times New Roman"/>
          <w:b w:val="0"/>
          <w:bCs w:val="0"/>
          <w:color w:val="000000"/>
          <w:sz w:val="32"/>
          <w:szCs w:val="32"/>
          <w:highlight w:val="none"/>
          <w:lang w:val="en-US" w:eastAsia="zh-CN"/>
        </w:rPr>
        <w:t>222期</w:t>
      </w:r>
      <w:r>
        <w:rPr>
          <w:rFonts w:hint="eastAsia" w:ascii="Times New Roman" w:hAnsi="Times New Roman" w:eastAsia="仿宋_GB2312" w:cs="Times New Roman"/>
          <w:b w:val="0"/>
          <w:bCs w:val="0"/>
          <w:color w:val="000000"/>
          <w:sz w:val="32"/>
          <w:szCs w:val="32"/>
          <w:highlight w:val="none"/>
          <w:lang w:val="en-US" w:eastAsia="zh-CN"/>
        </w:rPr>
        <w:t>，</w:t>
      </w:r>
      <w:r>
        <w:rPr>
          <w:rFonts w:ascii="Times New Roman" w:hAnsi="Times New Roman" w:eastAsia="仿宋_GB2312" w:cs="Times New Roman"/>
          <w:b w:val="0"/>
          <w:bCs w:val="0"/>
          <w:color w:val="000000"/>
          <w:sz w:val="32"/>
          <w:szCs w:val="32"/>
          <w:highlight w:val="none"/>
          <w:lang w:val="en-US" w:eastAsia="zh-CN"/>
        </w:rPr>
        <w:t>《驻外机构信息</w:t>
      </w:r>
      <w:bookmarkStart w:id="48" w:name="hmjd_error_2_0_汇_黑马提示无建议_4406"/>
      <w:r>
        <w:rPr>
          <w:rFonts w:ascii="Times New Roman" w:hAnsi="Times New Roman" w:eastAsia="仿宋_GB2312" w:cs="Times New Roman"/>
          <w:b w:val="0"/>
          <w:bCs w:val="0"/>
          <w:color w:val="000000"/>
          <w:sz w:val="32"/>
          <w:szCs w:val="32"/>
          <w:highlight w:val="none"/>
          <w:lang w:val="en-US" w:eastAsia="zh-CN"/>
        </w:rPr>
        <w:t>汇</w:t>
      </w:r>
      <w:bookmarkEnd w:id="48"/>
      <w:r>
        <w:rPr>
          <w:rFonts w:ascii="Times New Roman" w:hAnsi="Times New Roman" w:eastAsia="仿宋_GB2312" w:cs="Times New Roman"/>
          <w:b w:val="0"/>
          <w:bCs w:val="0"/>
          <w:color w:val="000000"/>
          <w:sz w:val="32"/>
          <w:szCs w:val="32"/>
          <w:highlight w:val="none"/>
          <w:lang w:val="en-US" w:eastAsia="zh-CN"/>
        </w:rPr>
        <w:t>览》43期、省政府办公厅放管服专题信息55条、依法治市信息66条、市委办涉密内网信</w:t>
      </w:r>
      <w:r>
        <w:rPr>
          <w:rFonts w:ascii="Times New Roman" w:hAnsi="Times New Roman" w:eastAsia="仿宋_GB2312" w:cs="Times New Roman"/>
          <w:b w:val="0"/>
          <w:bCs w:val="0"/>
          <w:color w:val="000000"/>
          <w:sz w:val="32"/>
          <w:szCs w:val="32"/>
          <w:lang w:val="en-US" w:eastAsia="zh-CN"/>
        </w:rPr>
        <w:t>息224条、市政府工作大事记11期，向省政府办公厅编报信息700条（篇）。截至10月底，编报信息共被省政府及国务院办公厅采用210篇次，获国务院及省领导批示21次。</w:t>
      </w:r>
      <w:r>
        <w:rPr>
          <w:rFonts w:ascii="Times New Roman" w:hAnsi="Times New Roman" w:eastAsia="仿宋_GB2312" w:cs="Times New Roman"/>
          <w:b/>
          <w:bCs/>
          <w:color w:val="000000"/>
          <w:sz w:val="32"/>
          <w:szCs w:val="32"/>
          <w:lang w:val="en-US" w:eastAsia="zh-CN"/>
        </w:rPr>
        <w:t>三是</w:t>
      </w:r>
      <w:r>
        <w:rPr>
          <w:rFonts w:ascii="Times New Roman" w:hAnsi="Times New Roman" w:eastAsia="仿宋_GB2312" w:cs="Times New Roman"/>
          <w:b w:val="0"/>
          <w:bCs w:val="0"/>
          <w:color w:val="000000"/>
          <w:sz w:val="32"/>
          <w:szCs w:val="32"/>
          <w:lang w:val="en-US" w:eastAsia="zh-CN"/>
        </w:rPr>
        <w:t>做细督办落实。坚持每周督查通报、每月汇总督办制度。完善《攀枝花市人民政府办公室政务督查工作规则》，强化对领导批示件，疫情防控、森林草原防灭火、汛期防汛、安全生产等重点工作的督促督办，全年累计督查督办市领导批示指示500余件，形成一周督查动态44期、督查专报11期，专项督查报告10余篇，确保领导批示事项件件有回音、事事有落实。</w:t>
      </w:r>
    </w:p>
    <w:p>
      <w:pPr>
        <w:keepNext w:val="0"/>
        <w:keepLines w:val="0"/>
        <w:pageBreakBefore w:val="0"/>
        <w:widowControl w:val="0"/>
        <w:kinsoku/>
        <w:wordWrap/>
        <w:overflowPunct/>
        <w:topLinePunct w:val="0"/>
        <w:autoSpaceDE/>
        <w:autoSpaceDN/>
        <w:bidi w:val="0"/>
        <w:adjustRightInd w:val="0"/>
        <w:snapToGrid w:val="0"/>
        <w:spacing w:line="339" w:lineRule="auto"/>
        <w:ind w:left="0" w:right="0" w:firstLine="640" w:firstLineChars="200"/>
        <w:jc w:val="both"/>
        <w:textAlignment w:val="auto"/>
        <w:outlineLvl w:val="9"/>
        <w:rPr>
          <w:rFonts w:ascii="Times New Roman" w:hAnsi="Times New Roman" w:eastAsia="仿宋_GB2312" w:cs="Times New Roman"/>
          <w:sz w:val="32"/>
          <w:szCs w:val="32"/>
          <w:highlight w:val="none"/>
          <w:lang w:eastAsia="zh-CN"/>
        </w:rPr>
      </w:pPr>
      <w:r>
        <w:rPr>
          <w:rFonts w:hint="eastAsia" w:ascii="楷体_GB2312" w:eastAsia="楷体_GB2312" w:cs="楷体_GB2312"/>
          <w:b w:val="0"/>
          <w:bCs w:val="0"/>
          <w:sz w:val="32"/>
          <w:szCs w:val="32"/>
          <w:lang w:val="en-US" w:eastAsia="zh-CN"/>
        </w:rPr>
        <w:t>（三）有的放矢，统筹推进全市大局工作。</w:t>
      </w:r>
      <w:r>
        <w:rPr>
          <w:rFonts w:ascii="Times New Roman" w:hAnsi="Times New Roman" w:eastAsia="仿宋_GB2312" w:cs="Times New Roman"/>
          <w:b/>
          <w:bCs/>
          <w:sz w:val="32"/>
          <w:szCs w:val="32"/>
          <w:lang w:val="en-US" w:eastAsia="zh-CN"/>
        </w:rPr>
        <w:t>一是</w:t>
      </w:r>
      <w:r>
        <w:rPr>
          <w:rFonts w:ascii="Times New Roman" w:hAnsi="Times New Roman" w:eastAsia="仿宋_GB2312" w:cs="Times New Roman"/>
          <w:bCs/>
          <w:sz w:val="32"/>
          <w:szCs w:val="32"/>
        </w:rPr>
        <w:t>认真尽责发挥</w:t>
      </w:r>
      <w:r>
        <w:rPr>
          <w:rFonts w:ascii="Times New Roman" w:hAnsi="Times New Roman" w:eastAsia="仿宋_GB2312" w:cs="Times New Roman"/>
          <w:sz w:val="32"/>
          <w:szCs w:val="32"/>
        </w:rPr>
        <w:t>疫情防控“综合枢纽”作用。坚持每日调度和24小时值班值守，有序推动文件流转、协调联络</w:t>
      </w:r>
      <w:r>
        <w:rPr>
          <w:rFonts w:ascii="Times New Roman" w:hAnsi="Times New Roman" w:eastAsia="仿宋_GB2312" w:cs="Times New Roman"/>
          <w:color w:val="000000"/>
          <w:sz w:val="32"/>
          <w:szCs w:val="32"/>
        </w:rPr>
        <w:t>、督查</w:t>
      </w:r>
      <w:r>
        <w:rPr>
          <w:rFonts w:ascii="Times New Roman" w:hAnsi="Times New Roman" w:eastAsia="仿宋_GB2312" w:cs="Times New Roman"/>
          <w:color w:val="000000"/>
          <w:sz w:val="32"/>
          <w:szCs w:val="32"/>
          <w:lang w:val="en-US" w:eastAsia="zh-CN"/>
        </w:rPr>
        <w:t>整改等日常工作，做好重大节日疫情防控、严防境外疫</w:t>
      </w:r>
      <w:r>
        <w:rPr>
          <w:rFonts w:ascii="Times New Roman" w:hAnsi="Times New Roman" w:eastAsia="仿宋_GB2312" w:cs="Times New Roman"/>
          <w:sz w:val="32"/>
          <w:szCs w:val="32"/>
          <w:lang w:val="en-US" w:eastAsia="zh-CN"/>
        </w:rPr>
        <w:t>情输入、新冠肺炎疫苗接种、后勤物资储备等重点工作</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lang w:val="en-US" w:eastAsia="zh-CN"/>
        </w:rPr>
        <w:t>圆满完成额济纳旗旅游专列滞留人员转运管理，成功防控多轮国内本土疫情输入</w:t>
      </w:r>
      <w:r>
        <w:rPr>
          <w:rFonts w:hint="eastAsia" w:ascii="Times New Roman" w:hAnsi="Times New Roman" w:eastAsia="仿宋_GB2312" w:cs="Times New Roman"/>
          <w:sz w:val="32"/>
          <w:szCs w:val="32"/>
          <w:lang w:val="en-US" w:eastAsia="zh-CN"/>
        </w:rPr>
        <w:t>风险</w:t>
      </w:r>
      <w:r>
        <w:rPr>
          <w:rFonts w:ascii="Times New Roman" w:hAnsi="Times New Roman" w:eastAsia="仿宋_GB2312" w:cs="Times New Roman"/>
          <w:sz w:val="32"/>
          <w:szCs w:val="32"/>
          <w:lang w:val="en-US" w:eastAsia="zh-CN"/>
        </w:rPr>
        <w:t>，实现</w:t>
      </w:r>
      <w:r>
        <w:rPr>
          <w:rFonts w:hint="eastAsia" w:ascii="Times New Roman" w:hAnsi="Times New Roman" w:eastAsia="仿宋_GB2312" w:cs="Times New Roman"/>
          <w:sz w:val="32"/>
          <w:szCs w:val="32"/>
          <w:lang w:val="en-US" w:eastAsia="zh-CN"/>
        </w:rPr>
        <w:t>常态化防控“零”</w:t>
      </w:r>
      <w:r>
        <w:rPr>
          <w:rFonts w:ascii="Times New Roman" w:hAnsi="Times New Roman" w:eastAsia="仿宋_GB2312" w:cs="Times New Roman"/>
          <w:sz w:val="32"/>
          <w:szCs w:val="32"/>
          <w:lang w:val="en-US" w:eastAsia="zh-CN"/>
        </w:rPr>
        <w:t>病例</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lang w:val="en-US" w:eastAsia="zh-CN"/>
        </w:rPr>
        <w:t>截至目前，全市</w:t>
      </w:r>
      <w:r>
        <w:rPr>
          <w:rFonts w:ascii="Times New Roman" w:hAnsi="Times New Roman" w:eastAsia="仿宋_GB2312" w:cs="Times New Roman"/>
          <w:sz w:val="32"/>
          <w:szCs w:val="32"/>
        </w:rPr>
        <w:t>累计接种</w:t>
      </w:r>
      <w:r>
        <w:rPr>
          <w:rFonts w:ascii="Times New Roman" w:hAnsi="Times New Roman" w:eastAsia="仿宋_GB2312" w:cs="Times New Roman"/>
          <w:sz w:val="32"/>
          <w:szCs w:val="32"/>
          <w:lang w:eastAsia="zh-CN"/>
        </w:rPr>
        <w:t>新冠肺炎疫苗</w:t>
      </w:r>
      <w:r>
        <w:rPr>
          <w:rFonts w:ascii="Times New Roman" w:hAnsi="Times New Roman" w:eastAsia="仿宋_GB2312" w:cs="Times New Roman"/>
          <w:sz w:val="32"/>
          <w:szCs w:val="32"/>
        </w:rPr>
        <w:t>213万剂次</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3—11岁人群第一剂次接种完成率、重点人群新冠疫苗加强免疫接种率均居全省第一</w:t>
      </w:r>
      <w:r>
        <w:rPr>
          <w:rFonts w:ascii="Times New Roman" w:hAnsi="Times New Roman" w:eastAsia="仿宋_GB2312" w:cs="Times New Roman"/>
          <w:sz w:val="32"/>
          <w:szCs w:val="32"/>
          <w:lang w:eastAsia="zh-CN"/>
        </w:rPr>
        <w:t>。</w:t>
      </w:r>
      <w:r>
        <w:rPr>
          <w:rFonts w:ascii="Times New Roman" w:hAnsi="Times New Roman" w:eastAsia="仿宋_GB2312" w:cs="Times New Roman"/>
          <w:b/>
          <w:bCs/>
          <w:sz w:val="32"/>
          <w:szCs w:val="32"/>
          <w:lang w:val="en-US" w:eastAsia="zh-CN"/>
        </w:rPr>
        <w:t>二是</w:t>
      </w:r>
      <w:r>
        <w:rPr>
          <w:rFonts w:ascii="Times New Roman" w:hAnsi="Times New Roman" w:eastAsia="仿宋_GB2312" w:cs="Times New Roman"/>
          <w:bCs/>
          <w:sz w:val="32"/>
          <w:szCs w:val="32"/>
        </w:rPr>
        <w:t>持续</w:t>
      </w:r>
      <w:r>
        <w:rPr>
          <w:rFonts w:ascii="Times New Roman" w:hAnsi="Times New Roman" w:eastAsia="仿宋_GB2312" w:cs="Times New Roman"/>
          <w:sz w:val="32"/>
          <w:szCs w:val="32"/>
        </w:rPr>
        <w:t>推动“一网通办”争先进位。实行“周调度、月总结”、定期通报等制度，全力推进工作落实</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市政务信息资源共享交换平台</w:t>
      </w:r>
      <w:r>
        <w:rPr>
          <w:rFonts w:hint="eastAsia" w:ascii="Times New Roman" w:hAnsi="Times New Roman" w:eastAsia="仿宋_GB2312" w:cs="Times New Roman"/>
          <w:sz w:val="32"/>
          <w:szCs w:val="32"/>
          <w:lang w:eastAsia="zh-CN"/>
        </w:rPr>
        <w:t>已</w:t>
      </w:r>
      <w:r>
        <w:rPr>
          <w:rFonts w:ascii="Times New Roman" w:hAnsi="Times New Roman" w:eastAsia="仿宋_GB2312" w:cs="Times New Roman"/>
          <w:sz w:val="32"/>
          <w:szCs w:val="32"/>
        </w:rPr>
        <w:t>上线市级部门52个、县（区）5个</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上报有效共享目录6933条</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有效开放目录5586条</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做好政务服务数据目录编制工作，开展全市部门（单位）政务信息资源目录编制培训，编制完成目录8538条</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lang w:val="en-US" w:eastAsia="zh-CN"/>
        </w:rPr>
        <w:t>各项指标均有显著提升</w:t>
      </w:r>
      <w:r>
        <w:rPr>
          <w:rFonts w:ascii="Times New Roman" w:hAnsi="Times New Roman" w:eastAsia="仿宋_GB2312" w:cs="Times New Roman"/>
          <w:sz w:val="32"/>
          <w:szCs w:val="32"/>
          <w:lang w:eastAsia="zh-CN"/>
        </w:rPr>
        <w:t>，成功</w:t>
      </w:r>
      <w:r>
        <w:rPr>
          <w:rFonts w:hint="eastAsia" w:ascii="Times New Roman" w:hAnsi="Times New Roman" w:eastAsia="仿宋_GB2312" w:cs="Times New Roman"/>
          <w:sz w:val="32"/>
          <w:szCs w:val="32"/>
          <w:lang w:eastAsia="zh-CN"/>
        </w:rPr>
        <w:t>推动</w:t>
      </w:r>
      <w:r>
        <w:rPr>
          <w:rFonts w:ascii="Times New Roman" w:hAnsi="Times New Roman" w:eastAsia="仿宋_GB2312" w:cs="Times New Roman"/>
          <w:sz w:val="32"/>
          <w:szCs w:val="32"/>
          <w:lang w:eastAsia="zh-CN"/>
        </w:rPr>
        <w:t>“一网通办”</w:t>
      </w:r>
      <w:r>
        <w:rPr>
          <w:rFonts w:hint="eastAsia" w:ascii="Times New Roman" w:hAnsi="Times New Roman" w:eastAsia="仿宋_GB2312" w:cs="Times New Roman"/>
          <w:sz w:val="32"/>
          <w:szCs w:val="32"/>
          <w:lang w:eastAsia="zh-CN"/>
        </w:rPr>
        <w:t>能力提升</w:t>
      </w:r>
      <w:r>
        <w:rPr>
          <w:rFonts w:ascii="Times New Roman" w:hAnsi="Times New Roman" w:eastAsia="仿宋_GB2312" w:cs="Times New Roman"/>
          <w:sz w:val="32"/>
          <w:szCs w:val="32"/>
          <w:lang w:eastAsia="zh-CN"/>
        </w:rPr>
        <w:t>。</w:t>
      </w:r>
      <w:r>
        <w:rPr>
          <w:rFonts w:ascii="Times New Roman" w:hAnsi="Times New Roman" w:eastAsia="仿宋_GB2312" w:cs="Times New Roman"/>
          <w:b/>
          <w:bCs/>
          <w:sz w:val="32"/>
          <w:szCs w:val="32"/>
          <w:lang w:eastAsia="zh-CN"/>
        </w:rPr>
        <w:t>三是</w:t>
      </w:r>
      <w:r>
        <w:rPr>
          <w:rFonts w:ascii="Times New Roman" w:hAnsi="Times New Roman" w:eastAsia="仿宋_GB2312" w:cs="Times New Roman"/>
          <w:sz w:val="32"/>
          <w:szCs w:val="32"/>
          <w:lang w:eastAsia="zh-CN"/>
        </w:rPr>
        <w:t>保障重大会议顺利召开。高质量筹办第五届中国康养产业发展论坛系列活动</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lang w:eastAsia="zh-CN"/>
        </w:rPr>
        <w:t>协同做好全省巩</w:t>
      </w:r>
      <w:r>
        <w:rPr>
          <w:rFonts w:ascii="Times New Roman" w:hAnsi="Times New Roman" w:eastAsia="仿宋_GB2312" w:cs="Times New Roman"/>
          <w:sz w:val="32"/>
          <w:szCs w:val="32"/>
          <w:highlight w:val="none"/>
          <w:lang w:eastAsia="zh-CN"/>
        </w:rPr>
        <w:t>固拓展脱贫攻坚成果同乡村振兴有效</w:t>
      </w:r>
      <w:r>
        <w:rPr>
          <w:rFonts w:ascii="Times New Roman" w:hAnsi="Times New Roman" w:eastAsia="仿宋_GB2312" w:cs="Times New Roman"/>
          <w:sz w:val="32"/>
          <w:szCs w:val="32"/>
          <w:highlight w:val="none"/>
        </w:rPr>
        <w:t>衔接现场会（攀枝花线）的会议</w:t>
      </w:r>
      <w:r>
        <w:rPr>
          <w:rFonts w:ascii="Times New Roman" w:hAnsi="Times New Roman" w:eastAsia="仿宋_GB2312" w:cs="Times New Roman"/>
          <w:sz w:val="32"/>
          <w:szCs w:val="32"/>
          <w:highlight w:val="none"/>
          <w:lang w:eastAsia="zh-CN"/>
        </w:rPr>
        <w:t>服务保障工作，</w:t>
      </w:r>
      <w:r>
        <w:rPr>
          <w:rFonts w:hint="eastAsia" w:ascii="Times New Roman" w:hAnsi="Times New Roman" w:eastAsia="仿宋_GB2312" w:cs="Times New Roman"/>
          <w:sz w:val="32"/>
          <w:szCs w:val="32"/>
          <w:highlight w:val="none"/>
          <w:lang w:eastAsia="zh-CN"/>
        </w:rPr>
        <w:t>得</w:t>
      </w:r>
      <w:r>
        <w:rPr>
          <w:rFonts w:ascii="Times New Roman" w:hAnsi="Times New Roman" w:eastAsia="仿宋_GB2312" w:cs="Times New Roman"/>
          <w:sz w:val="32"/>
          <w:szCs w:val="32"/>
          <w:highlight w:val="none"/>
          <w:lang w:eastAsia="zh-CN"/>
        </w:rPr>
        <w:t>到省政府办公厅的高度认可</w:t>
      </w:r>
      <w:r>
        <w:rPr>
          <w:rFonts w:hint="eastAsia" w:ascii="Times New Roman" w:hAnsi="Times New Roman" w:eastAsia="仿宋_GB2312" w:cs="Times New Roman"/>
          <w:sz w:val="32"/>
          <w:szCs w:val="32"/>
          <w:highlight w:val="none"/>
          <w:lang w:eastAsia="zh-CN"/>
        </w:rPr>
        <w:t>，积极协助筹备</w:t>
      </w:r>
      <w:r>
        <w:rPr>
          <w:rFonts w:ascii="Times New Roman" w:hAnsi="Times New Roman" w:eastAsia="仿宋_GB2312" w:cs="Times New Roman"/>
          <w:sz w:val="32"/>
          <w:szCs w:val="32"/>
          <w:highlight w:val="none"/>
          <w:lang w:eastAsia="zh-CN"/>
        </w:rPr>
        <w:t>攀西战略资源创新开发试验区第五次部省联席会议</w:t>
      </w:r>
      <w:bookmarkStart w:id="49" w:name="hmjd_error_2_0_暨_黑马提示无建议_5232"/>
      <w:r>
        <w:rPr>
          <w:rFonts w:ascii="Times New Roman" w:hAnsi="Times New Roman" w:eastAsia="仿宋_GB2312" w:cs="Times New Roman"/>
          <w:sz w:val="32"/>
          <w:szCs w:val="32"/>
          <w:highlight w:val="none"/>
          <w:lang w:eastAsia="zh-CN"/>
        </w:rPr>
        <w:t>暨</w:t>
      </w:r>
      <w:bookmarkEnd w:id="49"/>
      <w:r>
        <w:rPr>
          <w:rFonts w:ascii="Times New Roman" w:hAnsi="Times New Roman" w:eastAsia="仿宋_GB2312" w:cs="Times New Roman"/>
          <w:sz w:val="32"/>
          <w:szCs w:val="32"/>
          <w:highlight w:val="none"/>
          <w:lang w:eastAsia="zh-CN"/>
        </w:rPr>
        <w:t>四川省钒钛产业发展工作会议。</w:t>
      </w:r>
    </w:p>
    <w:p>
      <w:pPr>
        <w:keepNext w:val="0"/>
        <w:keepLines w:val="0"/>
        <w:pageBreakBefore w:val="0"/>
        <w:widowControl w:val="0"/>
        <w:kinsoku/>
        <w:wordWrap/>
        <w:overflowPunct/>
        <w:topLinePunct w:val="0"/>
        <w:autoSpaceDE/>
        <w:autoSpaceDN/>
        <w:bidi w:val="0"/>
        <w:adjustRightInd w:val="0"/>
        <w:snapToGrid w:val="0"/>
        <w:spacing w:line="332" w:lineRule="auto"/>
        <w:ind w:left="0" w:right="0" w:firstLine="640" w:firstLineChars="200"/>
        <w:jc w:val="both"/>
        <w:textAlignment w:val="auto"/>
        <w:outlineLvl w:val="9"/>
        <w:rPr>
          <w:rFonts w:ascii="Times New Roman" w:hAnsi="Times New Roman" w:eastAsia="仿宋_GB2312" w:cs="Times New Roman"/>
          <w:snapToGrid w:val="0"/>
          <w:spacing w:val="-6"/>
          <w:kern w:val="0"/>
          <w:sz w:val="32"/>
          <w:szCs w:val="32"/>
          <w:lang w:eastAsia="zh-CN"/>
        </w:rPr>
      </w:pPr>
      <w:r>
        <w:rPr>
          <w:rFonts w:hint="eastAsia" w:ascii="楷体_GB2312" w:eastAsia="楷体_GB2312" w:cs="楷体_GB2312"/>
          <w:b w:val="0"/>
          <w:bCs w:val="0"/>
          <w:sz w:val="32"/>
          <w:szCs w:val="32"/>
          <w:highlight w:val="none"/>
          <w:lang w:val="en-US" w:eastAsia="zh-CN"/>
        </w:rPr>
        <w:t>（四）精进不休，持</w:t>
      </w:r>
      <w:r>
        <w:rPr>
          <w:rFonts w:hint="eastAsia" w:ascii="楷体_GB2312" w:eastAsia="楷体_GB2312" w:cs="楷体_GB2312"/>
          <w:b w:val="0"/>
          <w:bCs w:val="0"/>
          <w:sz w:val="32"/>
          <w:szCs w:val="32"/>
          <w:lang w:val="en-US" w:eastAsia="zh-CN"/>
        </w:rPr>
        <w:t>续抓好干部队伍建设。</w:t>
      </w:r>
      <w:r>
        <w:rPr>
          <w:rFonts w:ascii="Times New Roman" w:hAnsi="Times New Roman" w:eastAsia="仿宋_GB2312" w:cs="Times New Roman"/>
          <w:b/>
          <w:bCs/>
          <w:sz w:val="32"/>
          <w:szCs w:val="32"/>
          <w:lang w:val="en-US" w:eastAsia="zh-CN"/>
        </w:rPr>
        <w:t>一是</w:t>
      </w:r>
      <w:r>
        <w:rPr>
          <w:rFonts w:ascii="Times New Roman" w:hAnsi="Times New Roman" w:eastAsia="仿宋_GB2312" w:cs="Times New Roman"/>
          <w:sz w:val="32"/>
          <w:szCs w:val="32"/>
          <w:lang w:val="en-US" w:eastAsia="zh-CN"/>
        </w:rPr>
        <w:t>强化党建引领作用。印发《2021年市政府办公室机关党建工作要点》《市政府机关党组、党组书记及其他县级党员领导干部2021年度抓党建工作责任清单》，压紧压实机关党建工作责任</w:t>
      </w:r>
      <w:r>
        <w:rPr>
          <w:rFonts w:hint="eastAsia" w:ascii="Times New Roman" w:hAnsi="Times New Roman" w:eastAsia="仿宋_GB2312" w:cs="Times New Roman"/>
          <w:sz w:val="32"/>
          <w:szCs w:val="32"/>
          <w:lang w:val="en-US" w:eastAsia="zh-CN"/>
        </w:rPr>
        <w:t>，扎实开展</w:t>
      </w:r>
      <w:r>
        <w:rPr>
          <w:rFonts w:ascii="Times New Roman" w:hAnsi="Times New Roman" w:eastAsia="仿宋_GB2312" w:cs="Times New Roman"/>
          <w:sz w:val="32"/>
          <w:szCs w:val="32"/>
          <w:lang w:val="en-US" w:eastAsia="zh-CN"/>
        </w:rPr>
        <w:t>党史学习教育，邀请专家教授进行专题宣讲，召开专题组织生活会，县级领导和支部书记为在所在支部讲专题党课，同时用好“学习强国”APP、微信公众号等平台，将学习日常工作学习与党史学习教育有机结合</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lang w:val="en-US" w:eastAsia="zh-CN"/>
        </w:rPr>
        <w:t>积极参加庆祝中国共产党成</w:t>
      </w:r>
      <w:r>
        <w:rPr>
          <w:rFonts w:ascii="Times New Roman" w:hAnsi="Times New Roman" w:eastAsia="仿宋_GB2312" w:cs="Times New Roman"/>
          <w:sz w:val="32"/>
          <w:szCs w:val="32"/>
          <w:highlight w:val="none"/>
          <w:lang w:val="en-US" w:eastAsia="zh-CN"/>
        </w:rPr>
        <w:t>立100周年文艺演出，营造铭记初心、团结奋进、开创新局的浓厚氛围</w:t>
      </w:r>
      <w:r>
        <w:rPr>
          <w:rFonts w:hint="eastAsia" w:ascii="Times New Roman" w:hAnsi="Times New Roman" w:eastAsia="仿宋_GB2312" w:cs="Times New Roman"/>
          <w:sz w:val="32"/>
          <w:szCs w:val="32"/>
          <w:highlight w:val="none"/>
          <w:lang w:val="en-US" w:eastAsia="zh-CN"/>
        </w:rPr>
        <w:t>。</w:t>
      </w:r>
      <w:r>
        <w:rPr>
          <w:rFonts w:ascii="Times New Roman" w:hAnsi="Times New Roman" w:eastAsia="仿宋_GB2312" w:cs="Times New Roman"/>
          <w:sz w:val="32"/>
          <w:szCs w:val="32"/>
          <w:highlight w:val="none"/>
          <w:lang w:val="en-US" w:eastAsia="zh-CN"/>
        </w:rPr>
        <w:t>印发《市政府办公室廉政风险点风险等级防控措施》，切实把廉政风险防控机制融</w:t>
      </w:r>
      <w:bookmarkStart w:id="50" w:name="hmjd_error_1_0_入到_到_5535"/>
      <w:r>
        <w:rPr>
          <w:rFonts w:ascii="Times New Roman" w:hAnsi="Times New Roman" w:eastAsia="仿宋_GB2312" w:cs="Times New Roman"/>
          <w:sz w:val="32"/>
          <w:szCs w:val="32"/>
          <w:highlight w:val="none"/>
          <w:lang w:val="en-US" w:eastAsia="zh-CN"/>
        </w:rPr>
        <w:t>入到</w:t>
      </w:r>
      <w:bookmarkEnd w:id="50"/>
      <w:r>
        <w:rPr>
          <w:rFonts w:ascii="Times New Roman" w:hAnsi="Times New Roman" w:eastAsia="仿宋_GB2312" w:cs="Times New Roman"/>
          <w:sz w:val="32"/>
          <w:szCs w:val="32"/>
          <w:highlight w:val="none"/>
          <w:lang w:val="en-US" w:eastAsia="zh-CN"/>
        </w:rPr>
        <w:t>办公室工作全过程，并结合实际重点开展严肃换届纪律提醒谈话工作。</w:t>
      </w:r>
      <w:r>
        <w:rPr>
          <w:rFonts w:ascii="Times New Roman" w:hAnsi="Times New Roman" w:eastAsia="仿宋_GB2312" w:cs="Times New Roman"/>
          <w:b/>
          <w:bCs/>
          <w:sz w:val="32"/>
          <w:szCs w:val="32"/>
          <w:highlight w:val="none"/>
          <w:lang w:val="en-US" w:eastAsia="zh-CN"/>
        </w:rPr>
        <w:t>二是</w:t>
      </w:r>
      <w:r>
        <w:rPr>
          <w:rFonts w:ascii="Times New Roman" w:hAnsi="Times New Roman" w:eastAsia="仿宋_GB2312" w:cs="Times New Roman"/>
          <w:sz w:val="32"/>
          <w:szCs w:val="32"/>
          <w:highlight w:val="none"/>
          <w:lang w:val="en-US" w:eastAsia="zh-CN"/>
        </w:rPr>
        <w:t>加强干部人事工作。做好1名正县级领导干部提拔、6名副县级领导干部交流提拔工作。提拔副科级领导干部4名，平级交流科级干部6名。引进2021届急需紧缺专业选调生2名</w:t>
      </w:r>
      <w:r>
        <w:rPr>
          <w:rFonts w:hint="eastAsia" w:ascii="Times New Roman" w:hAnsi="Times New Roman" w:eastAsia="仿宋_GB2312" w:cs="Times New Roman"/>
          <w:sz w:val="32"/>
          <w:szCs w:val="32"/>
          <w:highlight w:val="none"/>
          <w:lang w:val="en-US" w:eastAsia="zh-CN"/>
        </w:rPr>
        <w:t>，</w:t>
      </w:r>
      <w:r>
        <w:rPr>
          <w:rFonts w:ascii="Times New Roman" w:hAnsi="Times New Roman" w:eastAsia="仿宋_GB2312" w:cs="Times New Roman"/>
          <w:sz w:val="32"/>
          <w:szCs w:val="32"/>
          <w:highlight w:val="none"/>
          <w:lang w:val="en-US" w:eastAsia="zh-CN"/>
        </w:rPr>
        <w:t>参加市属事业单位春季</w:t>
      </w:r>
      <w:bookmarkStart w:id="51" w:name="hmjd_error_2_0_赴_黑马提示无建议_5661"/>
      <w:r>
        <w:rPr>
          <w:rFonts w:ascii="Times New Roman" w:hAnsi="Times New Roman" w:eastAsia="仿宋_GB2312" w:cs="Times New Roman"/>
          <w:sz w:val="32"/>
          <w:szCs w:val="32"/>
          <w:highlight w:val="none"/>
          <w:lang w:val="en-US" w:eastAsia="zh-CN"/>
        </w:rPr>
        <w:t>赴</w:t>
      </w:r>
      <w:bookmarkEnd w:id="51"/>
      <w:r>
        <w:rPr>
          <w:rFonts w:ascii="Times New Roman" w:hAnsi="Times New Roman" w:eastAsia="仿宋_GB2312" w:cs="Times New Roman"/>
          <w:sz w:val="32"/>
          <w:szCs w:val="32"/>
          <w:highlight w:val="none"/>
          <w:lang w:val="en-US" w:eastAsia="zh-CN"/>
        </w:rPr>
        <w:t>外引才活动引进硕士研</w:t>
      </w:r>
      <w:r>
        <w:rPr>
          <w:rFonts w:ascii="Times New Roman" w:hAnsi="Times New Roman" w:eastAsia="仿宋_GB2312" w:cs="Times New Roman"/>
          <w:snapToGrid w:val="0"/>
          <w:spacing w:val="-6"/>
          <w:kern w:val="0"/>
          <w:sz w:val="32"/>
          <w:szCs w:val="32"/>
          <w:highlight w:val="none"/>
          <w:lang w:val="en-US" w:eastAsia="zh-CN"/>
        </w:rPr>
        <w:t>究生3名</w:t>
      </w:r>
      <w:r>
        <w:rPr>
          <w:rFonts w:hint="eastAsia" w:ascii="Times New Roman" w:hAnsi="Times New Roman" w:eastAsia="仿宋_GB2312" w:cs="Times New Roman"/>
          <w:snapToGrid w:val="0"/>
          <w:spacing w:val="-6"/>
          <w:kern w:val="0"/>
          <w:sz w:val="32"/>
          <w:szCs w:val="32"/>
          <w:highlight w:val="none"/>
          <w:lang w:val="en-US" w:eastAsia="zh-CN"/>
        </w:rPr>
        <w:t>，</w:t>
      </w:r>
      <w:r>
        <w:rPr>
          <w:rFonts w:ascii="Times New Roman" w:hAnsi="Times New Roman" w:eastAsia="仿宋_GB2312" w:cs="Times New Roman"/>
          <w:snapToGrid w:val="0"/>
          <w:spacing w:val="-6"/>
          <w:kern w:val="0"/>
          <w:sz w:val="32"/>
          <w:szCs w:val="32"/>
          <w:highlight w:val="none"/>
          <w:lang w:val="en-US" w:eastAsia="zh-CN"/>
        </w:rPr>
        <w:t>公开考调办公室所属事业单位工作人员2名。推荐20人参加全省选调生示范培训班、全市县处级领</w:t>
      </w:r>
      <w:r>
        <w:rPr>
          <w:rFonts w:ascii="Times New Roman" w:hAnsi="Times New Roman" w:eastAsia="仿宋_GB2312" w:cs="Times New Roman"/>
          <w:snapToGrid w:val="0"/>
          <w:spacing w:val="-6"/>
          <w:kern w:val="0"/>
          <w:sz w:val="32"/>
          <w:szCs w:val="32"/>
          <w:lang w:val="en-US" w:eastAsia="zh-CN"/>
        </w:rPr>
        <w:t>导干部进修班等培训，组织15名县级领导干部参加学习贯彻习近平总书记“七一”重要讲话精神和省委十一届九次全会、市委十届十三次全会精神轮训班。</w:t>
      </w:r>
      <w:r>
        <w:rPr>
          <w:rFonts w:ascii="Times New Roman" w:hAnsi="Times New Roman" w:eastAsia="仿宋_GB2312" w:cs="Times New Roman"/>
          <w:b/>
          <w:bCs/>
          <w:snapToGrid w:val="0"/>
          <w:spacing w:val="-6"/>
          <w:kern w:val="0"/>
          <w:sz w:val="32"/>
          <w:szCs w:val="32"/>
          <w:lang w:val="en-US" w:eastAsia="zh-CN"/>
        </w:rPr>
        <w:t>三是</w:t>
      </w:r>
      <w:r>
        <w:rPr>
          <w:rFonts w:ascii="Times New Roman" w:hAnsi="Times New Roman" w:eastAsia="仿宋_GB2312" w:cs="Times New Roman"/>
          <w:snapToGrid w:val="0"/>
          <w:spacing w:val="-6"/>
          <w:kern w:val="0"/>
          <w:sz w:val="32"/>
          <w:szCs w:val="32"/>
          <w:lang w:val="en-US" w:eastAsia="zh-CN"/>
        </w:rPr>
        <w:t>开展能力提升行动。</w:t>
      </w:r>
      <w:r>
        <w:rPr>
          <w:rFonts w:ascii="Times New Roman" w:hAnsi="Times New Roman" w:eastAsia="仿宋_GB2312" w:cs="Times New Roman"/>
          <w:snapToGrid w:val="0"/>
          <w:spacing w:val="-6"/>
          <w:kern w:val="0"/>
          <w:sz w:val="32"/>
          <w:szCs w:val="32"/>
          <w:lang w:eastAsia="zh-CN"/>
        </w:rPr>
        <w:t>通</w:t>
      </w:r>
      <w:r>
        <w:rPr>
          <w:rFonts w:ascii="Times New Roman" w:hAnsi="Times New Roman" w:eastAsia="仿宋_GB2312" w:cs="Times New Roman"/>
          <w:snapToGrid w:val="0"/>
          <w:spacing w:val="-6"/>
          <w:kern w:val="0"/>
          <w:sz w:val="32"/>
          <w:szCs w:val="32"/>
        </w:rPr>
        <w:t>机关党组会、党组理论中心组会、办公室干部职工会、支部“三会一课”、青年政治理论学习小组</w:t>
      </w:r>
      <w:r>
        <w:rPr>
          <w:rFonts w:ascii="Times New Roman" w:hAnsi="Times New Roman" w:eastAsia="仿宋_GB2312" w:cs="Times New Roman"/>
          <w:snapToGrid w:val="0"/>
          <w:spacing w:val="-6"/>
          <w:kern w:val="0"/>
          <w:sz w:val="32"/>
          <w:szCs w:val="32"/>
          <w:lang w:eastAsia="zh-CN"/>
        </w:rPr>
        <w:t>等，大力组织全办干部开展对上级重要文件、讲话精神以及业务知识的学习</w:t>
      </w:r>
      <w:r>
        <w:rPr>
          <w:rFonts w:hint="eastAsia" w:ascii="Times New Roman" w:hAnsi="Times New Roman" w:eastAsia="仿宋_GB2312" w:cs="Times New Roman"/>
          <w:snapToGrid w:val="0"/>
          <w:spacing w:val="-6"/>
          <w:kern w:val="0"/>
          <w:sz w:val="32"/>
          <w:szCs w:val="32"/>
          <w:lang w:eastAsia="zh-CN"/>
        </w:rPr>
        <w:t>。邀请省政府办公厅相关处室主要负责人</w:t>
      </w:r>
      <w:r>
        <w:rPr>
          <w:rFonts w:ascii="Times New Roman" w:hAnsi="Times New Roman" w:eastAsia="仿宋_GB2312" w:cs="Times New Roman"/>
          <w:snapToGrid w:val="0"/>
          <w:spacing w:val="-6"/>
          <w:kern w:val="0"/>
          <w:sz w:val="32"/>
          <w:szCs w:val="32"/>
          <w:lang w:eastAsia="zh-CN"/>
        </w:rPr>
        <w:t>开展</w:t>
      </w:r>
      <w:r>
        <w:rPr>
          <w:rFonts w:hint="eastAsia" w:ascii="Times New Roman" w:hAnsi="Times New Roman" w:eastAsia="仿宋_GB2312" w:cs="Times New Roman"/>
          <w:snapToGrid w:val="0"/>
          <w:spacing w:val="-6"/>
          <w:kern w:val="0"/>
          <w:sz w:val="32"/>
          <w:szCs w:val="32"/>
          <w:lang w:eastAsia="zh-CN"/>
        </w:rPr>
        <w:t>业务</w:t>
      </w:r>
      <w:r>
        <w:rPr>
          <w:rFonts w:ascii="Times New Roman" w:hAnsi="Times New Roman" w:eastAsia="仿宋_GB2312" w:cs="Times New Roman"/>
          <w:snapToGrid w:val="0"/>
          <w:spacing w:val="-6"/>
          <w:kern w:val="0"/>
          <w:sz w:val="32"/>
          <w:szCs w:val="32"/>
        </w:rPr>
        <w:t>知识培训</w:t>
      </w:r>
      <w:r>
        <w:rPr>
          <w:rFonts w:ascii="Times New Roman" w:hAnsi="Times New Roman" w:eastAsia="仿宋_GB2312" w:cs="Times New Roman"/>
          <w:snapToGrid w:val="0"/>
          <w:spacing w:val="-6"/>
          <w:kern w:val="0"/>
          <w:sz w:val="32"/>
          <w:szCs w:val="32"/>
          <w:lang w:eastAsia="zh-CN"/>
        </w:rPr>
        <w:t>讲座，不断提高全办</w:t>
      </w:r>
      <w:r>
        <w:rPr>
          <w:rFonts w:ascii="Times New Roman" w:hAnsi="Times New Roman" w:eastAsia="仿宋_GB2312" w:cs="Times New Roman"/>
          <w:snapToGrid w:val="0"/>
          <w:spacing w:val="-6"/>
          <w:kern w:val="0"/>
          <w:sz w:val="32"/>
          <w:szCs w:val="32"/>
        </w:rPr>
        <w:t>人员尤其是新进人员</w:t>
      </w:r>
      <w:r>
        <w:rPr>
          <w:rFonts w:ascii="Times New Roman" w:hAnsi="Times New Roman" w:eastAsia="仿宋_GB2312" w:cs="Times New Roman"/>
          <w:snapToGrid w:val="0"/>
          <w:spacing w:val="-6"/>
          <w:kern w:val="0"/>
          <w:sz w:val="32"/>
          <w:szCs w:val="32"/>
          <w:lang w:eastAsia="zh-CN"/>
        </w:rPr>
        <w:t>的</w:t>
      </w:r>
      <w:r>
        <w:rPr>
          <w:rFonts w:hint="eastAsia" w:ascii="Times New Roman" w:hAnsi="Times New Roman" w:eastAsia="仿宋_GB2312" w:cs="Times New Roman"/>
          <w:snapToGrid w:val="0"/>
          <w:spacing w:val="-6"/>
          <w:kern w:val="0"/>
          <w:sz w:val="32"/>
          <w:szCs w:val="32"/>
          <w:lang w:eastAsia="zh-CN"/>
        </w:rPr>
        <w:t>办文办会</w:t>
      </w:r>
      <w:r>
        <w:rPr>
          <w:rFonts w:ascii="Times New Roman" w:hAnsi="Times New Roman" w:eastAsia="仿宋_GB2312" w:cs="Times New Roman"/>
          <w:snapToGrid w:val="0"/>
          <w:spacing w:val="-6"/>
          <w:kern w:val="0"/>
          <w:sz w:val="32"/>
          <w:szCs w:val="32"/>
          <w:lang w:eastAsia="zh-CN"/>
        </w:rPr>
        <w:t>水平；主要领导带头召集</w:t>
      </w:r>
      <w:r>
        <w:rPr>
          <w:rFonts w:ascii="Times New Roman" w:hAnsi="Times New Roman" w:eastAsia="仿宋_GB2312" w:cs="Times New Roman"/>
          <w:snapToGrid w:val="0"/>
          <w:spacing w:val="-6"/>
          <w:kern w:val="0"/>
          <w:sz w:val="32"/>
          <w:szCs w:val="32"/>
          <w:lang w:val="en-US" w:eastAsia="zh-CN"/>
        </w:rPr>
        <w:t>3次</w:t>
      </w:r>
      <w:r>
        <w:rPr>
          <w:rFonts w:ascii="Times New Roman" w:hAnsi="Times New Roman" w:eastAsia="仿宋_GB2312" w:cs="Times New Roman"/>
          <w:snapToGrid w:val="0"/>
          <w:spacing w:val="-6"/>
          <w:kern w:val="0"/>
          <w:sz w:val="32"/>
          <w:szCs w:val="32"/>
          <w:lang w:eastAsia="zh-CN"/>
        </w:rPr>
        <w:t>座谈会，与办公室年轻干部进行交流，起到良好的传帮带作用。</w:t>
      </w:r>
    </w:p>
    <w:p>
      <w:pPr>
        <w:keepNext w:val="0"/>
        <w:keepLines w:val="0"/>
        <w:pageBreakBefore w:val="0"/>
        <w:widowControl w:val="0"/>
        <w:kinsoku/>
        <w:wordWrap/>
        <w:overflowPunct/>
        <w:topLinePunct w:val="0"/>
        <w:autoSpaceDE/>
        <w:autoSpaceDN/>
        <w:bidi w:val="0"/>
        <w:adjustRightInd w:val="0"/>
        <w:snapToGrid w:val="0"/>
        <w:spacing w:line="332" w:lineRule="auto"/>
        <w:ind w:left="0" w:right="0" w:firstLine="616" w:firstLineChars="200"/>
        <w:jc w:val="both"/>
        <w:textAlignment w:val="auto"/>
        <w:outlineLvl w:val="9"/>
        <w:rPr>
          <w:rFonts w:hint="eastAsia" w:ascii="黑体" w:hAnsi="黑体" w:eastAsia="黑体" w:cs="黑体"/>
          <w:snapToGrid w:val="0"/>
          <w:spacing w:val="-6"/>
          <w:kern w:val="0"/>
          <w:sz w:val="32"/>
          <w:szCs w:val="32"/>
          <w:lang w:eastAsia="zh-CN"/>
        </w:rPr>
      </w:pPr>
      <w:r>
        <w:rPr>
          <w:rFonts w:hint="eastAsia" w:ascii="黑体" w:hAnsi="黑体" w:eastAsia="黑体" w:cs="黑体"/>
          <w:snapToGrid w:val="0"/>
          <w:spacing w:val="-6"/>
          <w:kern w:val="0"/>
          <w:sz w:val="32"/>
          <w:szCs w:val="32"/>
          <w:lang w:eastAsia="zh-CN"/>
        </w:rPr>
        <w:t>三、机构设置</w:t>
      </w:r>
    </w:p>
    <w:p>
      <w:pPr>
        <w:keepNext w:val="0"/>
        <w:keepLines w:val="0"/>
        <w:pageBreakBefore w:val="0"/>
        <w:widowControl w:val="0"/>
        <w:kinsoku/>
        <w:wordWrap/>
        <w:overflowPunct/>
        <w:topLinePunct w:val="0"/>
        <w:autoSpaceDE/>
        <w:autoSpaceDN/>
        <w:bidi w:val="0"/>
        <w:adjustRightInd w:val="0"/>
        <w:snapToGrid w:val="0"/>
        <w:spacing w:line="332" w:lineRule="auto"/>
        <w:ind w:left="0" w:right="0" w:firstLine="616" w:firstLineChars="200"/>
        <w:jc w:val="both"/>
        <w:textAlignment w:val="auto"/>
        <w:outlineLvl w:val="9"/>
        <w:rPr>
          <w:rFonts w:hint="eastAsia" w:ascii="Times New Roman" w:hAnsi="Times New Roman" w:eastAsia="仿宋_GB2312" w:cs="Times New Roman"/>
          <w:snapToGrid w:val="0"/>
          <w:spacing w:val="-6"/>
          <w:kern w:val="0"/>
          <w:sz w:val="32"/>
          <w:szCs w:val="32"/>
          <w:lang w:val="en-US" w:eastAsia="zh-CN"/>
        </w:rPr>
      </w:pPr>
      <w:r>
        <w:rPr>
          <w:rFonts w:hint="eastAsia" w:ascii="Times New Roman" w:hAnsi="Times New Roman" w:eastAsia="仿宋_GB2312" w:cs="Times New Roman"/>
          <w:snapToGrid w:val="0"/>
          <w:spacing w:val="-6"/>
          <w:kern w:val="0"/>
          <w:sz w:val="32"/>
          <w:szCs w:val="32"/>
          <w:lang w:val="en-US" w:eastAsia="zh-CN"/>
        </w:rPr>
        <w:t>市政府办公室下属二级单位</w:t>
      </w:r>
      <w:r>
        <w:rPr>
          <w:rFonts w:hint="eastAsia" w:eastAsia="仿宋_GB2312" w:cs="Times New Roman"/>
          <w:snapToGrid w:val="0"/>
          <w:spacing w:val="-6"/>
          <w:kern w:val="0"/>
          <w:sz w:val="32"/>
          <w:szCs w:val="32"/>
          <w:lang w:val="en-US" w:eastAsia="zh-CN"/>
        </w:rPr>
        <w:t>3</w:t>
      </w:r>
      <w:r>
        <w:rPr>
          <w:rFonts w:hint="eastAsia" w:ascii="Times New Roman" w:hAnsi="Times New Roman" w:eastAsia="仿宋_GB2312" w:cs="Times New Roman"/>
          <w:snapToGrid w:val="0"/>
          <w:spacing w:val="-6"/>
          <w:kern w:val="0"/>
          <w:sz w:val="32"/>
          <w:szCs w:val="32"/>
          <w:lang w:val="en-US" w:eastAsia="zh-CN"/>
        </w:rPr>
        <w:t>个（非独立核算单位</w:t>
      </w:r>
      <w:r>
        <w:rPr>
          <w:rFonts w:hint="eastAsia" w:eastAsia="仿宋_GB2312" w:cs="Times New Roman"/>
          <w:snapToGrid w:val="0"/>
          <w:spacing w:val="-6"/>
          <w:kern w:val="0"/>
          <w:sz w:val="32"/>
          <w:szCs w:val="32"/>
          <w:lang w:val="en-US" w:eastAsia="zh-CN"/>
        </w:rPr>
        <w:t>2</w:t>
      </w:r>
      <w:r>
        <w:rPr>
          <w:rFonts w:hint="eastAsia" w:ascii="Times New Roman" w:hAnsi="Times New Roman" w:eastAsia="仿宋_GB2312" w:cs="Times New Roman"/>
          <w:snapToGrid w:val="0"/>
          <w:spacing w:val="-6"/>
          <w:kern w:val="0"/>
          <w:sz w:val="32"/>
          <w:szCs w:val="32"/>
          <w:lang w:val="en-US" w:eastAsia="zh-CN"/>
        </w:rPr>
        <w:t>个，独立核算单位</w:t>
      </w:r>
      <w:r>
        <w:rPr>
          <w:rFonts w:hint="eastAsia" w:eastAsia="仿宋_GB2312" w:cs="Times New Roman"/>
          <w:snapToGrid w:val="0"/>
          <w:spacing w:val="-6"/>
          <w:kern w:val="0"/>
          <w:sz w:val="32"/>
          <w:szCs w:val="32"/>
          <w:lang w:val="en-US" w:eastAsia="zh-CN"/>
        </w:rPr>
        <w:t>0</w:t>
      </w:r>
      <w:r>
        <w:rPr>
          <w:rFonts w:hint="eastAsia" w:ascii="Times New Roman" w:hAnsi="Times New Roman" w:eastAsia="仿宋_GB2312" w:cs="Times New Roman"/>
          <w:snapToGrid w:val="0"/>
          <w:spacing w:val="-6"/>
          <w:kern w:val="0"/>
          <w:sz w:val="32"/>
          <w:szCs w:val="32"/>
          <w:lang w:val="en-US" w:eastAsia="zh-CN"/>
        </w:rPr>
        <w:t>个），其中行政单位0个，事业单位</w:t>
      </w:r>
      <w:r>
        <w:rPr>
          <w:rFonts w:hint="eastAsia" w:eastAsia="仿宋_GB2312" w:cs="Times New Roman"/>
          <w:snapToGrid w:val="0"/>
          <w:spacing w:val="-6"/>
          <w:kern w:val="0"/>
          <w:sz w:val="32"/>
          <w:szCs w:val="32"/>
          <w:lang w:val="en-US" w:eastAsia="zh-CN"/>
        </w:rPr>
        <w:t>1</w:t>
      </w:r>
      <w:r>
        <w:rPr>
          <w:rFonts w:hint="eastAsia" w:ascii="Times New Roman" w:hAnsi="Times New Roman" w:eastAsia="仿宋_GB2312" w:cs="Times New Roman"/>
          <w:snapToGrid w:val="0"/>
          <w:spacing w:val="-6"/>
          <w:kern w:val="0"/>
          <w:sz w:val="32"/>
          <w:szCs w:val="32"/>
          <w:lang w:val="en-US" w:eastAsia="zh-CN"/>
        </w:rPr>
        <w:t>个，参照公务员法管理的事业单位</w:t>
      </w:r>
      <w:r>
        <w:rPr>
          <w:rFonts w:hint="eastAsia" w:eastAsia="仿宋_GB2312" w:cs="Times New Roman"/>
          <w:snapToGrid w:val="0"/>
          <w:spacing w:val="-6"/>
          <w:kern w:val="0"/>
          <w:sz w:val="32"/>
          <w:szCs w:val="32"/>
          <w:lang w:val="en-US" w:eastAsia="zh-CN"/>
        </w:rPr>
        <w:t>0</w:t>
      </w:r>
      <w:r>
        <w:rPr>
          <w:rFonts w:hint="eastAsia" w:ascii="Times New Roman" w:hAnsi="Times New Roman" w:eastAsia="仿宋_GB2312" w:cs="Times New Roman"/>
          <w:snapToGrid w:val="0"/>
          <w:spacing w:val="-6"/>
          <w:kern w:val="0"/>
          <w:sz w:val="32"/>
          <w:szCs w:val="32"/>
          <w:lang w:val="en-US" w:eastAsia="zh-CN"/>
        </w:rPr>
        <w:t>个，其他事业单位</w:t>
      </w:r>
      <w:r>
        <w:rPr>
          <w:rFonts w:hint="eastAsia" w:eastAsia="仿宋_GB2312" w:cs="Times New Roman"/>
          <w:snapToGrid w:val="0"/>
          <w:spacing w:val="-6"/>
          <w:kern w:val="0"/>
          <w:sz w:val="32"/>
          <w:szCs w:val="32"/>
          <w:lang w:val="en-US" w:eastAsia="zh-CN"/>
        </w:rPr>
        <w:t>1</w:t>
      </w:r>
      <w:r>
        <w:rPr>
          <w:rFonts w:hint="eastAsia" w:ascii="Times New Roman" w:hAnsi="Times New Roman" w:eastAsia="仿宋_GB2312" w:cs="Times New Roman"/>
          <w:snapToGrid w:val="0"/>
          <w:spacing w:val="-6"/>
          <w:kern w:val="0"/>
          <w:sz w:val="32"/>
          <w:szCs w:val="32"/>
          <w:lang w:val="en-US" w:eastAsia="zh-CN"/>
        </w:rPr>
        <w:t>个（自收自支）。</w:t>
      </w:r>
    </w:p>
    <w:p>
      <w:pPr>
        <w:keepNext w:val="0"/>
        <w:keepLines w:val="0"/>
        <w:pageBreakBefore w:val="0"/>
        <w:widowControl w:val="0"/>
        <w:kinsoku/>
        <w:wordWrap/>
        <w:overflowPunct/>
        <w:topLinePunct w:val="0"/>
        <w:autoSpaceDE/>
        <w:autoSpaceDN/>
        <w:bidi w:val="0"/>
        <w:adjustRightInd w:val="0"/>
        <w:snapToGrid w:val="0"/>
        <w:spacing w:line="332" w:lineRule="auto"/>
        <w:ind w:left="0" w:right="0" w:firstLine="616" w:firstLineChars="200"/>
        <w:jc w:val="both"/>
        <w:textAlignment w:val="auto"/>
        <w:outlineLvl w:val="9"/>
        <w:rPr>
          <w:rFonts w:hint="eastAsia" w:ascii="Times New Roman" w:hAnsi="Times New Roman" w:eastAsia="仿宋_GB2312" w:cs="Times New Roman"/>
          <w:snapToGrid w:val="0"/>
          <w:spacing w:val="-6"/>
          <w:kern w:val="0"/>
          <w:sz w:val="32"/>
          <w:szCs w:val="32"/>
          <w:lang w:val="en-US" w:eastAsia="zh-CN"/>
        </w:rPr>
      </w:pPr>
      <w:r>
        <w:rPr>
          <w:rFonts w:hint="eastAsia" w:ascii="Times New Roman" w:hAnsi="Times New Roman" w:eastAsia="仿宋_GB2312" w:cs="Times New Roman"/>
          <w:snapToGrid w:val="0"/>
          <w:spacing w:val="-6"/>
          <w:kern w:val="0"/>
          <w:sz w:val="32"/>
          <w:szCs w:val="32"/>
          <w:lang w:val="en-US" w:eastAsia="zh-CN"/>
        </w:rPr>
        <w:t>纳入市政府办公室2021年度</w:t>
      </w:r>
      <w:r>
        <w:rPr>
          <w:rFonts w:hint="eastAsia" w:eastAsia="仿宋_GB2312" w:cs="Times New Roman"/>
          <w:snapToGrid w:val="0"/>
          <w:spacing w:val="-6"/>
          <w:kern w:val="0"/>
          <w:sz w:val="32"/>
          <w:szCs w:val="32"/>
          <w:lang w:val="en-US" w:eastAsia="zh-CN"/>
        </w:rPr>
        <w:t>单位</w:t>
      </w:r>
      <w:r>
        <w:rPr>
          <w:rFonts w:hint="eastAsia" w:ascii="Times New Roman" w:hAnsi="Times New Roman" w:eastAsia="仿宋_GB2312" w:cs="Times New Roman"/>
          <w:snapToGrid w:val="0"/>
          <w:spacing w:val="-6"/>
          <w:kern w:val="0"/>
          <w:sz w:val="32"/>
          <w:szCs w:val="32"/>
          <w:lang w:val="en-US" w:eastAsia="zh-CN"/>
        </w:rPr>
        <w:t>决算编制范围的二级预算单位包括：</w:t>
      </w:r>
    </w:p>
    <w:p>
      <w:pPr>
        <w:keepNext w:val="0"/>
        <w:keepLines w:val="0"/>
        <w:pageBreakBefore w:val="0"/>
        <w:widowControl w:val="0"/>
        <w:kinsoku/>
        <w:wordWrap/>
        <w:overflowPunct/>
        <w:topLinePunct w:val="0"/>
        <w:autoSpaceDE/>
        <w:autoSpaceDN/>
        <w:bidi w:val="0"/>
        <w:adjustRightInd w:val="0"/>
        <w:snapToGrid w:val="0"/>
        <w:spacing w:line="332" w:lineRule="auto"/>
        <w:ind w:left="0" w:right="0" w:firstLine="616" w:firstLineChars="200"/>
        <w:jc w:val="both"/>
        <w:textAlignment w:val="auto"/>
        <w:outlineLvl w:val="9"/>
        <w:rPr>
          <w:rFonts w:hint="default" w:eastAsia="仿宋_GB2312" w:cs="Times New Roman"/>
          <w:snapToGrid w:val="0"/>
          <w:spacing w:val="-6"/>
          <w:kern w:val="0"/>
          <w:sz w:val="32"/>
          <w:szCs w:val="32"/>
          <w:lang w:val="en-US" w:eastAsia="zh-CN"/>
        </w:rPr>
      </w:pPr>
      <w:r>
        <w:rPr>
          <w:rFonts w:hint="eastAsia" w:eastAsia="仿宋_GB2312" w:cs="Times New Roman"/>
          <w:snapToGrid w:val="0"/>
          <w:spacing w:val="-6"/>
          <w:kern w:val="0"/>
          <w:sz w:val="32"/>
          <w:szCs w:val="32"/>
          <w:lang w:val="en-US" w:eastAsia="zh-CN"/>
        </w:rPr>
        <w:t>1．市政府办公室（本级含办事处），</w:t>
      </w:r>
      <w:r>
        <w:rPr>
          <w:rFonts w:ascii="Times New Roman" w:hAnsi="Times New Roman" w:eastAsia="仿宋_GB2312" w:cs="Times New Roman"/>
          <w:snapToGrid w:val="0"/>
          <w:spacing w:val="-6"/>
          <w:kern w:val="0"/>
          <w:sz w:val="32"/>
          <w:szCs w:val="32"/>
          <w:lang w:val="en-US" w:eastAsia="zh-CN"/>
        </w:rPr>
        <w:t>原</w:t>
      </w:r>
      <w:r>
        <w:rPr>
          <w:rFonts w:hint="eastAsia" w:ascii="Times New Roman" w:hAnsi="Times New Roman" w:eastAsia="仿宋_GB2312" w:cs="Times New Roman"/>
          <w:snapToGrid w:val="0"/>
          <w:spacing w:val="-6"/>
          <w:kern w:val="0"/>
          <w:sz w:val="32"/>
          <w:szCs w:val="32"/>
          <w:lang w:val="en-US" w:eastAsia="zh-CN"/>
        </w:rPr>
        <w:t>市政府驻</w:t>
      </w:r>
      <w:r>
        <w:rPr>
          <w:rFonts w:ascii="Times New Roman" w:hAnsi="Times New Roman" w:eastAsia="仿宋_GB2312" w:cs="Times New Roman"/>
          <w:snapToGrid w:val="0"/>
          <w:spacing w:val="-6"/>
          <w:kern w:val="0"/>
          <w:sz w:val="32"/>
          <w:szCs w:val="32"/>
          <w:lang w:val="en-US" w:eastAsia="zh-CN"/>
        </w:rPr>
        <w:t>昆明办事处机构已撤销，由市政府办公室代管。</w:t>
      </w:r>
    </w:p>
    <w:p>
      <w:pPr>
        <w:keepNext w:val="0"/>
        <w:keepLines w:val="0"/>
        <w:pageBreakBefore w:val="0"/>
        <w:widowControl w:val="0"/>
        <w:kinsoku/>
        <w:wordWrap/>
        <w:overflowPunct/>
        <w:topLinePunct w:val="0"/>
        <w:autoSpaceDE/>
        <w:autoSpaceDN/>
        <w:bidi w:val="0"/>
        <w:adjustRightInd w:val="0"/>
        <w:snapToGrid w:val="0"/>
        <w:spacing w:line="332" w:lineRule="auto"/>
        <w:ind w:left="0" w:right="0" w:firstLine="616" w:firstLineChars="200"/>
        <w:jc w:val="both"/>
        <w:textAlignment w:val="auto"/>
        <w:outlineLvl w:val="9"/>
        <w:rPr>
          <w:rFonts w:hint="eastAsia" w:eastAsia="仿宋_GB2312" w:cs="Times New Roman"/>
          <w:snapToGrid w:val="0"/>
          <w:spacing w:val="-6"/>
          <w:kern w:val="0"/>
          <w:sz w:val="32"/>
          <w:szCs w:val="32"/>
          <w:lang w:val="en-US" w:eastAsia="zh-CN"/>
        </w:rPr>
      </w:pPr>
      <w:r>
        <w:rPr>
          <w:rFonts w:hint="eastAsia" w:eastAsia="仿宋_GB2312" w:cs="Times New Roman"/>
          <w:snapToGrid w:val="0"/>
          <w:spacing w:val="-6"/>
          <w:kern w:val="0"/>
          <w:sz w:val="32"/>
          <w:szCs w:val="32"/>
          <w:lang w:val="en-US" w:eastAsia="zh-CN"/>
        </w:rPr>
        <w:t>2</w:t>
      </w:r>
      <w:r>
        <w:rPr>
          <w:rFonts w:hint="eastAsia" w:ascii="Times New Roman" w:hAnsi="Times New Roman" w:eastAsia="仿宋_GB2312" w:cs="Times New Roman"/>
          <w:snapToGrid w:val="0"/>
          <w:spacing w:val="-6"/>
          <w:kern w:val="0"/>
          <w:sz w:val="32"/>
          <w:szCs w:val="32"/>
          <w:lang w:val="en-US" w:eastAsia="zh-CN"/>
        </w:rPr>
        <w:t>．</w:t>
      </w:r>
      <w:r>
        <w:rPr>
          <w:rFonts w:ascii="Times New Roman" w:hAnsi="Times New Roman" w:eastAsia="仿宋_GB2312" w:cs="Times New Roman"/>
          <w:snapToGrid w:val="0"/>
          <w:spacing w:val="-6"/>
          <w:kern w:val="0"/>
          <w:sz w:val="32"/>
          <w:szCs w:val="32"/>
          <w:lang w:val="en-US" w:eastAsia="zh-CN"/>
        </w:rPr>
        <w:t>市</w:t>
      </w:r>
      <w:r>
        <w:rPr>
          <w:rFonts w:hint="eastAsia" w:ascii="Times New Roman" w:hAnsi="Times New Roman" w:eastAsia="仿宋_GB2312" w:cs="Times New Roman"/>
          <w:snapToGrid w:val="0"/>
          <w:spacing w:val="-6"/>
          <w:kern w:val="0"/>
          <w:sz w:val="32"/>
          <w:szCs w:val="32"/>
          <w:lang w:val="en-US" w:eastAsia="zh-CN"/>
        </w:rPr>
        <w:t>大数据中</w:t>
      </w:r>
      <w:r>
        <w:rPr>
          <w:rFonts w:hint="eastAsia" w:eastAsia="仿宋_GB2312" w:cs="Times New Roman"/>
          <w:snapToGrid w:val="0"/>
          <w:spacing w:val="-6"/>
          <w:kern w:val="0"/>
          <w:sz w:val="32"/>
          <w:szCs w:val="32"/>
          <w:lang w:val="en-US" w:eastAsia="zh-CN"/>
        </w:rPr>
        <w:t>心</w:t>
      </w:r>
    </w:p>
    <w:p>
      <w:pPr>
        <w:keepNext w:val="0"/>
        <w:keepLines w:val="0"/>
        <w:pageBreakBefore w:val="0"/>
        <w:widowControl w:val="0"/>
        <w:kinsoku/>
        <w:wordWrap/>
        <w:overflowPunct/>
        <w:topLinePunct w:val="0"/>
        <w:autoSpaceDE/>
        <w:autoSpaceDN/>
        <w:bidi w:val="0"/>
        <w:adjustRightInd w:val="0"/>
        <w:snapToGrid w:val="0"/>
        <w:spacing w:line="332" w:lineRule="auto"/>
        <w:ind w:left="0" w:right="0" w:firstLine="616" w:firstLineChars="200"/>
        <w:jc w:val="both"/>
        <w:textAlignment w:val="auto"/>
        <w:outlineLvl w:val="9"/>
        <w:rPr>
          <w:rFonts w:hint="eastAsia" w:eastAsia="仿宋_GB2312" w:cs="Times New Roman"/>
          <w:snapToGrid w:val="0"/>
          <w:spacing w:val="-6"/>
          <w:kern w:val="0"/>
          <w:sz w:val="32"/>
          <w:szCs w:val="32"/>
          <w:lang w:val="en-US" w:eastAsia="zh-CN"/>
        </w:rPr>
      </w:pPr>
      <w:r>
        <w:rPr>
          <w:rFonts w:hint="eastAsia" w:eastAsia="仿宋_GB2312" w:cs="Times New Roman"/>
          <w:snapToGrid w:val="0"/>
          <w:spacing w:val="-6"/>
          <w:kern w:val="0"/>
          <w:sz w:val="32"/>
          <w:szCs w:val="32"/>
          <w:lang w:val="en-US" w:eastAsia="zh-CN"/>
        </w:rPr>
        <w:t>3</w:t>
      </w:r>
      <w:r>
        <w:rPr>
          <w:rFonts w:hint="eastAsia" w:ascii="Times New Roman" w:hAnsi="Times New Roman" w:eastAsia="仿宋_GB2312" w:cs="Times New Roman"/>
          <w:snapToGrid w:val="0"/>
          <w:spacing w:val="-6"/>
          <w:kern w:val="0"/>
          <w:sz w:val="32"/>
          <w:szCs w:val="32"/>
          <w:lang w:val="en-US" w:eastAsia="zh-CN"/>
        </w:rPr>
        <w:t>．</w:t>
      </w:r>
      <w:r>
        <w:rPr>
          <w:rFonts w:ascii="Times New Roman" w:hAnsi="Times New Roman" w:eastAsia="仿宋_GB2312" w:cs="Times New Roman"/>
          <w:snapToGrid w:val="0"/>
          <w:spacing w:val="-6"/>
          <w:kern w:val="0"/>
          <w:sz w:val="32"/>
          <w:szCs w:val="32"/>
          <w:lang w:val="en-US" w:eastAsia="zh-CN"/>
        </w:rPr>
        <w:t>市外事服务中心（市机关服务中心）</w:t>
      </w:r>
    </w:p>
    <w:p>
      <w:pPr>
        <w:pStyle w:val="3"/>
        <w:keepNext/>
        <w:keepLines/>
        <w:pageBreakBefore w:val="0"/>
        <w:widowControl w:val="0"/>
        <w:kinsoku/>
        <w:wordWrap/>
        <w:overflowPunct/>
        <w:topLinePunct w:val="0"/>
        <w:autoSpaceDE/>
        <w:autoSpaceDN/>
        <w:bidi w:val="0"/>
        <w:adjustRightInd w:val="0"/>
        <w:snapToGrid w:val="0"/>
        <w:spacing w:before="0" w:after="0" w:line="353" w:lineRule="auto"/>
        <w:ind w:right="0"/>
        <w:jc w:val="center"/>
        <w:textAlignment w:val="auto"/>
        <w:rPr>
          <w:rFonts w:hint="eastAsia" w:ascii="方正小标宋_GBK" w:hAnsi="方正小标宋_GBK" w:eastAsia="方正小标宋_GBK" w:cs="方正小标宋_GBK"/>
          <w:color w:val="auto"/>
          <w:highlight w:val="none"/>
        </w:rPr>
      </w:pPr>
      <w:bookmarkStart w:id="52" w:name="_Toc811048671_WPSOffice_Level1"/>
      <w:bookmarkStart w:id="53" w:name="_Toc15396602"/>
      <w:bookmarkStart w:id="54" w:name="_Toc15377204"/>
      <w:r>
        <w:rPr>
          <w:rFonts w:hint="eastAsia" w:ascii="方正小标宋_GBK" w:hAnsi="方正小标宋_GBK" w:eastAsia="方正小标宋_GBK" w:cs="方正小标宋_GBK"/>
          <w:b w:val="0"/>
          <w:bCs/>
          <w:color w:val="auto"/>
          <w:highlight w:val="none"/>
        </w:rPr>
        <w:t>第二部分</w:t>
      </w:r>
      <w:r>
        <w:rPr>
          <w:rFonts w:hint="eastAsia" w:ascii="方正小标宋_GBK" w:hAnsi="方正小标宋_GBK" w:eastAsia="方正小标宋_GBK" w:cs="方正小标宋_GBK"/>
          <w:b w:val="0"/>
          <w:bCs/>
          <w:color w:val="auto"/>
          <w:highlight w:val="none"/>
          <w:lang w:eastAsia="zh-CN"/>
        </w:rPr>
        <w:t>　</w:t>
      </w:r>
      <w:r>
        <w:rPr>
          <w:rFonts w:hint="eastAsia" w:ascii="方正小标宋_GBK" w:hAnsi="方正小标宋_GBK" w:eastAsia="方正小标宋_GBK" w:cs="方正小标宋_GBK"/>
          <w:b w:val="0"/>
          <w:bCs/>
          <w:color w:val="auto"/>
          <w:highlight w:val="none"/>
          <w:lang w:val="en-US" w:eastAsia="zh-CN"/>
        </w:rPr>
        <w:t>2021年度</w:t>
      </w:r>
      <w:r>
        <w:rPr>
          <w:rStyle w:val="25"/>
          <w:rFonts w:hint="eastAsia" w:ascii="方正小标宋_GBK" w:hAnsi="方正小标宋_GBK" w:eastAsia="方正小标宋_GBK" w:cs="方正小标宋_GBK"/>
          <w:b w:val="0"/>
          <w:bCs/>
          <w:color w:val="auto"/>
          <w:highlight w:val="none"/>
          <w:lang w:eastAsia="zh-CN"/>
        </w:rPr>
        <w:t>单位</w:t>
      </w:r>
      <w:r>
        <w:rPr>
          <w:rStyle w:val="25"/>
          <w:rFonts w:hint="eastAsia" w:ascii="方正小标宋_GBK" w:hAnsi="方正小标宋_GBK" w:eastAsia="方正小标宋_GBK" w:cs="方正小标宋_GBK"/>
          <w:b w:val="0"/>
          <w:bCs/>
          <w:color w:val="auto"/>
          <w:highlight w:val="none"/>
        </w:rPr>
        <w:t>决算情况说明</w:t>
      </w:r>
      <w:bookmarkEnd w:id="52"/>
      <w:bookmarkEnd w:id="53"/>
      <w:bookmarkEnd w:id="54"/>
    </w:p>
    <w:p>
      <w:pPr>
        <w:pStyle w:val="24"/>
        <w:keepNext w:val="0"/>
        <w:keepLines w:val="0"/>
        <w:pageBreakBefore w:val="0"/>
        <w:widowControl w:val="0"/>
        <w:numPr>
          <w:ilvl w:val="0"/>
          <w:numId w:val="1"/>
        </w:numPr>
        <w:kinsoku/>
        <w:wordWrap/>
        <w:overflowPunct/>
        <w:topLinePunct w:val="0"/>
        <w:autoSpaceDE/>
        <w:autoSpaceDN/>
        <w:bidi w:val="0"/>
        <w:spacing w:line="353" w:lineRule="auto"/>
        <w:ind w:firstLineChars="0"/>
        <w:textAlignment w:val="auto"/>
        <w:outlineLvl w:val="1"/>
        <w:rPr>
          <w:rStyle w:val="26"/>
          <w:rFonts w:ascii="黑体" w:hAnsi="黑体" w:eastAsia="黑体"/>
          <w:b w:val="0"/>
          <w:color w:val="auto"/>
          <w:highlight w:val="none"/>
        </w:rPr>
      </w:pPr>
      <w:bookmarkStart w:id="55" w:name="_Toc15396603"/>
      <w:bookmarkStart w:id="56" w:name="_Toc15377205"/>
      <w:bookmarkStart w:id="57" w:name="_Toc438581898_WPSOffice_Level2"/>
      <w:r>
        <w:rPr>
          <w:rFonts w:hint="eastAsia" w:ascii="黑体" w:hAnsi="黑体" w:eastAsia="黑体"/>
          <w:color w:val="auto"/>
          <w:sz w:val="32"/>
          <w:szCs w:val="32"/>
          <w:highlight w:val="none"/>
        </w:rPr>
        <w:t>收</w:t>
      </w:r>
      <w:r>
        <w:rPr>
          <w:rStyle w:val="26"/>
          <w:rFonts w:hint="eastAsia" w:ascii="黑体" w:hAnsi="黑体" w:eastAsia="黑体"/>
          <w:b w:val="0"/>
          <w:color w:val="auto"/>
          <w:highlight w:val="none"/>
        </w:rPr>
        <w:t>入支出决算总体情况说明</w:t>
      </w:r>
      <w:bookmarkEnd w:id="55"/>
      <w:bookmarkEnd w:id="56"/>
      <w:bookmarkEnd w:id="57"/>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2021年度收、支总计3586.90万元。与2020年相比，收、支总计各减少743.22万元，下降17.16</w:t>
      </w:r>
      <w:r>
        <w:rPr>
          <w:rFonts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。主要变动原因是项目经费减少。</w:t>
      </w:r>
    </w:p>
    <w:p>
      <w:pPr>
        <w:spacing w:line="600" w:lineRule="exact"/>
        <w:rPr>
          <w:rFonts w:hint="eastAsia" w:ascii="仿宋" w:hAnsi="仿宋" w:eastAsia="仿宋"/>
          <w:color w:val="auto"/>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348" w:lineRule="auto"/>
        <w:ind w:left="0" w:right="0" w:firstLine="640" w:firstLineChars="20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（图1：收、支决算总计变动情况图）（柱状图）</w:t>
      </w:r>
    </w:p>
    <w:p>
      <w:pPr>
        <w:pStyle w:val="2"/>
        <w:rPr>
          <w:rFonts w:hint="eastAsia" w:ascii="黑体" w:hAnsi="黑体" w:eastAsia="黑体"/>
          <w:color w:val="auto"/>
          <w:sz w:val="32"/>
          <w:szCs w:val="32"/>
          <w:highlight w:val="none"/>
          <w:lang w:eastAsia="zh-CN"/>
        </w:rPr>
      </w:pPr>
      <w:r>
        <w:drawing>
          <wp:inline distT="0" distB="0" distL="114300" distR="114300">
            <wp:extent cx="5271770" cy="3446780"/>
            <wp:effectExtent l="4445" t="4445" r="19685" b="15875"/>
            <wp:docPr id="102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bookmarkStart w:id="58" w:name="_Toc15377206"/>
      <w:bookmarkStart w:id="59" w:name="_Toc15396604"/>
    </w:p>
    <w:p>
      <w:pPr>
        <w:pStyle w:val="24"/>
        <w:keepNext w:val="0"/>
        <w:keepLines w:val="0"/>
        <w:pageBreakBefore w:val="0"/>
        <w:widowControl w:val="0"/>
        <w:numPr>
          <w:ilvl w:val="0"/>
          <w:numId w:val="0"/>
        </w:numPr>
        <w:kinsoku/>
        <w:wordWrap/>
        <w:overflowPunct/>
        <w:topLinePunct w:val="0"/>
        <w:autoSpaceDE/>
        <w:autoSpaceDN/>
        <w:bidi w:val="0"/>
        <w:adjustRightInd w:val="0"/>
        <w:snapToGrid w:val="0"/>
        <w:spacing w:line="353" w:lineRule="auto"/>
        <w:textAlignment w:val="auto"/>
        <w:outlineLvl w:val="1"/>
        <w:rPr>
          <w:rStyle w:val="26"/>
          <w:rFonts w:ascii="黑体" w:hAnsi="黑体" w:eastAsia="黑体"/>
          <w:b w:val="0"/>
          <w:color w:val="auto"/>
          <w:highlight w:val="none"/>
        </w:rPr>
      </w:pPr>
      <w:r>
        <w:rPr>
          <w:rFonts w:hint="eastAsia" w:ascii="黑体" w:hAnsi="黑体" w:eastAsia="黑体"/>
          <w:color w:val="auto"/>
          <w:sz w:val="32"/>
          <w:szCs w:val="32"/>
          <w:highlight w:val="none"/>
          <w:lang w:eastAsia="zh-CN"/>
        </w:rPr>
        <w:t>　　</w:t>
      </w:r>
      <w:bookmarkStart w:id="60" w:name="_Toc1725147869_WPSOffice_Level2"/>
      <w:r>
        <w:rPr>
          <w:rFonts w:hint="eastAsia" w:ascii="黑体" w:hAnsi="黑体" w:eastAsia="黑体"/>
          <w:color w:val="auto"/>
          <w:sz w:val="32"/>
          <w:szCs w:val="32"/>
          <w:highlight w:val="none"/>
          <w:lang w:eastAsia="zh-CN"/>
        </w:rPr>
        <w:t>二、</w:t>
      </w:r>
      <w:r>
        <w:rPr>
          <w:rFonts w:hint="eastAsia" w:ascii="黑体" w:hAnsi="黑体" w:eastAsia="黑体"/>
          <w:color w:val="auto"/>
          <w:sz w:val="32"/>
          <w:szCs w:val="32"/>
          <w:highlight w:val="none"/>
        </w:rPr>
        <w:t>收</w:t>
      </w:r>
      <w:r>
        <w:rPr>
          <w:rStyle w:val="26"/>
          <w:rFonts w:hint="eastAsia" w:ascii="黑体" w:hAnsi="黑体" w:eastAsia="黑体"/>
          <w:b w:val="0"/>
          <w:color w:val="auto"/>
          <w:highlight w:val="none"/>
        </w:rPr>
        <w:t>入决算情况说明</w:t>
      </w:r>
      <w:bookmarkEnd w:id="58"/>
      <w:bookmarkEnd w:id="59"/>
      <w:bookmarkEnd w:id="60"/>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outlineLvl w:val="1"/>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2021年本年收入合计3539.28万元，其中：一般公共预算财政拨款收入3457.12万元，占97.70%；政府性基金预算财政拨款收入82.16万元，占2.3%</w:t>
      </w:r>
      <w:r>
        <w:rPr>
          <w:rFonts w:hint="eastAsia" w:eastAsia="仿宋_GB2312" w:cs="Times New Roman"/>
          <w:sz w:val="32"/>
          <w:szCs w:val="32"/>
          <w:lang w:val="en-US" w:eastAsia="zh-CN"/>
        </w:rPr>
        <w:t>。</w:t>
      </w:r>
    </w:p>
    <w:p>
      <w:pPr>
        <w:spacing w:line="600" w:lineRule="exact"/>
        <w:rPr>
          <w:rFonts w:hint="eastAsia" w:ascii="仿宋" w:hAnsi="仿宋" w:eastAsia="仿宋"/>
          <w:color w:val="auto"/>
          <w:sz w:val="32"/>
          <w:szCs w:val="32"/>
          <w:highlight w:val="none"/>
        </w:rPr>
      </w:pPr>
    </w:p>
    <w:p>
      <w:pPr>
        <w:spacing w:line="600" w:lineRule="exact"/>
        <w:ind w:firstLine="640" w:firstLineChars="200"/>
        <w:jc w:val="center"/>
        <w:outlineLvl w:val="1"/>
        <w:rPr>
          <w:rFonts w:hint="eastAsia" w:ascii="Times New Roman" w:hAnsi="Times New Roman" w:eastAsia="仿宋_GB2312" w:cs="Times New Roman"/>
          <w:sz w:val="32"/>
          <w:szCs w:val="32"/>
          <w:lang w:val="en-US" w:eastAsia="zh-CN"/>
        </w:rPr>
      </w:pPr>
    </w:p>
    <w:p>
      <w:pPr>
        <w:pStyle w:val="2"/>
        <w:rPr>
          <w:rFonts w:hint="eastAsia"/>
          <w:lang w:val="en-US" w:eastAsia="zh-CN"/>
        </w:rPr>
      </w:pPr>
    </w:p>
    <w:p>
      <w:pPr>
        <w:spacing w:line="600" w:lineRule="exact"/>
        <w:ind w:firstLine="640" w:firstLineChars="200"/>
        <w:jc w:val="center"/>
        <w:outlineLvl w:val="1"/>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（图2：收入决算结构图）（饼状图）</w:t>
      </w:r>
    </w:p>
    <w:p>
      <w:pPr>
        <w:pStyle w:val="2"/>
        <w:rPr>
          <w:rStyle w:val="26"/>
          <w:rFonts w:ascii="黑体" w:hAnsi="黑体" w:eastAsia="黑体"/>
          <w:b w:val="0"/>
          <w:color w:val="auto"/>
          <w:highlight w:val="none"/>
        </w:rPr>
      </w:pPr>
      <w:bookmarkStart w:id="61" w:name="_Toc15396605"/>
      <w:bookmarkStart w:id="62" w:name="_Toc15377207"/>
      <w:r>
        <w:drawing>
          <wp:inline distT="0" distB="0" distL="114300" distR="114300">
            <wp:extent cx="5229225" cy="3668395"/>
            <wp:effectExtent l="4445" t="4445" r="5080" b="2286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24"/>
        <w:keepNext w:val="0"/>
        <w:keepLines w:val="0"/>
        <w:pageBreakBefore w:val="0"/>
        <w:widowControl w:val="0"/>
        <w:numPr>
          <w:ilvl w:val="0"/>
          <w:numId w:val="0"/>
        </w:numPr>
        <w:kinsoku/>
        <w:wordWrap/>
        <w:overflowPunct/>
        <w:topLinePunct w:val="0"/>
        <w:autoSpaceDE/>
        <w:autoSpaceDN/>
        <w:bidi w:val="0"/>
        <w:adjustRightInd w:val="0"/>
        <w:snapToGrid w:val="0"/>
        <w:spacing w:line="392" w:lineRule="auto"/>
        <w:ind w:left="640" w:leftChars="0"/>
        <w:textAlignment w:val="auto"/>
        <w:outlineLvl w:val="1"/>
        <w:rPr>
          <w:rFonts w:hint="eastAsia" w:ascii="黑体" w:hAnsi="黑体" w:eastAsia="黑体"/>
          <w:color w:val="auto"/>
          <w:sz w:val="32"/>
          <w:szCs w:val="32"/>
          <w:highlight w:val="none"/>
          <w:lang w:eastAsia="zh-CN"/>
        </w:rPr>
      </w:pPr>
      <w:bookmarkStart w:id="63" w:name="_Toc1317714266_WPSOffice_Level2"/>
    </w:p>
    <w:p>
      <w:pPr>
        <w:pStyle w:val="24"/>
        <w:keepNext w:val="0"/>
        <w:keepLines w:val="0"/>
        <w:pageBreakBefore w:val="0"/>
        <w:widowControl w:val="0"/>
        <w:numPr>
          <w:ilvl w:val="0"/>
          <w:numId w:val="0"/>
        </w:numPr>
        <w:kinsoku/>
        <w:wordWrap/>
        <w:overflowPunct/>
        <w:topLinePunct w:val="0"/>
        <w:autoSpaceDE/>
        <w:autoSpaceDN/>
        <w:bidi w:val="0"/>
        <w:adjustRightInd w:val="0"/>
        <w:snapToGrid w:val="0"/>
        <w:spacing w:line="392" w:lineRule="auto"/>
        <w:ind w:left="640" w:leftChars="0"/>
        <w:textAlignment w:val="auto"/>
        <w:outlineLvl w:val="1"/>
        <w:rPr>
          <w:rStyle w:val="26"/>
          <w:rFonts w:ascii="黑体" w:hAnsi="黑体" w:eastAsia="黑体"/>
          <w:b w:val="0"/>
          <w:color w:val="auto"/>
          <w:highlight w:val="none"/>
        </w:rPr>
      </w:pPr>
      <w:r>
        <w:rPr>
          <w:rFonts w:hint="eastAsia" w:ascii="黑体" w:hAnsi="黑体" w:eastAsia="黑体"/>
          <w:color w:val="auto"/>
          <w:sz w:val="32"/>
          <w:szCs w:val="32"/>
          <w:highlight w:val="none"/>
          <w:lang w:eastAsia="zh-CN"/>
        </w:rPr>
        <w:t>三、</w:t>
      </w:r>
      <w:r>
        <w:rPr>
          <w:rFonts w:hint="eastAsia" w:ascii="黑体" w:hAnsi="黑体" w:eastAsia="黑体"/>
          <w:color w:val="auto"/>
          <w:sz w:val="32"/>
          <w:szCs w:val="32"/>
          <w:highlight w:val="none"/>
        </w:rPr>
        <w:t>支</w:t>
      </w:r>
      <w:r>
        <w:rPr>
          <w:rStyle w:val="26"/>
          <w:rFonts w:hint="eastAsia" w:ascii="黑体" w:hAnsi="黑体" w:eastAsia="黑体"/>
          <w:b w:val="0"/>
          <w:color w:val="auto"/>
          <w:highlight w:val="none"/>
        </w:rPr>
        <w:t>出决算情况说明</w:t>
      </w:r>
      <w:bookmarkEnd w:id="61"/>
      <w:bookmarkEnd w:id="62"/>
      <w:bookmarkEnd w:id="63"/>
    </w:p>
    <w:p>
      <w:pPr>
        <w:keepNext w:val="0"/>
        <w:keepLines w:val="0"/>
        <w:pageBreakBefore w:val="0"/>
        <w:widowControl w:val="0"/>
        <w:kinsoku/>
        <w:wordWrap/>
        <w:overflowPunct/>
        <w:topLinePunct w:val="0"/>
        <w:autoSpaceDE/>
        <w:autoSpaceDN/>
        <w:bidi w:val="0"/>
        <w:adjustRightInd w:val="0"/>
        <w:snapToGrid w:val="0"/>
        <w:spacing w:line="392" w:lineRule="auto"/>
        <w:ind w:firstLine="640" w:firstLineChars="200"/>
        <w:textAlignment w:val="auto"/>
        <w:outlineLvl w:val="1"/>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2021年本年支出合计3567.90万元，其中：基本支出2964.31万元，占83.08%；项目支出603.59万元，占16.92%</w:t>
      </w:r>
      <w:r>
        <w:rPr>
          <w:rFonts w:hint="eastAsia"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spacing w:line="392" w:lineRule="auto"/>
        <w:ind w:firstLine="640" w:firstLineChars="200"/>
        <w:jc w:val="center"/>
        <w:textAlignment w:val="auto"/>
        <w:outlineLvl w:val="1"/>
        <w:rPr>
          <w:rFonts w:hint="eastAsia" w:ascii="Times New Roman" w:hAnsi="Times New Roman" w:eastAsia="仿宋_GB2312" w:cs="Times New Roman"/>
          <w:sz w:val="32"/>
          <w:szCs w:val="32"/>
          <w:lang w:val="en-US" w:eastAsia="zh-CN"/>
        </w:rPr>
      </w:pPr>
    </w:p>
    <w:p>
      <w:pPr>
        <w:pStyle w:val="2"/>
        <w:keepNext w:val="0"/>
        <w:keepLines w:val="0"/>
        <w:pageBreakBefore w:val="0"/>
        <w:widowControl w:val="0"/>
        <w:kinsoku/>
        <w:wordWrap/>
        <w:overflowPunct/>
        <w:topLinePunct w:val="0"/>
        <w:autoSpaceDE/>
        <w:autoSpaceDN/>
        <w:bidi w:val="0"/>
        <w:spacing w:line="392" w:lineRule="auto"/>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spacing w:line="392" w:lineRule="auto"/>
        <w:ind w:firstLine="640" w:firstLineChars="200"/>
        <w:jc w:val="center"/>
        <w:textAlignment w:val="auto"/>
        <w:outlineLvl w:val="1"/>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（图3：支出决算结构图）（饼状图）</w:t>
      </w:r>
      <w:bookmarkStart w:id="64" w:name="_Toc15377208"/>
      <w:bookmarkStart w:id="65" w:name="_Toc15396606"/>
    </w:p>
    <w:p>
      <w:pPr>
        <w:keepNext w:val="0"/>
        <w:keepLines w:val="0"/>
        <w:pageBreakBefore w:val="0"/>
        <w:widowControl w:val="0"/>
        <w:numPr>
          <w:ilvl w:val="0"/>
          <w:numId w:val="0"/>
        </w:numPr>
        <w:kinsoku/>
        <w:wordWrap/>
        <w:overflowPunct/>
        <w:topLinePunct w:val="0"/>
        <w:autoSpaceDE/>
        <w:autoSpaceDN/>
        <w:bidi w:val="0"/>
        <w:adjustRightInd w:val="0"/>
        <w:snapToGrid w:val="0"/>
        <w:spacing w:line="353" w:lineRule="auto"/>
        <w:textAlignment w:val="auto"/>
        <w:outlineLvl w:val="1"/>
        <w:rPr>
          <w:rFonts w:hint="eastAsia" w:ascii="黑体" w:hAnsi="黑体" w:eastAsia="黑体"/>
          <w:color w:val="auto"/>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53" w:lineRule="auto"/>
        <w:textAlignment w:val="auto"/>
        <w:outlineLvl w:val="1"/>
        <w:rPr>
          <w:rFonts w:hint="eastAsia"/>
          <w:sz w:val="15"/>
          <w:szCs w:val="15"/>
          <w:lang w:eastAsia="zh-CN"/>
        </w:rPr>
      </w:pPr>
      <w:r>
        <w:drawing>
          <wp:anchor distT="0" distB="0" distL="114300" distR="114300" simplePos="0" relativeHeight="251660288" behindDoc="1" locked="0" layoutInCell="1" allowOverlap="1">
            <wp:simplePos x="0" y="0"/>
            <wp:positionH relativeFrom="column">
              <wp:posOffset>-635</wp:posOffset>
            </wp:positionH>
            <wp:positionV relativeFrom="paragraph">
              <wp:posOffset>115570</wp:posOffset>
            </wp:positionV>
            <wp:extent cx="5229225" cy="3275330"/>
            <wp:effectExtent l="4445" t="4445" r="5080" b="15875"/>
            <wp:wrapTight wrapText="bothSides">
              <wp:wrapPolygon>
                <wp:start x="-18" y="-29"/>
                <wp:lineTo x="-18" y="21453"/>
                <wp:lineTo x="21542" y="21453"/>
                <wp:lineTo x="21542" y="-29"/>
                <wp:lineTo x="-18" y="-29"/>
              </wp:wrapPolygon>
            </wp:wrapTight>
            <wp:docPr id="4"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353" w:lineRule="auto"/>
        <w:textAlignment w:val="auto"/>
        <w:outlineLvl w:val="1"/>
        <w:rPr>
          <w:rStyle w:val="26"/>
          <w:rFonts w:hint="eastAsia" w:ascii="黑体" w:hAnsi="黑体" w:eastAsia="黑体"/>
          <w:b w:val="0"/>
          <w:color w:val="auto"/>
          <w:highlight w:val="none"/>
        </w:rPr>
      </w:pPr>
      <w:r>
        <w:rPr>
          <w:rFonts w:hint="eastAsia" w:ascii="黑体" w:hAnsi="黑体" w:eastAsia="黑体"/>
          <w:color w:val="auto"/>
          <w:sz w:val="32"/>
          <w:szCs w:val="32"/>
          <w:highlight w:val="none"/>
          <w:lang w:eastAsia="zh-CN"/>
        </w:rPr>
        <w:t>　　四、</w:t>
      </w:r>
      <w:r>
        <w:rPr>
          <w:rFonts w:hint="eastAsia" w:ascii="黑体" w:hAnsi="黑体" w:eastAsia="黑体"/>
          <w:color w:val="auto"/>
          <w:sz w:val="32"/>
          <w:szCs w:val="32"/>
          <w:highlight w:val="none"/>
        </w:rPr>
        <w:t>财</w:t>
      </w:r>
      <w:r>
        <w:rPr>
          <w:rStyle w:val="26"/>
          <w:rFonts w:hint="eastAsia" w:ascii="黑体" w:hAnsi="黑体" w:eastAsia="黑体"/>
          <w:b w:val="0"/>
          <w:color w:val="auto"/>
          <w:highlight w:val="none"/>
        </w:rPr>
        <w:t>政拨款收入支出决算总体情况说明</w:t>
      </w:r>
      <w:bookmarkEnd w:id="64"/>
      <w:bookmarkEnd w:id="65"/>
    </w:p>
    <w:p>
      <w:pPr>
        <w:keepNext w:val="0"/>
        <w:keepLines w:val="0"/>
        <w:pageBreakBefore w:val="0"/>
        <w:widowControl w:val="0"/>
        <w:numPr>
          <w:ilvl w:val="0"/>
          <w:numId w:val="0"/>
        </w:numPr>
        <w:kinsoku/>
        <w:wordWrap/>
        <w:overflowPunct/>
        <w:topLinePunct w:val="0"/>
        <w:autoSpaceDE/>
        <w:autoSpaceDN/>
        <w:bidi w:val="0"/>
        <w:adjustRightInd w:val="0"/>
        <w:snapToGrid w:val="0"/>
        <w:spacing w:line="353" w:lineRule="auto"/>
        <w:textAlignment w:val="auto"/>
        <w:outlineLvl w:val="1"/>
        <w:rPr>
          <w:rFonts w:hint="eastAsia"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　　</w:t>
      </w:r>
      <w:r>
        <w:rPr>
          <w:rFonts w:hint="eastAsia" w:ascii="Times New Roman" w:hAnsi="Times New Roman" w:eastAsia="仿宋_GB2312" w:cs="Times New Roman"/>
          <w:sz w:val="32"/>
          <w:szCs w:val="32"/>
          <w:lang w:val="en-US" w:eastAsia="zh-CN"/>
        </w:rPr>
        <w:t>2021年财政拨款收、支总计3586.90万元。与2020年相比，财政拨款收、支总计各减少730.47万元，下降16.92%。主要变动原因是项目经费减少。</w:t>
      </w:r>
    </w:p>
    <w:p>
      <w:pPr>
        <w:keepNext w:val="0"/>
        <w:keepLines w:val="0"/>
        <w:pageBreakBefore w:val="0"/>
        <w:widowControl w:val="0"/>
        <w:numPr>
          <w:ilvl w:val="0"/>
          <w:numId w:val="0"/>
        </w:numPr>
        <w:kinsoku/>
        <w:wordWrap/>
        <w:overflowPunct/>
        <w:topLinePunct w:val="0"/>
        <w:autoSpaceDE/>
        <w:autoSpaceDN/>
        <w:bidi w:val="0"/>
        <w:adjustRightInd w:val="0"/>
        <w:snapToGrid w:val="0"/>
        <w:spacing w:line="353" w:lineRule="auto"/>
        <w:jc w:val="center"/>
        <w:textAlignment w:val="auto"/>
        <w:outlineLvl w:val="1"/>
        <w:rPr>
          <w:rFonts w:hint="eastAsia" w:ascii="Times New Roman" w:hAnsi="Times New Roman" w:eastAsia="仿宋_GB2312" w:cs="Times New Roman"/>
          <w:sz w:val="13"/>
          <w:szCs w:val="13"/>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53" w:lineRule="auto"/>
        <w:jc w:val="center"/>
        <w:textAlignment w:val="auto"/>
        <w:outlineLvl w:val="1"/>
        <w:rPr>
          <w:rFonts w:hint="eastAsia" w:ascii="黑体" w:hAnsi="黑体" w:eastAsia="黑体"/>
          <w:color w:val="auto"/>
          <w:sz w:val="32"/>
          <w:szCs w:val="32"/>
          <w:highlight w:val="none"/>
        </w:rPr>
      </w:pPr>
      <w:r>
        <w:rPr>
          <w:rFonts w:hint="eastAsia" w:ascii="Times New Roman" w:hAnsi="Times New Roman" w:eastAsia="仿宋_GB2312" w:cs="Times New Roman"/>
          <w:sz w:val="32"/>
          <w:szCs w:val="32"/>
          <w:lang w:val="en-US" w:eastAsia="zh-CN"/>
        </w:rPr>
        <w:drawing>
          <wp:anchor distT="0" distB="0" distL="114300" distR="114300" simplePos="0" relativeHeight="251658240" behindDoc="1" locked="0" layoutInCell="1" allowOverlap="1">
            <wp:simplePos x="0" y="0"/>
            <wp:positionH relativeFrom="column">
              <wp:posOffset>-56515</wp:posOffset>
            </wp:positionH>
            <wp:positionV relativeFrom="paragraph">
              <wp:posOffset>379095</wp:posOffset>
            </wp:positionV>
            <wp:extent cx="5404485" cy="3208655"/>
            <wp:effectExtent l="4445" t="4445" r="20320" b="6350"/>
            <wp:wrapTight wrapText="bothSides">
              <wp:wrapPolygon>
                <wp:start x="-18" y="-30"/>
                <wp:lineTo x="-18" y="21515"/>
                <wp:lineTo x="21529" y="21515"/>
                <wp:lineTo x="21529" y="-30"/>
                <wp:lineTo x="-18" y="-30"/>
              </wp:wrapPolygon>
            </wp:wrapTight>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hint="eastAsia" w:ascii="Times New Roman" w:hAnsi="Times New Roman" w:eastAsia="仿宋_GB2312" w:cs="Times New Roman"/>
          <w:sz w:val="32"/>
          <w:szCs w:val="32"/>
          <w:lang w:val="en-US" w:eastAsia="zh-CN"/>
        </w:rPr>
        <w:t>（图4：财政拨款收、支决算总计变动情况）（柱状图）</w:t>
      </w:r>
      <w:bookmarkStart w:id="66" w:name="_Toc15377209"/>
      <w:bookmarkStart w:id="67" w:name="_Toc15396607"/>
    </w:p>
    <w:p>
      <w:pPr>
        <w:keepNext w:val="0"/>
        <w:keepLines w:val="0"/>
        <w:pageBreakBefore w:val="0"/>
        <w:widowControl w:val="0"/>
        <w:kinsoku/>
        <w:wordWrap/>
        <w:overflowPunct/>
        <w:topLinePunct w:val="0"/>
        <w:autoSpaceDE/>
        <w:autoSpaceDN/>
        <w:bidi w:val="0"/>
        <w:spacing w:line="353" w:lineRule="auto"/>
        <w:ind w:firstLine="640"/>
        <w:textAlignment w:val="auto"/>
        <w:rPr>
          <w:rStyle w:val="26"/>
          <w:rFonts w:ascii="黑体" w:hAnsi="黑体" w:eastAsia="黑体"/>
          <w:b w:val="0"/>
          <w:bCs/>
          <w:color w:val="auto"/>
          <w:highlight w:val="none"/>
        </w:rPr>
      </w:pPr>
      <w:bookmarkStart w:id="68" w:name="_Toc203257531_WPSOffice_Level2"/>
      <w:r>
        <w:rPr>
          <w:rFonts w:hint="eastAsia" w:ascii="黑体" w:hAnsi="黑体" w:eastAsia="黑体"/>
          <w:color w:val="auto"/>
          <w:sz w:val="32"/>
          <w:szCs w:val="32"/>
          <w:highlight w:val="none"/>
        </w:rPr>
        <w:t>五、</w:t>
      </w:r>
      <w:r>
        <w:rPr>
          <w:rFonts w:hint="eastAsia" w:ascii="黑体" w:hAnsi="黑体" w:eastAsia="黑体"/>
          <w:b w:val="0"/>
          <w:bCs/>
          <w:color w:val="auto"/>
          <w:sz w:val="32"/>
          <w:szCs w:val="32"/>
          <w:highlight w:val="none"/>
        </w:rPr>
        <w:t>一</w:t>
      </w:r>
      <w:r>
        <w:rPr>
          <w:rStyle w:val="26"/>
          <w:rFonts w:hint="eastAsia" w:ascii="黑体" w:hAnsi="黑体" w:eastAsia="黑体"/>
          <w:b w:val="0"/>
          <w:bCs/>
          <w:color w:val="auto"/>
          <w:highlight w:val="none"/>
        </w:rPr>
        <w:t>般公共预算财政拨款支出决算情况说明</w:t>
      </w:r>
      <w:bookmarkEnd w:id="66"/>
      <w:bookmarkEnd w:id="67"/>
      <w:bookmarkEnd w:id="68"/>
    </w:p>
    <w:p>
      <w:pPr>
        <w:keepNext w:val="0"/>
        <w:keepLines w:val="0"/>
        <w:pageBreakBefore w:val="0"/>
        <w:widowControl w:val="0"/>
        <w:kinsoku/>
        <w:wordWrap/>
        <w:overflowPunct/>
        <w:topLinePunct w:val="0"/>
        <w:autoSpaceDE/>
        <w:autoSpaceDN/>
        <w:bidi w:val="0"/>
        <w:adjustRightInd w:val="0"/>
        <w:snapToGrid w:val="0"/>
        <w:spacing w:line="348" w:lineRule="auto"/>
        <w:ind w:left="0" w:right="0" w:firstLine="640" w:firstLineChars="200"/>
        <w:jc w:val="both"/>
        <w:textAlignment w:val="auto"/>
        <w:outlineLvl w:val="9"/>
        <w:rPr>
          <w:rFonts w:hint="eastAsia" w:ascii="Times New Roman" w:hAnsi="Times New Roman" w:eastAsia="仿宋_GB2312" w:cs="Times New Roman"/>
          <w:sz w:val="32"/>
          <w:szCs w:val="32"/>
          <w:lang w:val="en-US" w:eastAsia="zh-CN"/>
        </w:rPr>
      </w:pPr>
      <w:bookmarkStart w:id="69" w:name="_Toc15377210"/>
      <w:r>
        <w:rPr>
          <w:rFonts w:hint="eastAsia" w:ascii="楷体_GB2312" w:eastAsia="楷体_GB2312" w:cs="楷体_GB2312"/>
          <w:b w:val="0"/>
          <w:bCs w:val="0"/>
          <w:sz w:val="32"/>
          <w:szCs w:val="32"/>
          <w:lang w:val="en-US" w:eastAsia="zh-CN"/>
        </w:rPr>
        <w:t>（一）一般公共预算财政拨款支出决算总体情况</w:t>
      </w:r>
      <w:bookmarkEnd w:id="69"/>
      <w:r>
        <w:rPr>
          <w:rFonts w:hint="eastAsia" w:ascii="楷体_GB2312" w:eastAsia="楷体_GB2312" w:cs="楷体_GB2312"/>
          <w:b w:val="0"/>
          <w:bCs w:val="0"/>
          <w:sz w:val="32"/>
          <w:szCs w:val="32"/>
          <w:lang w:val="en-US" w:eastAsia="zh-CN"/>
        </w:rPr>
        <w:t>。</w:t>
      </w:r>
      <w:r>
        <w:rPr>
          <w:rFonts w:hint="eastAsia" w:ascii="Times New Roman" w:hAnsi="Times New Roman" w:eastAsia="仿宋_GB2312" w:cs="Times New Roman"/>
          <w:sz w:val="32"/>
          <w:szCs w:val="32"/>
          <w:lang w:val="en-US" w:eastAsia="zh-CN"/>
        </w:rPr>
        <w:t>2021年一般公共预算财政拨款支出3485.74万元，占本年支出合计的97.70%。与2020年相比，一般公共预算财政拨款支出减少45.07万元，下降1.28%。主要变动原因是项目经费减少。</w:t>
      </w:r>
    </w:p>
    <w:p>
      <w:pPr>
        <w:keepNext w:val="0"/>
        <w:keepLines w:val="0"/>
        <w:pageBreakBefore w:val="0"/>
        <w:widowControl w:val="0"/>
        <w:numPr>
          <w:ilvl w:val="0"/>
          <w:numId w:val="0"/>
        </w:numPr>
        <w:kinsoku/>
        <w:wordWrap/>
        <w:overflowPunct/>
        <w:topLinePunct w:val="0"/>
        <w:autoSpaceDE/>
        <w:autoSpaceDN/>
        <w:bidi w:val="0"/>
        <w:adjustRightInd w:val="0"/>
        <w:snapToGrid w:val="0"/>
        <w:spacing w:line="353" w:lineRule="auto"/>
        <w:jc w:val="center"/>
        <w:textAlignment w:val="auto"/>
        <w:outlineLvl w:val="1"/>
        <w:rPr>
          <w:rFonts w:hint="eastAsia" w:ascii="Times New Roman" w:hAnsi="Times New Roman" w:eastAsia="仿宋_GB2312" w:cs="Times New Roman"/>
          <w:snapToGrid w:val="0"/>
          <w:spacing w:val="-11"/>
          <w:kern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53" w:lineRule="auto"/>
        <w:jc w:val="center"/>
        <w:textAlignment w:val="auto"/>
        <w:outlineLvl w:val="1"/>
        <w:rPr>
          <w:rFonts w:hint="eastAsia" w:ascii="Times New Roman" w:hAnsi="Times New Roman" w:eastAsia="仿宋_GB2312" w:cs="Times New Roman"/>
          <w:snapToGrid w:val="0"/>
          <w:spacing w:val="-11"/>
          <w:kern w:val="0"/>
          <w:sz w:val="32"/>
          <w:szCs w:val="32"/>
          <w:lang w:val="en-US" w:eastAsia="zh-CN"/>
        </w:rPr>
      </w:pPr>
      <w:r>
        <w:rPr>
          <w:rFonts w:hint="eastAsia" w:ascii="Times New Roman" w:hAnsi="Times New Roman" w:eastAsia="仿宋_GB2312" w:cs="Times New Roman"/>
          <w:snapToGrid w:val="0"/>
          <w:spacing w:val="-11"/>
          <w:kern w:val="0"/>
          <w:sz w:val="32"/>
          <w:szCs w:val="32"/>
          <w:lang w:val="en-US" w:eastAsia="zh-CN"/>
        </w:rPr>
        <w:t>（图5：一般公共预算财政拨款支出决算变动情况</w:t>
      </w:r>
      <w:r>
        <w:rPr>
          <w:rFonts w:hint="eastAsia" w:eastAsia="仿宋_GB2312" w:cs="Times New Roman"/>
          <w:snapToGrid w:val="0"/>
          <w:spacing w:val="-11"/>
          <w:kern w:val="0"/>
          <w:sz w:val="32"/>
          <w:szCs w:val="32"/>
          <w:lang w:val="en-US" w:eastAsia="zh-CN"/>
        </w:rPr>
        <w:t>）</w:t>
      </w:r>
      <w:r>
        <w:rPr>
          <w:rFonts w:hint="eastAsia" w:ascii="Times New Roman" w:hAnsi="Times New Roman" w:eastAsia="仿宋_GB2312" w:cs="Times New Roman"/>
          <w:snapToGrid w:val="0"/>
          <w:spacing w:val="-11"/>
          <w:kern w:val="0"/>
          <w:sz w:val="32"/>
          <w:szCs w:val="32"/>
          <w:lang w:val="en-US" w:eastAsia="zh-CN"/>
        </w:rPr>
        <w:t>（柱状图）</w:t>
      </w:r>
    </w:p>
    <w:p>
      <w:pPr>
        <w:spacing w:line="600" w:lineRule="exact"/>
        <w:outlineLvl w:val="2"/>
        <w:rPr>
          <w:rFonts w:hint="eastAsia" w:ascii="仿宋" w:hAnsi="仿宋" w:eastAsia="仿宋"/>
          <w:b/>
          <w:color w:val="auto"/>
          <w:sz w:val="32"/>
          <w:szCs w:val="32"/>
          <w:highlight w:val="none"/>
        </w:rPr>
      </w:pPr>
      <w:bookmarkStart w:id="70" w:name="_Toc15377211"/>
      <w:r>
        <w:drawing>
          <wp:anchor distT="0" distB="0" distL="114300" distR="114300" simplePos="0" relativeHeight="251659264" behindDoc="1" locked="0" layoutInCell="1" allowOverlap="1">
            <wp:simplePos x="0" y="0"/>
            <wp:positionH relativeFrom="column">
              <wp:posOffset>33020</wp:posOffset>
            </wp:positionH>
            <wp:positionV relativeFrom="paragraph">
              <wp:posOffset>134620</wp:posOffset>
            </wp:positionV>
            <wp:extent cx="5271770" cy="3446780"/>
            <wp:effectExtent l="4445" t="4445" r="19685" b="15875"/>
            <wp:wrapTight wrapText="bothSides">
              <wp:wrapPolygon>
                <wp:start x="-18" y="-28"/>
                <wp:lineTo x="-18" y="21461"/>
                <wp:lineTo x="21525" y="21461"/>
                <wp:lineTo x="21525" y="-28"/>
                <wp:lineTo x="-18" y="-28"/>
              </wp:wrapPolygon>
            </wp:wrapTight>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keepNext w:val="0"/>
        <w:keepLines w:val="0"/>
        <w:pageBreakBefore w:val="0"/>
        <w:widowControl w:val="0"/>
        <w:kinsoku/>
        <w:wordWrap/>
        <w:overflowPunct/>
        <w:topLinePunct w:val="0"/>
        <w:autoSpaceDE/>
        <w:autoSpaceDN/>
        <w:bidi w:val="0"/>
        <w:adjustRightInd w:val="0"/>
        <w:snapToGrid w:val="0"/>
        <w:spacing w:line="348" w:lineRule="auto"/>
        <w:ind w:left="0" w:right="0" w:firstLine="640" w:firstLineChars="200"/>
        <w:jc w:val="both"/>
        <w:textAlignment w:val="auto"/>
        <w:outlineLvl w:val="9"/>
        <w:rPr>
          <w:rFonts w:hint="eastAsia" w:ascii="Times New Roman" w:hAnsi="Times New Roman" w:eastAsia="仿宋_GB2312" w:cs="Times New Roman"/>
          <w:snapToGrid w:val="0"/>
          <w:spacing w:val="-11"/>
          <w:kern w:val="0"/>
          <w:sz w:val="32"/>
          <w:szCs w:val="32"/>
          <w:lang w:val="en-US" w:eastAsia="zh-CN"/>
        </w:rPr>
      </w:pPr>
      <w:r>
        <w:rPr>
          <w:rFonts w:hint="eastAsia" w:ascii="楷体_GB2312" w:eastAsia="楷体_GB2312" w:cs="楷体_GB2312"/>
          <w:b w:val="0"/>
          <w:bCs w:val="0"/>
          <w:sz w:val="32"/>
          <w:szCs w:val="32"/>
          <w:lang w:val="en-US" w:eastAsia="zh-CN"/>
        </w:rPr>
        <w:t>（二）一般公共预算财政拨款支出决算结构情况</w:t>
      </w:r>
      <w:bookmarkEnd w:id="70"/>
      <w:r>
        <w:rPr>
          <w:rFonts w:hint="eastAsia" w:ascii="楷体_GB2312" w:eastAsia="楷体_GB2312" w:cs="楷体_GB2312"/>
          <w:b w:val="0"/>
          <w:bCs w:val="0"/>
          <w:sz w:val="32"/>
          <w:szCs w:val="32"/>
          <w:lang w:val="en-US" w:eastAsia="zh-CN"/>
        </w:rPr>
        <w:t>。</w:t>
      </w:r>
      <w:r>
        <w:rPr>
          <w:rFonts w:hint="eastAsia" w:ascii="Times New Roman" w:hAnsi="Times New Roman" w:eastAsia="仿宋_GB2312" w:cs="Times New Roman"/>
          <w:snapToGrid w:val="0"/>
          <w:spacing w:val="-11"/>
          <w:kern w:val="0"/>
          <w:sz w:val="32"/>
          <w:szCs w:val="32"/>
          <w:lang w:val="en-US" w:eastAsia="zh-CN"/>
        </w:rPr>
        <w:t>2021年一般公共预算财政拨款支出3485.74万元，主要用于以下方面</w:t>
      </w:r>
      <w:r>
        <w:rPr>
          <w:rFonts w:hint="eastAsia" w:eastAsia="仿宋_GB2312" w:cs="Times New Roman"/>
          <w:snapToGrid w:val="0"/>
          <w:spacing w:val="-11"/>
          <w:kern w:val="0"/>
          <w:sz w:val="32"/>
          <w:szCs w:val="32"/>
          <w:lang w:val="en-US" w:eastAsia="zh-CN"/>
        </w:rPr>
        <w:t>：</w:t>
      </w:r>
      <w:r>
        <w:rPr>
          <w:rFonts w:hint="eastAsia" w:ascii="Times New Roman" w:hAnsi="Times New Roman" w:eastAsia="仿宋_GB2312" w:cs="Times New Roman"/>
          <w:snapToGrid w:val="0"/>
          <w:spacing w:val="-11"/>
          <w:kern w:val="0"/>
          <w:sz w:val="32"/>
          <w:szCs w:val="32"/>
          <w:lang w:val="en-US" w:eastAsia="zh-CN"/>
        </w:rPr>
        <w:t>一般公共服务（类）支出2682.1</w:t>
      </w:r>
      <w:r>
        <w:rPr>
          <w:rFonts w:hint="eastAsia" w:eastAsia="仿宋_GB2312" w:cs="Times New Roman"/>
          <w:snapToGrid w:val="0"/>
          <w:spacing w:val="-11"/>
          <w:kern w:val="0"/>
          <w:sz w:val="32"/>
          <w:szCs w:val="32"/>
          <w:lang w:val="en-US" w:eastAsia="zh-CN"/>
        </w:rPr>
        <w:t>9</w:t>
      </w:r>
      <w:r>
        <w:rPr>
          <w:rFonts w:hint="eastAsia" w:ascii="Times New Roman" w:hAnsi="Times New Roman" w:eastAsia="仿宋_GB2312" w:cs="Times New Roman"/>
          <w:snapToGrid w:val="0"/>
          <w:spacing w:val="-11"/>
          <w:kern w:val="0"/>
          <w:sz w:val="32"/>
          <w:szCs w:val="32"/>
          <w:lang w:val="en-US" w:eastAsia="zh-CN"/>
        </w:rPr>
        <w:t>万元，占76.95%；社会保障和就业（类）支出607.36万元，占17.42%；住房保障支出183.26万元，占5.26%；农林水（类）支出6.34万元，占0.18%；灾害防治及应急管理（类）支出6.59万元，占0.19%。</w:t>
      </w:r>
    </w:p>
    <w:p>
      <w:pPr>
        <w:keepNext w:val="0"/>
        <w:keepLines w:val="0"/>
        <w:pageBreakBefore w:val="0"/>
        <w:widowControl w:val="0"/>
        <w:numPr>
          <w:ilvl w:val="0"/>
          <w:numId w:val="0"/>
        </w:numPr>
        <w:kinsoku/>
        <w:wordWrap/>
        <w:overflowPunct/>
        <w:topLinePunct w:val="0"/>
        <w:autoSpaceDE/>
        <w:autoSpaceDN/>
        <w:bidi w:val="0"/>
        <w:adjustRightInd w:val="0"/>
        <w:snapToGrid w:val="0"/>
        <w:spacing w:line="353" w:lineRule="auto"/>
        <w:ind w:firstLine="0" w:firstLineChars="0"/>
        <w:jc w:val="center"/>
        <w:textAlignment w:val="auto"/>
        <w:outlineLvl w:val="1"/>
        <w:rPr>
          <w:rFonts w:hint="eastAsia" w:ascii="Times New Roman" w:hAnsi="Times New Roman" w:eastAsia="仿宋_GB2312" w:cs="Times New Roman"/>
          <w:snapToGrid w:val="0"/>
          <w:spacing w:val="-11"/>
          <w:kern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53" w:lineRule="auto"/>
        <w:ind w:firstLine="0" w:firstLineChars="0"/>
        <w:jc w:val="center"/>
        <w:textAlignment w:val="auto"/>
        <w:outlineLvl w:val="1"/>
        <w:rPr>
          <w:rFonts w:hint="eastAsia"/>
          <w:lang w:val="en-US" w:eastAsia="zh-CN"/>
        </w:rPr>
      </w:pPr>
      <w:r>
        <w:rPr>
          <w:rFonts w:hint="eastAsia" w:ascii="Times New Roman" w:hAnsi="Times New Roman" w:eastAsia="仿宋_GB2312" w:cs="Times New Roman"/>
          <w:snapToGrid w:val="0"/>
          <w:spacing w:val="-11"/>
          <w:kern w:val="0"/>
          <w:sz w:val="32"/>
          <w:szCs w:val="32"/>
          <w:lang w:val="en-US" w:eastAsia="zh-CN"/>
        </w:rPr>
        <w:t>（图6：一般公共预算财政拨款支出决算结构）（饼状图）</w:t>
      </w:r>
    </w:p>
    <w:p>
      <w:pPr>
        <w:pStyle w:val="2"/>
        <w:keepNext w:val="0"/>
        <w:keepLines w:val="0"/>
        <w:pageBreakBefore w:val="0"/>
        <w:widowControl w:val="0"/>
        <w:kinsoku/>
        <w:wordWrap/>
        <w:overflowPunct/>
        <w:topLinePunct w:val="0"/>
        <w:autoSpaceDE/>
        <w:autoSpaceDN/>
        <w:bidi w:val="0"/>
        <w:adjustRightInd w:val="0"/>
        <w:snapToGrid w:val="0"/>
        <w:spacing w:line="353" w:lineRule="auto"/>
        <w:textAlignment w:val="auto"/>
      </w:pPr>
      <w:bookmarkStart w:id="71" w:name="_Toc15377212"/>
      <w:r>
        <w:drawing>
          <wp:inline distT="0" distB="0" distL="114300" distR="114300">
            <wp:extent cx="5229225" cy="4281170"/>
            <wp:effectExtent l="4445" t="4445" r="5080" b="19685"/>
            <wp:docPr id="5"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2"/>
        <w:keepNext w:val="0"/>
        <w:keepLines w:val="0"/>
        <w:pageBreakBefore w:val="0"/>
        <w:widowControl w:val="0"/>
        <w:kinsoku/>
        <w:wordWrap/>
        <w:overflowPunct/>
        <w:topLinePunct w:val="0"/>
        <w:autoSpaceDE/>
        <w:autoSpaceDN/>
        <w:bidi w:val="0"/>
        <w:adjustRightInd w:val="0"/>
        <w:snapToGrid w:val="0"/>
        <w:spacing w:line="368" w:lineRule="auto"/>
        <w:textAlignment w:val="auto"/>
        <w:rPr>
          <w:rFonts w:ascii="仿宋" w:hAnsi="仿宋" w:eastAsia="仿宋"/>
          <w:color w:val="auto"/>
          <w:sz w:val="32"/>
          <w:szCs w:val="32"/>
          <w:highlight w:val="none"/>
        </w:rPr>
      </w:pPr>
      <w:r>
        <w:rPr>
          <w:rFonts w:hint="eastAsia" w:ascii="楷体_GB2312" w:eastAsia="楷体_GB2312" w:cs="楷体_GB2312"/>
          <w:b w:val="0"/>
          <w:bCs w:val="0"/>
          <w:kern w:val="2"/>
          <w:sz w:val="32"/>
          <w:szCs w:val="32"/>
          <w:lang w:val="en-US" w:eastAsia="zh-CN" w:bidi="ar-SA"/>
        </w:rPr>
        <w:t>　　</w:t>
      </w:r>
      <w:r>
        <w:rPr>
          <w:rFonts w:hint="eastAsia" w:ascii="楷体_GB2312" w:hAnsi="Times New Roman" w:eastAsia="楷体_GB2312" w:cs="楷体_GB2312"/>
          <w:b w:val="0"/>
          <w:bCs w:val="0"/>
          <w:kern w:val="2"/>
          <w:sz w:val="32"/>
          <w:szCs w:val="32"/>
          <w:lang w:val="en-US" w:eastAsia="zh-CN" w:bidi="ar-SA"/>
        </w:rPr>
        <w:t>（三）一般公共预算财政拨款支出决算具体情况</w:t>
      </w:r>
      <w:bookmarkEnd w:id="71"/>
      <w:r>
        <w:rPr>
          <w:rFonts w:hint="eastAsia" w:ascii="楷体_GB2312" w:eastAsia="楷体_GB2312" w:cs="楷体_GB2312"/>
          <w:b w:val="0"/>
          <w:bCs w:val="0"/>
          <w:kern w:val="2"/>
          <w:sz w:val="32"/>
          <w:szCs w:val="32"/>
          <w:lang w:val="en-US" w:eastAsia="zh-CN" w:bidi="ar-SA"/>
        </w:rPr>
        <w:t>。</w:t>
      </w:r>
      <w:bookmarkStart w:id="72" w:name="_Toc15377213"/>
      <w:bookmarkStart w:id="73" w:name="_Toc15378460"/>
      <w:bookmarkStart w:id="74" w:name="_Toc15377444"/>
      <w:r>
        <w:rPr>
          <w:rFonts w:hint="eastAsia" w:ascii="Times New Roman" w:hAnsi="Times New Roman" w:eastAsia="仿宋_GB2312" w:cs="Times New Roman"/>
          <w:snapToGrid w:val="0"/>
          <w:spacing w:val="-11"/>
          <w:kern w:val="0"/>
          <w:sz w:val="32"/>
          <w:szCs w:val="32"/>
          <w:lang w:val="en-US" w:eastAsia="zh-CN"/>
        </w:rPr>
        <w:t>2021年一般公共预算支出决算数为3485.74</w:t>
      </w:r>
      <w:r>
        <w:rPr>
          <w:rFonts w:hint="eastAsia" w:ascii="Times New Roman" w:cs="Times New Roman"/>
          <w:snapToGrid w:val="0"/>
          <w:spacing w:val="-11"/>
          <w:kern w:val="0"/>
          <w:sz w:val="32"/>
          <w:szCs w:val="32"/>
          <w:lang w:val="en-US" w:eastAsia="zh-CN"/>
        </w:rPr>
        <w:t>万元</w:t>
      </w:r>
      <w:r>
        <w:rPr>
          <w:rFonts w:hint="eastAsia" w:ascii="Times New Roman" w:hAnsi="Times New Roman" w:eastAsia="仿宋_GB2312" w:cs="Times New Roman"/>
          <w:snapToGrid w:val="0"/>
          <w:spacing w:val="-11"/>
          <w:kern w:val="0"/>
          <w:sz w:val="32"/>
          <w:szCs w:val="32"/>
          <w:lang w:val="en-US" w:eastAsia="zh-CN"/>
        </w:rPr>
        <w:t>，完成预算100%。其中：</w:t>
      </w:r>
      <w:bookmarkEnd w:id="72"/>
      <w:bookmarkEnd w:id="73"/>
      <w:bookmarkEnd w:id="74"/>
    </w:p>
    <w:p>
      <w:pPr>
        <w:keepNext w:val="0"/>
        <w:keepLines w:val="0"/>
        <w:pageBreakBefore w:val="0"/>
        <w:widowControl w:val="0"/>
        <w:numPr>
          <w:ilvl w:val="0"/>
          <w:numId w:val="0"/>
        </w:numPr>
        <w:kinsoku/>
        <w:wordWrap/>
        <w:overflowPunct/>
        <w:topLinePunct w:val="0"/>
        <w:autoSpaceDE/>
        <w:autoSpaceDN/>
        <w:bidi w:val="0"/>
        <w:adjustRightInd w:val="0"/>
        <w:snapToGrid w:val="0"/>
        <w:spacing w:line="368" w:lineRule="auto"/>
        <w:textAlignment w:val="auto"/>
        <w:rPr>
          <w:rFonts w:hint="eastAsia" w:ascii="Times New Roman" w:hAnsi="Times New Roman" w:eastAsia="仿宋_GB2312" w:cs="Times New Roman"/>
          <w:snapToGrid w:val="0"/>
          <w:spacing w:val="-11"/>
          <w:kern w:val="0"/>
          <w:sz w:val="32"/>
          <w:szCs w:val="32"/>
          <w:lang w:val="en-US" w:eastAsia="zh-CN" w:bidi="ar-SA"/>
        </w:rPr>
      </w:pPr>
      <w:r>
        <w:rPr>
          <w:rStyle w:val="14"/>
          <w:rFonts w:hint="eastAsia" w:ascii="仿宋" w:hAnsi="仿宋" w:eastAsia="仿宋"/>
          <w:bCs/>
          <w:color w:val="auto"/>
          <w:sz w:val="32"/>
          <w:szCs w:val="32"/>
          <w:highlight w:val="none"/>
          <w:lang w:val="en-US" w:eastAsia="zh-CN"/>
        </w:rPr>
        <w:t>　　</w:t>
      </w:r>
      <w:r>
        <w:rPr>
          <w:rFonts w:hint="eastAsia" w:ascii="Times New Roman" w:hAnsi="Times New Roman" w:eastAsia="仿宋_GB2312" w:cs="Times New Roman"/>
          <w:snapToGrid w:val="0"/>
          <w:spacing w:val="-11"/>
          <w:kern w:val="0"/>
          <w:sz w:val="32"/>
          <w:szCs w:val="32"/>
          <w:lang w:val="en-US" w:eastAsia="zh-CN" w:bidi="ar-SA"/>
        </w:rPr>
        <w:t>1</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napToGrid w:val="0"/>
          <w:spacing w:val="-11"/>
          <w:kern w:val="0"/>
          <w:sz w:val="32"/>
          <w:szCs w:val="32"/>
          <w:lang w:val="en-US" w:eastAsia="zh-CN" w:bidi="ar-SA"/>
        </w:rPr>
        <w:t>一般公共服务（类）政府办公厅（室）及相关机构事务（款）行政运行（项）</w:t>
      </w:r>
      <w:r>
        <w:rPr>
          <w:rFonts w:hint="eastAsia" w:eastAsia="仿宋_GB2312" w:cs="Times New Roman"/>
          <w:snapToGrid w:val="0"/>
          <w:spacing w:val="-11"/>
          <w:kern w:val="0"/>
          <w:sz w:val="32"/>
          <w:szCs w:val="32"/>
          <w:lang w:val="en-US" w:eastAsia="zh-CN" w:bidi="ar-SA"/>
        </w:rPr>
        <w:t>：</w:t>
      </w:r>
      <w:r>
        <w:rPr>
          <w:rFonts w:hint="eastAsia" w:ascii="Times New Roman" w:hAnsi="Times New Roman" w:eastAsia="仿宋_GB2312" w:cs="Times New Roman"/>
          <w:snapToGrid w:val="0"/>
          <w:spacing w:val="-11"/>
          <w:kern w:val="0"/>
          <w:sz w:val="32"/>
          <w:szCs w:val="32"/>
          <w:lang w:val="en-US" w:eastAsia="zh-CN" w:bidi="ar-SA"/>
        </w:rPr>
        <w:t>支出决算为2142.7</w:t>
      </w:r>
      <w:r>
        <w:rPr>
          <w:rFonts w:hint="eastAsia" w:eastAsia="仿宋_GB2312" w:cs="Times New Roman"/>
          <w:snapToGrid w:val="0"/>
          <w:spacing w:val="-11"/>
          <w:kern w:val="0"/>
          <w:sz w:val="32"/>
          <w:szCs w:val="32"/>
          <w:lang w:val="en-US" w:eastAsia="zh-CN" w:bidi="ar-SA"/>
        </w:rPr>
        <w:t>6</w:t>
      </w:r>
      <w:r>
        <w:rPr>
          <w:rFonts w:hint="eastAsia" w:ascii="Times New Roman" w:hAnsi="Times New Roman" w:eastAsia="仿宋_GB2312" w:cs="Times New Roman"/>
          <w:snapToGrid w:val="0"/>
          <w:spacing w:val="-11"/>
          <w:kern w:val="0"/>
          <w:sz w:val="32"/>
          <w:szCs w:val="32"/>
          <w:lang w:val="en-US" w:eastAsia="zh-CN" w:bidi="ar-SA"/>
        </w:rPr>
        <w:t>万元，完成预算100%。</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8" w:lineRule="auto"/>
        <w:textAlignment w:val="auto"/>
        <w:rPr>
          <w:rFonts w:hint="eastAsia" w:ascii="Times New Roman" w:hAnsi="Times New Roman" w:eastAsia="仿宋_GB2312" w:cs="Times New Roman"/>
          <w:snapToGrid w:val="0"/>
          <w:spacing w:val="-11"/>
          <w:kern w:val="0"/>
          <w:sz w:val="32"/>
          <w:szCs w:val="32"/>
          <w:lang w:val="en-US" w:eastAsia="zh-CN" w:bidi="ar-SA"/>
        </w:rPr>
      </w:pPr>
      <w:r>
        <w:rPr>
          <w:rFonts w:hint="eastAsia" w:eastAsia="仿宋_GB2312" w:cs="Times New Roman"/>
          <w:snapToGrid w:val="0"/>
          <w:spacing w:val="-11"/>
          <w:kern w:val="0"/>
          <w:sz w:val="32"/>
          <w:szCs w:val="32"/>
          <w:highlight w:val="none"/>
          <w:lang w:val="en-US" w:eastAsia="zh-CN" w:bidi="ar-SA"/>
        </w:rPr>
        <w:t>　　2</w:t>
      </w:r>
      <w:r>
        <w:rPr>
          <w:rFonts w:hint="eastAsia"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napToGrid w:val="0"/>
          <w:spacing w:val="-11"/>
          <w:kern w:val="0"/>
          <w:sz w:val="32"/>
          <w:szCs w:val="32"/>
          <w:highlight w:val="none"/>
          <w:lang w:val="en-US" w:eastAsia="zh-CN" w:bidi="ar-SA"/>
        </w:rPr>
        <w:t>一般公共服务（类）政府办公厅（室）及相关机构事务</w:t>
      </w:r>
      <w:r>
        <w:rPr>
          <w:rFonts w:hint="eastAsia" w:ascii="Times New Roman" w:hAnsi="Times New Roman" w:eastAsia="仿宋_GB2312" w:cs="Times New Roman"/>
          <w:snapToGrid w:val="0"/>
          <w:spacing w:val="-11"/>
          <w:kern w:val="0"/>
          <w:sz w:val="32"/>
          <w:szCs w:val="32"/>
          <w:lang w:val="en-US" w:eastAsia="zh-CN" w:bidi="ar-SA"/>
        </w:rPr>
        <w:t>（款）一般行政管理事务（项）</w:t>
      </w:r>
      <w:r>
        <w:rPr>
          <w:rFonts w:hint="eastAsia" w:eastAsia="仿宋_GB2312" w:cs="Times New Roman"/>
          <w:snapToGrid w:val="0"/>
          <w:spacing w:val="-11"/>
          <w:kern w:val="0"/>
          <w:sz w:val="32"/>
          <w:szCs w:val="32"/>
          <w:lang w:val="en-US" w:eastAsia="zh-CN" w:bidi="ar-SA"/>
        </w:rPr>
        <w:t>：</w:t>
      </w:r>
      <w:r>
        <w:rPr>
          <w:rFonts w:hint="eastAsia" w:ascii="Times New Roman" w:hAnsi="Times New Roman" w:eastAsia="仿宋_GB2312" w:cs="Times New Roman"/>
          <w:snapToGrid w:val="0"/>
          <w:spacing w:val="-11"/>
          <w:kern w:val="0"/>
          <w:sz w:val="32"/>
          <w:szCs w:val="32"/>
          <w:lang w:val="en-US" w:eastAsia="zh-CN" w:bidi="ar-SA"/>
        </w:rPr>
        <w:t>支出决算为454.68万元，完成预算100%。</w:t>
      </w:r>
    </w:p>
    <w:p>
      <w:pPr>
        <w:keepNext w:val="0"/>
        <w:keepLines w:val="0"/>
        <w:pageBreakBefore w:val="0"/>
        <w:widowControl w:val="0"/>
        <w:numPr>
          <w:ilvl w:val="0"/>
          <w:numId w:val="0"/>
        </w:numPr>
        <w:kinsoku/>
        <w:wordWrap/>
        <w:overflowPunct/>
        <w:topLinePunct w:val="0"/>
        <w:autoSpaceDE/>
        <w:autoSpaceDN/>
        <w:bidi w:val="0"/>
        <w:adjustRightInd w:val="0"/>
        <w:snapToGrid w:val="0"/>
        <w:spacing w:line="353" w:lineRule="auto"/>
        <w:textAlignment w:val="auto"/>
        <w:rPr>
          <w:rFonts w:hint="eastAsia" w:ascii="Times New Roman" w:hAnsi="Times New Roman" w:eastAsia="仿宋_GB2312" w:cs="Times New Roman"/>
          <w:snapToGrid w:val="0"/>
          <w:spacing w:val="-11"/>
          <w:kern w:val="0"/>
          <w:sz w:val="32"/>
          <w:szCs w:val="32"/>
          <w:lang w:val="en-US" w:eastAsia="zh-CN" w:bidi="ar-SA"/>
        </w:rPr>
      </w:pPr>
      <w:r>
        <w:rPr>
          <w:rFonts w:hint="eastAsia" w:eastAsia="仿宋_GB2312" w:cs="Times New Roman"/>
          <w:snapToGrid w:val="0"/>
          <w:spacing w:val="-11"/>
          <w:kern w:val="0"/>
          <w:sz w:val="32"/>
          <w:szCs w:val="32"/>
          <w:lang w:val="en-US" w:eastAsia="zh-CN" w:bidi="ar-SA"/>
        </w:rPr>
        <w:t>　　</w:t>
      </w:r>
      <w:r>
        <w:rPr>
          <w:rFonts w:hint="eastAsia" w:ascii="Times New Roman" w:hAnsi="Times New Roman" w:eastAsia="仿宋_GB2312" w:cs="Times New Roman"/>
          <w:snapToGrid w:val="0"/>
          <w:spacing w:val="-11"/>
          <w:kern w:val="0"/>
          <w:sz w:val="32"/>
          <w:szCs w:val="32"/>
          <w:lang w:val="en-US" w:eastAsia="zh-CN" w:bidi="ar-SA"/>
        </w:rPr>
        <w:t>3</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napToGrid w:val="0"/>
          <w:spacing w:val="-11"/>
          <w:kern w:val="0"/>
          <w:sz w:val="32"/>
          <w:szCs w:val="32"/>
          <w:lang w:val="en-US" w:eastAsia="zh-CN" w:bidi="ar-SA"/>
        </w:rPr>
        <w:t>一般公共服务支出（类）政府办公厅（室）及相关机构事务（款）事业运行（项）：支出决算为35.42万元，完成预算100%。</w:t>
      </w:r>
    </w:p>
    <w:p>
      <w:pPr>
        <w:keepNext w:val="0"/>
        <w:keepLines w:val="0"/>
        <w:pageBreakBefore w:val="0"/>
        <w:widowControl w:val="0"/>
        <w:kinsoku/>
        <w:wordWrap/>
        <w:overflowPunct/>
        <w:topLinePunct w:val="0"/>
        <w:autoSpaceDE/>
        <w:autoSpaceDN/>
        <w:bidi w:val="0"/>
        <w:adjustRightInd w:val="0"/>
        <w:snapToGrid w:val="0"/>
        <w:spacing w:line="353" w:lineRule="auto"/>
        <w:textAlignment w:val="auto"/>
        <w:rPr>
          <w:rFonts w:hint="eastAsia" w:ascii="Times New Roman" w:hAnsi="Times New Roman" w:eastAsia="仿宋_GB2312" w:cs="Times New Roman"/>
          <w:snapToGrid w:val="0"/>
          <w:spacing w:val="-11"/>
          <w:kern w:val="0"/>
          <w:sz w:val="32"/>
          <w:szCs w:val="32"/>
          <w:lang w:val="en-US" w:eastAsia="zh-CN" w:bidi="ar-SA"/>
        </w:rPr>
      </w:pPr>
      <w:r>
        <w:rPr>
          <w:rFonts w:hint="eastAsia" w:eastAsia="仿宋_GB2312" w:cs="Times New Roman"/>
          <w:snapToGrid w:val="0"/>
          <w:spacing w:val="-11"/>
          <w:kern w:val="0"/>
          <w:sz w:val="32"/>
          <w:szCs w:val="32"/>
          <w:lang w:val="en-US" w:eastAsia="zh-CN" w:bidi="ar-SA"/>
        </w:rPr>
        <w:t>　　</w:t>
      </w:r>
      <w:r>
        <w:rPr>
          <w:rFonts w:hint="eastAsia" w:ascii="Times New Roman" w:hAnsi="Times New Roman" w:eastAsia="仿宋_GB2312" w:cs="Times New Roman"/>
          <w:snapToGrid w:val="0"/>
          <w:spacing w:val="-11"/>
          <w:kern w:val="0"/>
          <w:sz w:val="32"/>
          <w:szCs w:val="32"/>
          <w:lang w:val="en-US" w:eastAsia="zh-CN" w:bidi="ar-SA"/>
        </w:rPr>
        <w:t>4</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napToGrid w:val="0"/>
          <w:spacing w:val="-11"/>
          <w:kern w:val="0"/>
          <w:sz w:val="32"/>
          <w:szCs w:val="32"/>
          <w:lang w:val="en-US" w:eastAsia="zh-CN" w:bidi="ar-SA"/>
        </w:rPr>
        <w:t>一般公共服务支出（类）商贸事务（款）招商引资（项）</w:t>
      </w:r>
      <w:r>
        <w:rPr>
          <w:rFonts w:hint="eastAsia" w:eastAsia="仿宋_GB2312" w:cs="Times New Roman"/>
          <w:snapToGrid w:val="0"/>
          <w:spacing w:val="-11"/>
          <w:kern w:val="0"/>
          <w:sz w:val="32"/>
          <w:szCs w:val="32"/>
          <w:lang w:val="en-US" w:eastAsia="zh-CN" w:bidi="ar-SA"/>
        </w:rPr>
        <w:t>：</w:t>
      </w:r>
      <w:r>
        <w:rPr>
          <w:rFonts w:hint="eastAsia" w:ascii="Times New Roman" w:hAnsi="Times New Roman" w:eastAsia="仿宋_GB2312" w:cs="Times New Roman"/>
          <w:snapToGrid w:val="0"/>
          <w:spacing w:val="-11"/>
          <w:kern w:val="0"/>
          <w:sz w:val="32"/>
          <w:szCs w:val="32"/>
          <w:lang w:val="en-US" w:eastAsia="zh-CN" w:bidi="ar-SA"/>
        </w:rPr>
        <w:t>支出决算为40万元，完成预算100%。</w:t>
      </w:r>
    </w:p>
    <w:p>
      <w:pPr>
        <w:keepNext w:val="0"/>
        <w:keepLines w:val="0"/>
        <w:pageBreakBefore w:val="0"/>
        <w:widowControl w:val="0"/>
        <w:kinsoku/>
        <w:wordWrap/>
        <w:overflowPunct/>
        <w:topLinePunct w:val="0"/>
        <w:autoSpaceDE/>
        <w:autoSpaceDN/>
        <w:bidi w:val="0"/>
        <w:adjustRightInd w:val="0"/>
        <w:snapToGrid w:val="0"/>
        <w:spacing w:line="353" w:lineRule="auto"/>
        <w:ind w:firstLine="596" w:firstLineChars="200"/>
        <w:textAlignment w:val="auto"/>
        <w:rPr>
          <w:rFonts w:hint="eastAsia" w:ascii="Times New Roman" w:hAnsi="Times New Roman" w:eastAsia="仿宋_GB2312" w:cs="Times New Roman"/>
          <w:snapToGrid w:val="0"/>
          <w:spacing w:val="-11"/>
          <w:kern w:val="0"/>
          <w:sz w:val="32"/>
          <w:szCs w:val="32"/>
          <w:lang w:val="en-US" w:eastAsia="zh-CN" w:bidi="ar-SA"/>
        </w:rPr>
      </w:pPr>
      <w:r>
        <w:rPr>
          <w:rFonts w:hint="eastAsia" w:ascii="Times New Roman" w:hAnsi="Times New Roman" w:eastAsia="仿宋_GB2312" w:cs="Times New Roman"/>
          <w:snapToGrid w:val="0"/>
          <w:spacing w:val="-11"/>
          <w:kern w:val="0"/>
          <w:sz w:val="32"/>
          <w:szCs w:val="32"/>
          <w:lang w:val="en-US" w:eastAsia="zh-CN" w:bidi="ar-SA"/>
        </w:rPr>
        <w:t>5</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napToGrid w:val="0"/>
          <w:spacing w:val="-11"/>
          <w:kern w:val="0"/>
          <w:sz w:val="32"/>
          <w:szCs w:val="32"/>
          <w:lang w:val="en-US" w:eastAsia="zh-CN" w:bidi="ar-SA"/>
        </w:rPr>
        <w:t>一般公共服务支出（类）组织事务（款）其他组织事务支出（项）：支出决算为9.32万元，完成预算100%。</w:t>
      </w:r>
    </w:p>
    <w:p>
      <w:pPr>
        <w:keepNext w:val="0"/>
        <w:keepLines w:val="0"/>
        <w:pageBreakBefore w:val="0"/>
        <w:widowControl w:val="0"/>
        <w:kinsoku/>
        <w:wordWrap/>
        <w:overflowPunct/>
        <w:topLinePunct w:val="0"/>
        <w:autoSpaceDE/>
        <w:autoSpaceDN/>
        <w:bidi w:val="0"/>
        <w:adjustRightInd w:val="0"/>
        <w:snapToGrid w:val="0"/>
        <w:spacing w:line="353" w:lineRule="auto"/>
        <w:ind w:firstLine="596" w:firstLineChars="200"/>
        <w:textAlignment w:val="auto"/>
        <w:rPr>
          <w:rFonts w:hint="eastAsia" w:ascii="Times New Roman" w:hAnsi="Times New Roman" w:eastAsia="仿宋_GB2312" w:cs="Times New Roman"/>
          <w:snapToGrid w:val="0"/>
          <w:spacing w:val="-11"/>
          <w:kern w:val="0"/>
          <w:sz w:val="32"/>
          <w:szCs w:val="32"/>
          <w:lang w:val="en-US" w:eastAsia="zh-CN" w:bidi="ar-SA"/>
        </w:rPr>
      </w:pPr>
      <w:r>
        <w:rPr>
          <w:rFonts w:hint="eastAsia" w:ascii="Times New Roman" w:hAnsi="Times New Roman" w:eastAsia="仿宋_GB2312" w:cs="Times New Roman"/>
          <w:snapToGrid w:val="0"/>
          <w:spacing w:val="-11"/>
          <w:kern w:val="0"/>
          <w:sz w:val="32"/>
          <w:szCs w:val="32"/>
          <w:lang w:val="en-US" w:eastAsia="zh-CN" w:bidi="ar-SA"/>
        </w:rPr>
        <w:t>6</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napToGrid w:val="0"/>
          <w:spacing w:val="-11"/>
          <w:kern w:val="0"/>
          <w:sz w:val="32"/>
          <w:szCs w:val="32"/>
          <w:lang w:val="en-US" w:eastAsia="zh-CN" w:bidi="ar-SA"/>
        </w:rPr>
        <w:t>社会保障和就业支出（类）人力资源和社会保障管理事务（款）其他人力资源和社会保障管理事务支出（项）：支出决算为4万元，完成预算100%。</w:t>
      </w:r>
    </w:p>
    <w:p>
      <w:pPr>
        <w:keepNext w:val="0"/>
        <w:keepLines w:val="0"/>
        <w:pageBreakBefore w:val="0"/>
        <w:widowControl w:val="0"/>
        <w:kinsoku/>
        <w:wordWrap/>
        <w:overflowPunct/>
        <w:topLinePunct w:val="0"/>
        <w:autoSpaceDE/>
        <w:autoSpaceDN/>
        <w:bidi w:val="0"/>
        <w:adjustRightInd w:val="0"/>
        <w:snapToGrid w:val="0"/>
        <w:spacing w:line="353" w:lineRule="auto"/>
        <w:ind w:firstLine="596" w:firstLineChars="200"/>
        <w:textAlignment w:val="auto"/>
        <w:rPr>
          <w:rFonts w:hint="eastAsia" w:ascii="Times New Roman" w:hAnsi="Times New Roman" w:eastAsia="仿宋_GB2312" w:cs="Times New Roman"/>
          <w:snapToGrid w:val="0"/>
          <w:spacing w:val="-11"/>
          <w:kern w:val="0"/>
          <w:sz w:val="32"/>
          <w:szCs w:val="32"/>
          <w:lang w:val="en-US" w:eastAsia="zh-CN" w:bidi="ar-SA"/>
        </w:rPr>
      </w:pPr>
      <w:r>
        <w:rPr>
          <w:rFonts w:hint="eastAsia" w:ascii="Times New Roman" w:hAnsi="Times New Roman" w:eastAsia="仿宋_GB2312" w:cs="Times New Roman"/>
          <w:snapToGrid w:val="0"/>
          <w:spacing w:val="-11"/>
          <w:kern w:val="0"/>
          <w:sz w:val="32"/>
          <w:szCs w:val="32"/>
          <w:lang w:val="en-US" w:eastAsia="zh-CN" w:bidi="ar-SA"/>
        </w:rPr>
        <w:t>7</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napToGrid w:val="0"/>
          <w:spacing w:val="-11"/>
          <w:kern w:val="0"/>
          <w:sz w:val="32"/>
          <w:szCs w:val="32"/>
          <w:lang w:val="en-US" w:eastAsia="zh-CN" w:bidi="ar-SA"/>
        </w:rPr>
        <w:t>社会保障和就业支出（类）行政事业单位养老支出（款）行政单位离退休（项）：支出决算为380.15万元，完成预算100%。</w:t>
      </w:r>
    </w:p>
    <w:p>
      <w:pPr>
        <w:keepNext w:val="0"/>
        <w:keepLines w:val="0"/>
        <w:pageBreakBefore w:val="0"/>
        <w:widowControl w:val="0"/>
        <w:kinsoku/>
        <w:wordWrap/>
        <w:overflowPunct/>
        <w:topLinePunct w:val="0"/>
        <w:autoSpaceDE/>
        <w:autoSpaceDN/>
        <w:bidi w:val="0"/>
        <w:adjustRightInd w:val="0"/>
        <w:snapToGrid w:val="0"/>
        <w:spacing w:line="353" w:lineRule="auto"/>
        <w:ind w:firstLine="596" w:firstLineChars="200"/>
        <w:textAlignment w:val="auto"/>
        <w:rPr>
          <w:rFonts w:hint="eastAsia" w:ascii="Times New Roman" w:hAnsi="Times New Roman" w:eastAsia="仿宋_GB2312" w:cs="Times New Roman"/>
          <w:snapToGrid w:val="0"/>
          <w:spacing w:val="-11"/>
          <w:kern w:val="0"/>
          <w:sz w:val="32"/>
          <w:szCs w:val="32"/>
          <w:lang w:val="en-US" w:eastAsia="zh-CN" w:bidi="ar-SA"/>
        </w:rPr>
      </w:pPr>
      <w:r>
        <w:rPr>
          <w:rFonts w:hint="eastAsia" w:ascii="Times New Roman" w:hAnsi="Times New Roman" w:eastAsia="仿宋_GB2312" w:cs="Times New Roman"/>
          <w:snapToGrid w:val="0"/>
          <w:spacing w:val="-11"/>
          <w:kern w:val="0"/>
          <w:sz w:val="32"/>
          <w:szCs w:val="32"/>
          <w:lang w:val="en-US" w:eastAsia="zh-CN" w:bidi="ar-SA"/>
        </w:rPr>
        <w:t>8</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napToGrid w:val="0"/>
          <w:spacing w:val="-11"/>
          <w:kern w:val="0"/>
          <w:sz w:val="32"/>
          <w:szCs w:val="32"/>
          <w:lang w:val="en-US" w:eastAsia="zh-CN" w:bidi="ar-SA"/>
        </w:rPr>
        <w:t>社会保障和就业支出（类）行政事业单位养老支出（款）机关事业单位基本养老保险缴费支出（项）</w:t>
      </w:r>
      <w:r>
        <w:rPr>
          <w:rFonts w:hint="eastAsia" w:eastAsia="仿宋_GB2312" w:cs="Times New Roman"/>
          <w:snapToGrid w:val="0"/>
          <w:spacing w:val="-11"/>
          <w:kern w:val="0"/>
          <w:sz w:val="32"/>
          <w:szCs w:val="32"/>
          <w:lang w:val="en-US" w:eastAsia="zh-CN" w:bidi="ar-SA"/>
        </w:rPr>
        <w:t>：</w:t>
      </w:r>
      <w:r>
        <w:rPr>
          <w:rFonts w:hint="eastAsia" w:ascii="Times New Roman" w:hAnsi="Times New Roman" w:eastAsia="仿宋_GB2312" w:cs="Times New Roman"/>
          <w:snapToGrid w:val="0"/>
          <w:spacing w:val="-11"/>
          <w:kern w:val="0"/>
          <w:sz w:val="32"/>
          <w:szCs w:val="32"/>
          <w:lang w:val="en-US" w:eastAsia="zh-CN" w:bidi="ar-SA"/>
        </w:rPr>
        <w:t>支出决算为149.62万元，完成预算100%。</w:t>
      </w:r>
    </w:p>
    <w:p>
      <w:pPr>
        <w:keepNext w:val="0"/>
        <w:keepLines w:val="0"/>
        <w:pageBreakBefore w:val="0"/>
        <w:widowControl w:val="0"/>
        <w:kinsoku/>
        <w:wordWrap/>
        <w:overflowPunct/>
        <w:topLinePunct w:val="0"/>
        <w:autoSpaceDE/>
        <w:autoSpaceDN/>
        <w:bidi w:val="0"/>
        <w:adjustRightInd w:val="0"/>
        <w:snapToGrid w:val="0"/>
        <w:spacing w:line="353" w:lineRule="auto"/>
        <w:ind w:firstLine="596" w:firstLineChars="200"/>
        <w:textAlignment w:val="auto"/>
        <w:rPr>
          <w:rFonts w:hint="eastAsia" w:ascii="Times New Roman" w:hAnsi="Times New Roman" w:eastAsia="仿宋_GB2312" w:cs="Times New Roman"/>
          <w:snapToGrid w:val="0"/>
          <w:spacing w:val="-11"/>
          <w:kern w:val="0"/>
          <w:sz w:val="32"/>
          <w:szCs w:val="32"/>
          <w:lang w:val="en-US" w:eastAsia="zh-CN" w:bidi="ar-SA"/>
        </w:rPr>
      </w:pPr>
      <w:r>
        <w:rPr>
          <w:rFonts w:hint="eastAsia" w:ascii="Times New Roman" w:hAnsi="Times New Roman" w:eastAsia="仿宋_GB2312" w:cs="Times New Roman"/>
          <w:snapToGrid w:val="0"/>
          <w:spacing w:val="-11"/>
          <w:kern w:val="0"/>
          <w:sz w:val="32"/>
          <w:szCs w:val="32"/>
          <w:lang w:val="en-US" w:eastAsia="zh-CN" w:bidi="ar-SA"/>
        </w:rPr>
        <w:t>9</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napToGrid w:val="0"/>
          <w:spacing w:val="-11"/>
          <w:kern w:val="0"/>
          <w:sz w:val="32"/>
          <w:szCs w:val="32"/>
          <w:lang w:val="en-US" w:eastAsia="zh-CN" w:bidi="ar-SA"/>
        </w:rPr>
        <w:t>社会保障和就业支出（类）抚恤（款）死亡抚恤（项）：支出决算为73.1万元，完成预算100%。</w:t>
      </w:r>
    </w:p>
    <w:p>
      <w:pPr>
        <w:keepNext w:val="0"/>
        <w:keepLines w:val="0"/>
        <w:pageBreakBefore w:val="0"/>
        <w:widowControl w:val="0"/>
        <w:kinsoku/>
        <w:wordWrap/>
        <w:overflowPunct/>
        <w:topLinePunct w:val="0"/>
        <w:autoSpaceDE/>
        <w:autoSpaceDN/>
        <w:bidi w:val="0"/>
        <w:adjustRightInd w:val="0"/>
        <w:snapToGrid w:val="0"/>
        <w:spacing w:line="353" w:lineRule="auto"/>
        <w:ind w:firstLine="596" w:firstLineChars="200"/>
        <w:textAlignment w:val="auto"/>
        <w:rPr>
          <w:rFonts w:hint="eastAsia" w:ascii="Times New Roman" w:hAnsi="Times New Roman" w:eastAsia="仿宋_GB2312" w:cs="Times New Roman"/>
          <w:snapToGrid w:val="0"/>
          <w:spacing w:val="-11"/>
          <w:kern w:val="0"/>
          <w:sz w:val="32"/>
          <w:szCs w:val="32"/>
          <w:lang w:val="en-US" w:eastAsia="zh-CN" w:bidi="ar-SA"/>
        </w:rPr>
      </w:pPr>
      <w:r>
        <w:rPr>
          <w:rFonts w:hint="eastAsia" w:ascii="Times New Roman" w:hAnsi="Times New Roman" w:eastAsia="仿宋_GB2312" w:cs="Times New Roman"/>
          <w:snapToGrid w:val="0"/>
          <w:spacing w:val="-11"/>
          <w:kern w:val="0"/>
          <w:sz w:val="32"/>
          <w:szCs w:val="32"/>
          <w:lang w:val="en-US" w:eastAsia="zh-CN" w:bidi="ar-SA"/>
        </w:rPr>
        <w:t>10</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napToGrid w:val="0"/>
          <w:spacing w:val="-11"/>
          <w:kern w:val="0"/>
          <w:sz w:val="32"/>
          <w:szCs w:val="32"/>
          <w:lang w:val="en-US" w:eastAsia="zh-CN" w:bidi="ar-SA"/>
        </w:rPr>
        <w:t>社会保障和就业支出（类）社会福利（款）儿童福利（项）：支出决算为0.5万元，完成预算100%。</w:t>
      </w:r>
    </w:p>
    <w:p>
      <w:pPr>
        <w:keepNext w:val="0"/>
        <w:keepLines w:val="0"/>
        <w:pageBreakBefore w:val="0"/>
        <w:widowControl w:val="0"/>
        <w:kinsoku/>
        <w:wordWrap/>
        <w:overflowPunct/>
        <w:topLinePunct w:val="0"/>
        <w:autoSpaceDE/>
        <w:autoSpaceDN/>
        <w:bidi w:val="0"/>
        <w:adjustRightInd w:val="0"/>
        <w:snapToGrid w:val="0"/>
        <w:spacing w:line="353" w:lineRule="auto"/>
        <w:ind w:firstLine="596" w:firstLineChars="200"/>
        <w:textAlignment w:val="auto"/>
        <w:rPr>
          <w:rFonts w:hint="eastAsia" w:ascii="Times New Roman" w:hAnsi="Times New Roman" w:eastAsia="仿宋_GB2312" w:cs="Times New Roman"/>
          <w:snapToGrid w:val="0"/>
          <w:spacing w:val="-11"/>
          <w:kern w:val="0"/>
          <w:sz w:val="32"/>
          <w:szCs w:val="32"/>
          <w:lang w:val="en-US" w:eastAsia="zh-CN" w:bidi="ar-SA"/>
        </w:rPr>
      </w:pPr>
      <w:r>
        <w:rPr>
          <w:rFonts w:hint="eastAsia" w:ascii="Times New Roman" w:hAnsi="Times New Roman" w:eastAsia="仿宋_GB2312" w:cs="Times New Roman"/>
          <w:snapToGrid w:val="0"/>
          <w:spacing w:val="-11"/>
          <w:kern w:val="0"/>
          <w:sz w:val="32"/>
          <w:szCs w:val="32"/>
          <w:lang w:val="en-US" w:eastAsia="zh-CN" w:bidi="ar-SA"/>
        </w:rPr>
        <w:t>11</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napToGrid w:val="0"/>
          <w:spacing w:val="-11"/>
          <w:kern w:val="0"/>
          <w:sz w:val="32"/>
          <w:szCs w:val="32"/>
          <w:lang w:val="en-US" w:eastAsia="zh-CN" w:bidi="ar-SA"/>
        </w:rPr>
        <w:t>农林水支出（类）林业和草原（款）林业草原防灾减灾（项）：支出决算为6.34万元，完成预算100%。</w:t>
      </w:r>
    </w:p>
    <w:p>
      <w:pPr>
        <w:keepNext w:val="0"/>
        <w:keepLines w:val="0"/>
        <w:pageBreakBefore w:val="0"/>
        <w:widowControl w:val="0"/>
        <w:kinsoku/>
        <w:wordWrap/>
        <w:overflowPunct/>
        <w:topLinePunct w:val="0"/>
        <w:autoSpaceDE/>
        <w:autoSpaceDN/>
        <w:bidi w:val="0"/>
        <w:adjustRightInd w:val="0"/>
        <w:snapToGrid w:val="0"/>
        <w:spacing w:line="363" w:lineRule="auto"/>
        <w:ind w:firstLine="596" w:firstLineChars="200"/>
        <w:textAlignment w:val="auto"/>
        <w:rPr>
          <w:rFonts w:hint="eastAsia" w:eastAsia="仿宋_GB2312" w:cs="Times New Roman"/>
          <w:snapToGrid w:val="0"/>
          <w:spacing w:val="-11"/>
          <w:kern w:val="0"/>
          <w:sz w:val="32"/>
          <w:szCs w:val="32"/>
          <w:lang w:val="en-US" w:eastAsia="zh-CN" w:bidi="ar-SA"/>
        </w:rPr>
      </w:pPr>
      <w:r>
        <w:rPr>
          <w:rFonts w:hint="eastAsia" w:ascii="Times New Roman" w:hAnsi="Times New Roman" w:eastAsia="仿宋_GB2312" w:cs="Times New Roman"/>
          <w:snapToGrid w:val="0"/>
          <w:spacing w:val="-11"/>
          <w:kern w:val="0"/>
          <w:sz w:val="32"/>
          <w:szCs w:val="32"/>
          <w:lang w:val="en-US" w:eastAsia="zh-CN" w:bidi="ar-SA"/>
        </w:rPr>
        <w:t>12</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napToGrid w:val="0"/>
          <w:spacing w:val="-11"/>
          <w:kern w:val="0"/>
          <w:sz w:val="32"/>
          <w:szCs w:val="32"/>
          <w:lang w:val="en-US" w:eastAsia="zh-CN" w:bidi="ar-SA"/>
        </w:rPr>
        <w:t>住房保障支出（类）住房改革支出（款） 住房公积金（项）：支出决算为183.26万元，完成预算100%</w:t>
      </w:r>
      <w:r>
        <w:rPr>
          <w:rFonts w:hint="eastAsia" w:eastAsia="仿宋_GB2312" w:cs="Times New Roman"/>
          <w:snapToGrid w:val="0"/>
          <w:spacing w:val="-11"/>
          <w:kern w:val="0"/>
          <w:sz w:val="32"/>
          <w:szCs w:val="32"/>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396" w:lineRule="auto"/>
        <w:ind w:firstLine="596" w:firstLineChars="200"/>
        <w:textAlignment w:val="auto"/>
        <w:rPr>
          <w:rFonts w:hint="eastAsia" w:ascii="Times New Roman" w:hAnsi="Times New Roman" w:eastAsia="仿宋_GB2312" w:cs="Times New Roman"/>
          <w:snapToGrid w:val="0"/>
          <w:spacing w:val="-11"/>
          <w:kern w:val="0"/>
          <w:sz w:val="32"/>
          <w:szCs w:val="32"/>
          <w:lang w:val="en-US" w:eastAsia="zh-CN" w:bidi="ar-SA"/>
        </w:rPr>
      </w:pPr>
      <w:r>
        <w:rPr>
          <w:rFonts w:hint="eastAsia" w:ascii="Times New Roman" w:hAnsi="Times New Roman" w:eastAsia="仿宋_GB2312" w:cs="Times New Roman"/>
          <w:snapToGrid w:val="0"/>
          <w:spacing w:val="-11"/>
          <w:kern w:val="0"/>
          <w:sz w:val="32"/>
          <w:szCs w:val="32"/>
          <w:lang w:val="en-US" w:eastAsia="zh-CN" w:bidi="ar-SA"/>
        </w:rPr>
        <w:t>13</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napToGrid w:val="0"/>
          <w:spacing w:val="-11"/>
          <w:kern w:val="0"/>
          <w:sz w:val="32"/>
          <w:szCs w:val="32"/>
          <w:lang w:val="en-US" w:eastAsia="zh-CN" w:bidi="ar-SA"/>
        </w:rPr>
        <w:t>灾害防治及应急管理支出（类）森林消防事务（款）其他森林消防事务支出（项）：支出决算为6.59万元，完成预算100%。</w:t>
      </w:r>
    </w:p>
    <w:p>
      <w:pPr>
        <w:keepNext w:val="0"/>
        <w:keepLines w:val="0"/>
        <w:pageBreakBefore w:val="0"/>
        <w:widowControl w:val="0"/>
        <w:kinsoku/>
        <w:wordWrap/>
        <w:overflowPunct/>
        <w:topLinePunct w:val="0"/>
        <w:autoSpaceDE/>
        <w:autoSpaceDN/>
        <w:bidi w:val="0"/>
        <w:spacing w:line="396" w:lineRule="auto"/>
        <w:ind w:firstLine="640"/>
        <w:textAlignment w:val="auto"/>
        <w:rPr>
          <w:rFonts w:hint="eastAsia" w:ascii="黑体" w:hAnsi="黑体" w:eastAsia="黑体"/>
          <w:color w:val="auto"/>
          <w:sz w:val="32"/>
          <w:szCs w:val="32"/>
          <w:highlight w:val="none"/>
          <w:lang w:val="en-US" w:eastAsia="zh-CN"/>
        </w:rPr>
      </w:pPr>
      <w:bookmarkStart w:id="75" w:name="_Toc15377214"/>
      <w:bookmarkStart w:id="76" w:name="_Toc15396608"/>
      <w:bookmarkStart w:id="77" w:name="_Toc178765233_WPSOffice_Level2"/>
      <w:r>
        <w:rPr>
          <w:rFonts w:hint="eastAsia" w:ascii="黑体" w:hAnsi="黑体" w:eastAsia="黑体"/>
          <w:color w:val="auto"/>
          <w:sz w:val="32"/>
          <w:szCs w:val="32"/>
          <w:highlight w:val="none"/>
          <w:lang w:val="en-US" w:eastAsia="zh-CN"/>
        </w:rPr>
        <w:t>六、一般公共预算财政拨款基本支出决算情况说</w:t>
      </w:r>
      <w:bookmarkEnd w:id="75"/>
      <w:bookmarkEnd w:id="76"/>
      <w:r>
        <w:rPr>
          <w:rFonts w:hint="eastAsia" w:ascii="黑体" w:hAnsi="黑体" w:eastAsia="黑体"/>
          <w:color w:val="auto"/>
          <w:sz w:val="32"/>
          <w:szCs w:val="32"/>
          <w:highlight w:val="none"/>
          <w:lang w:val="en-US" w:eastAsia="zh-CN"/>
        </w:rPr>
        <w:t>明</w:t>
      </w:r>
      <w:bookmarkEnd w:id="77"/>
    </w:p>
    <w:p>
      <w:pPr>
        <w:keepNext w:val="0"/>
        <w:keepLines w:val="0"/>
        <w:pageBreakBefore w:val="0"/>
        <w:widowControl w:val="0"/>
        <w:kinsoku/>
        <w:wordWrap/>
        <w:overflowPunct/>
        <w:topLinePunct w:val="0"/>
        <w:autoSpaceDE/>
        <w:autoSpaceDN/>
        <w:bidi w:val="0"/>
        <w:spacing w:line="396" w:lineRule="auto"/>
        <w:ind w:firstLine="640"/>
        <w:textAlignment w:val="auto"/>
        <w:rPr>
          <w:rFonts w:hint="eastAsia" w:ascii="Times New Roman" w:hAnsi="Times New Roman" w:eastAsia="仿宋_GB2312" w:cs="Times New Roman"/>
          <w:snapToGrid w:val="0"/>
          <w:spacing w:val="0"/>
          <w:kern w:val="0"/>
          <w:sz w:val="32"/>
          <w:szCs w:val="32"/>
          <w:lang w:val="en-US" w:eastAsia="zh-CN" w:bidi="ar-SA"/>
        </w:rPr>
      </w:pPr>
      <w:r>
        <w:rPr>
          <w:rFonts w:hint="eastAsia" w:ascii="Times New Roman" w:hAnsi="Times New Roman" w:eastAsia="仿宋_GB2312" w:cs="Times New Roman"/>
          <w:snapToGrid w:val="0"/>
          <w:spacing w:val="0"/>
          <w:kern w:val="0"/>
          <w:sz w:val="32"/>
          <w:szCs w:val="32"/>
          <w:lang w:val="en-US" w:eastAsia="zh-CN" w:bidi="ar-SA"/>
        </w:rPr>
        <w:t>2021年一般公共预算财政拨款基本支出2964.31万元，其中：</w:t>
      </w:r>
    </w:p>
    <w:p>
      <w:pPr>
        <w:keepNext w:val="0"/>
        <w:keepLines w:val="0"/>
        <w:pageBreakBefore w:val="0"/>
        <w:widowControl w:val="0"/>
        <w:kinsoku/>
        <w:wordWrap/>
        <w:overflowPunct/>
        <w:topLinePunct w:val="0"/>
        <w:autoSpaceDE/>
        <w:autoSpaceDN/>
        <w:bidi w:val="0"/>
        <w:adjustRightInd w:val="0"/>
        <w:snapToGrid w:val="0"/>
        <w:spacing w:line="396" w:lineRule="auto"/>
        <w:ind w:firstLine="640" w:firstLineChars="200"/>
        <w:textAlignment w:val="auto"/>
        <w:rPr>
          <w:rFonts w:hint="eastAsia" w:ascii="Times New Roman" w:hAnsi="Times New Roman" w:eastAsia="仿宋_GB2312" w:cs="Times New Roman"/>
          <w:snapToGrid w:val="0"/>
          <w:spacing w:val="-11"/>
          <w:kern w:val="0"/>
          <w:sz w:val="32"/>
          <w:szCs w:val="32"/>
          <w:lang w:val="en-US" w:eastAsia="zh-CN" w:bidi="ar-SA"/>
        </w:rPr>
      </w:pPr>
      <w:r>
        <w:rPr>
          <w:rFonts w:hint="eastAsia" w:ascii="Times New Roman" w:hAnsi="Times New Roman" w:eastAsia="仿宋_GB2312" w:cs="Times New Roman"/>
          <w:snapToGrid w:val="0"/>
          <w:spacing w:val="0"/>
          <w:kern w:val="0"/>
          <w:sz w:val="32"/>
          <w:szCs w:val="32"/>
          <w:lang w:val="en-US" w:eastAsia="zh-CN" w:bidi="ar-SA"/>
        </w:rPr>
        <w:t>人员经费2473.1万元，主要包括：</w:t>
      </w:r>
      <w:r>
        <w:rPr>
          <w:rFonts w:hint="eastAsia" w:eastAsia="仿宋_GB2312"/>
          <w:snapToGrid w:val="0"/>
          <w:color w:val="000000"/>
          <w:spacing w:val="0"/>
          <w:kern w:val="0"/>
          <w:sz w:val="32"/>
          <w:szCs w:val="32"/>
        </w:rPr>
        <w:t>基本工资、津贴补贴、奖金、绩效工资、机关事业单位基本养老保险缴费、职工基本医疗保险缴费、公务员医疗补助缴费、其他社会保障缴费、住房公积金、其他工资福利支出、离休费、生活补助、退休人员医疗费补助等。</w:t>
      </w:r>
      <w:r>
        <w:rPr>
          <w:rFonts w:hint="eastAsia" w:eastAsia="仿宋_GB2312" w:cs="Times New Roman"/>
          <w:snapToGrid w:val="0"/>
          <w:spacing w:val="0"/>
          <w:kern w:val="0"/>
          <w:sz w:val="32"/>
          <w:szCs w:val="32"/>
          <w:lang w:val="en-US" w:eastAsia="zh-CN"/>
        </w:rPr>
        <w:br w:type="textWrapping"/>
      </w:r>
      <w:r>
        <w:rPr>
          <w:rFonts w:hint="eastAsia" w:ascii="Times New Roman" w:hAnsi="Times New Roman" w:eastAsia="仿宋_GB2312" w:cs="Times New Roman"/>
          <w:snapToGrid w:val="0"/>
          <w:spacing w:val="-11"/>
          <w:kern w:val="0"/>
          <w:sz w:val="32"/>
          <w:szCs w:val="32"/>
          <w:lang w:val="en-US" w:eastAsia="zh-CN" w:bidi="ar-SA"/>
        </w:rPr>
        <w:t>　　公用经费491.21万元，主要包括：</w:t>
      </w:r>
      <w:r>
        <w:rPr>
          <w:rFonts w:hint="eastAsia" w:eastAsia="仿宋_GB2312"/>
          <w:snapToGrid w:val="0"/>
          <w:color w:val="000000"/>
          <w:kern w:val="0"/>
          <w:sz w:val="32"/>
          <w:szCs w:val="32"/>
        </w:rPr>
        <w:t>办公费、水费、电费、邮电费、物业管理费、差旅费、维修（护）费、租赁费、公务接待费、劳务费、工会经费、福利费、其他交通费用、其他商品和服务支出等。</w:t>
      </w:r>
    </w:p>
    <w:p>
      <w:pPr>
        <w:keepNext w:val="0"/>
        <w:keepLines w:val="0"/>
        <w:pageBreakBefore w:val="0"/>
        <w:widowControl w:val="0"/>
        <w:kinsoku/>
        <w:wordWrap/>
        <w:overflowPunct/>
        <w:topLinePunct w:val="0"/>
        <w:autoSpaceDE/>
        <w:autoSpaceDN/>
        <w:bidi w:val="0"/>
        <w:spacing w:line="396" w:lineRule="auto"/>
        <w:ind w:firstLine="640"/>
        <w:textAlignment w:val="auto"/>
        <w:outlineLvl w:val="1"/>
        <w:rPr>
          <w:rStyle w:val="26"/>
          <w:rFonts w:ascii="黑体" w:hAnsi="黑体" w:eastAsia="黑体"/>
          <w:b w:val="0"/>
          <w:color w:val="auto"/>
          <w:highlight w:val="none"/>
        </w:rPr>
      </w:pPr>
      <w:bookmarkStart w:id="78" w:name="_Toc15396609"/>
      <w:bookmarkStart w:id="79" w:name="_Toc15377215"/>
      <w:bookmarkStart w:id="80" w:name="_Toc506467361_WPSOffice_Level2"/>
      <w:r>
        <w:rPr>
          <w:rFonts w:hint="eastAsia" w:ascii="黑体" w:eastAsia="黑体"/>
          <w:color w:val="auto"/>
          <w:sz w:val="32"/>
          <w:szCs w:val="32"/>
          <w:highlight w:val="none"/>
        </w:rPr>
        <w:t>七、</w:t>
      </w:r>
      <w:r>
        <w:rPr>
          <w:rStyle w:val="26"/>
          <w:rFonts w:hint="eastAsia" w:ascii="黑体" w:hAnsi="黑体" w:eastAsia="黑体"/>
          <w:color w:val="auto"/>
          <w:highlight w:val="none"/>
          <w:lang w:eastAsia="zh-CN"/>
        </w:rPr>
        <w:t>“</w:t>
      </w:r>
      <w:r>
        <w:rPr>
          <w:rStyle w:val="26"/>
          <w:rFonts w:hint="eastAsia" w:ascii="黑体" w:hAnsi="黑体" w:eastAsia="黑体"/>
          <w:b w:val="0"/>
          <w:color w:val="auto"/>
          <w:highlight w:val="none"/>
        </w:rPr>
        <w:t>三公”经费财政拨款支出决算情况说明</w:t>
      </w:r>
      <w:bookmarkEnd w:id="78"/>
      <w:bookmarkEnd w:id="79"/>
      <w:bookmarkEnd w:id="80"/>
    </w:p>
    <w:p>
      <w:pPr>
        <w:keepNext w:val="0"/>
        <w:keepLines w:val="0"/>
        <w:pageBreakBefore w:val="0"/>
        <w:widowControl w:val="0"/>
        <w:kinsoku/>
        <w:wordWrap/>
        <w:overflowPunct/>
        <w:topLinePunct w:val="0"/>
        <w:autoSpaceDE/>
        <w:autoSpaceDN/>
        <w:bidi w:val="0"/>
        <w:spacing w:line="396" w:lineRule="auto"/>
        <w:ind w:firstLine="640"/>
        <w:textAlignment w:val="auto"/>
        <w:outlineLvl w:val="2"/>
        <w:rPr>
          <w:rFonts w:hint="eastAsia" w:ascii="楷体_GB2312" w:hAnsi="楷体_GB2312" w:eastAsia="楷体_GB2312" w:cs="楷体_GB2312"/>
          <w:kern w:val="0"/>
          <w:sz w:val="32"/>
          <w:szCs w:val="32"/>
          <w:lang w:val="en-US" w:eastAsia="zh-CN" w:bidi="ar-SA"/>
        </w:rPr>
      </w:pPr>
      <w:bookmarkStart w:id="81" w:name="_Toc15377216"/>
      <w:r>
        <w:rPr>
          <w:rFonts w:hint="eastAsia" w:ascii="楷体_GB2312" w:hAnsi="楷体_GB2312" w:eastAsia="楷体_GB2312" w:cs="楷体_GB2312"/>
          <w:kern w:val="0"/>
          <w:sz w:val="32"/>
          <w:szCs w:val="32"/>
          <w:lang w:val="en-US" w:eastAsia="zh-CN" w:bidi="ar-SA"/>
        </w:rPr>
        <w:t>（一）“三公”经费财政拨款支出决算总体情况说明</w:t>
      </w:r>
      <w:bookmarkEnd w:id="81"/>
      <w:r>
        <w:rPr>
          <w:rFonts w:hint="eastAsia" w:ascii="楷体_GB2312" w:hAnsi="楷体_GB2312" w:eastAsia="楷体_GB2312" w:cs="楷体_GB2312"/>
          <w:kern w:val="0"/>
          <w:sz w:val="32"/>
          <w:szCs w:val="32"/>
          <w:lang w:val="en-US" w:eastAsia="zh-CN" w:bidi="ar-SA"/>
        </w:rPr>
        <w:t>。</w:t>
      </w:r>
    </w:p>
    <w:p>
      <w:pPr>
        <w:keepNext w:val="0"/>
        <w:keepLines w:val="0"/>
        <w:pageBreakBefore w:val="0"/>
        <w:widowControl w:val="0"/>
        <w:kinsoku/>
        <w:wordWrap/>
        <w:overflowPunct/>
        <w:topLinePunct w:val="0"/>
        <w:autoSpaceDE/>
        <w:autoSpaceDN/>
        <w:bidi w:val="0"/>
        <w:spacing w:line="396" w:lineRule="auto"/>
        <w:ind w:firstLine="596" w:firstLineChars="200"/>
        <w:textAlignment w:val="auto"/>
        <w:rPr>
          <w:rFonts w:hint="eastAsia" w:ascii="Times New Roman" w:hAnsi="Times New Roman" w:eastAsia="仿宋_GB2312" w:cs="Times New Roman"/>
          <w:snapToGrid w:val="0"/>
          <w:spacing w:val="-11"/>
          <w:kern w:val="0"/>
          <w:sz w:val="32"/>
          <w:szCs w:val="32"/>
          <w:lang w:val="en-US" w:eastAsia="zh-CN" w:bidi="ar-SA"/>
        </w:rPr>
      </w:pPr>
      <w:r>
        <w:rPr>
          <w:rFonts w:hint="eastAsia" w:ascii="Times New Roman" w:hAnsi="Times New Roman" w:eastAsia="仿宋_GB2312" w:cs="Times New Roman"/>
          <w:snapToGrid w:val="0"/>
          <w:spacing w:val="-11"/>
          <w:kern w:val="0"/>
          <w:sz w:val="32"/>
          <w:szCs w:val="32"/>
          <w:lang w:val="en-US" w:eastAsia="zh-CN" w:bidi="ar-SA"/>
        </w:rPr>
        <w:t>2021年“三公”经费财政拨款支出决算为</w:t>
      </w:r>
      <w:r>
        <w:rPr>
          <w:rFonts w:hint="eastAsia" w:eastAsia="仿宋_GB2312" w:cs="Times New Roman"/>
          <w:snapToGrid w:val="0"/>
          <w:spacing w:val="-11"/>
          <w:kern w:val="0"/>
          <w:sz w:val="32"/>
          <w:szCs w:val="32"/>
          <w:lang w:val="en-US" w:eastAsia="zh-CN" w:bidi="ar-SA"/>
        </w:rPr>
        <w:t>50.69</w:t>
      </w:r>
      <w:r>
        <w:rPr>
          <w:rFonts w:hint="eastAsia" w:ascii="Times New Roman" w:hAnsi="Times New Roman" w:eastAsia="仿宋_GB2312" w:cs="Times New Roman"/>
          <w:snapToGrid w:val="0"/>
          <w:spacing w:val="-11"/>
          <w:kern w:val="0"/>
          <w:sz w:val="32"/>
          <w:szCs w:val="32"/>
          <w:lang w:val="en-US" w:eastAsia="zh-CN" w:bidi="ar-SA"/>
        </w:rPr>
        <w:t>万元，完成预算100%，决算数与预算数持平。</w:t>
      </w:r>
    </w:p>
    <w:p>
      <w:pPr>
        <w:pStyle w:val="2"/>
        <w:jc w:val="center"/>
        <w:rPr>
          <w:rFonts w:hint="eastAsia"/>
          <w:lang w:val="en-US" w:eastAsia="zh-CN"/>
        </w:rPr>
      </w:pPr>
      <w:r>
        <w:rPr>
          <w:rFonts w:hint="eastAsia" w:ascii="Times New Roman" w:hAnsi="Times New Roman" w:eastAsia="仿宋_GB2312" w:cs="Times New Roman"/>
          <w:snapToGrid w:val="0"/>
          <w:spacing w:val="-11"/>
          <w:kern w:val="0"/>
          <w:sz w:val="32"/>
          <w:szCs w:val="32"/>
          <w:lang w:val="en-US" w:eastAsia="zh-CN" w:bidi="ar-SA"/>
        </w:rPr>
        <w:t>（图7：“三公”经费财政拨款支出结构）（饼状图）</w:t>
      </w:r>
    </w:p>
    <w:p>
      <w:pPr>
        <w:pStyle w:val="2"/>
        <w:rPr>
          <w:rFonts w:hint="eastAsia"/>
          <w:lang w:val="en-US" w:eastAsia="zh-CN"/>
        </w:rPr>
      </w:pPr>
    </w:p>
    <w:p>
      <w:pPr>
        <w:keepNext w:val="0"/>
        <w:keepLines w:val="0"/>
        <w:pageBreakBefore w:val="0"/>
        <w:widowControl w:val="0"/>
        <w:kinsoku/>
        <w:wordWrap/>
        <w:overflowPunct/>
        <w:topLinePunct w:val="0"/>
        <w:autoSpaceDE/>
        <w:autoSpaceDN/>
        <w:bidi w:val="0"/>
        <w:spacing w:line="368" w:lineRule="auto"/>
        <w:textAlignment w:val="auto"/>
        <w:rPr>
          <w:rFonts w:hint="eastAsia"/>
          <w:sz w:val="32"/>
          <w:szCs w:val="32"/>
          <w:lang w:eastAsia="zh-CN"/>
        </w:rPr>
      </w:pPr>
      <w:bookmarkStart w:id="159" w:name="_GoBack"/>
      <w:bookmarkEnd w:id="159"/>
      <w:r>
        <w:rPr>
          <w:sz w:val="32"/>
          <w:szCs w:val="32"/>
        </w:rPr>
        <w:drawing>
          <wp:anchor distT="0" distB="0" distL="114300" distR="114300" simplePos="0" relativeHeight="251661312" behindDoc="0" locked="0" layoutInCell="1" allowOverlap="1">
            <wp:simplePos x="0" y="0"/>
            <wp:positionH relativeFrom="column">
              <wp:posOffset>0</wp:posOffset>
            </wp:positionH>
            <wp:positionV relativeFrom="page">
              <wp:posOffset>1302385</wp:posOffset>
            </wp:positionV>
            <wp:extent cx="5285740" cy="3524885"/>
            <wp:effectExtent l="4445" t="4445" r="5715" b="13970"/>
            <wp:wrapSquare wrapText="bothSides"/>
            <wp:docPr id="6"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keepNext w:val="0"/>
        <w:keepLines w:val="0"/>
        <w:pageBreakBefore w:val="0"/>
        <w:widowControl w:val="0"/>
        <w:kinsoku/>
        <w:wordWrap/>
        <w:overflowPunct/>
        <w:topLinePunct w:val="0"/>
        <w:autoSpaceDE/>
        <w:autoSpaceDN/>
        <w:bidi w:val="0"/>
        <w:spacing w:line="368" w:lineRule="auto"/>
        <w:textAlignment w:val="auto"/>
        <w:rPr>
          <w:rFonts w:hint="eastAsia" w:ascii="楷体_GB2312" w:hAnsi="楷体_GB2312" w:eastAsia="楷体_GB2312" w:cs="楷体_GB2312"/>
          <w:kern w:val="0"/>
          <w:sz w:val="32"/>
          <w:szCs w:val="32"/>
          <w:lang w:val="en-US" w:eastAsia="zh-CN" w:bidi="ar-SA"/>
        </w:rPr>
      </w:pPr>
      <w:bookmarkStart w:id="82" w:name="_Toc15377217"/>
      <w:r>
        <w:rPr>
          <w:rFonts w:hint="eastAsia"/>
          <w:sz w:val="32"/>
          <w:szCs w:val="32"/>
          <w:lang w:eastAsia="zh-CN"/>
        </w:rPr>
        <w:t>　　</w:t>
      </w:r>
      <w:r>
        <w:rPr>
          <w:rFonts w:hint="eastAsia" w:ascii="楷体_GB2312" w:hAnsi="楷体_GB2312" w:eastAsia="楷体_GB2312" w:cs="楷体_GB2312"/>
          <w:kern w:val="0"/>
          <w:sz w:val="32"/>
          <w:szCs w:val="32"/>
          <w:lang w:val="en-US" w:eastAsia="zh-CN" w:bidi="ar-SA"/>
        </w:rPr>
        <w:t>（二）“三公”经费财政拨款支出决算具体情况说明</w:t>
      </w:r>
      <w:bookmarkEnd w:id="82"/>
      <w:r>
        <w:rPr>
          <w:rFonts w:hint="eastAsia" w:ascii="楷体_GB2312" w:hAnsi="楷体_GB2312" w:eastAsia="楷体_GB2312" w:cs="楷体_GB2312"/>
          <w:kern w:val="0"/>
          <w:sz w:val="32"/>
          <w:szCs w:val="32"/>
          <w:lang w:val="en-US" w:eastAsia="zh-CN" w:bidi="ar-SA"/>
        </w:rPr>
        <w:t>。</w:t>
      </w:r>
    </w:p>
    <w:p>
      <w:pPr>
        <w:keepNext w:val="0"/>
        <w:keepLines w:val="0"/>
        <w:pageBreakBefore w:val="0"/>
        <w:widowControl w:val="0"/>
        <w:kinsoku/>
        <w:wordWrap/>
        <w:overflowPunct/>
        <w:topLinePunct w:val="0"/>
        <w:autoSpaceDE/>
        <w:autoSpaceDN/>
        <w:bidi w:val="0"/>
        <w:spacing w:line="377" w:lineRule="auto"/>
        <w:ind w:firstLine="596" w:firstLineChars="200"/>
        <w:textAlignment w:val="auto"/>
        <w:rPr>
          <w:rFonts w:ascii="仿宋_GB2312" w:eastAsia="仿宋_GB2312"/>
          <w:b/>
          <w:color w:val="auto"/>
          <w:sz w:val="32"/>
          <w:szCs w:val="32"/>
          <w:highlight w:val="none"/>
        </w:rPr>
      </w:pPr>
      <w:r>
        <w:rPr>
          <w:rFonts w:hint="eastAsia" w:ascii="Times New Roman" w:hAnsi="Times New Roman" w:eastAsia="仿宋_GB2312" w:cs="Times New Roman"/>
          <w:snapToGrid w:val="0"/>
          <w:spacing w:val="-11"/>
          <w:kern w:val="0"/>
          <w:sz w:val="32"/>
          <w:szCs w:val="32"/>
          <w:lang w:val="en-US" w:eastAsia="zh-CN" w:bidi="ar-SA"/>
        </w:rPr>
        <w:t>2021年“三公”经费财政拨款支出决算中，因公出国（境）费支出决算0万元，占0%；公务用车购置及运行维护费支出决算50.14万元，占98.91%；公务接待费支出决算0.55万元，占1.09%。具体情况如下：</w:t>
      </w:r>
    </w:p>
    <w:p>
      <w:pPr>
        <w:spacing w:line="600" w:lineRule="exact"/>
        <w:ind w:firstLine="598" w:firstLineChars="200"/>
        <w:rPr>
          <w:rFonts w:eastAsia="方正仿宋_GBK"/>
          <w:sz w:val="33"/>
          <w:szCs w:val="33"/>
        </w:rPr>
      </w:pPr>
      <w:r>
        <w:rPr>
          <w:rFonts w:hint="eastAsia" w:ascii="Times New Roman" w:hAnsi="Times New Roman" w:eastAsia="仿宋_GB2312" w:cs="Times New Roman"/>
          <w:b/>
          <w:bCs/>
          <w:snapToGrid w:val="0"/>
          <w:spacing w:val="-11"/>
          <w:kern w:val="0"/>
          <w:sz w:val="32"/>
          <w:szCs w:val="32"/>
          <w:lang w:val="en-US" w:eastAsia="zh-CN" w:bidi="ar-SA"/>
        </w:rPr>
        <w:t>1．因公出国（境）经费支出</w:t>
      </w:r>
      <w:r>
        <w:rPr>
          <w:rFonts w:hint="eastAsia" w:ascii="Times New Roman" w:hAnsi="Times New Roman" w:eastAsia="仿宋_GB2312" w:cs="Times New Roman"/>
          <w:snapToGrid w:val="0"/>
          <w:spacing w:val="-11"/>
          <w:kern w:val="0"/>
          <w:sz w:val="32"/>
          <w:szCs w:val="32"/>
          <w:lang w:val="en-US" w:eastAsia="zh-CN" w:bidi="ar-SA"/>
        </w:rPr>
        <w:t>0万元，完成预算0%。全年安排因公出国（境）团组0次，出国（境）0人。</w:t>
      </w:r>
    </w:p>
    <w:p>
      <w:pPr>
        <w:keepNext w:val="0"/>
        <w:keepLines w:val="0"/>
        <w:pageBreakBefore w:val="0"/>
        <w:widowControl w:val="0"/>
        <w:kinsoku/>
        <w:wordWrap/>
        <w:overflowPunct/>
        <w:topLinePunct w:val="0"/>
        <w:autoSpaceDE/>
        <w:autoSpaceDN/>
        <w:bidi w:val="0"/>
        <w:adjustRightInd w:val="0"/>
        <w:snapToGrid w:val="0"/>
        <w:spacing w:line="353" w:lineRule="auto"/>
        <w:ind w:firstLine="598" w:firstLineChars="200"/>
        <w:textAlignment w:val="auto"/>
        <w:rPr>
          <w:rFonts w:ascii="仿宋_GB2312" w:eastAsia="仿宋_GB2312"/>
          <w:b/>
          <w:color w:val="auto"/>
          <w:sz w:val="32"/>
          <w:szCs w:val="32"/>
          <w:highlight w:val="none"/>
        </w:rPr>
      </w:pPr>
      <w:r>
        <w:rPr>
          <w:rFonts w:hint="eastAsia" w:ascii="Times New Roman" w:hAnsi="Times New Roman" w:eastAsia="仿宋_GB2312" w:cs="Times New Roman"/>
          <w:b/>
          <w:bCs/>
          <w:snapToGrid w:val="0"/>
          <w:spacing w:val="-11"/>
          <w:kern w:val="0"/>
          <w:sz w:val="32"/>
          <w:szCs w:val="32"/>
          <w:lang w:val="en-US" w:eastAsia="zh-CN" w:bidi="ar-SA"/>
        </w:rPr>
        <w:t>2．公务用车购置及运行维护费支出</w:t>
      </w:r>
      <w:r>
        <w:rPr>
          <w:rFonts w:hint="eastAsia" w:ascii="Times New Roman" w:hAnsi="Times New Roman" w:eastAsia="仿宋_GB2312" w:cs="Times New Roman"/>
          <w:snapToGrid w:val="0"/>
          <w:spacing w:val="-11"/>
          <w:kern w:val="0"/>
          <w:sz w:val="32"/>
          <w:szCs w:val="32"/>
          <w:lang w:val="en-US" w:eastAsia="zh-CN" w:bidi="ar-SA"/>
        </w:rPr>
        <w:t>50.14万元,完成预算100%。公务用车购置及运行维护费支出决算比2020年增加1.48万元，增长3.04%。主要原因是公务活动增加。</w:t>
      </w:r>
    </w:p>
    <w:p>
      <w:pPr>
        <w:keepNext w:val="0"/>
        <w:keepLines w:val="0"/>
        <w:pageBreakBefore w:val="0"/>
        <w:widowControl w:val="0"/>
        <w:kinsoku/>
        <w:wordWrap/>
        <w:overflowPunct/>
        <w:topLinePunct w:val="0"/>
        <w:autoSpaceDE/>
        <w:autoSpaceDN/>
        <w:bidi w:val="0"/>
        <w:adjustRightInd w:val="0"/>
        <w:snapToGrid w:val="0"/>
        <w:spacing w:line="375" w:lineRule="auto"/>
        <w:ind w:left="0" w:firstLine="596" w:firstLineChars="200"/>
        <w:textAlignment w:val="auto"/>
        <w:rPr>
          <w:rFonts w:hint="eastAsia" w:ascii="Times New Roman" w:hAnsi="Times New Roman" w:eastAsia="仿宋_GB2312" w:cs="Times New Roman"/>
          <w:snapToGrid w:val="0"/>
          <w:spacing w:val="-11"/>
          <w:kern w:val="0"/>
          <w:sz w:val="32"/>
          <w:szCs w:val="32"/>
          <w:lang w:val="en-US" w:eastAsia="zh-CN" w:bidi="ar-SA"/>
        </w:rPr>
      </w:pPr>
      <w:r>
        <w:rPr>
          <w:rFonts w:hint="eastAsia" w:ascii="Times New Roman" w:hAnsi="Times New Roman" w:eastAsia="仿宋_GB2312" w:cs="Times New Roman"/>
          <w:snapToGrid w:val="0"/>
          <w:spacing w:val="-11"/>
          <w:kern w:val="0"/>
          <w:sz w:val="32"/>
          <w:szCs w:val="32"/>
          <w:lang w:val="en-US" w:eastAsia="zh-CN" w:bidi="ar-SA"/>
        </w:rPr>
        <w:t>其中：</w:t>
      </w:r>
      <w:r>
        <w:rPr>
          <w:rFonts w:hint="eastAsia" w:ascii="Times New Roman" w:hAnsi="Times New Roman" w:eastAsia="仿宋_GB2312" w:cs="Times New Roman"/>
          <w:b/>
          <w:bCs/>
          <w:snapToGrid w:val="0"/>
          <w:spacing w:val="-11"/>
          <w:kern w:val="0"/>
          <w:sz w:val="32"/>
          <w:szCs w:val="32"/>
          <w:lang w:val="en-US" w:eastAsia="zh-CN" w:bidi="ar-SA"/>
        </w:rPr>
        <w:t>公务用车购置支出</w:t>
      </w:r>
      <w:r>
        <w:rPr>
          <w:rFonts w:hint="eastAsia" w:ascii="Times New Roman" w:hAnsi="Times New Roman" w:eastAsia="仿宋_GB2312" w:cs="Times New Roman"/>
          <w:snapToGrid w:val="0"/>
          <w:spacing w:val="-11"/>
          <w:kern w:val="0"/>
          <w:sz w:val="32"/>
          <w:szCs w:val="32"/>
          <w:lang w:val="en-US" w:eastAsia="zh-CN" w:bidi="ar-SA"/>
        </w:rPr>
        <w:t>0万元。全年按规定更新购置公务用车0辆，其中：轿车0辆、金额0万元，越野车0辆、金额0万元，载客汽车0辆、金额0万元。截至2021年12月底，单位共有公务用车15辆，其中：轿车</w:t>
      </w:r>
      <w:r>
        <w:rPr>
          <w:rFonts w:hint="default" w:ascii="Times New Roman" w:hAnsi="Times New Roman" w:eastAsia="仿宋_GB2312" w:cs="Times New Roman"/>
          <w:snapToGrid w:val="0"/>
          <w:spacing w:val="-11"/>
          <w:kern w:val="0"/>
          <w:sz w:val="32"/>
          <w:szCs w:val="32"/>
          <w:lang w:val="en" w:eastAsia="zh-CN" w:bidi="ar-SA"/>
        </w:rPr>
        <w:t>3</w:t>
      </w:r>
      <w:r>
        <w:rPr>
          <w:rFonts w:hint="eastAsia" w:ascii="Times New Roman" w:hAnsi="Times New Roman" w:eastAsia="仿宋_GB2312" w:cs="Times New Roman"/>
          <w:snapToGrid w:val="0"/>
          <w:spacing w:val="-11"/>
          <w:kern w:val="0"/>
          <w:sz w:val="32"/>
          <w:szCs w:val="32"/>
          <w:lang w:val="en-US" w:eastAsia="zh-CN" w:bidi="ar-SA"/>
        </w:rPr>
        <w:t>辆、越野车</w:t>
      </w:r>
      <w:r>
        <w:rPr>
          <w:rFonts w:hint="default" w:ascii="Times New Roman" w:hAnsi="Times New Roman" w:eastAsia="仿宋_GB2312" w:cs="Times New Roman"/>
          <w:snapToGrid w:val="0"/>
          <w:spacing w:val="-11"/>
          <w:kern w:val="0"/>
          <w:sz w:val="32"/>
          <w:szCs w:val="32"/>
          <w:lang w:val="en" w:eastAsia="zh-CN" w:bidi="ar-SA"/>
        </w:rPr>
        <w:t>11</w:t>
      </w:r>
      <w:r>
        <w:rPr>
          <w:rFonts w:hint="eastAsia" w:ascii="Times New Roman" w:hAnsi="Times New Roman" w:eastAsia="仿宋_GB2312" w:cs="Times New Roman"/>
          <w:snapToGrid w:val="0"/>
          <w:spacing w:val="-11"/>
          <w:kern w:val="0"/>
          <w:sz w:val="32"/>
          <w:szCs w:val="32"/>
          <w:lang w:val="en-US" w:eastAsia="zh-CN" w:bidi="ar-SA"/>
        </w:rPr>
        <w:t>辆、载客汽车</w:t>
      </w:r>
      <w:r>
        <w:rPr>
          <w:rFonts w:hint="default" w:ascii="Times New Roman" w:hAnsi="Times New Roman" w:eastAsia="仿宋_GB2312" w:cs="Times New Roman"/>
          <w:snapToGrid w:val="0"/>
          <w:spacing w:val="-11"/>
          <w:kern w:val="0"/>
          <w:sz w:val="32"/>
          <w:szCs w:val="32"/>
          <w:lang w:val="en" w:eastAsia="zh-CN" w:bidi="ar-SA"/>
        </w:rPr>
        <w:t>1</w:t>
      </w:r>
      <w:r>
        <w:rPr>
          <w:rFonts w:hint="eastAsia" w:ascii="Times New Roman" w:hAnsi="Times New Roman" w:eastAsia="仿宋_GB2312" w:cs="Times New Roman"/>
          <w:snapToGrid w:val="0"/>
          <w:spacing w:val="-11"/>
          <w:kern w:val="0"/>
          <w:sz w:val="32"/>
          <w:szCs w:val="32"/>
          <w:lang w:val="en-US" w:eastAsia="zh-CN" w:bidi="ar-SA"/>
        </w:rPr>
        <w:t>辆。</w:t>
      </w:r>
    </w:p>
    <w:p>
      <w:pPr>
        <w:keepNext w:val="0"/>
        <w:keepLines w:val="0"/>
        <w:pageBreakBefore w:val="0"/>
        <w:widowControl w:val="0"/>
        <w:kinsoku/>
        <w:wordWrap/>
        <w:overflowPunct/>
        <w:topLinePunct w:val="0"/>
        <w:autoSpaceDE/>
        <w:autoSpaceDN/>
        <w:bidi w:val="0"/>
        <w:adjustRightInd w:val="0"/>
        <w:snapToGrid w:val="0"/>
        <w:spacing w:line="375" w:lineRule="auto"/>
        <w:ind w:left="0" w:firstLine="598" w:firstLineChars="200"/>
        <w:textAlignment w:val="auto"/>
        <w:rPr>
          <w:rFonts w:hint="default" w:ascii="Times New Roman" w:hAnsi="Times New Roman" w:eastAsia="仿宋_GB2312" w:cs="Times New Roman"/>
          <w:snapToGrid w:val="0"/>
          <w:spacing w:val="-11"/>
          <w:kern w:val="0"/>
          <w:sz w:val="32"/>
          <w:szCs w:val="32"/>
          <w:lang w:val="en" w:eastAsia="zh-CN" w:bidi="ar-SA"/>
        </w:rPr>
      </w:pPr>
      <w:r>
        <w:rPr>
          <w:rFonts w:hint="eastAsia" w:ascii="Times New Roman" w:hAnsi="Times New Roman" w:eastAsia="仿宋_GB2312" w:cs="Times New Roman"/>
          <w:b/>
          <w:bCs/>
          <w:snapToGrid w:val="0"/>
          <w:spacing w:val="-11"/>
          <w:kern w:val="0"/>
          <w:sz w:val="32"/>
          <w:szCs w:val="32"/>
          <w:lang w:val="en" w:eastAsia="zh-CN" w:bidi="ar-SA"/>
        </w:rPr>
        <w:t>公务用车运行维护费支出</w:t>
      </w:r>
      <w:r>
        <w:rPr>
          <w:rFonts w:hint="eastAsia" w:ascii="Times New Roman" w:hAnsi="Times New Roman" w:eastAsia="仿宋_GB2312" w:cs="Times New Roman"/>
          <w:snapToGrid w:val="0"/>
          <w:spacing w:val="-11"/>
          <w:kern w:val="0"/>
          <w:sz w:val="32"/>
          <w:szCs w:val="32"/>
          <w:lang w:val="en" w:eastAsia="zh-CN" w:bidi="ar-SA"/>
        </w:rPr>
        <w:t>50.14万元。主要用于机关日常服务工作和专项业务工作等所需的公务用车燃料费、维修费、过路过桥费、保险费等支出。</w:t>
      </w:r>
    </w:p>
    <w:p>
      <w:pPr>
        <w:keepNext w:val="0"/>
        <w:keepLines w:val="0"/>
        <w:pageBreakBefore w:val="0"/>
        <w:widowControl w:val="0"/>
        <w:kinsoku/>
        <w:wordWrap/>
        <w:overflowPunct/>
        <w:topLinePunct w:val="0"/>
        <w:autoSpaceDE/>
        <w:autoSpaceDN/>
        <w:bidi w:val="0"/>
        <w:adjustRightInd w:val="0"/>
        <w:snapToGrid w:val="0"/>
        <w:spacing w:line="375" w:lineRule="auto"/>
        <w:ind w:left="0" w:firstLine="598" w:firstLineChars="200"/>
        <w:textAlignment w:val="auto"/>
        <w:rPr>
          <w:rFonts w:hint="eastAsia" w:ascii="Times New Roman" w:hAnsi="Times New Roman" w:eastAsia="仿宋_GB2312" w:cs="Times New Roman"/>
          <w:snapToGrid w:val="0"/>
          <w:spacing w:val="-11"/>
          <w:kern w:val="0"/>
          <w:sz w:val="32"/>
          <w:szCs w:val="32"/>
          <w:lang w:val="en" w:eastAsia="zh-CN" w:bidi="ar-SA"/>
        </w:rPr>
      </w:pPr>
      <w:r>
        <w:rPr>
          <w:rFonts w:hint="eastAsia" w:ascii="Times New Roman" w:hAnsi="Times New Roman" w:eastAsia="仿宋_GB2312" w:cs="Times New Roman"/>
          <w:b/>
          <w:bCs/>
          <w:snapToGrid w:val="0"/>
          <w:spacing w:val="-11"/>
          <w:kern w:val="0"/>
          <w:sz w:val="32"/>
          <w:szCs w:val="32"/>
          <w:lang w:val="en" w:eastAsia="zh-CN" w:bidi="ar-SA"/>
        </w:rPr>
        <w:t>3</w:t>
      </w:r>
      <w:r>
        <w:rPr>
          <w:rFonts w:hint="eastAsia" w:ascii="Times New Roman" w:hAnsi="Times New Roman" w:eastAsia="仿宋_GB2312" w:cs="Times New Roman"/>
          <w:b/>
          <w:bCs/>
          <w:snapToGrid w:val="0"/>
          <w:spacing w:val="-11"/>
          <w:kern w:val="0"/>
          <w:sz w:val="32"/>
          <w:szCs w:val="32"/>
          <w:lang w:val="en-US" w:eastAsia="zh-CN" w:bidi="ar-SA"/>
        </w:rPr>
        <w:t>．</w:t>
      </w:r>
      <w:r>
        <w:rPr>
          <w:rFonts w:hint="eastAsia" w:ascii="Times New Roman" w:hAnsi="Times New Roman" w:eastAsia="仿宋_GB2312" w:cs="Times New Roman"/>
          <w:b/>
          <w:bCs/>
          <w:snapToGrid w:val="0"/>
          <w:spacing w:val="-11"/>
          <w:kern w:val="0"/>
          <w:sz w:val="32"/>
          <w:szCs w:val="32"/>
          <w:lang w:val="en" w:eastAsia="zh-CN" w:bidi="ar-SA"/>
        </w:rPr>
        <w:t>公务接待费支出</w:t>
      </w:r>
      <w:r>
        <w:rPr>
          <w:rFonts w:hint="eastAsia" w:ascii="Times New Roman" w:hAnsi="Times New Roman" w:eastAsia="仿宋_GB2312" w:cs="Times New Roman"/>
          <w:snapToGrid w:val="0"/>
          <w:spacing w:val="-11"/>
          <w:kern w:val="0"/>
          <w:sz w:val="32"/>
          <w:szCs w:val="32"/>
          <w:lang w:val="en" w:eastAsia="zh-CN" w:bidi="ar-SA"/>
        </w:rPr>
        <w:t>0.55万元，完成预算</w:t>
      </w:r>
      <w:r>
        <w:rPr>
          <w:rFonts w:hint="eastAsia" w:ascii="Times New Roman" w:hAnsi="Times New Roman" w:eastAsia="仿宋_GB2312" w:cs="Times New Roman"/>
          <w:snapToGrid w:val="0"/>
          <w:spacing w:val="-11"/>
          <w:kern w:val="0"/>
          <w:sz w:val="32"/>
          <w:szCs w:val="32"/>
          <w:lang w:val="en-US" w:eastAsia="zh-CN" w:bidi="ar-SA"/>
        </w:rPr>
        <w:t>100</w:t>
      </w:r>
      <w:r>
        <w:rPr>
          <w:rFonts w:hint="eastAsia" w:ascii="Times New Roman" w:hAnsi="Times New Roman" w:eastAsia="仿宋_GB2312" w:cs="Times New Roman"/>
          <w:snapToGrid w:val="0"/>
          <w:spacing w:val="-11"/>
          <w:kern w:val="0"/>
          <w:sz w:val="32"/>
          <w:szCs w:val="32"/>
          <w:lang w:val="en" w:eastAsia="zh-CN" w:bidi="ar-SA"/>
        </w:rPr>
        <w:t>%。公务接待费支出决算比20</w:t>
      </w:r>
      <w:r>
        <w:rPr>
          <w:rFonts w:hint="eastAsia" w:ascii="Times New Roman" w:hAnsi="Times New Roman" w:eastAsia="仿宋_GB2312" w:cs="Times New Roman"/>
          <w:snapToGrid w:val="0"/>
          <w:spacing w:val="-11"/>
          <w:kern w:val="0"/>
          <w:sz w:val="32"/>
          <w:szCs w:val="32"/>
          <w:lang w:val="en-US" w:eastAsia="zh-CN" w:bidi="ar-SA"/>
        </w:rPr>
        <w:t>20</w:t>
      </w:r>
      <w:r>
        <w:rPr>
          <w:rFonts w:hint="eastAsia" w:ascii="Times New Roman" w:hAnsi="Times New Roman" w:eastAsia="仿宋_GB2312" w:cs="Times New Roman"/>
          <w:snapToGrid w:val="0"/>
          <w:spacing w:val="-11"/>
          <w:kern w:val="0"/>
          <w:sz w:val="32"/>
          <w:szCs w:val="32"/>
          <w:lang w:val="en" w:eastAsia="zh-CN" w:bidi="ar-SA"/>
        </w:rPr>
        <w:t>年减少</w:t>
      </w:r>
      <w:r>
        <w:rPr>
          <w:rFonts w:hint="eastAsia" w:ascii="Times New Roman" w:hAnsi="Times New Roman" w:eastAsia="仿宋_GB2312" w:cs="Times New Roman"/>
          <w:snapToGrid w:val="0"/>
          <w:spacing w:val="-11"/>
          <w:kern w:val="0"/>
          <w:sz w:val="32"/>
          <w:szCs w:val="32"/>
          <w:lang w:val="en-US" w:eastAsia="zh-CN" w:bidi="ar-SA"/>
        </w:rPr>
        <w:t>0.48</w:t>
      </w:r>
      <w:r>
        <w:rPr>
          <w:rFonts w:hint="eastAsia" w:ascii="Times New Roman" w:hAnsi="Times New Roman" w:eastAsia="仿宋_GB2312" w:cs="Times New Roman"/>
          <w:snapToGrid w:val="0"/>
          <w:spacing w:val="-11"/>
          <w:kern w:val="0"/>
          <w:sz w:val="32"/>
          <w:szCs w:val="32"/>
          <w:lang w:val="en" w:eastAsia="zh-CN" w:bidi="ar-SA"/>
        </w:rPr>
        <w:t>万元，下降</w:t>
      </w:r>
      <w:r>
        <w:rPr>
          <w:rFonts w:hint="eastAsia" w:ascii="Times New Roman" w:hAnsi="Times New Roman" w:eastAsia="仿宋_GB2312" w:cs="Times New Roman"/>
          <w:snapToGrid w:val="0"/>
          <w:spacing w:val="-11"/>
          <w:kern w:val="0"/>
          <w:sz w:val="32"/>
          <w:szCs w:val="32"/>
          <w:lang w:val="en-US" w:eastAsia="zh-CN" w:bidi="ar-SA"/>
        </w:rPr>
        <w:t>46.60</w:t>
      </w:r>
      <w:r>
        <w:rPr>
          <w:rFonts w:hint="eastAsia" w:ascii="Times New Roman" w:hAnsi="Times New Roman" w:eastAsia="仿宋_GB2312" w:cs="Times New Roman"/>
          <w:snapToGrid w:val="0"/>
          <w:spacing w:val="-11"/>
          <w:kern w:val="0"/>
          <w:sz w:val="32"/>
          <w:szCs w:val="32"/>
          <w:lang w:val="en" w:eastAsia="zh-CN" w:bidi="ar-SA"/>
        </w:rPr>
        <w:t>%。主要原因是公务接待工作减少。其中：</w:t>
      </w:r>
    </w:p>
    <w:p>
      <w:pPr>
        <w:keepNext w:val="0"/>
        <w:keepLines w:val="0"/>
        <w:pageBreakBefore w:val="0"/>
        <w:widowControl w:val="0"/>
        <w:kinsoku/>
        <w:wordWrap/>
        <w:overflowPunct/>
        <w:topLinePunct w:val="0"/>
        <w:autoSpaceDE/>
        <w:autoSpaceDN/>
        <w:bidi w:val="0"/>
        <w:adjustRightInd w:val="0"/>
        <w:snapToGrid w:val="0"/>
        <w:spacing w:line="375" w:lineRule="auto"/>
        <w:ind w:left="0" w:firstLine="598" w:firstLineChars="200"/>
        <w:textAlignment w:val="auto"/>
        <w:rPr>
          <w:rFonts w:hint="eastAsia" w:ascii="Times New Roman" w:hAnsi="Times New Roman" w:eastAsia="仿宋_GB2312" w:cs="Times New Roman"/>
          <w:snapToGrid w:val="0"/>
          <w:spacing w:val="-11"/>
          <w:kern w:val="0"/>
          <w:sz w:val="32"/>
          <w:szCs w:val="32"/>
          <w:lang w:val="en" w:eastAsia="zh-CN" w:bidi="ar-SA"/>
        </w:rPr>
      </w:pPr>
      <w:r>
        <w:rPr>
          <w:rFonts w:hint="eastAsia" w:ascii="Times New Roman" w:hAnsi="Times New Roman" w:eastAsia="仿宋_GB2312" w:cs="Times New Roman"/>
          <w:b/>
          <w:bCs/>
          <w:snapToGrid w:val="0"/>
          <w:spacing w:val="-11"/>
          <w:kern w:val="0"/>
          <w:sz w:val="32"/>
          <w:szCs w:val="32"/>
          <w:lang w:val="en" w:eastAsia="zh-CN" w:bidi="ar-SA"/>
        </w:rPr>
        <w:t>国内公务接待支出</w:t>
      </w:r>
      <w:r>
        <w:rPr>
          <w:rFonts w:hint="default" w:ascii="Times New Roman" w:hAnsi="Times New Roman" w:eastAsia="仿宋_GB2312" w:cs="Times New Roman"/>
          <w:snapToGrid w:val="0"/>
          <w:spacing w:val="-11"/>
          <w:kern w:val="0"/>
          <w:sz w:val="32"/>
          <w:szCs w:val="32"/>
          <w:lang w:val="en" w:eastAsia="zh-CN" w:bidi="ar-SA"/>
        </w:rPr>
        <w:t>0.55</w:t>
      </w:r>
      <w:r>
        <w:rPr>
          <w:rFonts w:hint="eastAsia" w:ascii="Times New Roman" w:hAnsi="Times New Roman" w:eastAsia="仿宋_GB2312" w:cs="Times New Roman"/>
          <w:snapToGrid w:val="0"/>
          <w:spacing w:val="-11"/>
          <w:kern w:val="0"/>
          <w:sz w:val="32"/>
          <w:szCs w:val="32"/>
          <w:lang w:val="en" w:eastAsia="zh-CN" w:bidi="ar-SA"/>
        </w:rPr>
        <w:t>万元，主要用于执行公务、开展业务活动开支的交通费、住宿费、用餐费等。国内公务接待</w:t>
      </w:r>
      <w:r>
        <w:rPr>
          <w:rFonts w:hint="default" w:ascii="Times New Roman" w:hAnsi="Times New Roman" w:eastAsia="仿宋_GB2312" w:cs="Times New Roman"/>
          <w:snapToGrid w:val="0"/>
          <w:spacing w:val="-11"/>
          <w:kern w:val="0"/>
          <w:sz w:val="32"/>
          <w:szCs w:val="32"/>
          <w:lang w:val="en" w:eastAsia="zh-CN" w:bidi="ar-SA"/>
        </w:rPr>
        <w:t>4</w:t>
      </w:r>
      <w:r>
        <w:rPr>
          <w:rFonts w:hint="eastAsia" w:ascii="Times New Roman" w:hAnsi="Times New Roman" w:eastAsia="仿宋_GB2312" w:cs="Times New Roman"/>
          <w:snapToGrid w:val="0"/>
          <w:spacing w:val="-11"/>
          <w:kern w:val="0"/>
          <w:sz w:val="32"/>
          <w:szCs w:val="32"/>
          <w:lang w:val="en" w:eastAsia="zh-CN" w:bidi="ar-SA"/>
        </w:rPr>
        <w:t>批次，</w:t>
      </w:r>
      <w:r>
        <w:rPr>
          <w:rFonts w:hint="default" w:ascii="Times New Roman" w:hAnsi="Times New Roman" w:eastAsia="仿宋_GB2312" w:cs="Times New Roman"/>
          <w:snapToGrid w:val="0"/>
          <w:spacing w:val="-11"/>
          <w:kern w:val="0"/>
          <w:sz w:val="32"/>
          <w:szCs w:val="32"/>
          <w:lang w:val="en" w:eastAsia="zh-CN" w:bidi="ar-SA"/>
        </w:rPr>
        <w:t>40</w:t>
      </w:r>
      <w:r>
        <w:rPr>
          <w:rFonts w:hint="eastAsia" w:ascii="Times New Roman" w:hAnsi="Times New Roman" w:eastAsia="仿宋_GB2312" w:cs="Times New Roman"/>
          <w:snapToGrid w:val="0"/>
          <w:spacing w:val="-11"/>
          <w:kern w:val="0"/>
          <w:sz w:val="32"/>
          <w:szCs w:val="32"/>
          <w:lang w:val="en" w:eastAsia="zh-CN" w:bidi="ar-SA"/>
        </w:rPr>
        <w:t>人次（不包括陪同人员），共计支出</w:t>
      </w:r>
      <w:r>
        <w:rPr>
          <w:rFonts w:hint="default" w:ascii="Times New Roman" w:hAnsi="Times New Roman" w:eastAsia="仿宋_GB2312" w:cs="Times New Roman"/>
          <w:snapToGrid w:val="0"/>
          <w:spacing w:val="-11"/>
          <w:kern w:val="0"/>
          <w:sz w:val="32"/>
          <w:szCs w:val="32"/>
          <w:lang w:val="en" w:eastAsia="zh-CN" w:bidi="ar-SA"/>
        </w:rPr>
        <w:t>0.55</w:t>
      </w:r>
      <w:r>
        <w:rPr>
          <w:rFonts w:hint="eastAsia" w:ascii="Times New Roman" w:hAnsi="Times New Roman" w:eastAsia="仿宋_GB2312" w:cs="Times New Roman"/>
          <w:snapToGrid w:val="0"/>
          <w:spacing w:val="-11"/>
          <w:kern w:val="0"/>
          <w:sz w:val="32"/>
          <w:szCs w:val="32"/>
          <w:lang w:val="en" w:eastAsia="zh-CN" w:bidi="ar-SA"/>
        </w:rPr>
        <w:t>万元，具体内容包括：市政府办公室、市大数据中心接待省、其他市州来攀考察、学习、调研、督查等。</w:t>
      </w:r>
    </w:p>
    <w:p>
      <w:pPr>
        <w:keepNext w:val="0"/>
        <w:keepLines w:val="0"/>
        <w:pageBreakBefore w:val="0"/>
        <w:widowControl w:val="0"/>
        <w:kinsoku/>
        <w:wordWrap/>
        <w:overflowPunct/>
        <w:topLinePunct w:val="0"/>
        <w:autoSpaceDE/>
        <w:autoSpaceDN/>
        <w:bidi w:val="0"/>
        <w:adjustRightInd w:val="0"/>
        <w:snapToGrid w:val="0"/>
        <w:spacing w:line="375" w:lineRule="auto"/>
        <w:ind w:left="0" w:firstLine="598" w:firstLineChars="200"/>
        <w:textAlignment w:val="auto"/>
        <w:rPr>
          <w:rFonts w:hint="eastAsia" w:eastAsia="仿宋_GB2312" w:cs="Times New Roman"/>
          <w:snapToGrid w:val="0"/>
          <w:spacing w:val="-11"/>
          <w:kern w:val="0"/>
          <w:sz w:val="32"/>
          <w:szCs w:val="32"/>
          <w:lang w:val="en" w:eastAsia="zh-CN" w:bidi="ar-SA"/>
        </w:rPr>
      </w:pPr>
      <w:r>
        <w:rPr>
          <w:rFonts w:hint="eastAsia" w:ascii="Times New Roman" w:hAnsi="Times New Roman" w:eastAsia="仿宋_GB2312" w:cs="Times New Roman"/>
          <w:b/>
          <w:bCs/>
          <w:snapToGrid w:val="0"/>
          <w:spacing w:val="-11"/>
          <w:kern w:val="0"/>
          <w:sz w:val="32"/>
          <w:szCs w:val="32"/>
          <w:lang w:val="en" w:eastAsia="zh-CN" w:bidi="ar-SA"/>
        </w:rPr>
        <w:t>外事接待支出</w:t>
      </w:r>
      <w:r>
        <w:rPr>
          <w:rFonts w:hint="eastAsia" w:ascii="Times New Roman" w:hAnsi="Times New Roman" w:eastAsia="仿宋_GB2312" w:cs="Times New Roman"/>
          <w:snapToGrid w:val="0"/>
          <w:spacing w:val="-11"/>
          <w:kern w:val="0"/>
          <w:sz w:val="32"/>
          <w:szCs w:val="32"/>
          <w:lang w:val="en-US" w:eastAsia="zh-CN" w:bidi="ar-SA"/>
        </w:rPr>
        <w:t>0</w:t>
      </w:r>
      <w:r>
        <w:rPr>
          <w:rFonts w:hint="eastAsia" w:ascii="Times New Roman" w:hAnsi="Times New Roman" w:eastAsia="仿宋_GB2312" w:cs="Times New Roman"/>
          <w:snapToGrid w:val="0"/>
          <w:spacing w:val="-11"/>
          <w:kern w:val="0"/>
          <w:sz w:val="32"/>
          <w:szCs w:val="32"/>
          <w:lang w:val="en" w:eastAsia="zh-CN" w:bidi="ar-SA"/>
        </w:rPr>
        <w:t>万元，外事接待</w:t>
      </w:r>
      <w:r>
        <w:rPr>
          <w:rFonts w:hint="eastAsia" w:ascii="Times New Roman" w:hAnsi="Times New Roman" w:eastAsia="仿宋_GB2312" w:cs="Times New Roman"/>
          <w:snapToGrid w:val="0"/>
          <w:spacing w:val="-11"/>
          <w:kern w:val="0"/>
          <w:sz w:val="32"/>
          <w:szCs w:val="32"/>
          <w:lang w:val="en-US" w:eastAsia="zh-CN" w:bidi="ar-SA"/>
        </w:rPr>
        <w:t>0</w:t>
      </w:r>
      <w:r>
        <w:rPr>
          <w:rFonts w:hint="eastAsia" w:ascii="Times New Roman" w:hAnsi="Times New Roman" w:eastAsia="仿宋_GB2312" w:cs="Times New Roman"/>
          <w:snapToGrid w:val="0"/>
          <w:spacing w:val="-11"/>
          <w:kern w:val="0"/>
          <w:sz w:val="32"/>
          <w:szCs w:val="32"/>
          <w:lang w:val="en" w:eastAsia="zh-CN" w:bidi="ar-SA"/>
        </w:rPr>
        <w:t>批次，</w:t>
      </w:r>
      <w:r>
        <w:rPr>
          <w:rFonts w:hint="eastAsia" w:ascii="Times New Roman" w:hAnsi="Times New Roman" w:eastAsia="仿宋_GB2312" w:cs="Times New Roman"/>
          <w:snapToGrid w:val="0"/>
          <w:spacing w:val="-11"/>
          <w:kern w:val="0"/>
          <w:sz w:val="32"/>
          <w:szCs w:val="32"/>
          <w:lang w:val="en-US" w:eastAsia="zh-CN" w:bidi="ar-SA"/>
        </w:rPr>
        <w:t>0</w:t>
      </w:r>
      <w:r>
        <w:rPr>
          <w:rFonts w:hint="eastAsia" w:ascii="Times New Roman" w:hAnsi="Times New Roman" w:eastAsia="仿宋_GB2312" w:cs="Times New Roman"/>
          <w:snapToGrid w:val="0"/>
          <w:spacing w:val="-11"/>
          <w:kern w:val="0"/>
          <w:sz w:val="32"/>
          <w:szCs w:val="32"/>
          <w:lang w:val="en" w:eastAsia="zh-CN" w:bidi="ar-SA"/>
        </w:rPr>
        <w:t>人，共计支出</w:t>
      </w:r>
      <w:r>
        <w:rPr>
          <w:rFonts w:hint="eastAsia" w:ascii="Times New Roman" w:hAnsi="Times New Roman" w:eastAsia="仿宋_GB2312" w:cs="Times New Roman"/>
          <w:snapToGrid w:val="0"/>
          <w:spacing w:val="-11"/>
          <w:kern w:val="0"/>
          <w:sz w:val="32"/>
          <w:szCs w:val="32"/>
          <w:lang w:val="en-US" w:eastAsia="zh-CN" w:bidi="ar-SA"/>
        </w:rPr>
        <w:t>0</w:t>
      </w:r>
      <w:r>
        <w:rPr>
          <w:rFonts w:hint="eastAsia" w:ascii="Times New Roman" w:hAnsi="Times New Roman" w:eastAsia="仿宋_GB2312" w:cs="Times New Roman"/>
          <w:snapToGrid w:val="0"/>
          <w:spacing w:val="-11"/>
          <w:kern w:val="0"/>
          <w:sz w:val="32"/>
          <w:szCs w:val="32"/>
          <w:lang w:val="en" w:eastAsia="zh-CN" w:bidi="ar-SA"/>
        </w:rPr>
        <w:t>万元。</w:t>
      </w:r>
      <w:bookmarkStart w:id="83" w:name="_Toc15396610"/>
      <w:bookmarkStart w:id="84" w:name="_Toc15377218"/>
    </w:p>
    <w:p>
      <w:pPr>
        <w:keepNext w:val="0"/>
        <w:keepLines w:val="0"/>
        <w:pageBreakBefore w:val="0"/>
        <w:widowControl w:val="0"/>
        <w:numPr>
          <w:ilvl w:val="0"/>
          <w:numId w:val="0"/>
        </w:numPr>
        <w:kinsoku/>
        <w:wordWrap/>
        <w:overflowPunct/>
        <w:topLinePunct w:val="0"/>
        <w:autoSpaceDE/>
        <w:autoSpaceDN/>
        <w:bidi w:val="0"/>
        <w:adjustRightInd w:val="0"/>
        <w:snapToGrid w:val="0"/>
        <w:spacing w:line="375" w:lineRule="auto"/>
        <w:ind w:leftChars="0" w:firstLine="640" w:firstLineChars="200"/>
        <w:textAlignment w:val="auto"/>
        <w:rPr>
          <w:rStyle w:val="26"/>
          <w:rFonts w:hint="eastAsia" w:ascii="黑体" w:hAnsi="黑体" w:eastAsia="黑体"/>
          <w:b w:val="0"/>
          <w:color w:val="auto"/>
          <w:highlight w:val="none"/>
        </w:rPr>
      </w:pPr>
      <w:bookmarkStart w:id="85" w:name="_Toc1670457107_WPSOffice_Level2"/>
      <w:r>
        <w:rPr>
          <w:rStyle w:val="26"/>
          <w:rFonts w:hint="eastAsia" w:ascii="黑体" w:hAnsi="黑体" w:eastAsia="黑体"/>
          <w:b w:val="0"/>
          <w:color w:val="auto"/>
          <w:highlight w:val="none"/>
          <w:lang w:eastAsia="zh-CN"/>
        </w:rPr>
        <w:t>八、</w:t>
      </w:r>
      <w:r>
        <w:rPr>
          <w:rStyle w:val="26"/>
          <w:rFonts w:hint="eastAsia" w:ascii="黑体" w:hAnsi="黑体" w:eastAsia="黑体"/>
          <w:b w:val="0"/>
          <w:color w:val="auto"/>
          <w:highlight w:val="none"/>
        </w:rPr>
        <w:t>政府性基金预算支出决算情况说明</w:t>
      </w:r>
      <w:bookmarkEnd w:id="83"/>
      <w:bookmarkEnd w:id="84"/>
      <w:bookmarkEnd w:id="85"/>
    </w:p>
    <w:p>
      <w:pPr>
        <w:keepNext w:val="0"/>
        <w:keepLines w:val="0"/>
        <w:pageBreakBefore w:val="0"/>
        <w:widowControl w:val="0"/>
        <w:numPr>
          <w:ilvl w:val="0"/>
          <w:numId w:val="0"/>
        </w:numPr>
        <w:kinsoku/>
        <w:wordWrap/>
        <w:overflowPunct/>
        <w:topLinePunct w:val="0"/>
        <w:autoSpaceDE/>
        <w:autoSpaceDN/>
        <w:bidi w:val="0"/>
        <w:adjustRightInd w:val="0"/>
        <w:snapToGrid w:val="0"/>
        <w:spacing w:line="375" w:lineRule="auto"/>
        <w:ind w:left="0" w:leftChars="0" w:firstLine="596" w:firstLineChars="200"/>
        <w:textAlignment w:val="auto"/>
        <w:rPr>
          <w:rFonts w:hint="eastAsia" w:ascii="Times New Roman" w:hAnsi="Times New Roman" w:eastAsia="仿宋_GB2312" w:cs="Times New Roman"/>
          <w:snapToGrid w:val="0"/>
          <w:spacing w:val="-11"/>
          <w:kern w:val="0"/>
          <w:sz w:val="32"/>
          <w:szCs w:val="32"/>
          <w:lang w:val="en-US" w:eastAsia="zh-CN" w:bidi="ar-SA"/>
        </w:rPr>
      </w:pPr>
      <w:r>
        <w:rPr>
          <w:rFonts w:hint="eastAsia" w:ascii="Times New Roman" w:hAnsi="Times New Roman" w:eastAsia="仿宋_GB2312" w:cs="Times New Roman"/>
          <w:snapToGrid w:val="0"/>
          <w:spacing w:val="-11"/>
          <w:kern w:val="0"/>
          <w:sz w:val="32"/>
          <w:szCs w:val="32"/>
          <w:lang w:val="en-US" w:eastAsia="zh-CN" w:bidi="ar-SA"/>
        </w:rPr>
        <w:t>2021年政府性基金预算财政拨款支出82.16万元。</w:t>
      </w:r>
    </w:p>
    <w:p>
      <w:pPr>
        <w:keepNext w:val="0"/>
        <w:keepLines w:val="0"/>
        <w:pageBreakBefore w:val="0"/>
        <w:widowControl w:val="0"/>
        <w:numPr>
          <w:ilvl w:val="0"/>
          <w:numId w:val="2"/>
        </w:numPr>
        <w:kinsoku/>
        <w:wordWrap/>
        <w:overflowPunct/>
        <w:topLinePunct w:val="0"/>
        <w:autoSpaceDE/>
        <w:autoSpaceDN/>
        <w:bidi w:val="0"/>
        <w:adjustRightInd w:val="0"/>
        <w:snapToGrid w:val="0"/>
        <w:spacing w:line="375" w:lineRule="auto"/>
        <w:ind w:left="0" w:firstLine="640" w:firstLineChars="200"/>
        <w:textAlignment w:val="auto"/>
        <w:outlineLvl w:val="1"/>
        <w:rPr>
          <w:rStyle w:val="26"/>
          <w:rFonts w:hint="eastAsia" w:ascii="黑体" w:hAnsi="黑体" w:eastAsia="黑体"/>
          <w:b w:val="0"/>
          <w:color w:val="auto"/>
          <w:highlight w:val="none"/>
        </w:rPr>
      </w:pPr>
      <w:bookmarkStart w:id="86" w:name="_Toc15377219"/>
      <w:bookmarkStart w:id="87" w:name="_Toc15396611"/>
      <w:bookmarkStart w:id="88" w:name="_Toc1040876952_WPSOffice_Level2"/>
      <w:r>
        <w:rPr>
          <w:rStyle w:val="26"/>
          <w:rFonts w:hint="eastAsia" w:ascii="黑体" w:hAnsi="黑体" w:eastAsia="黑体"/>
          <w:b w:val="0"/>
          <w:color w:val="auto"/>
          <w:highlight w:val="none"/>
        </w:rPr>
        <w:t>国有资本经营预算支出决算情况说明</w:t>
      </w:r>
      <w:bookmarkEnd w:id="86"/>
      <w:bookmarkEnd w:id="87"/>
      <w:bookmarkEnd w:id="88"/>
    </w:p>
    <w:p>
      <w:pPr>
        <w:keepNext w:val="0"/>
        <w:keepLines w:val="0"/>
        <w:pageBreakBefore w:val="0"/>
        <w:widowControl w:val="0"/>
        <w:numPr>
          <w:ilvl w:val="0"/>
          <w:numId w:val="0"/>
        </w:numPr>
        <w:kinsoku/>
        <w:wordWrap/>
        <w:overflowPunct/>
        <w:topLinePunct w:val="0"/>
        <w:autoSpaceDE/>
        <w:autoSpaceDN/>
        <w:bidi w:val="0"/>
        <w:adjustRightInd w:val="0"/>
        <w:snapToGrid w:val="0"/>
        <w:spacing w:line="375" w:lineRule="auto"/>
        <w:ind w:left="0"/>
        <w:textAlignment w:val="auto"/>
        <w:outlineLvl w:val="1"/>
        <w:rPr>
          <w:rFonts w:hint="eastAsia" w:ascii="Times New Roman" w:hAnsi="Times New Roman" w:eastAsia="仿宋_GB2312" w:cs="Times New Roman"/>
          <w:snapToGrid w:val="0"/>
          <w:spacing w:val="-11"/>
          <w:kern w:val="0"/>
          <w:sz w:val="32"/>
          <w:szCs w:val="32"/>
          <w:lang w:val="en-US" w:eastAsia="zh-CN" w:bidi="ar-SA"/>
        </w:rPr>
      </w:pPr>
      <w:r>
        <w:rPr>
          <w:rFonts w:hint="eastAsia" w:eastAsia="仿宋_GB2312" w:cs="Times New Roman"/>
          <w:snapToGrid w:val="0"/>
          <w:spacing w:val="-11"/>
          <w:kern w:val="0"/>
          <w:sz w:val="32"/>
          <w:szCs w:val="32"/>
          <w:lang w:val="en-US" w:eastAsia="zh-CN" w:bidi="ar-SA"/>
        </w:rPr>
        <w:t>　　</w:t>
      </w:r>
      <w:r>
        <w:rPr>
          <w:rFonts w:hint="eastAsia" w:ascii="Times New Roman" w:hAnsi="Times New Roman" w:eastAsia="仿宋_GB2312" w:cs="Times New Roman"/>
          <w:snapToGrid w:val="0"/>
          <w:spacing w:val="-11"/>
          <w:kern w:val="0"/>
          <w:sz w:val="32"/>
          <w:szCs w:val="32"/>
          <w:lang w:val="en-US" w:eastAsia="zh-CN" w:bidi="ar-SA"/>
        </w:rPr>
        <w:t>2021年国有资本经营预算财政拨款支出0万元。</w:t>
      </w:r>
    </w:p>
    <w:p>
      <w:pPr>
        <w:keepNext w:val="0"/>
        <w:keepLines w:val="0"/>
        <w:pageBreakBefore w:val="0"/>
        <w:widowControl w:val="0"/>
        <w:numPr>
          <w:ilvl w:val="0"/>
          <w:numId w:val="0"/>
        </w:numPr>
        <w:kinsoku/>
        <w:wordWrap/>
        <w:overflowPunct/>
        <w:topLinePunct w:val="0"/>
        <w:bidi w:val="0"/>
        <w:adjustRightInd w:val="0"/>
        <w:snapToGrid w:val="0"/>
        <w:spacing w:line="375" w:lineRule="auto"/>
        <w:ind w:left="0" w:firstLine="640" w:firstLineChars="200"/>
        <w:textAlignment w:val="auto"/>
        <w:outlineLvl w:val="1"/>
        <w:rPr>
          <w:rStyle w:val="26"/>
          <w:rFonts w:hint="eastAsia" w:ascii="黑体" w:hAnsi="黑体" w:eastAsia="黑体"/>
          <w:b w:val="0"/>
          <w:color w:val="auto"/>
          <w:highlight w:val="none"/>
        </w:rPr>
      </w:pPr>
      <w:bookmarkStart w:id="89" w:name="_Toc15396612"/>
      <w:bookmarkStart w:id="90" w:name="_Toc1317516032_WPSOffice_Level2"/>
      <w:bookmarkStart w:id="91" w:name="_Toc15377221"/>
      <w:r>
        <w:rPr>
          <w:rStyle w:val="26"/>
          <w:rFonts w:hint="eastAsia" w:ascii="黑体" w:hAnsi="黑体" w:eastAsia="黑体"/>
          <w:b w:val="0"/>
          <w:color w:val="auto"/>
          <w:highlight w:val="none"/>
          <w:lang w:eastAsia="zh-CN"/>
        </w:rPr>
        <w:t>十、</w:t>
      </w:r>
      <w:r>
        <w:rPr>
          <w:rStyle w:val="26"/>
          <w:rFonts w:hint="eastAsia" w:ascii="黑体" w:hAnsi="黑体" w:eastAsia="黑体"/>
          <w:b w:val="0"/>
          <w:color w:val="auto"/>
          <w:highlight w:val="none"/>
        </w:rPr>
        <w:t>其他重要事项的情况说明</w:t>
      </w:r>
      <w:bookmarkEnd w:id="89"/>
      <w:bookmarkEnd w:id="90"/>
      <w:bookmarkEnd w:id="91"/>
    </w:p>
    <w:p>
      <w:pPr>
        <w:keepNext w:val="0"/>
        <w:keepLines w:val="0"/>
        <w:pageBreakBefore w:val="0"/>
        <w:widowControl w:val="0"/>
        <w:kinsoku/>
        <w:wordWrap/>
        <w:overflowPunct/>
        <w:topLinePunct w:val="0"/>
        <w:autoSpaceDE/>
        <w:autoSpaceDN/>
        <w:bidi w:val="0"/>
        <w:adjustRightInd w:val="0"/>
        <w:snapToGrid w:val="0"/>
        <w:spacing w:line="375" w:lineRule="auto"/>
        <w:ind w:left="0" w:firstLine="640"/>
        <w:textAlignment w:val="auto"/>
        <w:outlineLvl w:val="2"/>
        <w:rPr>
          <w:rFonts w:hint="eastAsia" w:ascii="Times New Roman" w:hAnsi="Times New Roman" w:eastAsia="仿宋_GB2312" w:cs="Times New Roman"/>
          <w:snapToGrid w:val="0"/>
          <w:spacing w:val="-11"/>
          <w:kern w:val="0"/>
          <w:sz w:val="32"/>
          <w:szCs w:val="32"/>
          <w:lang w:val="en-US" w:eastAsia="zh-CN" w:bidi="ar-SA"/>
        </w:rPr>
      </w:pPr>
      <w:bookmarkStart w:id="92" w:name="_Toc15377222"/>
      <w:r>
        <w:rPr>
          <w:rFonts w:hint="eastAsia" w:ascii="楷体_GB2312" w:hAnsi="楷体_GB2312" w:eastAsia="楷体_GB2312" w:cs="楷体_GB2312"/>
          <w:kern w:val="0"/>
          <w:sz w:val="32"/>
          <w:szCs w:val="32"/>
          <w:lang w:val="en-US" w:eastAsia="zh-CN" w:bidi="ar-SA"/>
        </w:rPr>
        <w:t>（一）机关运行经费支出情况</w:t>
      </w:r>
      <w:bookmarkEnd w:id="92"/>
      <w:r>
        <w:rPr>
          <w:rFonts w:hint="eastAsia" w:ascii="楷体_GB2312" w:hAnsi="楷体_GB2312" w:eastAsia="楷体_GB2312" w:cs="楷体_GB2312"/>
          <w:kern w:val="0"/>
          <w:sz w:val="32"/>
          <w:szCs w:val="32"/>
          <w:lang w:val="en-US" w:eastAsia="zh-CN" w:bidi="ar-SA"/>
        </w:rPr>
        <w:t>。</w:t>
      </w:r>
      <w:r>
        <w:rPr>
          <w:rFonts w:hint="eastAsia" w:ascii="Times New Roman" w:hAnsi="Times New Roman" w:eastAsia="仿宋_GB2312" w:cs="Times New Roman"/>
          <w:snapToGrid w:val="0"/>
          <w:spacing w:val="-11"/>
          <w:kern w:val="0"/>
          <w:sz w:val="32"/>
          <w:szCs w:val="32"/>
          <w:lang w:val="en-US" w:eastAsia="zh-CN" w:bidi="ar-SA"/>
        </w:rPr>
        <w:t>2021年，市政府办公室机关运行经费支出491.21万元，比2020年增加178.66万元，增长57.16%。主要原因是调入人员较多，经费增加。</w:t>
      </w:r>
    </w:p>
    <w:p>
      <w:pPr>
        <w:keepNext w:val="0"/>
        <w:keepLines w:val="0"/>
        <w:pageBreakBefore w:val="0"/>
        <w:widowControl w:val="0"/>
        <w:kinsoku/>
        <w:wordWrap/>
        <w:overflowPunct/>
        <w:topLinePunct w:val="0"/>
        <w:autoSpaceDE/>
        <w:autoSpaceDN/>
        <w:bidi w:val="0"/>
        <w:adjustRightInd w:val="0"/>
        <w:snapToGrid w:val="0"/>
        <w:spacing w:line="375" w:lineRule="auto"/>
        <w:ind w:left="0" w:firstLine="640"/>
        <w:textAlignment w:val="auto"/>
        <w:outlineLvl w:val="2"/>
        <w:rPr>
          <w:rFonts w:hint="eastAsia" w:ascii="Times New Roman" w:hAnsi="Times New Roman" w:eastAsia="仿宋_GB2312" w:cs="Times New Roman"/>
          <w:snapToGrid w:val="0"/>
          <w:spacing w:val="-11"/>
          <w:kern w:val="0"/>
          <w:sz w:val="32"/>
          <w:szCs w:val="32"/>
          <w:lang w:val="en-US" w:eastAsia="zh-CN" w:bidi="ar-SA"/>
        </w:rPr>
      </w:pPr>
      <w:bookmarkStart w:id="93" w:name="_Toc15377223"/>
      <w:r>
        <w:rPr>
          <w:rFonts w:hint="eastAsia" w:ascii="楷体_GB2312" w:hAnsi="楷体_GB2312" w:eastAsia="楷体_GB2312" w:cs="楷体_GB2312"/>
          <w:kern w:val="0"/>
          <w:sz w:val="32"/>
          <w:szCs w:val="32"/>
          <w:lang w:val="en-US" w:eastAsia="zh-CN" w:bidi="ar-SA"/>
        </w:rPr>
        <w:t>（二）政府采购支出情况</w:t>
      </w:r>
      <w:bookmarkEnd w:id="93"/>
      <w:r>
        <w:rPr>
          <w:rFonts w:hint="eastAsia" w:ascii="楷体_GB2312" w:hAnsi="楷体_GB2312" w:eastAsia="楷体_GB2312" w:cs="楷体_GB2312"/>
          <w:kern w:val="0"/>
          <w:sz w:val="32"/>
          <w:szCs w:val="32"/>
          <w:lang w:val="en-US" w:eastAsia="zh-CN" w:bidi="ar-SA"/>
        </w:rPr>
        <w:t>。</w:t>
      </w:r>
      <w:r>
        <w:rPr>
          <w:rFonts w:hint="eastAsia" w:ascii="Times New Roman" w:hAnsi="Times New Roman" w:eastAsia="仿宋_GB2312" w:cs="Times New Roman"/>
          <w:snapToGrid w:val="0"/>
          <w:spacing w:val="-11"/>
          <w:kern w:val="0"/>
          <w:sz w:val="32"/>
          <w:szCs w:val="32"/>
          <w:lang w:val="en-US" w:eastAsia="zh-CN" w:bidi="ar-SA"/>
        </w:rPr>
        <w:t>2021年，市政府办公室政府采购支出总额169.43万元，其中：政府采购货物支出34.15</w:t>
      </w:r>
      <w:r>
        <w:rPr>
          <w:rFonts w:hint="eastAsia" w:ascii="Times New Roman" w:hAnsi="Times New Roman" w:eastAsia="仿宋_GB2312" w:cs="Times New Roman"/>
          <w:snapToGrid w:val="0"/>
          <w:spacing w:val="-11"/>
          <w:kern w:val="0"/>
          <w:sz w:val="32"/>
          <w:szCs w:val="32"/>
          <w:highlight w:val="none"/>
          <w:lang w:val="en-US" w:eastAsia="zh-CN" w:bidi="ar-SA"/>
        </w:rPr>
        <w:t>万元、政府采购工程支出0万元、政府采购服务支出135.28万元。</w:t>
      </w:r>
      <w:bookmarkStart w:id="94" w:name="hmjd_error_1_0_主要用于主要用于_主要用于_9375"/>
      <w:r>
        <w:rPr>
          <w:rFonts w:hint="eastAsia" w:ascii="Times New Roman" w:hAnsi="Times New Roman" w:eastAsia="仿宋_GB2312" w:cs="Times New Roman"/>
          <w:snapToGrid w:val="0"/>
          <w:spacing w:val="-11"/>
          <w:kern w:val="0"/>
          <w:sz w:val="32"/>
          <w:szCs w:val="32"/>
          <w:highlight w:val="none"/>
          <w:lang w:val="en-US" w:eastAsia="zh-CN" w:bidi="ar-SA"/>
        </w:rPr>
        <w:t>主要用于</w:t>
      </w:r>
      <w:bookmarkEnd w:id="94"/>
      <w:r>
        <w:rPr>
          <w:rFonts w:hint="eastAsia" w:ascii="Times New Roman" w:hAnsi="Times New Roman" w:eastAsia="仿宋_GB2312" w:cs="Times New Roman"/>
          <w:snapToGrid w:val="0"/>
          <w:spacing w:val="-11"/>
          <w:kern w:val="0"/>
          <w:sz w:val="32"/>
          <w:szCs w:val="32"/>
          <w:highlight w:val="none"/>
          <w:lang w:val="en-US" w:eastAsia="zh-CN" w:bidi="ar-SA"/>
        </w:rPr>
        <w:t>疫情防控、全市网站集约化平台运维、网站督查评估、森林草原防灭火、安保等工作。授予中小企业合同金额169.43万元，占政府采购支出总额的100%，其中：授予小微企业合同金额169.43万元，占政</w:t>
      </w:r>
      <w:r>
        <w:rPr>
          <w:rFonts w:hint="eastAsia" w:ascii="Times New Roman" w:hAnsi="Times New Roman" w:eastAsia="仿宋_GB2312" w:cs="Times New Roman"/>
          <w:snapToGrid w:val="0"/>
          <w:spacing w:val="-11"/>
          <w:kern w:val="0"/>
          <w:sz w:val="32"/>
          <w:szCs w:val="32"/>
          <w:lang w:val="en-US" w:eastAsia="zh-CN" w:bidi="ar-SA"/>
        </w:rPr>
        <w:t>府采购支出总额的100%。</w:t>
      </w:r>
    </w:p>
    <w:p>
      <w:pPr>
        <w:keepNext w:val="0"/>
        <w:keepLines w:val="0"/>
        <w:pageBreakBefore w:val="0"/>
        <w:widowControl w:val="0"/>
        <w:kinsoku/>
        <w:wordWrap/>
        <w:overflowPunct/>
        <w:topLinePunct w:val="0"/>
        <w:autoSpaceDE w:val="0"/>
        <w:autoSpaceDN w:val="0"/>
        <w:bidi w:val="0"/>
        <w:adjustRightInd w:val="0"/>
        <w:snapToGrid w:val="0"/>
        <w:spacing w:line="375" w:lineRule="auto"/>
        <w:ind w:left="0" w:firstLine="640" w:firstLineChars="200"/>
        <w:jc w:val="both"/>
        <w:textAlignment w:val="auto"/>
        <w:outlineLvl w:val="2"/>
        <w:rPr>
          <w:rFonts w:hint="eastAsia" w:ascii="Times New Roman" w:hAnsi="Times New Roman" w:eastAsia="仿宋_GB2312" w:cs="Times New Roman"/>
          <w:snapToGrid w:val="0"/>
          <w:spacing w:val="-11"/>
          <w:kern w:val="0"/>
          <w:sz w:val="32"/>
          <w:szCs w:val="32"/>
          <w:lang w:val="en-US" w:eastAsia="zh-CN" w:bidi="ar-SA"/>
        </w:rPr>
      </w:pPr>
      <w:bookmarkStart w:id="95" w:name="_Toc15377224"/>
      <w:r>
        <w:rPr>
          <w:rFonts w:hint="eastAsia" w:ascii="楷体_GB2312" w:hAnsi="楷体_GB2312" w:eastAsia="楷体_GB2312" w:cs="楷体_GB2312"/>
          <w:kern w:val="0"/>
          <w:sz w:val="32"/>
          <w:szCs w:val="32"/>
          <w:lang w:val="en-US" w:eastAsia="zh-CN" w:bidi="ar-SA"/>
        </w:rPr>
        <w:t>（三）国有资产占有使用情况</w:t>
      </w:r>
      <w:bookmarkEnd w:id="95"/>
      <w:r>
        <w:rPr>
          <w:rFonts w:hint="eastAsia" w:ascii="楷体_GB2312" w:hAnsi="楷体_GB2312" w:eastAsia="楷体_GB2312" w:cs="楷体_GB2312"/>
          <w:kern w:val="0"/>
          <w:sz w:val="32"/>
          <w:szCs w:val="32"/>
          <w:lang w:val="en-US" w:eastAsia="zh-CN" w:bidi="ar-SA"/>
        </w:rPr>
        <w:t>。</w:t>
      </w:r>
      <w:r>
        <w:rPr>
          <w:rFonts w:hint="eastAsia" w:ascii="Times New Roman" w:hAnsi="Times New Roman" w:eastAsia="仿宋_GB2312" w:cs="Times New Roman"/>
          <w:snapToGrid w:val="0"/>
          <w:spacing w:val="-11"/>
          <w:kern w:val="0"/>
          <w:sz w:val="32"/>
          <w:szCs w:val="32"/>
          <w:lang w:val="en-US" w:eastAsia="zh-CN" w:bidi="ar-SA"/>
        </w:rPr>
        <w:t>截至2021年12月31日，市政府办公室共有车辆15辆，其中：主要领导干部用车1辆、机要通信用车1辆、应急保障用车12辆、其他用车1辆，其他用车主要是用于下乡调研、督查督办等业务工作。单价50万元以上通用设备0台（套），单价100万元以上专用设备0台（套）。</w:t>
      </w:r>
    </w:p>
    <w:p>
      <w:pPr>
        <w:keepNext w:val="0"/>
        <w:keepLines w:val="0"/>
        <w:pageBreakBefore w:val="0"/>
        <w:widowControl w:val="0"/>
        <w:kinsoku/>
        <w:wordWrap/>
        <w:overflowPunct/>
        <w:topLinePunct w:val="0"/>
        <w:autoSpaceDE w:val="0"/>
        <w:autoSpaceDN w:val="0"/>
        <w:bidi w:val="0"/>
        <w:adjustRightInd w:val="0"/>
        <w:snapToGrid w:val="0"/>
        <w:spacing w:line="375" w:lineRule="auto"/>
        <w:ind w:left="0" w:firstLine="640" w:firstLineChars="200"/>
        <w:jc w:val="both"/>
        <w:textAlignment w:val="auto"/>
        <w:outlineLvl w:val="2"/>
        <w:rPr>
          <w:rFonts w:hint="eastAsia" w:ascii="Times New Roman" w:hAnsi="Times New Roman" w:eastAsia="仿宋_GB2312" w:cs="Times New Roman"/>
          <w:snapToGrid w:val="0"/>
          <w:spacing w:val="-11"/>
          <w:kern w:val="0"/>
          <w:sz w:val="32"/>
          <w:szCs w:val="32"/>
          <w:lang w:val="en-US" w:eastAsia="zh-CN" w:bidi="ar-SA"/>
        </w:rPr>
      </w:pPr>
      <w:r>
        <w:rPr>
          <w:rFonts w:hint="eastAsia" w:ascii="楷体_GB2312" w:hAnsi="楷体_GB2312" w:eastAsia="楷体_GB2312" w:cs="楷体_GB2312"/>
          <w:kern w:val="0"/>
          <w:sz w:val="32"/>
          <w:szCs w:val="32"/>
          <w:lang w:val="en-US" w:eastAsia="zh-CN" w:bidi="ar-SA"/>
        </w:rPr>
        <w:t>（四）预算绩效管理情况。</w:t>
      </w:r>
      <w:r>
        <w:rPr>
          <w:rFonts w:hint="eastAsia" w:ascii="Times New Roman" w:hAnsi="Times New Roman" w:eastAsia="仿宋_GB2312" w:cs="Times New Roman"/>
          <w:snapToGrid w:val="0"/>
          <w:spacing w:val="-11"/>
          <w:kern w:val="0"/>
          <w:sz w:val="32"/>
          <w:szCs w:val="32"/>
          <w:lang w:val="en-US" w:eastAsia="zh-CN" w:bidi="ar-SA"/>
        </w:rPr>
        <w:t>根据预算绩效管理要求，本单位在2021年度预算编制阶段，组织对2021年攀枝花市政府网站在线访谈节目及相关微视频采购项目等</w:t>
      </w:r>
      <w:r>
        <w:rPr>
          <w:rFonts w:hint="eastAsia" w:eastAsia="仿宋_GB2312" w:cs="Times New Roman"/>
          <w:snapToGrid w:val="0"/>
          <w:spacing w:val="-11"/>
          <w:kern w:val="0"/>
          <w:sz w:val="32"/>
          <w:szCs w:val="32"/>
          <w:lang w:val="en-US" w:eastAsia="zh-CN" w:bidi="ar-SA"/>
        </w:rPr>
        <w:t>15</w:t>
      </w:r>
      <w:r>
        <w:rPr>
          <w:rFonts w:hint="eastAsia" w:ascii="Times New Roman" w:hAnsi="Times New Roman" w:eastAsia="仿宋_GB2312" w:cs="Times New Roman"/>
          <w:snapToGrid w:val="0"/>
          <w:spacing w:val="-11"/>
          <w:kern w:val="0"/>
          <w:sz w:val="32"/>
          <w:szCs w:val="32"/>
          <w:lang w:val="en-US" w:eastAsia="zh-CN" w:bidi="ar-SA"/>
        </w:rPr>
        <w:t>个项目开展了预算事前绩效评估，对</w:t>
      </w:r>
      <w:r>
        <w:rPr>
          <w:rFonts w:hint="eastAsia" w:eastAsia="仿宋_GB2312" w:cs="Times New Roman"/>
          <w:snapToGrid w:val="0"/>
          <w:spacing w:val="-11"/>
          <w:kern w:val="0"/>
          <w:sz w:val="32"/>
          <w:szCs w:val="32"/>
          <w:lang w:val="en-US" w:eastAsia="zh-CN" w:bidi="ar-SA"/>
        </w:rPr>
        <w:t>12</w:t>
      </w:r>
      <w:r>
        <w:rPr>
          <w:rFonts w:hint="eastAsia" w:ascii="Times New Roman" w:hAnsi="Times New Roman" w:eastAsia="仿宋_GB2312" w:cs="Times New Roman"/>
          <w:snapToGrid w:val="0"/>
          <w:spacing w:val="-11"/>
          <w:kern w:val="0"/>
          <w:sz w:val="32"/>
          <w:szCs w:val="32"/>
          <w:lang w:val="en-US" w:eastAsia="zh-CN" w:bidi="ar-SA"/>
        </w:rPr>
        <w:t>个项目编制了绩效目标，预算执行过程中，选取</w:t>
      </w:r>
      <w:r>
        <w:rPr>
          <w:rFonts w:hint="eastAsia" w:eastAsia="仿宋_GB2312" w:cs="Times New Roman"/>
          <w:snapToGrid w:val="0"/>
          <w:spacing w:val="-11"/>
          <w:kern w:val="0"/>
          <w:sz w:val="32"/>
          <w:szCs w:val="32"/>
          <w:lang w:val="en-US" w:eastAsia="zh-CN" w:bidi="ar-SA"/>
        </w:rPr>
        <w:t>8</w:t>
      </w:r>
      <w:r>
        <w:rPr>
          <w:rFonts w:hint="eastAsia" w:ascii="Times New Roman" w:hAnsi="Times New Roman" w:eastAsia="仿宋_GB2312" w:cs="Times New Roman"/>
          <w:snapToGrid w:val="0"/>
          <w:spacing w:val="-11"/>
          <w:kern w:val="0"/>
          <w:sz w:val="32"/>
          <w:szCs w:val="32"/>
          <w:lang w:val="en-US" w:eastAsia="zh-CN" w:bidi="ar-SA"/>
        </w:rPr>
        <w:t>个项目开展绩效监控，年终执行完毕后，对</w:t>
      </w:r>
      <w:r>
        <w:rPr>
          <w:rFonts w:hint="eastAsia" w:eastAsia="仿宋_GB2312" w:cs="Times New Roman"/>
          <w:snapToGrid w:val="0"/>
          <w:spacing w:val="-11"/>
          <w:kern w:val="0"/>
          <w:sz w:val="32"/>
          <w:szCs w:val="32"/>
          <w:lang w:val="en-US" w:eastAsia="zh-CN" w:bidi="ar-SA"/>
        </w:rPr>
        <w:t>8</w:t>
      </w:r>
      <w:r>
        <w:rPr>
          <w:rFonts w:hint="eastAsia" w:ascii="Times New Roman" w:hAnsi="Times New Roman" w:eastAsia="仿宋_GB2312" w:cs="Times New Roman"/>
          <w:snapToGrid w:val="0"/>
          <w:spacing w:val="-11"/>
          <w:kern w:val="0"/>
          <w:sz w:val="32"/>
          <w:szCs w:val="32"/>
          <w:lang w:val="en-US" w:eastAsia="zh-CN" w:bidi="ar-SA"/>
        </w:rPr>
        <w:t>个项目开展了绩效自评。</w:t>
      </w:r>
    </w:p>
    <w:p>
      <w:pPr>
        <w:keepNext w:val="0"/>
        <w:keepLines w:val="0"/>
        <w:pageBreakBefore w:val="0"/>
        <w:widowControl w:val="0"/>
        <w:kinsoku/>
        <w:wordWrap/>
        <w:overflowPunct/>
        <w:topLinePunct w:val="0"/>
        <w:autoSpaceDE w:val="0"/>
        <w:autoSpaceDN w:val="0"/>
        <w:bidi w:val="0"/>
        <w:adjustRightInd w:val="0"/>
        <w:snapToGrid w:val="0"/>
        <w:spacing w:line="375" w:lineRule="auto"/>
        <w:ind w:left="0" w:firstLine="596" w:firstLineChars="200"/>
        <w:jc w:val="both"/>
        <w:textAlignment w:val="auto"/>
        <w:outlineLvl w:val="2"/>
        <w:rPr>
          <w:rFonts w:hint="eastAsia" w:ascii="Times New Roman" w:hAnsi="Times New Roman" w:eastAsia="仿宋_GB2312" w:cs="Times New Roman"/>
          <w:snapToGrid w:val="0"/>
          <w:spacing w:val="-11"/>
          <w:kern w:val="0"/>
          <w:sz w:val="32"/>
          <w:szCs w:val="32"/>
          <w:lang w:val="en-US" w:eastAsia="zh-CN" w:bidi="ar-SA"/>
        </w:rPr>
      </w:pPr>
      <w:r>
        <w:rPr>
          <w:rFonts w:hint="eastAsia" w:ascii="Times New Roman" w:hAnsi="Times New Roman" w:eastAsia="仿宋_GB2312" w:cs="Times New Roman"/>
          <w:snapToGrid w:val="0"/>
          <w:spacing w:val="-11"/>
          <w:kern w:val="0"/>
          <w:sz w:val="32"/>
          <w:szCs w:val="32"/>
          <w:lang w:val="en-US" w:eastAsia="zh-CN" w:bidi="ar-SA"/>
        </w:rPr>
        <w:t>2021年特</w:t>
      </w:r>
      <w:r>
        <w:rPr>
          <w:rFonts w:hint="eastAsia" w:ascii="Times New Roman" w:hAnsi="Times New Roman" w:eastAsia="仿宋_GB2312" w:cs="Times New Roman"/>
          <w:snapToGrid w:val="0"/>
          <w:spacing w:val="-11"/>
          <w:kern w:val="0"/>
          <w:sz w:val="32"/>
          <w:szCs w:val="32"/>
          <w:highlight w:val="none"/>
          <w:lang w:val="en-US" w:eastAsia="zh-CN" w:bidi="ar-SA"/>
        </w:rPr>
        <w:t>定目标</w:t>
      </w:r>
      <w:bookmarkStart w:id="96" w:name="hmjd_error_2_0_类_黑马提示无建议_9798"/>
      <w:r>
        <w:rPr>
          <w:rFonts w:hint="eastAsia" w:ascii="Times New Roman" w:hAnsi="Times New Roman" w:eastAsia="仿宋_GB2312" w:cs="Times New Roman"/>
          <w:snapToGrid w:val="0"/>
          <w:spacing w:val="-11"/>
          <w:kern w:val="0"/>
          <w:sz w:val="32"/>
          <w:szCs w:val="32"/>
          <w:highlight w:val="none"/>
          <w:lang w:val="en-US" w:eastAsia="zh-CN" w:bidi="ar-SA"/>
        </w:rPr>
        <w:t>类</w:t>
      </w:r>
      <w:bookmarkEnd w:id="96"/>
      <w:r>
        <w:rPr>
          <w:rFonts w:hint="eastAsia" w:ascii="Times New Roman" w:hAnsi="Times New Roman" w:eastAsia="仿宋_GB2312" w:cs="Times New Roman"/>
          <w:snapToGrid w:val="0"/>
          <w:spacing w:val="-11"/>
          <w:kern w:val="0"/>
          <w:sz w:val="32"/>
          <w:szCs w:val="32"/>
          <w:highlight w:val="none"/>
          <w:lang w:val="en-US" w:eastAsia="zh-CN" w:bidi="ar-SA"/>
        </w:rPr>
        <w:t>部门</w:t>
      </w:r>
      <w:r>
        <w:rPr>
          <w:rFonts w:hint="eastAsia" w:ascii="Times New Roman" w:hAnsi="Times New Roman" w:eastAsia="仿宋_GB2312" w:cs="Times New Roman"/>
          <w:snapToGrid w:val="0"/>
          <w:spacing w:val="-11"/>
          <w:kern w:val="0"/>
          <w:sz w:val="32"/>
          <w:szCs w:val="32"/>
          <w:lang w:val="en-US" w:eastAsia="zh-CN" w:bidi="ar-SA"/>
        </w:rPr>
        <w:t>预算项目绩效目标自评表见附件（第四部分）。</w:t>
      </w:r>
    </w:p>
    <w:p>
      <w:pPr>
        <w:keepNext w:val="0"/>
        <w:keepLines w:val="0"/>
        <w:pageBreakBefore w:val="0"/>
        <w:widowControl/>
        <w:kinsoku/>
        <w:wordWrap/>
        <w:overflowPunct/>
        <w:topLinePunct w:val="0"/>
        <w:bidi w:val="0"/>
        <w:adjustRightInd w:val="0"/>
        <w:snapToGrid w:val="0"/>
        <w:spacing w:line="375" w:lineRule="auto"/>
        <w:ind w:left="0"/>
        <w:jc w:val="center"/>
        <w:textAlignment w:val="auto"/>
        <w:rPr>
          <w:rStyle w:val="25"/>
          <w:rFonts w:hint="eastAsia" w:ascii="方正小标宋_GBK" w:hAnsi="方正小标宋_GBK" w:eastAsia="方正小标宋_GBK" w:cs="方正小标宋_GBK"/>
          <w:b w:val="0"/>
          <w:bCs/>
          <w:color w:val="auto"/>
          <w:sz w:val="44"/>
          <w:szCs w:val="44"/>
          <w:highlight w:val="none"/>
        </w:rPr>
      </w:pPr>
      <w:r>
        <w:rPr>
          <w:rFonts w:ascii="仿宋_GB2312" w:eastAsia="仿宋_GB2312"/>
          <w:b/>
          <w:color w:val="auto"/>
          <w:sz w:val="32"/>
          <w:szCs w:val="32"/>
          <w:highlight w:val="none"/>
        </w:rPr>
        <w:br w:type="page"/>
      </w:r>
      <w:bookmarkStart w:id="97" w:name="_Toc1947983317_WPSOffice_Level1"/>
      <w:bookmarkStart w:id="98" w:name="_Toc15396613"/>
      <w:bookmarkStart w:id="99" w:name="_Toc15377225"/>
      <w:r>
        <w:rPr>
          <w:rFonts w:hint="eastAsia" w:ascii="方正小标宋_GBK" w:hAnsi="方正小标宋_GBK" w:eastAsia="方正小标宋_GBK" w:cs="方正小标宋_GBK"/>
          <w:b w:val="0"/>
          <w:bCs/>
          <w:color w:val="auto"/>
          <w:sz w:val="44"/>
          <w:szCs w:val="44"/>
          <w:highlight w:val="none"/>
          <w:lang w:eastAsia="zh-CN"/>
        </w:rPr>
        <w:t>第三部分　</w:t>
      </w:r>
      <w:r>
        <w:rPr>
          <w:rFonts w:hint="eastAsia" w:ascii="方正小标宋_GBK" w:hAnsi="方正小标宋_GBK" w:eastAsia="方正小标宋_GBK" w:cs="方正小标宋_GBK"/>
          <w:b w:val="0"/>
          <w:bCs/>
          <w:color w:val="auto"/>
          <w:sz w:val="44"/>
          <w:szCs w:val="44"/>
          <w:highlight w:val="none"/>
        </w:rPr>
        <w:t>名</w:t>
      </w:r>
      <w:r>
        <w:rPr>
          <w:rStyle w:val="25"/>
          <w:rFonts w:hint="eastAsia" w:ascii="方正小标宋_GBK" w:hAnsi="方正小标宋_GBK" w:eastAsia="方正小标宋_GBK" w:cs="方正小标宋_GBK"/>
          <w:b w:val="0"/>
          <w:bCs/>
          <w:color w:val="auto"/>
          <w:sz w:val="44"/>
          <w:szCs w:val="44"/>
          <w:highlight w:val="none"/>
        </w:rPr>
        <w:t>词解释</w:t>
      </w:r>
      <w:bookmarkEnd w:id="97"/>
      <w:bookmarkEnd w:id="98"/>
      <w:bookmarkEnd w:id="99"/>
    </w:p>
    <w:p>
      <w:pPr>
        <w:pStyle w:val="23"/>
        <w:snapToGrid w:val="0"/>
        <w:spacing w:line="353" w:lineRule="auto"/>
        <w:ind w:firstLine="640" w:firstLineChars="200"/>
        <w:jc w:val="both"/>
        <w:rPr>
          <w:rFonts w:ascii="Times New Roman" w:hAnsi="Times New Roman" w:eastAsia="仿宋_GB2312" w:cs="Times New Roman"/>
          <w:snapToGrid w:val="0"/>
          <w:sz w:val="32"/>
          <w:szCs w:val="32"/>
        </w:rPr>
      </w:pPr>
    </w:p>
    <w:p>
      <w:pPr>
        <w:pStyle w:val="23"/>
        <w:snapToGrid w:val="0"/>
        <w:spacing w:line="353" w:lineRule="auto"/>
        <w:ind w:firstLine="640" w:firstLineChars="200"/>
        <w:jc w:val="both"/>
        <w:rPr>
          <w:rFonts w:ascii="Times New Roman" w:hAnsi="Times New Roman" w:eastAsia="仿宋_GB2312" w:cs="Times New Roman"/>
          <w:snapToGrid w:val="0"/>
          <w:sz w:val="32"/>
          <w:szCs w:val="32"/>
        </w:rPr>
      </w:pPr>
      <w:r>
        <w:rPr>
          <w:rFonts w:ascii="Times New Roman" w:hAnsi="Times New Roman" w:eastAsia="仿宋_GB2312" w:cs="Times New Roman"/>
          <w:snapToGrid w:val="0"/>
          <w:sz w:val="32"/>
          <w:szCs w:val="32"/>
        </w:rPr>
        <w:t>1</w:t>
      </w:r>
      <w:r>
        <w:rPr>
          <w:rFonts w:hint="eastAsia" w:ascii="Times New Roman" w:hAnsi="Times New Roman" w:eastAsia="仿宋_GB2312" w:cs="Times New Roman"/>
          <w:snapToGrid w:val="0"/>
          <w:sz w:val="32"/>
          <w:szCs w:val="32"/>
        </w:rPr>
        <w:t>．财政拨款收入：指单位从同级财政部门取得的财政预算资金。</w:t>
      </w:r>
    </w:p>
    <w:p>
      <w:pPr>
        <w:pStyle w:val="2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2</w:t>
      </w:r>
      <w:r>
        <w:rPr>
          <w:rFonts w:hint="eastAsia" w:ascii="Times New Roman" w:hAnsi="Times New Roman" w:eastAsia="仿宋_GB2312" w:cs="Times New Roman"/>
          <w:snapToGrid w:val="0"/>
          <w:sz w:val="32"/>
          <w:szCs w:val="32"/>
        </w:rPr>
        <w:t>．事业收入：指事业单位开展专业业务活动及辅助活动取得的收入。</w:t>
      </w:r>
    </w:p>
    <w:p>
      <w:pPr>
        <w:pStyle w:val="2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3</w:t>
      </w:r>
      <w:r>
        <w:rPr>
          <w:rFonts w:hint="eastAsia" w:ascii="Times New Roman" w:hAnsi="Times New Roman" w:eastAsia="仿宋_GB2312" w:cs="Times New Roman"/>
          <w:snapToGrid w:val="0"/>
          <w:sz w:val="32"/>
          <w:szCs w:val="32"/>
        </w:rPr>
        <w:t>．经营收入：指事业单位在专业业务活动及其辅助活动之外开展非独立核算经营活动取得的收入。</w:t>
      </w:r>
    </w:p>
    <w:p>
      <w:pPr>
        <w:pStyle w:val="2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4</w:t>
      </w:r>
      <w:r>
        <w:rPr>
          <w:rFonts w:hint="eastAsia" w:ascii="Times New Roman" w:hAnsi="Times New Roman" w:eastAsia="仿宋_GB2312" w:cs="Times New Roman"/>
          <w:snapToGrid w:val="0"/>
          <w:sz w:val="32"/>
          <w:szCs w:val="32"/>
        </w:rPr>
        <w:t>．其他收入：指单位取得的除上述收入以外的各项收入。</w:t>
      </w:r>
    </w:p>
    <w:p>
      <w:pPr>
        <w:pStyle w:val="2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5</w:t>
      </w:r>
      <w:r>
        <w:rPr>
          <w:rFonts w:hint="eastAsia" w:ascii="Times New Roman" w:hAnsi="Times New Roman" w:eastAsia="仿宋_GB2312" w:cs="Times New Roman"/>
          <w:snapToGrid w:val="0"/>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2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6</w:t>
      </w:r>
      <w:r>
        <w:rPr>
          <w:rFonts w:hint="eastAsia" w:ascii="Times New Roman" w:hAnsi="Times New Roman" w:eastAsia="仿宋_GB2312" w:cs="Times New Roman"/>
          <w:snapToGrid w:val="0"/>
          <w:sz w:val="32"/>
          <w:szCs w:val="32"/>
        </w:rPr>
        <w:t>．年初结转和结余：指以前年度尚未完成、结转到本年按有关规定继续使用的资金。</w:t>
      </w:r>
    </w:p>
    <w:p>
      <w:pPr>
        <w:pStyle w:val="2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7</w:t>
      </w:r>
      <w:r>
        <w:rPr>
          <w:rFonts w:hint="eastAsia" w:ascii="Times New Roman" w:hAnsi="Times New Roman" w:eastAsia="仿宋_GB2312" w:cs="Times New Roman"/>
          <w:snapToGrid w:val="0"/>
          <w:sz w:val="32"/>
          <w:szCs w:val="32"/>
        </w:rPr>
        <w:t>．结余分配：指事业单位按照事业单位会计制度的规定从非财政补助结余中分配的事业基金和职工福利基金等。</w:t>
      </w:r>
    </w:p>
    <w:p>
      <w:pPr>
        <w:pStyle w:val="23"/>
        <w:snapToGrid w:val="0"/>
        <w:spacing w:line="353" w:lineRule="auto"/>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rPr>
        <w:t>　　</w:t>
      </w:r>
      <w:r>
        <w:rPr>
          <w:rFonts w:ascii="Times New Roman" w:hAnsi="Times New Roman" w:eastAsia="仿宋_GB2312" w:cs="Times New Roman"/>
          <w:snapToGrid w:val="0"/>
          <w:sz w:val="32"/>
          <w:szCs w:val="32"/>
        </w:rPr>
        <w:t>8</w:t>
      </w:r>
      <w:r>
        <w:rPr>
          <w:rFonts w:hint="eastAsia" w:ascii="Times New Roman" w:hAnsi="Times New Roman" w:eastAsia="仿宋_GB2312" w:cs="Times New Roman"/>
          <w:snapToGrid w:val="0"/>
          <w:sz w:val="32"/>
          <w:szCs w:val="32"/>
        </w:rPr>
        <w:t>．年末结转和结余：指单位按有关规定结转到下年或以后年度继续使用的资金。</w:t>
      </w:r>
    </w:p>
    <w:p>
      <w:pPr>
        <w:pStyle w:val="23"/>
        <w:snapToGrid w:val="0"/>
        <w:spacing w:line="353" w:lineRule="auto"/>
        <w:ind w:firstLine="640" w:firstLineChars="200"/>
        <w:jc w:val="both"/>
        <w:rPr>
          <w:rFonts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lang w:val="en-US" w:eastAsia="zh-CN"/>
        </w:rPr>
        <w:t>9</w:t>
      </w:r>
      <w:r>
        <w:rPr>
          <w:rFonts w:hint="eastAsia" w:ascii="Times New Roman" w:hAnsi="Times New Roman" w:eastAsia="仿宋_GB2312" w:cs="Times New Roman"/>
          <w:snapToGrid w:val="0"/>
          <w:sz w:val="32"/>
          <w:szCs w:val="32"/>
        </w:rPr>
        <w:t>．一般公共服务支出（类）政府办公厅（室）及相关机构事务（款）行政运行（项）：指反映行政单位（包括实行公务员管理的事业单位）的基本支出。</w:t>
      </w:r>
    </w:p>
    <w:p>
      <w:pPr>
        <w:pStyle w:val="23"/>
        <w:snapToGrid w:val="0"/>
        <w:spacing w:line="353" w:lineRule="auto"/>
        <w:ind w:firstLine="640" w:firstLineChars="200"/>
        <w:jc w:val="both"/>
        <w:rPr>
          <w:rFonts w:hint="eastAsia" w:ascii="Times New Roman" w:hAnsi="Times New Roman" w:eastAsia="仿宋_GB2312" w:cs="Times New Roman"/>
          <w:snapToGrid w:val="0"/>
          <w:sz w:val="32"/>
          <w:szCs w:val="32"/>
        </w:rPr>
      </w:pPr>
      <w:r>
        <w:rPr>
          <w:rFonts w:hint="eastAsia" w:ascii="仿宋_GB2312" w:eastAsia="仿宋_GB2312"/>
          <w:b w:val="0"/>
          <w:bCs w:val="0"/>
          <w:color w:val="auto"/>
          <w:sz w:val="32"/>
          <w:szCs w:val="32"/>
          <w:highlight w:val="none"/>
          <w:lang w:val="en-US" w:eastAsia="zh-CN"/>
        </w:rPr>
        <w:t>10</w:t>
      </w:r>
      <w:r>
        <w:rPr>
          <w:rFonts w:hint="eastAsia" w:ascii="Times New Roman" w:hAnsi="Times New Roman" w:eastAsia="仿宋_GB2312" w:cs="Times New Roman"/>
          <w:b w:val="0"/>
          <w:bCs w:val="0"/>
          <w:snapToGrid w:val="0"/>
          <w:sz w:val="32"/>
          <w:szCs w:val="32"/>
        </w:rPr>
        <w:t>．</w:t>
      </w:r>
      <w:r>
        <w:rPr>
          <w:rFonts w:hint="eastAsia" w:ascii="Times New Roman" w:hAnsi="Times New Roman" w:eastAsia="仿宋_GB2312" w:cs="Times New Roman"/>
          <w:snapToGrid w:val="0"/>
          <w:sz w:val="32"/>
          <w:szCs w:val="32"/>
        </w:rPr>
        <w:t>一般公共服务支出（类）政府办公厅（室）及相关机构事务（款）一般行政管理事务（项）：指反映行政单位（包括实行公务员管理的事业单位）未单独设置项级科目的其他项目支出。</w:t>
      </w:r>
    </w:p>
    <w:p>
      <w:pPr>
        <w:spacing w:line="600"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仿宋_GB2312" w:cs="Times New Roman"/>
          <w:snapToGrid w:val="0"/>
          <w:sz w:val="32"/>
          <w:szCs w:val="32"/>
          <w:lang w:val="en-US" w:eastAsia="zh-CN"/>
        </w:rPr>
        <w:t>11</w:t>
      </w:r>
      <w:r>
        <w:rPr>
          <w:rFonts w:hint="eastAsia" w:ascii="Times New Roman" w:hAnsi="Times New Roman" w:eastAsia="仿宋_GB2312" w:cs="Times New Roman"/>
          <w:snapToGrid w:val="0"/>
          <w:sz w:val="32"/>
          <w:szCs w:val="32"/>
        </w:rPr>
        <w:t>．一般公共服务支出（类）政府办公厅（室）及相关机构事务（款）事业运行（项）：指</w:t>
      </w:r>
      <w:r>
        <w:rPr>
          <w:rFonts w:hint="eastAsia" w:ascii="方正仿宋_GBK" w:hAnsi="方正仿宋_GBK" w:eastAsia="方正仿宋_GBK" w:cs="方正仿宋_GBK"/>
          <w:sz w:val="32"/>
          <w:szCs w:val="32"/>
        </w:rPr>
        <w:t>反映事业单位的基本支出，不包括行政单位（包括实行公务员管理的事业单位）后勤服务中心、医务室等附属事业单位。</w:t>
      </w:r>
    </w:p>
    <w:p>
      <w:pPr>
        <w:pStyle w:val="23"/>
        <w:snapToGrid w:val="0"/>
        <w:spacing w:line="353" w:lineRule="auto"/>
        <w:ind w:firstLine="640" w:firstLineChars="200"/>
        <w:jc w:val="both"/>
        <w:rPr>
          <w:rFonts w:hint="eastAsia" w:ascii="Times New Roman" w:hAnsi="Times New Roman" w:eastAsia="仿宋_GB2312" w:cs="Times New Roman"/>
          <w:snapToGrid w:val="0"/>
          <w:sz w:val="32"/>
          <w:szCs w:val="32"/>
          <w:lang w:eastAsia="zh-CN"/>
        </w:rPr>
      </w:pPr>
      <w:r>
        <w:rPr>
          <w:rFonts w:hint="eastAsia" w:ascii="Times New Roman" w:hAnsi="Times New Roman" w:eastAsia="仿宋_GB2312" w:cs="Times New Roman"/>
          <w:snapToGrid w:val="0"/>
          <w:sz w:val="32"/>
          <w:szCs w:val="32"/>
          <w:lang w:val="en-US" w:eastAsia="zh-CN"/>
        </w:rPr>
        <w:t>12</w:t>
      </w:r>
      <w:r>
        <w:rPr>
          <w:rFonts w:hint="eastAsia" w:ascii="Times New Roman" w:hAnsi="Times New Roman" w:eastAsia="仿宋_GB2312" w:cs="Times New Roman"/>
          <w:snapToGrid w:val="0"/>
          <w:sz w:val="32"/>
          <w:szCs w:val="32"/>
        </w:rPr>
        <w:t>．</w:t>
      </w:r>
      <w:r>
        <w:rPr>
          <w:rFonts w:hint="eastAsia" w:ascii="Times New Roman" w:hAnsi="Times New Roman" w:eastAsia="仿宋_GB2312" w:cs="Times New Roman"/>
          <w:snapToGrid w:val="0"/>
          <w:sz w:val="32"/>
          <w:szCs w:val="32"/>
          <w:lang w:val="en-US" w:eastAsia="zh-CN"/>
        </w:rPr>
        <w:t>一般公共服务支出</w:t>
      </w:r>
      <w:r>
        <w:rPr>
          <w:rFonts w:hint="eastAsia" w:ascii="Times New Roman" w:hAnsi="Times New Roman" w:eastAsia="仿宋_GB2312" w:cs="Times New Roman"/>
          <w:snapToGrid w:val="0"/>
          <w:sz w:val="32"/>
          <w:szCs w:val="32"/>
        </w:rPr>
        <w:t>（类）商贸事务（款）招商引资（项）</w:t>
      </w:r>
      <w:r>
        <w:rPr>
          <w:rFonts w:hint="eastAsia" w:ascii="Times New Roman" w:hAnsi="Times New Roman" w:eastAsia="仿宋_GB2312" w:cs="Times New Roman"/>
          <w:snapToGrid w:val="0"/>
          <w:sz w:val="32"/>
          <w:szCs w:val="32"/>
          <w:lang w:eastAsia="zh-CN"/>
        </w:rPr>
        <w:t>：反映用于招商引资、优化经济环境等方面的支出。</w:t>
      </w:r>
    </w:p>
    <w:p>
      <w:pPr>
        <w:pStyle w:val="23"/>
        <w:snapToGrid w:val="0"/>
        <w:spacing w:line="353" w:lineRule="auto"/>
        <w:ind w:firstLine="640" w:firstLineChars="200"/>
        <w:jc w:val="both"/>
        <w:rPr>
          <w:rFonts w:hint="eastAsia" w:ascii="Times New Roman" w:hAnsi="Times New Roman" w:eastAsia="仿宋_GB2312" w:cs="Times New Roman"/>
          <w:snapToGrid w:val="0"/>
          <w:sz w:val="32"/>
          <w:szCs w:val="32"/>
          <w:highlight w:val="none"/>
          <w:lang w:eastAsia="zh-CN"/>
        </w:rPr>
      </w:pPr>
      <w:r>
        <w:rPr>
          <w:rFonts w:hint="eastAsia" w:ascii="Times New Roman" w:hAnsi="Times New Roman" w:eastAsia="仿宋_GB2312" w:cs="Times New Roman"/>
          <w:snapToGrid w:val="0"/>
          <w:sz w:val="32"/>
          <w:szCs w:val="32"/>
          <w:highlight w:val="none"/>
          <w:lang w:val="en-US" w:eastAsia="zh-CN"/>
        </w:rPr>
        <w:t>13</w:t>
      </w:r>
      <w:r>
        <w:rPr>
          <w:rFonts w:hint="eastAsia" w:ascii="Times New Roman" w:hAnsi="Times New Roman" w:eastAsia="仿宋_GB2312" w:cs="Times New Roman"/>
          <w:snapToGrid w:val="0"/>
          <w:sz w:val="32"/>
          <w:szCs w:val="32"/>
        </w:rPr>
        <w:t>．</w:t>
      </w:r>
      <w:r>
        <w:rPr>
          <w:rFonts w:hint="eastAsia" w:ascii="Times New Roman" w:hAnsi="Times New Roman" w:eastAsia="仿宋_GB2312" w:cs="Times New Roman"/>
          <w:snapToGrid w:val="0"/>
          <w:sz w:val="32"/>
          <w:szCs w:val="32"/>
          <w:highlight w:val="none"/>
          <w:lang w:val="en-US" w:eastAsia="zh-CN"/>
        </w:rPr>
        <w:t>一般公共服务支出</w:t>
      </w:r>
      <w:r>
        <w:rPr>
          <w:rFonts w:hint="eastAsia" w:ascii="Times New Roman" w:hAnsi="Times New Roman" w:eastAsia="仿宋_GB2312" w:cs="Times New Roman"/>
          <w:snapToGrid w:val="0"/>
          <w:sz w:val="32"/>
          <w:szCs w:val="32"/>
          <w:highlight w:val="none"/>
        </w:rPr>
        <w:t>（类）组织事务（款）其他组织事务支出（项）</w:t>
      </w:r>
      <w:r>
        <w:rPr>
          <w:rFonts w:hint="eastAsia" w:ascii="Times New Roman" w:hAnsi="Times New Roman" w:eastAsia="仿宋_GB2312" w:cs="Times New Roman"/>
          <w:snapToGrid w:val="0"/>
          <w:sz w:val="32"/>
          <w:szCs w:val="32"/>
          <w:highlight w:val="none"/>
          <w:lang w:eastAsia="zh-CN"/>
        </w:rPr>
        <w:t>：反映其他用于中国共产党组织部门的事务支出。</w:t>
      </w:r>
    </w:p>
    <w:p>
      <w:pPr>
        <w:pStyle w:val="23"/>
        <w:snapToGrid w:val="0"/>
        <w:spacing w:line="353" w:lineRule="auto"/>
        <w:ind w:firstLine="640" w:firstLineChars="200"/>
        <w:jc w:val="both"/>
        <w:rPr>
          <w:rFonts w:hint="eastAsia" w:ascii="Times New Roman" w:hAnsi="Times New Roman" w:eastAsia="仿宋_GB2312" w:cs="Times New Roman"/>
          <w:snapToGrid w:val="0"/>
          <w:sz w:val="32"/>
          <w:szCs w:val="32"/>
          <w:lang w:eastAsia="zh-CN"/>
        </w:rPr>
      </w:pPr>
      <w:r>
        <w:rPr>
          <w:rFonts w:hint="eastAsia" w:ascii="Times New Roman" w:hAnsi="Times New Roman" w:eastAsia="仿宋_GB2312" w:cs="Times New Roman"/>
          <w:snapToGrid w:val="0"/>
          <w:sz w:val="32"/>
          <w:szCs w:val="32"/>
          <w:lang w:val="en-US" w:eastAsia="zh-CN"/>
        </w:rPr>
        <w:t>14</w:t>
      </w:r>
      <w:r>
        <w:rPr>
          <w:rFonts w:hint="eastAsia" w:ascii="Times New Roman" w:hAnsi="Times New Roman" w:eastAsia="仿宋_GB2312" w:cs="Times New Roman"/>
          <w:snapToGrid w:val="0"/>
          <w:sz w:val="32"/>
          <w:szCs w:val="32"/>
        </w:rPr>
        <w:t>．</w:t>
      </w:r>
      <w:r>
        <w:rPr>
          <w:rFonts w:hint="eastAsia" w:ascii="Times New Roman" w:hAnsi="Times New Roman" w:eastAsia="仿宋_GB2312" w:cs="Times New Roman"/>
          <w:snapToGrid w:val="0"/>
          <w:sz w:val="32"/>
          <w:szCs w:val="32"/>
          <w:lang w:val="en-US" w:eastAsia="zh-CN"/>
        </w:rPr>
        <w:t>社会保障和就业支出</w:t>
      </w:r>
      <w:r>
        <w:rPr>
          <w:rFonts w:hint="eastAsia" w:ascii="Times New Roman" w:hAnsi="Times New Roman" w:eastAsia="仿宋_GB2312" w:cs="Times New Roman"/>
          <w:snapToGrid w:val="0"/>
          <w:sz w:val="32"/>
          <w:szCs w:val="32"/>
        </w:rPr>
        <w:t>（类）人力资源和社会保障管理事务（款）其他人力资源和社会保障管理事务支出（项）</w:t>
      </w:r>
      <w:r>
        <w:rPr>
          <w:rFonts w:hint="eastAsia" w:ascii="Times New Roman" w:hAnsi="Times New Roman" w:eastAsia="仿宋_GB2312" w:cs="Times New Roman"/>
          <w:snapToGrid w:val="0"/>
          <w:sz w:val="32"/>
          <w:szCs w:val="32"/>
          <w:lang w:eastAsia="zh-CN"/>
        </w:rPr>
        <w:t>：反映其他用于人力资源和社会保障管理事务方面的支出。</w:t>
      </w:r>
    </w:p>
    <w:p>
      <w:pPr>
        <w:pStyle w:val="23"/>
        <w:keepNext w:val="0"/>
        <w:keepLines w:val="0"/>
        <w:pageBreakBefore w:val="0"/>
        <w:widowControl w:val="0"/>
        <w:kinsoku/>
        <w:wordWrap/>
        <w:overflowPunct/>
        <w:topLinePunct w:val="0"/>
        <w:bidi w:val="0"/>
        <w:snapToGrid w:val="0"/>
        <w:spacing w:line="353" w:lineRule="auto"/>
        <w:ind w:firstLine="640" w:firstLineChars="200"/>
        <w:jc w:val="both"/>
        <w:textAlignment w:val="auto"/>
        <w:rPr>
          <w:sz w:val="32"/>
          <w:szCs w:val="32"/>
        </w:rPr>
      </w:pPr>
      <w:r>
        <w:rPr>
          <w:rFonts w:hint="eastAsia" w:ascii="Times New Roman" w:hAnsi="Times New Roman" w:eastAsia="仿宋_GB2312" w:cs="Times New Roman"/>
          <w:snapToGrid w:val="0"/>
          <w:sz w:val="32"/>
          <w:szCs w:val="32"/>
          <w:lang w:val="en-US" w:eastAsia="zh-CN"/>
        </w:rPr>
        <w:t>15</w:t>
      </w:r>
      <w:r>
        <w:rPr>
          <w:rFonts w:hint="eastAsia" w:ascii="Times New Roman" w:hAnsi="Times New Roman" w:eastAsia="仿宋_GB2312" w:cs="Times New Roman"/>
          <w:snapToGrid w:val="0"/>
          <w:sz w:val="32"/>
          <w:szCs w:val="32"/>
        </w:rPr>
        <w:t>．</w:t>
      </w:r>
      <w:r>
        <w:rPr>
          <w:rFonts w:hint="eastAsia" w:ascii="Times New Roman" w:hAnsi="Times New Roman" w:eastAsia="仿宋_GB2312" w:cs="Times New Roman"/>
          <w:snapToGrid w:val="0"/>
          <w:sz w:val="32"/>
          <w:szCs w:val="32"/>
          <w:lang w:val="en-US" w:eastAsia="zh-CN"/>
        </w:rPr>
        <w:t>社会保障和就业支出</w:t>
      </w:r>
      <w:r>
        <w:rPr>
          <w:rFonts w:hint="eastAsia" w:ascii="Times New Roman" w:hAnsi="Times New Roman" w:eastAsia="仿宋_GB2312" w:cs="Times New Roman"/>
          <w:snapToGrid w:val="0"/>
          <w:sz w:val="32"/>
          <w:szCs w:val="32"/>
        </w:rPr>
        <w:t>（类）行政事业单位养老支出（款）行政单位离退休（项）</w:t>
      </w:r>
      <w:r>
        <w:rPr>
          <w:rFonts w:hint="eastAsia" w:ascii="Times New Roman" w:hAnsi="Times New Roman" w:eastAsia="仿宋_GB2312" w:cs="Times New Roman"/>
          <w:snapToGrid w:val="0"/>
          <w:sz w:val="32"/>
          <w:szCs w:val="32"/>
          <w:lang w:eastAsia="zh-CN"/>
        </w:rPr>
        <w:t>：</w:t>
      </w:r>
      <w:r>
        <w:rPr>
          <w:rFonts w:hint="eastAsia"/>
          <w:sz w:val="32"/>
          <w:szCs w:val="32"/>
        </w:rPr>
        <w:t>反映行政单位（包括实行公务员管理的事业单位）开支的</w:t>
      </w:r>
      <w:r>
        <w:rPr>
          <w:sz w:val="32"/>
          <w:szCs w:val="32"/>
        </w:rPr>
        <w:t>离退休</w:t>
      </w:r>
      <w:r>
        <w:rPr>
          <w:rFonts w:hint="eastAsia"/>
          <w:sz w:val="32"/>
          <w:szCs w:val="32"/>
        </w:rPr>
        <w:t>经费</w:t>
      </w:r>
      <w:r>
        <w:rPr>
          <w:sz w:val="32"/>
          <w:szCs w:val="32"/>
        </w:rPr>
        <w:t>。</w:t>
      </w:r>
    </w:p>
    <w:p>
      <w:pPr>
        <w:keepNext w:val="0"/>
        <w:keepLines w:val="0"/>
        <w:pageBreakBefore w:val="0"/>
        <w:widowControl w:val="0"/>
        <w:kinsoku/>
        <w:wordWrap/>
        <w:overflowPunct/>
        <w:topLinePunct w:val="0"/>
        <w:bidi w:val="0"/>
        <w:spacing w:line="353" w:lineRule="auto"/>
        <w:ind w:firstLine="640" w:firstLineChars="200"/>
        <w:textAlignment w:val="auto"/>
        <w:rPr>
          <w:rFonts w:hint="eastAsia" w:ascii="方正仿宋_GBK" w:hAnsi="方正仿宋_GBK" w:eastAsia="方正仿宋_GBK" w:cs="方正仿宋_GBK"/>
          <w:b w:val="0"/>
          <w:bCs w:val="0"/>
          <w:sz w:val="32"/>
          <w:szCs w:val="32"/>
        </w:rPr>
      </w:pPr>
      <w:r>
        <w:rPr>
          <w:rFonts w:hint="eastAsia"/>
          <w:sz w:val="32"/>
          <w:szCs w:val="32"/>
          <w:lang w:val="en-US" w:eastAsia="zh-CN"/>
        </w:rPr>
        <w:t>16</w:t>
      </w:r>
      <w:r>
        <w:rPr>
          <w:rFonts w:hint="eastAsia" w:ascii="Times New Roman" w:hAnsi="Times New Roman" w:eastAsia="仿宋_GB2312" w:cs="Times New Roman"/>
          <w:snapToGrid w:val="0"/>
          <w:sz w:val="32"/>
          <w:szCs w:val="32"/>
        </w:rPr>
        <w:t>．</w:t>
      </w:r>
      <w:r>
        <w:rPr>
          <w:rFonts w:hint="eastAsia"/>
          <w:sz w:val="32"/>
          <w:szCs w:val="32"/>
          <w:lang w:val="en-US" w:eastAsia="zh-CN"/>
        </w:rPr>
        <w:t>社会保障和就业支出</w:t>
      </w:r>
      <w:r>
        <w:rPr>
          <w:rFonts w:hint="eastAsia" w:ascii="Times New Roman" w:hAnsi="Times New Roman" w:eastAsia="仿宋_GB2312" w:cs="Times New Roman"/>
          <w:snapToGrid w:val="0"/>
          <w:sz w:val="32"/>
          <w:szCs w:val="32"/>
        </w:rPr>
        <w:t>（类）行政事业单位养老支出（款）机关事业单位基本养老保险缴费支出（项）</w:t>
      </w:r>
      <w:r>
        <w:rPr>
          <w:rFonts w:hint="eastAsia" w:ascii="Times New Roman" w:hAnsi="Times New Roman" w:eastAsia="仿宋_GB2312" w:cs="Times New Roman"/>
          <w:snapToGrid w:val="0"/>
          <w:sz w:val="32"/>
          <w:szCs w:val="32"/>
          <w:lang w:eastAsia="zh-CN"/>
        </w:rPr>
        <w:t>：</w:t>
      </w:r>
      <w:r>
        <w:rPr>
          <w:rFonts w:hint="eastAsia" w:ascii="方正仿宋_GBK" w:hAnsi="方正仿宋_GBK" w:eastAsia="方正仿宋_GBK" w:cs="方正仿宋_GBK"/>
          <w:b w:val="0"/>
          <w:bCs w:val="0"/>
          <w:sz w:val="32"/>
          <w:szCs w:val="32"/>
        </w:rPr>
        <w:t>反映机关事业单位实施养老保险制度由单位缴纳的基本养老保险费支出。</w:t>
      </w:r>
    </w:p>
    <w:p>
      <w:pPr>
        <w:pStyle w:val="23"/>
        <w:keepNext w:val="0"/>
        <w:keepLines w:val="0"/>
        <w:pageBreakBefore w:val="0"/>
        <w:widowControl w:val="0"/>
        <w:kinsoku/>
        <w:wordWrap/>
        <w:overflowPunct/>
        <w:topLinePunct w:val="0"/>
        <w:bidi w:val="0"/>
        <w:snapToGrid w:val="0"/>
        <w:spacing w:line="353" w:lineRule="auto"/>
        <w:ind w:firstLine="640"/>
        <w:jc w:val="both"/>
        <w:textAlignment w:val="auto"/>
        <w:rPr>
          <w:rFonts w:hint="eastAsia" w:ascii="Times New Roman" w:hAnsi="Times New Roman" w:eastAsia="仿宋_GB2312" w:cs="Times New Roman"/>
          <w:snapToGrid w:val="0"/>
          <w:sz w:val="32"/>
          <w:szCs w:val="32"/>
        </w:rPr>
      </w:pPr>
      <w:r>
        <w:rPr>
          <w:rFonts w:hint="eastAsia" w:ascii="Times New Roman" w:hAnsi="Times New Roman" w:eastAsia="宋体" w:cs="Times New Roman"/>
          <w:color w:val="auto"/>
          <w:kern w:val="2"/>
          <w:sz w:val="32"/>
          <w:szCs w:val="32"/>
          <w:lang w:val="en-US" w:eastAsia="zh-CN" w:bidi="ar-SA"/>
        </w:rPr>
        <w:t>17</w:t>
      </w:r>
      <w:r>
        <w:rPr>
          <w:rFonts w:hint="eastAsia" w:ascii="Times New Roman" w:hAnsi="Times New Roman" w:eastAsia="仿宋_GB2312" w:cs="Times New Roman"/>
          <w:snapToGrid w:val="0"/>
          <w:sz w:val="32"/>
          <w:szCs w:val="32"/>
        </w:rPr>
        <w:t>．社会保障和就业支出（类）抚恤（款）死亡抚恤（项）：指反映按规定用于烈士和牺牲、病故人员家属的一次性和定期抚恤金以及丧葬补助费。</w:t>
      </w:r>
    </w:p>
    <w:p>
      <w:pPr>
        <w:pStyle w:val="23"/>
        <w:keepNext w:val="0"/>
        <w:keepLines w:val="0"/>
        <w:pageBreakBefore w:val="0"/>
        <w:widowControl w:val="0"/>
        <w:kinsoku/>
        <w:wordWrap/>
        <w:overflowPunct/>
        <w:topLinePunct w:val="0"/>
        <w:bidi w:val="0"/>
        <w:snapToGrid w:val="0"/>
        <w:spacing w:line="353" w:lineRule="auto"/>
        <w:ind w:firstLine="640"/>
        <w:jc w:val="both"/>
        <w:textAlignment w:val="auto"/>
        <w:rPr>
          <w:rFonts w:hint="eastAsia" w:ascii="Times New Roman" w:hAnsi="Times New Roman" w:eastAsia="仿宋_GB2312" w:cs="Times New Roman"/>
          <w:snapToGrid w:val="0"/>
          <w:sz w:val="32"/>
          <w:szCs w:val="32"/>
        </w:rPr>
      </w:pPr>
      <w:r>
        <w:rPr>
          <w:rFonts w:hint="eastAsia" w:ascii="Times New Roman" w:hAnsi="Times New Roman" w:eastAsia="仿宋_GB2312" w:cs="Times New Roman"/>
          <w:snapToGrid w:val="0"/>
          <w:sz w:val="32"/>
          <w:szCs w:val="32"/>
          <w:lang w:val="en-US" w:eastAsia="zh-CN"/>
        </w:rPr>
        <w:t>18</w:t>
      </w:r>
      <w:r>
        <w:rPr>
          <w:rFonts w:hint="eastAsia" w:ascii="Times New Roman" w:hAnsi="Times New Roman" w:eastAsia="仿宋_GB2312" w:cs="Times New Roman"/>
          <w:snapToGrid w:val="0"/>
          <w:sz w:val="32"/>
          <w:szCs w:val="32"/>
        </w:rPr>
        <w:t>．社会保障和就业支出（类）社会福利（款）儿童福利（项）：指反映对儿童提供福利服务方面的支出。</w:t>
      </w:r>
    </w:p>
    <w:p>
      <w:pPr>
        <w:pStyle w:val="23"/>
        <w:keepNext w:val="0"/>
        <w:keepLines w:val="0"/>
        <w:pageBreakBefore w:val="0"/>
        <w:widowControl w:val="0"/>
        <w:kinsoku/>
        <w:wordWrap/>
        <w:overflowPunct/>
        <w:topLinePunct w:val="0"/>
        <w:bidi w:val="0"/>
        <w:snapToGrid w:val="0"/>
        <w:spacing w:line="353" w:lineRule="auto"/>
        <w:ind w:firstLine="640"/>
        <w:jc w:val="both"/>
        <w:textAlignment w:val="auto"/>
        <w:rPr>
          <w:rFonts w:hint="eastAsia" w:ascii="Times New Roman" w:hAnsi="Times New Roman" w:eastAsia="仿宋_GB2312" w:cs="Times New Roman"/>
          <w:snapToGrid w:val="0"/>
          <w:sz w:val="32"/>
          <w:szCs w:val="32"/>
          <w:lang w:eastAsia="zh-CN"/>
        </w:rPr>
      </w:pPr>
      <w:r>
        <w:rPr>
          <w:rFonts w:hint="eastAsia" w:ascii="Times New Roman" w:hAnsi="Times New Roman" w:eastAsia="仿宋_GB2312" w:cs="Times New Roman"/>
          <w:snapToGrid w:val="0"/>
          <w:sz w:val="32"/>
          <w:szCs w:val="32"/>
          <w:lang w:val="en-US" w:eastAsia="zh-CN"/>
        </w:rPr>
        <w:t>19</w:t>
      </w:r>
      <w:r>
        <w:rPr>
          <w:rFonts w:hint="eastAsia" w:ascii="Times New Roman" w:hAnsi="Times New Roman" w:eastAsia="仿宋_GB2312" w:cs="Times New Roman"/>
          <w:snapToGrid w:val="0"/>
          <w:sz w:val="32"/>
          <w:szCs w:val="32"/>
        </w:rPr>
        <w:t>．</w:t>
      </w:r>
      <w:r>
        <w:rPr>
          <w:rFonts w:hint="eastAsia" w:ascii="Times New Roman" w:hAnsi="Times New Roman" w:eastAsia="仿宋_GB2312" w:cs="Times New Roman"/>
          <w:snapToGrid w:val="0"/>
          <w:sz w:val="32"/>
          <w:szCs w:val="32"/>
          <w:lang w:val="en-US" w:eastAsia="zh-CN"/>
        </w:rPr>
        <w:t>农林水支出</w:t>
      </w:r>
      <w:r>
        <w:rPr>
          <w:rFonts w:hint="eastAsia" w:ascii="Times New Roman" w:hAnsi="Times New Roman" w:eastAsia="仿宋_GB2312" w:cs="Times New Roman"/>
          <w:snapToGrid w:val="0"/>
          <w:sz w:val="32"/>
          <w:szCs w:val="32"/>
        </w:rPr>
        <w:t>（类）林业和草原（款） 林业草原防灾减灾（项）：</w:t>
      </w:r>
      <w:r>
        <w:rPr>
          <w:rFonts w:hint="eastAsia" w:ascii="Times New Roman" w:hAnsi="Times New Roman" w:eastAsia="仿宋_GB2312" w:cs="Times New Roman"/>
          <w:snapToGrid w:val="0"/>
          <w:sz w:val="32"/>
          <w:szCs w:val="32"/>
          <w:lang w:eastAsia="zh-CN"/>
        </w:rPr>
        <w:t>反映政府用于林业和草原方面的支出。</w:t>
      </w:r>
    </w:p>
    <w:p>
      <w:pPr>
        <w:keepNext w:val="0"/>
        <w:keepLines w:val="0"/>
        <w:pageBreakBefore w:val="0"/>
        <w:widowControl w:val="0"/>
        <w:kinsoku/>
        <w:wordWrap/>
        <w:overflowPunct/>
        <w:topLinePunct w:val="0"/>
        <w:bidi w:val="0"/>
        <w:spacing w:line="353" w:lineRule="auto"/>
        <w:ind w:firstLine="640" w:firstLineChars="200"/>
        <w:textAlignment w:val="auto"/>
        <w:rPr>
          <w:rFonts w:hint="eastAsia" w:ascii="方正仿宋_GBK" w:hAnsi="方正仿宋_GBK" w:eastAsia="方正仿宋_GBK" w:cs="方正仿宋_GBK"/>
          <w:sz w:val="32"/>
          <w:szCs w:val="32"/>
        </w:rPr>
      </w:pPr>
      <w:r>
        <w:rPr>
          <w:rFonts w:hint="eastAsia" w:ascii="Times New Roman" w:hAnsi="Times New Roman" w:eastAsia="仿宋_GB2312" w:cs="Times New Roman"/>
          <w:snapToGrid w:val="0"/>
          <w:sz w:val="32"/>
          <w:szCs w:val="32"/>
          <w:lang w:val="en-US" w:eastAsia="zh-CN"/>
        </w:rPr>
        <w:t>20</w:t>
      </w:r>
      <w:r>
        <w:rPr>
          <w:rFonts w:hint="eastAsia" w:ascii="Times New Roman" w:hAnsi="Times New Roman" w:eastAsia="仿宋_GB2312" w:cs="Times New Roman"/>
          <w:snapToGrid w:val="0"/>
          <w:sz w:val="32"/>
          <w:szCs w:val="32"/>
        </w:rPr>
        <w:t>．</w:t>
      </w:r>
      <w:r>
        <w:rPr>
          <w:rFonts w:hint="eastAsia" w:ascii="方正仿宋_GBK" w:hAnsi="方正仿宋_GBK" w:eastAsia="方正仿宋_GBK" w:cs="方正仿宋_GBK"/>
          <w:sz w:val="32"/>
          <w:szCs w:val="32"/>
        </w:rPr>
        <w:t>住房保障支出（类）住房改革支出（款）住房公积金（项）：反映行政事业单位按人力资源和社会保障部、财政部规定的基本工资和津贴补贴以及规定比例为职工缴纳的住房公积金。</w:t>
      </w:r>
    </w:p>
    <w:p>
      <w:pPr>
        <w:pStyle w:val="2"/>
        <w:keepNext w:val="0"/>
        <w:keepLines w:val="0"/>
        <w:pageBreakBefore w:val="0"/>
        <w:widowControl w:val="0"/>
        <w:kinsoku/>
        <w:wordWrap/>
        <w:overflowPunct/>
        <w:topLinePunct w:val="0"/>
        <w:bidi w:val="0"/>
        <w:spacing w:line="353" w:lineRule="auto"/>
        <w:jc w:val="both"/>
        <w:textAlignment w:val="auto"/>
        <w:rPr>
          <w:rFonts w:hint="eastAsia" w:ascii="Times New Roman" w:hAnsi="Times New Roman" w:eastAsia="仿宋_GB2312" w:cs="Times New Roman"/>
          <w:snapToGrid w:val="0"/>
          <w:kern w:val="2"/>
          <w:sz w:val="32"/>
          <w:szCs w:val="32"/>
          <w:lang w:val="en-US" w:eastAsia="zh-CN" w:bidi="ar-SA"/>
        </w:rPr>
      </w:pPr>
      <w:r>
        <w:rPr>
          <w:rFonts w:hint="eastAsia" w:eastAsia="方正仿宋_GBK"/>
          <w:lang w:val="en-US" w:eastAsia="zh-CN"/>
        </w:rPr>
        <w:t>　　</w:t>
      </w:r>
      <w:r>
        <w:rPr>
          <w:rFonts w:hint="eastAsia" w:ascii="Times New Roman" w:hAnsi="Times New Roman" w:eastAsia="仿宋_GB2312" w:cs="Times New Roman"/>
          <w:snapToGrid w:val="0"/>
          <w:kern w:val="2"/>
          <w:sz w:val="32"/>
          <w:szCs w:val="32"/>
          <w:lang w:val="en-US" w:eastAsia="zh-CN" w:bidi="ar-SA"/>
        </w:rPr>
        <w:t>21</w:t>
      </w:r>
      <w:r>
        <w:rPr>
          <w:rFonts w:hint="eastAsia" w:ascii="Times New Roman" w:hAnsi="Times New Roman" w:eastAsia="仿宋_GB2312" w:cs="Times New Roman"/>
          <w:snapToGrid w:val="0"/>
          <w:sz w:val="32"/>
          <w:szCs w:val="32"/>
        </w:rPr>
        <w:t>．</w:t>
      </w:r>
      <w:r>
        <w:rPr>
          <w:rFonts w:hint="eastAsia" w:ascii="Times New Roman" w:hAnsi="Times New Roman" w:eastAsia="仿宋_GB2312" w:cs="Times New Roman"/>
          <w:snapToGrid w:val="0"/>
          <w:kern w:val="2"/>
          <w:sz w:val="32"/>
          <w:szCs w:val="32"/>
          <w:lang w:val="en-US" w:eastAsia="zh-CN" w:bidi="ar-SA"/>
        </w:rPr>
        <w:t>灾害防治及应急管理支出（类）森林消防事务（款）其他森林消防事务支出（项）：反映用于森林消防的支出。</w:t>
      </w:r>
    </w:p>
    <w:p>
      <w:pPr>
        <w:keepNext w:val="0"/>
        <w:keepLines w:val="0"/>
        <w:pageBreakBefore w:val="0"/>
        <w:widowControl w:val="0"/>
        <w:kinsoku/>
        <w:wordWrap/>
        <w:overflowPunct/>
        <w:topLinePunct w:val="0"/>
        <w:bidi w:val="0"/>
        <w:spacing w:line="353" w:lineRule="auto"/>
        <w:ind w:firstLine="640" w:firstLineChars="200"/>
        <w:jc w:val="both"/>
        <w:textAlignment w:val="auto"/>
        <w:rPr>
          <w:rFonts w:hint="eastAsia" w:ascii="Times New Roman" w:hAnsi="Times New Roman" w:eastAsia="仿宋_GB2312" w:cs="Times New Roman"/>
          <w:snapToGrid w:val="0"/>
          <w:kern w:val="2"/>
          <w:sz w:val="32"/>
          <w:szCs w:val="32"/>
          <w:lang w:val="en-US" w:eastAsia="zh-CN" w:bidi="ar-SA"/>
        </w:rPr>
      </w:pPr>
      <w:r>
        <w:rPr>
          <w:rFonts w:hint="eastAsia" w:ascii="Times New Roman" w:hAnsi="Times New Roman" w:eastAsia="仿宋_GB2312" w:cs="Times New Roman"/>
          <w:snapToGrid w:val="0"/>
          <w:kern w:val="2"/>
          <w:sz w:val="32"/>
          <w:szCs w:val="32"/>
          <w:lang w:val="en-US" w:eastAsia="zh-CN" w:bidi="ar-SA"/>
        </w:rPr>
        <w:t>22</w:t>
      </w:r>
      <w:r>
        <w:rPr>
          <w:rFonts w:hint="eastAsia" w:ascii="Times New Roman" w:hAnsi="Times New Roman" w:eastAsia="仿宋_GB2312" w:cs="Times New Roman"/>
          <w:snapToGrid w:val="0"/>
          <w:sz w:val="32"/>
          <w:szCs w:val="32"/>
        </w:rPr>
        <w:t>．</w:t>
      </w:r>
      <w:r>
        <w:rPr>
          <w:rFonts w:hint="eastAsia" w:ascii="Times New Roman" w:hAnsi="Times New Roman" w:eastAsia="仿宋_GB2312" w:cs="Times New Roman"/>
          <w:snapToGrid w:val="0"/>
          <w:kern w:val="2"/>
          <w:sz w:val="32"/>
          <w:szCs w:val="32"/>
          <w:lang w:val="en-US" w:eastAsia="zh-CN" w:bidi="ar-SA"/>
        </w:rPr>
        <w:t>基本支出：指为保障机构正常运转、完成日常工作任务而发生的人员支出和公用支出。</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jc w:val="both"/>
        <w:textAlignment w:val="auto"/>
        <w:rPr>
          <w:rFonts w:hint="eastAsia" w:ascii="Times New Roman" w:hAnsi="Times New Roman" w:eastAsia="仿宋_GB2312" w:cs="Times New Roman"/>
          <w:snapToGrid w:val="0"/>
          <w:kern w:val="2"/>
          <w:sz w:val="32"/>
          <w:szCs w:val="32"/>
          <w:lang w:val="en-US" w:eastAsia="zh-CN" w:bidi="ar-SA"/>
        </w:rPr>
      </w:pPr>
      <w:r>
        <w:rPr>
          <w:rFonts w:hint="eastAsia" w:ascii="Times New Roman" w:hAnsi="Times New Roman" w:eastAsia="仿宋_GB2312" w:cs="Times New Roman"/>
          <w:snapToGrid w:val="0"/>
          <w:kern w:val="2"/>
          <w:sz w:val="32"/>
          <w:szCs w:val="32"/>
          <w:lang w:val="en-US" w:eastAsia="zh-CN" w:bidi="ar-SA"/>
        </w:rPr>
        <w:t>23</w:t>
      </w:r>
      <w:r>
        <w:rPr>
          <w:rFonts w:hint="eastAsia" w:ascii="Times New Roman" w:hAnsi="Times New Roman" w:eastAsia="仿宋_GB2312" w:cs="Times New Roman"/>
          <w:snapToGrid w:val="0"/>
          <w:sz w:val="32"/>
          <w:szCs w:val="32"/>
        </w:rPr>
        <w:t>．</w:t>
      </w:r>
      <w:r>
        <w:rPr>
          <w:rFonts w:hint="eastAsia" w:ascii="Times New Roman" w:hAnsi="Times New Roman" w:eastAsia="仿宋_GB2312" w:cs="Times New Roman"/>
          <w:snapToGrid w:val="0"/>
          <w:kern w:val="2"/>
          <w:sz w:val="32"/>
          <w:szCs w:val="32"/>
          <w:lang w:val="en-US" w:eastAsia="zh-CN" w:bidi="ar-SA"/>
        </w:rPr>
        <w:t xml:space="preserve">项目支出：指在基本支出之外为完成特定行政任务和事业发展目标所发生的支出。 </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jc w:val="both"/>
        <w:textAlignment w:val="auto"/>
        <w:rPr>
          <w:rFonts w:hint="eastAsia" w:ascii="Times New Roman" w:hAnsi="Times New Roman" w:eastAsia="仿宋_GB2312" w:cs="Times New Roman"/>
          <w:snapToGrid w:val="0"/>
          <w:kern w:val="2"/>
          <w:sz w:val="32"/>
          <w:szCs w:val="32"/>
          <w:lang w:val="en-US" w:eastAsia="zh-CN" w:bidi="ar-SA"/>
        </w:rPr>
      </w:pPr>
      <w:r>
        <w:rPr>
          <w:rFonts w:hint="eastAsia" w:ascii="Times New Roman" w:hAnsi="Times New Roman" w:eastAsia="仿宋_GB2312" w:cs="Times New Roman"/>
          <w:snapToGrid w:val="0"/>
          <w:kern w:val="2"/>
          <w:sz w:val="32"/>
          <w:szCs w:val="32"/>
          <w:lang w:val="en-US" w:eastAsia="zh-CN" w:bidi="ar-SA"/>
        </w:rPr>
        <w:t>24</w:t>
      </w:r>
      <w:r>
        <w:rPr>
          <w:rFonts w:hint="eastAsia" w:ascii="Times New Roman" w:hAnsi="Times New Roman" w:eastAsia="仿宋_GB2312" w:cs="Times New Roman"/>
          <w:snapToGrid w:val="0"/>
          <w:sz w:val="32"/>
          <w:szCs w:val="32"/>
        </w:rPr>
        <w:t>．</w:t>
      </w:r>
      <w:r>
        <w:rPr>
          <w:rFonts w:hint="eastAsia" w:ascii="Times New Roman" w:hAnsi="Times New Roman" w:eastAsia="仿宋_GB2312" w:cs="Times New Roman"/>
          <w:snapToGrid w:val="0"/>
          <w:kern w:val="2"/>
          <w:sz w:val="32"/>
          <w:szCs w:val="32"/>
          <w:lang w:val="en-US" w:eastAsia="zh-CN" w:bidi="ar-SA"/>
        </w:rPr>
        <w:t>经营支出：指事业单位在专业业务活动及其辅助活动之外开展非独立核算经营活动发生的支出。</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jc w:val="both"/>
        <w:textAlignment w:val="auto"/>
        <w:rPr>
          <w:rFonts w:hint="eastAsia" w:ascii="Times New Roman" w:hAnsi="Times New Roman" w:eastAsia="仿宋_GB2312" w:cs="Times New Roman"/>
          <w:snapToGrid w:val="0"/>
          <w:kern w:val="2"/>
          <w:sz w:val="32"/>
          <w:szCs w:val="32"/>
          <w:lang w:val="en-US" w:eastAsia="zh-CN" w:bidi="ar-SA"/>
        </w:rPr>
      </w:pPr>
      <w:r>
        <w:rPr>
          <w:rFonts w:hint="eastAsia" w:ascii="Times New Roman" w:hAnsi="Times New Roman" w:eastAsia="仿宋_GB2312" w:cs="Times New Roman"/>
          <w:snapToGrid w:val="0"/>
          <w:kern w:val="2"/>
          <w:sz w:val="32"/>
          <w:szCs w:val="32"/>
          <w:lang w:val="en-US" w:eastAsia="zh-CN" w:bidi="ar-SA"/>
        </w:rPr>
        <w:t>25</w:t>
      </w:r>
      <w:r>
        <w:rPr>
          <w:rFonts w:hint="eastAsia" w:ascii="Times New Roman" w:hAnsi="Times New Roman" w:eastAsia="仿宋_GB2312" w:cs="Times New Roman"/>
          <w:snapToGrid w:val="0"/>
          <w:sz w:val="32"/>
          <w:szCs w:val="32"/>
        </w:rPr>
        <w:t>．</w:t>
      </w:r>
      <w:r>
        <w:rPr>
          <w:rFonts w:hint="eastAsia" w:ascii="Times New Roman" w:hAnsi="Times New Roman" w:eastAsia="仿宋_GB2312" w:cs="Times New Roman"/>
          <w:snapToGrid w:val="0"/>
          <w:kern w:val="2"/>
          <w:sz w:val="32"/>
          <w:szCs w:val="32"/>
          <w:lang w:val="en-US" w:eastAsia="zh-CN" w:bidi="ar-SA"/>
        </w:rPr>
        <w:t>“三公”经费：指单位用财政拨款安排的因公出国（境）费、公务用车购置及运行费和公务接待费。其中，因公</w:t>
      </w:r>
      <w:r>
        <w:rPr>
          <w:rFonts w:hint="eastAsia" w:ascii="Times New Roman" w:hAnsi="Times New Roman" w:eastAsia="仿宋_GB2312" w:cs="Times New Roman"/>
          <w:snapToGrid w:val="0"/>
          <w:kern w:val="2"/>
          <w:sz w:val="32"/>
          <w:szCs w:val="32"/>
          <w:highlight w:val="none"/>
          <w:lang w:val="en-US" w:eastAsia="zh-CN" w:bidi="ar-SA"/>
        </w:rPr>
        <w:t>出国（境）</w:t>
      </w:r>
      <w:bookmarkStart w:id="100" w:name="hmjd_error_2_0_费_黑马提示无建议_11309"/>
      <w:r>
        <w:rPr>
          <w:rFonts w:hint="eastAsia" w:ascii="Times New Roman" w:hAnsi="Times New Roman" w:eastAsia="仿宋_GB2312" w:cs="Times New Roman"/>
          <w:snapToGrid w:val="0"/>
          <w:kern w:val="2"/>
          <w:sz w:val="32"/>
          <w:szCs w:val="32"/>
          <w:highlight w:val="none"/>
          <w:lang w:val="en-US" w:eastAsia="zh-CN" w:bidi="ar-SA"/>
        </w:rPr>
        <w:t>费</w:t>
      </w:r>
      <w:bookmarkEnd w:id="100"/>
      <w:r>
        <w:rPr>
          <w:rFonts w:hint="eastAsia" w:ascii="Times New Roman" w:hAnsi="Times New Roman" w:eastAsia="仿宋_GB2312" w:cs="Times New Roman"/>
          <w:snapToGrid w:val="0"/>
          <w:kern w:val="2"/>
          <w:sz w:val="32"/>
          <w:szCs w:val="32"/>
          <w:highlight w:val="none"/>
          <w:lang w:val="en-US" w:eastAsia="zh-CN" w:bidi="ar-SA"/>
        </w:rPr>
        <w:t>反映单位公务出国（境）的国际旅费、国外城市间交通费、住宿费、伙食费、培训费、公杂费等支出；公务用车购置及运行费反映单位公务用车车辆购置支出（含车辆购置税）及租用费、燃</w:t>
      </w:r>
      <w:r>
        <w:rPr>
          <w:rFonts w:hint="eastAsia" w:ascii="Times New Roman" w:hAnsi="Times New Roman" w:eastAsia="仿宋_GB2312" w:cs="Times New Roman"/>
          <w:snapToGrid w:val="0"/>
          <w:kern w:val="2"/>
          <w:sz w:val="32"/>
          <w:szCs w:val="32"/>
          <w:lang w:val="en-US" w:eastAsia="zh-CN" w:bidi="ar-SA"/>
        </w:rPr>
        <w:t>料费、维修费、过路过桥费、保险费等支出；公务接待费反映单位按规定开支的各类公务接待（含外宾接待）支出。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jc w:val="both"/>
        <w:textAlignment w:val="auto"/>
        <w:rPr>
          <w:rFonts w:hint="eastAsia" w:ascii="Times New Roman" w:hAnsi="Times New Roman" w:eastAsia="仿宋_GB2312" w:cs="Times New Roman"/>
          <w:snapToGrid w:val="0"/>
          <w:kern w:val="2"/>
          <w:sz w:val="32"/>
          <w:szCs w:val="32"/>
          <w:lang w:val="en-US" w:eastAsia="zh-CN" w:bidi="ar-SA"/>
        </w:rPr>
      </w:pPr>
      <w:r>
        <w:rPr>
          <w:rFonts w:hint="eastAsia" w:ascii="Times New Roman" w:hAnsi="Times New Roman" w:eastAsia="仿宋_GB2312" w:cs="Times New Roman"/>
          <w:snapToGrid w:val="0"/>
          <w:kern w:val="2"/>
          <w:sz w:val="32"/>
          <w:szCs w:val="32"/>
          <w:lang w:val="en-US" w:eastAsia="zh-CN" w:bidi="ar-SA"/>
        </w:rPr>
        <w:t>26</w:t>
      </w:r>
      <w:r>
        <w:rPr>
          <w:rFonts w:hint="eastAsia" w:ascii="Times New Roman" w:hAnsi="Times New Roman" w:eastAsia="仿宋_GB2312" w:cs="Times New Roman"/>
          <w:snapToGrid w:val="0"/>
          <w:sz w:val="32"/>
          <w:szCs w:val="32"/>
        </w:rPr>
        <w:t>．</w:t>
      </w:r>
      <w:r>
        <w:rPr>
          <w:rFonts w:hint="eastAsia" w:ascii="Times New Roman" w:hAnsi="Times New Roman" w:eastAsia="仿宋_GB2312" w:cs="Times New Roman"/>
          <w:snapToGrid w:val="0"/>
          <w:kern w:val="2"/>
          <w:sz w:val="32"/>
          <w:szCs w:val="32"/>
          <w:lang w:val="en-US" w:eastAsia="zh-CN" w:bidi="ar-SA"/>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jc w:val="both"/>
        <w:textAlignment w:val="auto"/>
        <w:rPr>
          <w:rFonts w:hint="eastAsia" w:ascii="Times New Roman" w:hAnsi="Times New Roman" w:eastAsia="仿宋_GB2312" w:cs="Times New Roman"/>
          <w:snapToGrid w:val="0"/>
          <w:kern w:val="2"/>
          <w:sz w:val="32"/>
          <w:szCs w:val="32"/>
          <w:lang w:val="en-US" w:eastAsia="zh-CN" w:bidi="ar-SA"/>
        </w:rPr>
      </w:pPr>
      <w:r>
        <w:rPr>
          <w:rFonts w:hint="eastAsia" w:ascii="Times New Roman" w:hAnsi="Times New Roman" w:eastAsia="仿宋_GB2312" w:cs="Times New Roman"/>
          <w:snapToGrid w:val="0"/>
          <w:kern w:val="2"/>
          <w:sz w:val="32"/>
          <w:szCs w:val="32"/>
          <w:lang w:val="en-US" w:eastAsia="zh-CN" w:bidi="ar-SA"/>
        </w:rPr>
        <w:t>27</w:t>
      </w:r>
      <w:r>
        <w:rPr>
          <w:rFonts w:hint="eastAsia" w:ascii="Times New Roman" w:hAnsi="Times New Roman" w:eastAsia="仿宋_GB2312" w:cs="Times New Roman"/>
          <w:snapToGrid w:val="0"/>
          <w:sz w:val="32"/>
          <w:szCs w:val="32"/>
        </w:rPr>
        <w:t>．</w:t>
      </w:r>
      <w:r>
        <w:rPr>
          <w:rFonts w:hint="eastAsia" w:ascii="Times New Roman" w:hAnsi="Times New Roman" w:eastAsia="仿宋_GB2312" w:cs="Times New Roman"/>
          <w:snapToGrid w:val="0"/>
          <w:kern w:val="2"/>
          <w:sz w:val="32"/>
          <w:szCs w:val="32"/>
          <w:lang w:val="en-US" w:eastAsia="zh-CN" w:bidi="ar-SA"/>
        </w:rPr>
        <w:t>基本支出：指为保障机构正常运转、完成日常工作任务而发生的人员支出和公用支出。</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jc w:val="both"/>
        <w:textAlignment w:val="auto"/>
        <w:rPr>
          <w:rFonts w:hint="eastAsia" w:ascii="Times New Roman" w:hAnsi="Times New Roman" w:eastAsia="仿宋_GB2312" w:cs="Times New Roman"/>
          <w:snapToGrid w:val="0"/>
          <w:kern w:val="2"/>
          <w:sz w:val="32"/>
          <w:szCs w:val="32"/>
          <w:lang w:val="en-US" w:eastAsia="zh-CN" w:bidi="ar-SA"/>
        </w:rPr>
      </w:pPr>
      <w:r>
        <w:rPr>
          <w:rFonts w:hint="eastAsia" w:ascii="Times New Roman" w:hAnsi="Times New Roman" w:eastAsia="仿宋_GB2312" w:cs="Times New Roman"/>
          <w:snapToGrid w:val="0"/>
          <w:kern w:val="2"/>
          <w:sz w:val="32"/>
          <w:szCs w:val="32"/>
          <w:lang w:val="en-US" w:eastAsia="zh-CN" w:bidi="ar-SA"/>
        </w:rPr>
        <w:t>28</w:t>
      </w:r>
      <w:r>
        <w:rPr>
          <w:rFonts w:hint="eastAsia" w:ascii="Times New Roman" w:hAnsi="Times New Roman" w:eastAsia="仿宋_GB2312" w:cs="Times New Roman"/>
          <w:snapToGrid w:val="0"/>
          <w:sz w:val="32"/>
          <w:szCs w:val="32"/>
        </w:rPr>
        <w:t>．</w:t>
      </w:r>
      <w:r>
        <w:rPr>
          <w:rFonts w:hint="eastAsia" w:ascii="Times New Roman" w:hAnsi="Times New Roman" w:eastAsia="仿宋_GB2312" w:cs="Times New Roman"/>
          <w:snapToGrid w:val="0"/>
          <w:kern w:val="2"/>
          <w:sz w:val="32"/>
          <w:szCs w:val="32"/>
          <w:lang w:val="en-US" w:eastAsia="zh-CN" w:bidi="ar-SA"/>
        </w:rPr>
        <w:t>项目支出：指在基本支出之外为完成特定行政任务和事业发展目标所发生的支出。</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jc w:val="both"/>
        <w:textAlignment w:val="auto"/>
        <w:rPr>
          <w:rFonts w:hint="eastAsia" w:ascii="Times New Roman" w:hAnsi="Times New Roman" w:eastAsia="仿宋_GB2312" w:cs="Times New Roman"/>
          <w:snapToGrid w:val="0"/>
          <w:kern w:val="2"/>
          <w:sz w:val="32"/>
          <w:szCs w:val="32"/>
          <w:lang w:val="en-US" w:eastAsia="zh-CN" w:bidi="ar-SA"/>
        </w:rPr>
      </w:pPr>
      <w:r>
        <w:rPr>
          <w:rFonts w:hint="eastAsia" w:ascii="Times New Roman" w:hAnsi="Times New Roman" w:eastAsia="仿宋_GB2312" w:cs="Times New Roman"/>
          <w:snapToGrid w:val="0"/>
          <w:kern w:val="2"/>
          <w:sz w:val="32"/>
          <w:szCs w:val="32"/>
          <w:lang w:val="en-US" w:eastAsia="zh-CN" w:bidi="ar-SA"/>
        </w:rPr>
        <w:t>29</w:t>
      </w:r>
      <w:r>
        <w:rPr>
          <w:rFonts w:hint="eastAsia" w:ascii="Times New Roman" w:hAnsi="Times New Roman" w:eastAsia="仿宋_GB2312" w:cs="Times New Roman"/>
          <w:snapToGrid w:val="0"/>
          <w:sz w:val="32"/>
          <w:szCs w:val="32"/>
        </w:rPr>
        <w:t>．</w:t>
      </w:r>
      <w:r>
        <w:rPr>
          <w:rFonts w:hint="eastAsia" w:ascii="Times New Roman" w:hAnsi="Times New Roman" w:eastAsia="仿宋_GB2312" w:cs="Times New Roman"/>
          <w:snapToGrid w:val="0"/>
          <w:kern w:val="2"/>
          <w:sz w:val="32"/>
          <w:szCs w:val="32"/>
          <w:lang w:val="en-US" w:eastAsia="zh-CN" w:bidi="ar-SA"/>
        </w:rPr>
        <w:t>经营支出：指事业单位在专业业务活动及其辅助活动之外开展非独立核算经营活动发生的支出。</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jc w:val="both"/>
        <w:textAlignment w:val="auto"/>
        <w:rPr>
          <w:rFonts w:hint="eastAsia" w:ascii="Times New Roman" w:hAnsi="Times New Roman" w:eastAsia="仿宋_GB2312" w:cs="Times New Roman"/>
          <w:snapToGrid w:val="0"/>
          <w:kern w:val="2"/>
          <w:sz w:val="32"/>
          <w:szCs w:val="32"/>
          <w:lang w:val="en-US" w:eastAsia="zh-CN" w:bidi="ar-SA"/>
        </w:rPr>
      </w:pPr>
      <w:r>
        <w:rPr>
          <w:rFonts w:hint="eastAsia" w:ascii="Times New Roman" w:hAnsi="Times New Roman" w:eastAsia="仿宋_GB2312" w:cs="Times New Roman"/>
          <w:snapToGrid w:val="0"/>
          <w:kern w:val="2"/>
          <w:sz w:val="32"/>
          <w:szCs w:val="32"/>
          <w:lang w:val="en-US" w:eastAsia="zh-CN" w:bidi="ar-SA"/>
        </w:rPr>
        <w:t>30</w:t>
      </w:r>
      <w:r>
        <w:rPr>
          <w:rFonts w:hint="eastAsia" w:ascii="Times New Roman" w:hAnsi="Times New Roman" w:eastAsia="仿宋_GB2312" w:cs="Times New Roman"/>
          <w:snapToGrid w:val="0"/>
          <w:sz w:val="32"/>
          <w:szCs w:val="32"/>
          <w:highlight w:val="none"/>
        </w:rPr>
        <w:t>．</w:t>
      </w:r>
      <w:r>
        <w:rPr>
          <w:rFonts w:hint="eastAsia" w:ascii="Times New Roman" w:hAnsi="Times New Roman" w:eastAsia="仿宋_GB2312" w:cs="Times New Roman"/>
          <w:snapToGrid w:val="0"/>
          <w:kern w:val="2"/>
          <w:sz w:val="32"/>
          <w:szCs w:val="32"/>
          <w:highlight w:val="none"/>
          <w:lang w:val="en-US" w:eastAsia="zh-CN" w:bidi="ar-SA"/>
        </w:rPr>
        <w:t>“三公”经费：指单位用财政拨款安排的因公出国（境）费、公务用车购置及运行费和公务接待费。其中，因公出国（境）</w:t>
      </w:r>
      <w:bookmarkStart w:id="101" w:name="hmjd_error_2_0_费_黑马提示无建议_11767"/>
      <w:r>
        <w:rPr>
          <w:rFonts w:hint="eastAsia" w:ascii="Times New Roman" w:hAnsi="Times New Roman" w:eastAsia="仿宋_GB2312" w:cs="Times New Roman"/>
          <w:snapToGrid w:val="0"/>
          <w:kern w:val="2"/>
          <w:sz w:val="32"/>
          <w:szCs w:val="32"/>
          <w:highlight w:val="none"/>
          <w:lang w:val="en-US" w:eastAsia="zh-CN" w:bidi="ar-SA"/>
        </w:rPr>
        <w:t>费</w:t>
      </w:r>
      <w:bookmarkEnd w:id="101"/>
      <w:r>
        <w:rPr>
          <w:rFonts w:hint="eastAsia" w:ascii="Times New Roman" w:hAnsi="Times New Roman" w:eastAsia="仿宋_GB2312" w:cs="Times New Roman"/>
          <w:snapToGrid w:val="0"/>
          <w:kern w:val="2"/>
          <w:sz w:val="32"/>
          <w:szCs w:val="32"/>
          <w:highlight w:val="none"/>
          <w:lang w:val="en-US" w:eastAsia="zh-CN" w:bidi="ar-SA"/>
        </w:rPr>
        <w:t>反映单</w:t>
      </w:r>
      <w:r>
        <w:rPr>
          <w:rFonts w:hint="eastAsia" w:ascii="Times New Roman" w:hAnsi="Times New Roman" w:eastAsia="仿宋_GB2312" w:cs="Times New Roman"/>
          <w:snapToGrid w:val="0"/>
          <w:kern w:val="2"/>
          <w:sz w:val="32"/>
          <w:szCs w:val="32"/>
          <w:lang w:val="en-US" w:eastAsia="zh-CN" w:bidi="ar-SA"/>
        </w:rPr>
        <w:t>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jc w:val="both"/>
        <w:textAlignment w:val="auto"/>
        <w:rPr>
          <w:rFonts w:hint="eastAsia" w:ascii="Times New Roman" w:hAnsi="Times New Roman" w:eastAsia="仿宋_GB2312" w:cs="Times New Roman"/>
          <w:snapToGrid w:val="0"/>
          <w:kern w:val="2"/>
          <w:sz w:val="32"/>
          <w:szCs w:val="32"/>
          <w:lang w:val="en-US" w:eastAsia="zh-CN" w:bidi="ar-SA"/>
        </w:rPr>
      </w:pPr>
      <w:r>
        <w:rPr>
          <w:rFonts w:hint="eastAsia" w:ascii="Times New Roman" w:hAnsi="Times New Roman" w:eastAsia="仿宋_GB2312" w:cs="Times New Roman"/>
          <w:snapToGrid w:val="0"/>
          <w:kern w:val="2"/>
          <w:sz w:val="32"/>
          <w:szCs w:val="32"/>
          <w:lang w:val="en-US" w:eastAsia="zh-CN" w:bidi="ar-SA"/>
        </w:rPr>
        <w:t>31</w:t>
      </w:r>
      <w:r>
        <w:rPr>
          <w:rFonts w:hint="eastAsia" w:ascii="Times New Roman" w:hAnsi="Times New Roman" w:eastAsia="仿宋_GB2312" w:cs="Times New Roman"/>
          <w:snapToGrid w:val="0"/>
          <w:sz w:val="32"/>
          <w:szCs w:val="32"/>
        </w:rPr>
        <w:t>．</w:t>
      </w:r>
      <w:r>
        <w:rPr>
          <w:rFonts w:hint="eastAsia" w:ascii="Times New Roman" w:hAnsi="Times New Roman" w:eastAsia="仿宋_GB2312" w:cs="Times New Roman"/>
          <w:snapToGrid w:val="0"/>
          <w:kern w:val="2"/>
          <w:sz w:val="32"/>
          <w:szCs w:val="32"/>
          <w:lang w:val="en-US" w:eastAsia="zh-CN" w:bidi="ar-SA"/>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3"/>
        <w:spacing w:line="560" w:lineRule="exact"/>
        <w:ind w:firstLine="640" w:firstLineChars="200"/>
        <w:rPr>
          <w:rFonts w:hint="default" w:ascii="仿宋_GB2312" w:eastAsia="仿宋_GB2312" w:cs="黑体"/>
          <w:color w:val="auto"/>
          <w:sz w:val="32"/>
          <w:szCs w:val="32"/>
          <w:highlight w:val="none"/>
          <w:lang w:val="en-US" w:eastAsia="zh-CN"/>
        </w:rPr>
      </w:pPr>
    </w:p>
    <w:p>
      <w:pPr>
        <w:spacing w:line="600" w:lineRule="exact"/>
        <w:jc w:val="center"/>
        <w:outlineLvl w:val="0"/>
        <w:rPr>
          <w:rStyle w:val="25"/>
          <w:rFonts w:hint="eastAsia" w:ascii="方正小标宋_GBK" w:hAnsi="方正小标宋_GBK" w:eastAsia="方正小标宋_GBK" w:cs="方正小标宋_GBK"/>
          <w:b w:val="0"/>
          <w:color w:val="auto"/>
          <w:sz w:val="36"/>
          <w:szCs w:val="36"/>
          <w:highlight w:val="none"/>
        </w:rPr>
      </w:pPr>
      <w:bookmarkStart w:id="102" w:name="_Toc15377226"/>
      <w:r>
        <w:rPr>
          <w:rFonts w:ascii="宋体"/>
          <w:b/>
          <w:color w:val="auto"/>
          <w:sz w:val="44"/>
          <w:szCs w:val="44"/>
          <w:highlight w:val="none"/>
        </w:rPr>
        <w:br w:type="page"/>
      </w:r>
      <w:bookmarkStart w:id="103" w:name="_Toc15396614"/>
      <w:bookmarkStart w:id="104" w:name="_Toc1298595002_WPSOffice_Level1"/>
      <w:bookmarkStart w:id="105" w:name="_Toc15396618"/>
      <w:r>
        <w:rPr>
          <w:rFonts w:hint="eastAsia" w:ascii="方正小标宋_GBK" w:hAnsi="方正小标宋_GBK" w:eastAsia="方正小标宋_GBK" w:cs="方正小标宋_GBK"/>
          <w:color w:val="auto"/>
          <w:sz w:val="44"/>
          <w:szCs w:val="44"/>
          <w:highlight w:val="none"/>
        </w:rPr>
        <w:t>第</w:t>
      </w:r>
      <w:r>
        <w:rPr>
          <w:rStyle w:val="25"/>
          <w:rFonts w:hint="eastAsia" w:ascii="方正小标宋_GBK" w:hAnsi="方正小标宋_GBK" w:eastAsia="方正小标宋_GBK" w:cs="方正小标宋_GBK"/>
          <w:b w:val="0"/>
          <w:color w:val="auto"/>
          <w:sz w:val="44"/>
          <w:szCs w:val="44"/>
          <w:highlight w:val="none"/>
        </w:rPr>
        <w:t>四部分</w:t>
      </w:r>
      <w:r>
        <w:rPr>
          <w:rStyle w:val="25"/>
          <w:rFonts w:hint="eastAsia" w:ascii="方正小标宋_GBK" w:hAnsi="方正小标宋_GBK" w:eastAsia="方正小标宋_GBK" w:cs="方正小标宋_GBK"/>
          <w:b w:val="0"/>
          <w:color w:val="auto"/>
          <w:sz w:val="44"/>
          <w:szCs w:val="44"/>
          <w:highlight w:val="none"/>
          <w:lang w:eastAsia="zh-CN"/>
        </w:rPr>
        <w:t>　</w:t>
      </w:r>
      <w:r>
        <w:rPr>
          <w:rStyle w:val="25"/>
          <w:rFonts w:hint="eastAsia" w:ascii="方正小标宋_GBK" w:hAnsi="方正小标宋_GBK" w:eastAsia="方正小标宋_GBK" w:cs="方正小标宋_GBK"/>
          <w:b w:val="0"/>
          <w:color w:val="auto"/>
          <w:sz w:val="44"/>
          <w:szCs w:val="44"/>
          <w:highlight w:val="none"/>
        </w:rPr>
        <w:t>附件</w:t>
      </w:r>
      <w:bookmarkEnd w:id="103"/>
      <w:bookmarkEnd w:id="104"/>
    </w:p>
    <w:p>
      <w:pPr>
        <w:keepNext w:val="0"/>
        <w:keepLines w:val="0"/>
        <w:pageBreakBefore w:val="0"/>
        <w:kinsoku/>
        <w:wordWrap/>
        <w:overflowPunct/>
        <w:topLinePunct w:val="0"/>
        <w:autoSpaceDE/>
        <w:autoSpaceDN/>
        <w:bidi w:val="0"/>
        <w:spacing w:line="572" w:lineRule="exact"/>
        <w:jc w:val="left"/>
        <w:textAlignment w:val="auto"/>
        <w:outlineLvl w:val="0"/>
        <w:rPr>
          <w:rFonts w:ascii="仿宋_GB2312" w:hAnsi="仿宋_GB2312" w:eastAsia="仿宋_GB2312" w:cs="仿宋_GB2312"/>
          <w:color w:val="auto"/>
          <w:sz w:val="32"/>
          <w:szCs w:val="32"/>
          <w:highlight w:val="none"/>
        </w:rPr>
      </w:pPr>
      <w:r>
        <w:rPr>
          <w:rFonts w:hint="eastAsia" w:ascii="黑体" w:hAnsi="黑体" w:eastAsia="黑体" w:cs="黑体"/>
          <w:color w:val="auto"/>
          <w:sz w:val="32"/>
          <w:szCs w:val="32"/>
          <w:highlight w:val="none"/>
        </w:rPr>
        <w:t>附件</w:t>
      </w:r>
    </w:p>
    <w:tbl>
      <w:tblPr>
        <w:tblStyle w:val="12"/>
        <w:tblpPr w:leftFromText="180" w:rightFromText="180" w:vertAnchor="text" w:horzAnchor="page" w:tblpXSpec="center" w:tblpY="660"/>
        <w:tblOverlap w:val="never"/>
        <w:tblW w:w="1100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27"/>
        <w:gridCol w:w="1095"/>
        <w:gridCol w:w="1080"/>
        <w:gridCol w:w="2321"/>
        <w:gridCol w:w="2719"/>
        <w:gridCol w:w="2326"/>
        <w:gridCol w:w="2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0768" w:type="dxa"/>
            <w:gridSpan w:val="6"/>
            <w:tcBorders>
              <w:top w:val="nil"/>
              <w:left w:val="nil"/>
              <w:bottom w:val="nil"/>
              <w:right w:val="nil"/>
              <w:tl2br w:val="nil"/>
              <w:tr2bl w:val="nil"/>
            </w:tcBorders>
            <w:shd w:val="clear" w:color="auto" w:fill="auto"/>
            <w:vAlign w:val="center"/>
          </w:tcPr>
          <w:p>
            <w:pPr>
              <w:keepNext w:val="0"/>
              <w:keepLines w:val="0"/>
              <w:widowControl/>
              <w:suppressLineNumbers w:val="0"/>
              <w:spacing w:beforeAutospacing="0"/>
              <w:jc w:val="center"/>
              <w:textAlignment w:val="center"/>
              <w:rPr>
                <w:rFonts w:hint="eastAsia" w:ascii="方正小标宋_GBK" w:hAnsi="方正小标宋_GBK" w:eastAsia="方正小标宋_GBK" w:cs="方正小标宋_GBK"/>
                <w:b w:val="0"/>
                <w:bCs w:val="0"/>
                <w:sz w:val="36"/>
                <w:szCs w:val="36"/>
                <w:highlight w:val="none"/>
                <w:lang w:val="en-US" w:eastAsia="zh-CN"/>
              </w:rPr>
            </w:pPr>
            <w:r>
              <w:rPr>
                <w:rFonts w:hint="eastAsia" w:ascii="方正小标宋_GBK" w:hAnsi="方正小标宋_GBK" w:eastAsia="方正小标宋_GBK" w:cs="方正小标宋_GBK"/>
                <w:b w:val="0"/>
                <w:bCs w:val="0"/>
                <w:sz w:val="36"/>
                <w:szCs w:val="36"/>
                <w:highlight w:val="none"/>
                <w:lang w:val="en-US" w:eastAsia="zh-CN"/>
              </w:rPr>
              <w:t>2021年特定目标</w:t>
            </w:r>
            <w:bookmarkStart w:id="106" w:name="hmjd_error_2_0_类_黑马提示无建议_12062"/>
            <w:r>
              <w:rPr>
                <w:rFonts w:hint="eastAsia" w:ascii="方正小标宋_GBK" w:hAnsi="方正小标宋_GBK" w:eastAsia="方正小标宋_GBK" w:cs="方正小标宋_GBK"/>
                <w:b w:val="0"/>
                <w:bCs w:val="0"/>
                <w:sz w:val="36"/>
                <w:szCs w:val="36"/>
                <w:highlight w:val="none"/>
                <w:lang w:val="en-US" w:eastAsia="zh-CN"/>
              </w:rPr>
              <w:t>类</w:t>
            </w:r>
            <w:bookmarkEnd w:id="106"/>
            <w:r>
              <w:rPr>
                <w:rFonts w:hint="eastAsia" w:ascii="方正小标宋_GBK" w:hAnsi="方正小标宋_GBK" w:eastAsia="方正小标宋_GBK" w:cs="方正小标宋_GBK"/>
                <w:b w:val="0"/>
                <w:bCs w:val="0"/>
                <w:sz w:val="36"/>
                <w:szCs w:val="36"/>
                <w:highlight w:val="none"/>
                <w:lang w:val="en-US" w:eastAsia="zh-CN"/>
              </w:rPr>
              <w:t>部门预算项目绩效目标自评</w:t>
            </w:r>
          </w:p>
          <w:p>
            <w:pPr>
              <w:pStyle w:val="2"/>
              <w:jc w:val="center"/>
              <w:rPr>
                <w:rFonts w:hint="eastAsia"/>
                <w:sz w:val="36"/>
                <w:szCs w:val="36"/>
                <w:highlight w:val="none"/>
              </w:rPr>
            </w:pPr>
            <w:r>
              <w:rPr>
                <w:rFonts w:hint="eastAsia" w:ascii="Times New Roman" w:hAnsi="Times New Roman" w:eastAsia="仿宋_GB2312" w:cs="Times New Roman"/>
                <w:snapToGrid w:val="0"/>
                <w:kern w:val="2"/>
                <w:sz w:val="32"/>
                <w:szCs w:val="32"/>
                <w:highlight w:val="none"/>
                <w:lang w:val="en-US" w:eastAsia="zh-CN" w:bidi="ar-SA"/>
              </w:rPr>
              <w:t>（2021年攀枝花市政府网站在线访谈节目及相关微视频采购项目）</w:t>
            </w:r>
          </w:p>
        </w:tc>
        <w:tc>
          <w:tcPr>
            <w:tcW w:w="236" w:type="dxa"/>
            <w:tcBorders>
              <w:top w:val="nil"/>
              <w:left w:val="nil"/>
              <w:bottom w:val="nil"/>
              <w:right w:val="nil"/>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kern w:val="0"/>
                <w:sz w:val="36"/>
                <w:szCs w:val="36"/>
                <w:u w:val="none"/>
                <w:lang w:val="en-US" w:eastAsia="zh-CN" w:bidi="ar"/>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254" w:hRule="atLeast"/>
          <w:jc w:val="center"/>
        </w:trPr>
        <w:tc>
          <w:tcPr>
            <w:tcW w:w="2322"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主管部门及代码</w:t>
            </w:r>
          </w:p>
        </w:tc>
        <w:tc>
          <w:tcPr>
            <w:tcW w:w="3401"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102001攀枝花市人民政府办公室</w:t>
            </w: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实施单位</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攀枝花市广播电视台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341" w:hRule="atLeast"/>
          <w:jc w:val="center"/>
        </w:trPr>
        <w:tc>
          <w:tcPr>
            <w:tcW w:w="2322" w:type="dxa"/>
            <w:gridSpan w:val="2"/>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项目预算执行情况</w:t>
            </w:r>
            <w:r>
              <w:rPr>
                <w:rFonts w:hint="eastAsia" w:ascii="Times New Roman" w:hAnsi="Times New Roman" w:eastAsia="仿宋_GB2312" w:cs="Times New Roman"/>
                <w:snapToGrid w:val="0"/>
                <w:kern w:val="2"/>
                <w:sz w:val="21"/>
                <w:szCs w:val="21"/>
                <w:lang w:val="en-US" w:eastAsia="zh-CN" w:bidi="ar-SA"/>
              </w:rPr>
              <w:br w:type="textWrapping"/>
            </w:r>
            <w:r>
              <w:rPr>
                <w:rFonts w:hint="eastAsia" w:ascii="Times New Roman" w:hAnsi="Times New Roman" w:eastAsia="仿宋_GB2312" w:cs="Times New Roman"/>
                <w:snapToGrid w:val="0"/>
                <w:kern w:val="2"/>
                <w:sz w:val="21"/>
                <w:szCs w:val="21"/>
                <w:lang w:val="en-US" w:eastAsia="zh-CN" w:bidi="ar-SA"/>
              </w:rPr>
              <w:t>（万元）</w:t>
            </w:r>
          </w:p>
        </w:tc>
        <w:tc>
          <w:tcPr>
            <w:tcW w:w="108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 xml:space="preserve"> 预算数：</w:t>
            </w:r>
          </w:p>
        </w:tc>
        <w:tc>
          <w:tcPr>
            <w:tcW w:w="232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29.8</w:t>
            </w: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 xml:space="preserve"> 执行数：</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29.8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555" w:hRule="atLeast"/>
          <w:jc w:val="center"/>
        </w:trPr>
        <w:tc>
          <w:tcPr>
            <w:tcW w:w="2322" w:type="dxa"/>
            <w:gridSpan w:val="2"/>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8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其中：</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财政拨款</w:t>
            </w:r>
          </w:p>
        </w:tc>
        <w:tc>
          <w:tcPr>
            <w:tcW w:w="232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29.8</w:t>
            </w: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其中：</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财政拨款</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29.8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341" w:hRule="atLeast"/>
          <w:jc w:val="center"/>
        </w:trPr>
        <w:tc>
          <w:tcPr>
            <w:tcW w:w="2322" w:type="dxa"/>
            <w:gridSpan w:val="2"/>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8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其他资金</w:t>
            </w:r>
          </w:p>
        </w:tc>
        <w:tc>
          <w:tcPr>
            <w:tcW w:w="232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其他资金</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217" w:hRule="atLeast"/>
          <w:jc w:val="center"/>
        </w:trPr>
        <w:tc>
          <w:tcPr>
            <w:tcW w:w="1227"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年度总体目标完成情况</w:t>
            </w:r>
          </w:p>
        </w:tc>
        <w:tc>
          <w:tcPr>
            <w:tcW w:w="4496"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预期目标</w:t>
            </w:r>
          </w:p>
        </w:tc>
        <w:tc>
          <w:tcPr>
            <w:tcW w:w="5045"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目标实际完成情况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797"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4496" w:type="dxa"/>
            <w:gridSpan w:val="3"/>
            <w:tcBorders>
              <w:tl2br w:val="nil"/>
              <w:tr2bl w:val="nil"/>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top"/>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全面提升我市政府网站政务服务和互动交流水平，推进治理能力现代化，同时完成省政府对市州政府网站的考核。</w:t>
            </w:r>
          </w:p>
        </w:tc>
        <w:tc>
          <w:tcPr>
            <w:tcW w:w="5045"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top"/>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已完成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693" w:hRule="atLeast"/>
          <w:jc w:val="center"/>
        </w:trPr>
        <w:tc>
          <w:tcPr>
            <w:tcW w:w="1227"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年度绩效指标完成情况</w:t>
            </w:r>
          </w:p>
        </w:tc>
        <w:tc>
          <w:tcPr>
            <w:tcW w:w="109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一级指标</w:t>
            </w:r>
          </w:p>
        </w:tc>
        <w:tc>
          <w:tcPr>
            <w:tcW w:w="108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二级指标</w:t>
            </w:r>
          </w:p>
        </w:tc>
        <w:tc>
          <w:tcPr>
            <w:tcW w:w="232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三级指标</w:t>
            </w: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预期指标值</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实际完成指标值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415"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highlight w:val="none"/>
                <w:lang w:val="en-US" w:eastAsia="zh-CN" w:bidi="ar-SA"/>
              </w:rPr>
            </w:pPr>
          </w:p>
        </w:tc>
        <w:tc>
          <w:tcPr>
            <w:tcW w:w="109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完成指标</w:t>
            </w:r>
          </w:p>
        </w:tc>
        <w:tc>
          <w:tcPr>
            <w:tcW w:w="1080"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数量指标</w:t>
            </w:r>
          </w:p>
        </w:tc>
        <w:tc>
          <w:tcPr>
            <w:tcW w:w="232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微访谈制作</w:t>
            </w: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3期（</w:t>
            </w:r>
            <w:bookmarkStart w:id="107" w:name="hmjd_error_2_0_单期_黑马提示无_12377"/>
            <w:r>
              <w:rPr>
                <w:rFonts w:hint="eastAsia" w:ascii="Times New Roman" w:hAnsi="Times New Roman" w:eastAsia="仿宋_GB2312" w:cs="Times New Roman"/>
                <w:snapToGrid w:val="0"/>
                <w:kern w:val="2"/>
                <w:sz w:val="21"/>
                <w:szCs w:val="21"/>
                <w:highlight w:val="none"/>
                <w:lang w:val="en-US" w:eastAsia="zh-CN" w:bidi="ar-SA"/>
              </w:rPr>
              <w:t>单期</w:t>
            </w:r>
            <w:bookmarkEnd w:id="107"/>
            <w:r>
              <w:rPr>
                <w:rFonts w:hint="eastAsia" w:ascii="Times New Roman" w:hAnsi="Times New Roman" w:eastAsia="仿宋_GB2312" w:cs="Times New Roman"/>
                <w:snapToGrid w:val="0"/>
                <w:kern w:val="2"/>
                <w:sz w:val="21"/>
                <w:szCs w:val="21"/>
                <w:highlight w:val="none"/>
                <w:lang w:val="en-US" w:eastAsia="zh-CN" w:bidi="ar-SA"/>
              </w:rPr>
              <w:t>15分钟以内）</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3期（</w:t>
            </w:r>
            <w:bookmarkStart w:id="108" w:name="hmjd_error_2_0_单期_黑马提示无_12390"/>
            <w:r>
              <w:rPr>
                <w:rFonts w:hint="eastAsia" w:ascii="Times New Roman" w:hAnsi="Times New Roman" w:eastAsia="仿宋_GB2312" w:cs="Times New Roman"/>
                <w:snapToGrid w:val="0"/>
                <w:kern w:val="2"/>
                <w:sz w:val="21"/>
                <w:szCs w:val="21"/>
                <w:highlight w:val="none"/>
                <w:lang w:val="en-US" w:eastAsia="zh-CN" w:bidi="ar-SA"/>
              </w:rPr>
              <w:t>单期</w:t>
            </w:r>
            <w:bookmarkEnd w:id="108"/>
            <w:r>
              <w:rPr>
                <w:rFonts w:hint="eastAsia" w:ascii="Times New Roman" w:hAnsi="Times New Roman" w:eastAsia="仿宋_GB2312" w:cs="Times New Roman"/>
                <w:snapToGrid w:val="0"/>
                <w:kern w:val="2"/>
                <w:sz w:val="21"/>
                <w:szCs w:val="21"/>
                <w:highlight w:val="none"/>
                <w:lang w:val="en-US" w:eastAsia="zh-CN" w:bidi="ar-SA"/>
              </w:rPr>
              <w:t>15分钟以内）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415"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highlight w:val="none"/>
                <w:lang w:val="en-US" w:eastAsia="zh-CN" w:bidi="ar-SA"/>
              </w:rPr>
            </w:pPr>
          </w:p>
        </w:tc>
        <w:tc>
          <w:tcPr>
            <w:tcW w:w="1095"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highlight w:val="none"/>
                <w:lang w:val="en-US" w:eastAsia="zh-CN" w:bidi="ar-SA"/>
              </w:rPr>
            </w:pPr>
          </w:p>
        </w:tc>
        <w:tc>
          <w:tcPr>
            <w:tcW w:w="1080" w:type="dxa"/>
            <w:vMerge w:val="continue"/>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highlight w:val="none"/>
                <w:lang w:val="en-US" w:eastAsia="zh-CN" w:bidi="ar-SA"/>
              </w:rPr>
            </w:pPr>
          </w:p>
        </w:tc>
        <w:tc>
          <w:tcPr>
            <w:tcW w:w="2321"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微动画制作</w:t>
            </w:r>
          </w:p>
        </w:tc>
        <w:tc>
          <w:tcPr>
            <w:tcW w:w="2719"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4期（</w:t>
            </w:r>
            <w:bookmarkStart w:id="109" w:name="hmjd_error_2_0_单期_黑马提示无_12413"/>
            <w:r>
              <w:rPr>
                <w:rFonts w:hint="eastAsia" w:ascii="Times New Roman" w:hAnsi="Times New Roman" w:eastAsia="仿宋_GB2312" w:cs="Times New Roman"/>
                <w:snapToGrid w:val="0"/>
                <w:kern w:val="2"/>
                <w:sz w:val="21"/>
                <w:szCs w:val="21"/>
                <w:highlight w:val="none"/>
                <w:lang w:val="en-US" w:eastAsia="zh-CN" w:bidi="ar-SA"/>
              </w:rPr>
              <w:t>单期</w:t>
            </w:r>
            <w:bookmarkEnd w:id="109"/>
            <w:r>
              <w:rPr>
                <w:rFonts w:hint="eastAsia" w:ascii="Times New Roman" w:hAnsi="Times New Roman" w:eastAsia="仿宋_GB2312" w:cs="Times New Roman"/>
                <w:snapToGrid w:val="0"/>
                <w:kern w:val="2"/>
                <w:sz w:val="21"/>
                <w:szCs w:val="21"/>
                <w:highlight w:val="none"/>
                <w:lang w:val="en-US" w:eastAsia="zh-CN" w:bidi="ar-SA"/>
              </w:rPr>
              <w:t>5分钟以内）</w:t>
            </w:r>
          </w:p>
        </w:tc>
        <w:tc>
          <w:tcPr>
            <w:tcW w:w="2326"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4期（</w:t>
            </w:r>
            <w:bookmarkStart w:id="110" w:name="hmjd_error_2_0_单期_黑马提示无_12425"/>
            <w:r>
              <w:rPr>
                <w:rFonts w:hint="eastAsia" w:ascii="Times New Roman" w:hAnsi="Times New Roman" w:eastAsia="仿宋_GB2312" w:cs="Times New Roman"/>
                <w:snapToGrid w:val="0"/>
                <w:kern w:val="2"/>
                <w:sz w:val="21"/>
                <w:szCs w:val="21"/>
                <w:highlight w:val="none"/>
                <w:lang w:val="en-US" w:eastAsia="zh-CN" w:bidi="ar-SA"/>
              </w:rPr>
              <w:t>单期</w:t>
            </w:r>
            <w:bookmarkEnd w:id="110"/>
            <w:r>
              <w:rPr>
                <w:rFonts w:hint="eastAsia" w:ascii="Times New Roman" w:hAnsi="Times New Roman" w:eastAsia="仿宋_GB2312" w:cs="Times New Roman"/>
                <w:snapToGrid w:val="0"/>
                <w:kern w:val="2"/>
                <w:sz w:val="21"/>
                <w:szCs w:val="21"/>
                <w:highlight w:val="none"/>
                <w:lang w:val="en-US" w:eastAsia="zh-CN" w:bidi="ar-SA"/>
              </w:rPr>
              <w:t>5分钟以内）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415"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highlight w:val="none"/>
                <w:lang w:val="en-US" w:eastAsia="zh-CN" w:bidi="ar-SA"/>
              </w:rPr>
            </w:pPr>
          </w:p>
        </w:tc>
        <w:tc>
          <w:tcPr>
            <w:tcW w:w="1095"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highlight w:val="none"/>
                <w:lang w:val="en-US" w:eastAsia="zh-CN" w:bidi="ar-SA"/>
              </w:rPr>
            </w:pPr>
          </w:p>
        </w:tc>
        <w:tc>
          <w:tcPr>
            <w:tcW w:w="1080" w:type="dxa"/>
            <w:vMerge w:val="continue"/>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highlight w:val="none"/>
                <w:lang w:val="en-US" w:eastAsia="zh-CN" w:bidi="ar-SA"/>
              </w:rPr>
            </w:pPr>
          </w:p>
        </w:tc>
        <w:tc>
          <w:tcPr>
            <w:tcW w:w="2321"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大型访谈节目</w:t>
            </w:r>
          </w:p>
        </w:tc>
        <w:tc>
          <w:tcPr>
            <w:tcW w:w="2719"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1期（40分钟以内）</w:t>
            </w:r>
          </w:p>
        </w:tc>
        <w:tc>
          <w:tcPr>
            <w:tcW w:w="2326"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1期</w:t>
            </w:r>
            <w:bookmarkStart w:id="111" w:name="hmjd_error_1_0_（_（缺少成对_12460"/>
            <w:r>
              <w:rPr>
                <w:rFonts w:hint="eastAsia" w:ascii="Times New Roman" w:hAnsi="Times New Roman" w:eastAsia="仿宋_GB2312" w:cs="Times New Roman"/>
                <w:snapToGrid w:val="0"/>
                <w:kern w:val="2"/>
                <w:sz w:val="21"/>
                <w:szCs w:val="21"/>
                <w:highlight w:val="none"/>
                <w:lang w:val="en-US" w:eastAsia="zh-CN" w:bidi="ar-SA"/>
              </w:rPr>
              <w:t>（</w:t>
            </w:r>
            <w:bookmarkEnd w:id="111"/>
            <w:r>
              <w:rPr>
                <w:rFonts w:hint="eastAsia" w:ascii="Times New Roman" w:hAnsi="Times New Roman" w:eastAsia="仿宋_GB2312" w:cs="Times New Roman"/>
                <w:snapToGrid w:val="0"/>
                <w:kern w:val="2"/>
                <w:sz w:val="21"/>
                <w:szCs w:val="21"/>
                <w:highlight w:val="none"/>
                <w:lang w:val="en-US" w:eastAsia="zh-CN" w:bidi="ar-SA"/>
              </w:rPr>
              <w:t>40分钟以内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415"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95"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080" w:type="dxa"/>
            <w:vMerge w:val="continue"/>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2321"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物料制作</w:t>
            </w:r>
          </w:p>
        </w:tc>
        <w:tc>
          <w:tcPr>
            <w:tcW w:w="2719"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1套</w:t>
            </w:r>
          </w:p>
        </w:tc>
        <w:tc>
          <w:tcPr>
            <w:tcW w:w="2326"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1套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3775"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highlight w:val="none"/>
                <w:lang w:val="en-US" w:eastAsia="zh-CN" w:bidi="ar-SA"/>
              </w:rPr>
            </w:pPr>
          </w:p>
        </w:tc>
        <w:tc>
          <w:tcPr>
            <w:tcW w:w="1095" w:type="dxa"/>
            <w:vMerge w:val="continue"/>
            <w:tcBorders>
              <w:tl2br w:val="nil"/>
              <w:tr2bl w:val="nil"/>
            </w:tcBorders>
            <w:shd w:val="clear" w:color="auto" w:fill="auto"/>
            <w:vAlign w:val="bottom"/>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highlight w:val="none"/>
                <w:lang w:val="en-US" w:eastAsia="zh-CN" w:bidi="ar-SA"/>
              </w:rPr>
            </w:pPr>
          </w:p>
        </w:tc>
        <w:tc>
          <w:tcPr>
            <w:tcW w:w="1080"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质量指标</w:t>
            </w:r>
          </w:p>
        </w:tc>
        <w:tc>
          <w:tcPr>
            <w:tcW w:w="232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符合国务院办公厅关于政务公开工作要点、政府网站与政务新媒体检查指标、监管工作年度考核指标</w:t>
            </w: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符合《四川省人民政府办公厅关于印发四川省2020年政务公开重点工作安排的通知》（</w:t>
            </w:r>
            <w:bookmarkStart w:id="112" w:name="hmjd_error_2_0_川_黑马提示无建议_12576"/>
            <w:r>
              <w:rPr>
                <w:rFonts w:hint="eastAsia" w:ascii="Times New Roman" w:hAnsi="Times New Roman" w:eastAsia="仿宋_GB2312" w:cs="Times New Roman"/>
                <w:snapToGrid w:val="0"/>
                <w:kern w:val="2"/>
                <w:sz w:val="21"/>
                <w:szCs w:val="21"/>
                <w:highlight w:val="none"/>
                <w:lang w:val="en-US" w:eastAsia="zh-CN" w:bidi="ar-SA"/>
              </w:rPr>
              <w:t>川</w:t>
            </w:r>
            <w:bookmarkEnd w:id="112"/>
            <w:r>
              <w:rPr>
                <w:rFonts w:hint="eastAsia" w:ascii="Times New Roman" w:hAnsi="Times New Roman" w:eastAsia="仿宋_GB2312" w:cs="Times New Roman"/>
                <w:snapToGrid w:val="0"/>
                <w:kern w:val="2"/>
                <w:sz w:val="21"/>
                <w:szCs w:val="21"/>
                <w:highlight w:val="none"/>
                <w:lang w:val="en-US" w:eastAsia="zh-CN" w:bidi="ar-SA"/>
              </w:rPr>
              <w:t>办发〔2020〕35号）、《四川省人民政府信息公开办公室关于调整四川省政府网站与政务新媒体检查、监管工作年度考核指标的通知》（</w:t>
            </w:r>
            <w:bookmarkStart w:id="113" w:name="hmjd_error_2_0_川_黑马提示无建议_12640"/>
            <w:r>
              <w:rPr>
                <w:rFonts w:hint="eastAsia" w:ascii="Times New Roman" w:hAnsi="Times New Roman" w:eastAsia="仿宋_GB2312" w:cs="Times New Roman"/>
                <w:snapToGrid w:val="0"/>
                <w:kern w:val="2"/>
                <w:sz w:val="21"/>
                <w:szCs w:val="21"/>
                <w:highlight w:val="none"/>
                <w:lang w:val="en-US" w:eastAsia="zh-CN" w:bidi="ar-SA"/>
              </w:rPr>
              <w:t>川</w:t>
            </w:r>
            <w:bookmarkEnd w:id="113"/>
            <w:r>
              <w:rPr>
                <w:rFonts w:hint="eastAsia" w:ascii="Times New Roman" w:hAnsi="Times New Roman" w:eastAsia="仿宋_GB2312" w:cs="Times New Roman"/>
                <w:snapToGrid w:val="0"/>
                <w:kern w:val="2"/>
                <w:sz w:val="21"/>
                <w:szCs w:val="21"/>
                <w:highlight w:val="none"/>
                <w:lang w:val="en-US" w:eastAsia="zh-CN" w:bidi="ar-SA"/>
              </w:rPr>
              <w:t>府公开办</w:t>
            </w:r>
            <w:bookmarkStart w:id="114" w:name="hmjd_error_2_0_函_黑马提示无建议_12645"/>
            <w:r>
              <w:rPr>
                <w:rFonts w:hint="eastAsia" w:ascii="Times New Roman" w:hAnsi="Times New Roman" w:eastAsia="仿宋_GB2312" w:cs="Times New Roman"/>
                <w:snapToGrid w:val="0"/>
                <w:kern w:val="2"/>
                <w:sz w:val="21"/>
                <w:szCs w:val="21"/>
                <w:highlight w:val="none"/>
                <w:lang w:val="en-US" w:eastAsia="zh-CN" w:bidi="ar-SA"/>
              </w:rPr>
              <w:t>函</w:t>
            </w:r>
            <w:bookmarkEnd w:id="114"/>
            <w:r>
              <w:rPr>
                <w:rFonts w:hint="eastAsia" w:ascii="Times New Roman" w:hAnsi="Times New Roman" w:eastAsia="仿宋_GB2312" w:cs="Times New Roman"/>
                <w:snapToGrid w:val="0"/>
                <w:kern w:val="2"/>
                <w:sz w:val="21"/>
                <w:szCs w:val="21"/>
                <w:highlight w:val="none"/>
                <w:lang w:val="en-US" w:eastAsia="zh-CN" w:bidi="ar-SA"/>
              </w:rPr>
              <w:t>〔2020〕4号）相关要求</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符合《四川省人民政府办公厅关于印发四川省2020年政务公开重点工作安排的通知》（</w:t>
            </w:r>
            <w:bookmarkStart w:id="115" w:name="hmjd_error_2_0_川_黑马提示无建议_12700"/>
            <w:r>
              <w:rPr>
                <w:rFonts w:hint="eastAsia" w:ascii="Times New Roman" w:hAnsi="Times New Roman" w:eastAsia="仿宋_GB2312" w:cs="Times New Roman"/>
                <w:snapToGrid w:val="0"/>
                <w:kern w:val="2"/>
                <w:sz w:val="21"/>
                <w:szCs w:val="21"/>
                <w:highlight w:val="none"/>
                <w:lang w:val="en-US" w:eastAsia="zh-CN" w:bidi="ar-SA"/>
              </w:rPr>
              <w:t>川</w:t>
            </w:r>
            <w:bookmarkEnd w:id="115"/>
            <w:r>
              <w:rPr>
                <w:rFonts w:hint="eastAsia" w:ascii="Times New Roman" w:hAnsi="Times New Roman" w:eastAsia="仿宋_GB2312" w:cs="Times New Roman"/>
                <w:snapToGrid w:val="0"/>
                <w:kern w:val="2"/>
                <w:sz w:val="21"/>
                <w:szCs w:val="21"/>
                <w:highlight w:val="none"/>
                <w:lang w:val="en-US" w:eastAsia="zh-CN" w:bidi="ar-SA"/>
              </w:rPr>
              <w:t>办发〔2020〕35号）、《四川省人民政府信息公开办公室关于调整四川省政府网站与政务新媒体检查、监管工作年度考核指标的通知》（</w:t>
            </w:r>
            <w:bookmarkStart w:id="116" w:name="hmjd_error_2_0_川_黑马提示无建议_12764"/>
            <w:r>
              <w:rPr>
                <w:rFonts w:hint="eastAsia" w:ascii="Times New Roman" w:hAnsi="Times New Roman" w:eastAsia="仿宋_GB2312" w:cs="Times New Roman"/>
                <w:snapToGrid w:val="0"/>
                <w:kern w:val="2"/>
                <w:sz w:val="21"/>
                <w:szCs w:val="21"/>
                <w:highlight w:val="none"/>
                <w:lang w:val="en-US" w:eastAsia="zh-CN" w:bidi="ar-SA"/>
              </w:rPr>
              <w:t>川</w:t>
            </w:r>
            <w:bookmarkEnd w:id="116"/>
            <w:r>
              <w:rPr>
                <w:rFonts w:hint="eastAsia" w:ascii="Times New Roman" w:hAnsi="Times New Roman" w:eastAsia="仿宋_GB2312" w:cs="Times New Roman"/>
                <w:snapToGrid w:val="0"/>
                <w:kern w:val="2"/>
                <w:sz w:val="21"/>
                <w:szCs w:val="21"/>
                <w:highlight w:val="none"/>
                <w:lang w:val="en-US" w:eastAsia="zh-CN" w:bidi="ar-SA"/>
              </w:rPr>
              <w:t>府公开办</w:t>
            </w:r>
            <w:bookmarkStart w:id="117" w:name="hmjd_error_2_0_函_黑马提示无建议_12769"/>
            <w:r>
              <w:rPr>
                <w:rFonts w:hint="eastAsia" w:ascii="Times New Roman" w:hAnsi="Times New Roman" w:eastAsia="仿宋_GB2312" w:cs="Times New Roman"/>
                <w:snapToGrid w:val="0"/>
                <w:kern w:val="2"/>
                <w:sz w:val="21"/>
                <w:szCs w:val="21"/>
                <w:highlight w:val="none"/>
                <w:lang w:val="en-US" w:eastAsia="zh-CN" w:bidi="ar-SA"/>
              </w:rPr>
              <w:t>函</w:t>
            </w:r>
            <w:bookmarkEnd w:id="117"/>
            <w:r>
              <w:rPr>
                <w:rFonts w:hint="eastAsia" w:ascii="Times New Roman" w:hAnsi="Times New Roman" w:eastAsia="仿宋_GB2312" w:cs="Times New Roman"/>
                <w:snapToGrid w:val="0"/>
                <w:kern w:val="2"/>
                <w:sz w:val="21"/>
                <w:szCs w:val="21"/>
                <w:highlight w:val="none"/>
                <w:lang w:val="en-US" w:eastAsia="zh-CN" w:bidi="ar-SA"/>
              </w:rPr>
              <w:t>〔2020〕4号）相关要求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415"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95" w:type="dxa"/>
            <w:vMerge w:val="continue"/>
            <w:tcBorders>
              <w:tl2br w:val="nil"/>
              <w:tr2bl w:val="nil"/>
            </w:tcBorders>
            <w:shd w:val="clear" w:color="auto" w:fill="auto"/>
            <w:vAlign w:val="bottom"/>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80" w:type="dxa"/>
            <w:vMerge w:val="continue"/>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232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及时回应群众关切，主动公开权威信息和开展政策解读，全面提升政务服务水平。</w:t>
            </w: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将政策解读工作纳入政务公开与公文规范双重考核，建立健全“三同步”（即主动公开的政策性文件与解读文件同步起草、同步审签、同步发布）+“三协同”（</w:t>
            </w:r>
            <w:bookmarkStart w:id="118" w:name="hmjd_error_2_0_即_黑马提示无建议_12896"/>
            <w:r>
              <w:rPr>
                <w:rFonts w:hint="eastAsia" w:ascii="Times New Roman" w:hAnsi="Times New Roman" w:eastAsia="仿宋_GB2312" w:cs="Times New Roman"/>
                <w:snapToGrid w:val="0"/>
                <w:kern w:val="2"/>
                <w:sz w:val="21"/>
                <w:szCs w:val="21"/>
                <w:highlight w:val="none"/>
                <w:lang w:val="en-US" w:eastAsia="zh-CN" w:bidi="ar-SA"/>
              </w:rPr>
              <w:t>即</w:t>
            </w:r>
            <w:bookmarkEnd w:id="118"/>
            <w:r>
              <w:rPr>
                <w:rFonts w:hint="eastAsia" w:ascii="Times New Roman" w:hAnsi="Times New Roman" w:eastAsia="仿宋_GB2312" w:cs="Times New Roman"/>
                <w:snapToGrid w:val="0"/>
                <w:kern w:val="2"/>
                <w:sz w:val="21"/>
                <w:szCs w:val="21"/>
                <w:highlight w:val="none"/>
                <w:lang w:val="en-US" w:eastAsia="zh-CN" w:bidi="ar-SA"/>
              </w:rPr>
              <w:t>图文解读、微动画解读、在线访谈节目的协同策划、协同制作、协同推广）的政策解读机制。</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将政策解读工作纳入政务公开与公文规范双重考核，建立健全“三同步”（即主动公开的政策性文件与解读文件同步起草、同步审签、同步发布）+“三协同”（</w:t>
            </w:r>
            <w:bookmarkStart w:id="119" w:name="hmjd_error_2_0_即_黑马提示无建议_13010"/>
            <w:r>
              <w:rPr>
                <w:rFonts w:hint="eastAsia" w:ascii="Times New Roman" w:hAnsi="Times New Roman" w:eastAsia="仿宋_GB2312" w:cs="Times New Roman"/>
                <w:snapToGrid w:val="0"/>
                <w:kern w:val="2"/>
                <w:sz w:val="21"/>
                <w:szCs w:val="21"/>
                <w:highlight w:val="none"/>
                <w:lang w:val="en-US" w:eastAsia="zh-CN" w:bidi="ar-SA"/>
              </w:rPr>
              <w:t>即</w:t>
            </w:r>
            <w:bookmarkEnd w:id="119"/>
            <w:r>
              <w:rPr>
                <w:rFonts w:hint="eastAsia" w:ascii="Times New Roman" w:hAnsi="Times New Roman" w:eastAsia="仿宋_GB2312" w:cs="Times New Roman"/>
                <w:snapToGrid w:val="0"/>
                <w:kern w:val="2"/>
                <w:sz w:val="21"/>
                <w:szCs w:val="21"/>
                <w:highlight w:val="none"/>
                <w:lang w:val="en-US" w:eastAsia="zh-CN" w:bidi="ar-SA"/>
              </w:rPr>
              <w:t>图文解读、微动画解读、在线访谈节目的协同策划、协同制作、协同推广）的政策解读机制。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415"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95" w:type="dxa"/>
            <w:vMerge w:val="continue"/>
            <w:tcBorders>
              <w:tl2br w:val="nil"/>
              <w:tr2bl w:val="nil"/>
            </w:tcBorders>
            <w:shd w:val="clear" w:color="auto" w:fill="auto"/>
            <w:vAlign w:val="bottom"/>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80"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时效指标</w:t>
            </w:r>
          </w:p>
        </w:tc>
        <w:tc>
          <w:tcPr>
            <w:tcW w:w="232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2020年6月18日至2020年12月31日</w:t>
            </w: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6个月</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6个月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480"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95" w:type="dxa"/>
            <w:vMerge w:val="continue"/>
            <w:tcBorders>
              <w:tl2br w:val="nil"/>
              <w:tr2bl w:val="nil"/>
            </w:tcBorders>
            <w:shd w:val="clear" w:color="auto" w:fill="auto"/>
            <w:vAlign w:val="bottom"/>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80"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成本指标</w:t>
            </w:r>
          </w:p>
        </w:tc>
        <w:tc>
          <w:tcPr>
            <w:tcW w:w="232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 xml:space="preserve">微访谈制作（3期 </w:t>
            </w:r>
            <w:bookmarkStart w:id="120" w:name="hmjd_error_2_0_单期_黑马提示无_13109"/>
            <w:r>
              <w:rPr>
                <w:rFonts w:hint="eastAsia" w:ascii="Times New Roman" w:hAnsi="Times New Roman" w:eastAsia="仿宋_GB2312" w:cs="Times New Roman"/>
                <w:snapToGrid w:val="0"/>
                <w:kern w:val="2"/>
                <w:sz w:val="21"/>
                <w:szCs w:val="21"/>
                <w:highlight w:val="none"/>
                <w:lang w:val="en-US" w:eastAsia="zh-CN" w:bidi="ar-SA"/>
              </w:rPr>
              <w:t>单期</w:t>
            </w:r>
            <w:bookmarkEnd w:id="120"/>
            <w:r>
              <w:rPr>
                <w:rFonts w:hint="eastAsia" w:ascii="Times New Roman" w:hAnsi="Times New Roman" w:eastAsia="仿宋_GB2312" w:cs="Times New Roman"/>
                <w:snapToGrid w:val="0"/>
                <w:kern w:val="2"/>
                <w:sz w:val="21"/>
                <w:szCs w:val="21"/>
                <w:highlight w:val="none"/>
                <w:lang w:val="en-US" w:eastAsia="zh-CN" w:bidi="ar-SA"/>
              </w:rPr>
              <w:t>15分钟以内）</w:t>
            </w: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12万元</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12万元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480"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95" w:type="dxa"/>
            <w:vMerge w:val="continue"/>
            <w:tcBorders>
              <w:tl2br w:val="nil"/>
              <w:tr2bl w:val="nil"/>
            </w:tcBorders>
            <w:shd w:val="clear" w:color="auto" w:fill="auto"/>
            <w:vAlign w:val="bottom"/>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80" w:type="dxa"/>
            <w:vMerge w:val="continue"/>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232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 xml:space="preserve">微动画制作（4期 </w:t>
            </w:r>
            <w:bookmarkStart w:id="121" w:name="hmjd_error_2_0_单期_黑马提示无_13142"/>
            <w:r>
              <w:rPr>
                <w:rFonts w:hint="eastAsia" w:ascii="Times New Roman" w:hAnsi="Times New Roman" w:eastAsia="仿宋_GB2312" w:cs="Times New Roman"/>
                <w:snapToGrid w:val="0"/>
                <w:kern w:val="2"/>
                <w:sz w:val="21"/>
                <w:szCs w:val="21"/>
                <w:highlight w:val="none"/>
                <w:lang w:val="en-US" w:eastAsia="zh-CN" w:bidi="ar-SA"/>
              </w:rPr>
              <w:t>单期</w:t>
            </w:r>
            <w:bookmarkEnd w:id="121"/>
            <w:r>
              <w:rPr>
                <w:rFonts w:hint="eastAsia" w:ascii="Times New Roman" w:hAnsi="Times New Roman" w:eastAsia="仿宋_GB2312" w:cs="Times New Roman"/>
                <w:snapToGrid w:val="0"/>
                <w:kern w:val="2"/>
                <w:sz w:val="21"/>
                <w:szCs w:val="21"/>
                <w:highlight w:val="none"/>
                <w:lang w:val="en-US" w:eastAsia="zh-CN" w:bidi="ar-SA"/>
              </w:rPr>
              <w:t>5分钟以内）</w:t>
            </w: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8万元</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8万元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480"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95" w:type="dxa"/>
            <w:vMerge w:val="continue"/>
            <w:tcBorders>
              <w:tl2br w:val="nil"/>
              <w:tr2bl w:val="nil"/>
            </w:tcBorders>
            <w:shd w:val="clear" w:color="auto" w:fill="auto"/>
            <w:vAlign w:val="bottom"/>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80" w:type="dxa"/>
            <w:vMerge w:val="continue"/>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232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大型访谈节目（1期40分钟以内）</w:t>
            </w: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7万元</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7万元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480"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95" w:type="dxa"/>
            <w:vMerge w:val="continue"/>
            <w:tcBorders>
              <w:tl2br w:val="nil"/>
              <w:tr2bl w:val="nil"/>
            </w:tcBorders>
            <w:shd w:val="clear" w:color="auto" w:fill="auto"/>
            <w:vAlign w:val="bottom"/>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80" w:type="dxa"/>
            <w:vMerge w:val="continue"/>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232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物料制作（在线访谈物料及LOGO ）</w:t>
            </w: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0.4万元</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0.4万元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480"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95" w:type="dxa"/>
            <w:vMerge w:val="continue"/>
            <w:tcBorders>
              <w:tl2br w:val="nil"/>
              <w:tr2bl w:val="nil"/>
            </w:tcBorders>
            <w:shd w:val="clear" w:color="auto" w:fill="auto"/>
            <w:vAlign w:val="bottom"/>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80" w:type="dxa"/>
            <w:vMerge w:val="continue"/>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232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不可预估费用</w:t>
            </w: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0.2万元</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0.2万元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485"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95" w:type="dxa"/>
            <w:vMerge w:val="continue"/>
            <w:tcBorders>
              <w:tl2br w:val="nil"/>
              <w:tr2bl w:val="nil"/>
            </w:tcBorders>
            <w:shd w:val="clear" w:color="auto" w:fill="auto"/>
            <w:vAlign w:val="bottom"/>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80" w:type="dxa"/>
            <w:vMerge w:val="continue"/>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232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办公支出、技术维护等</w:t>
            </w: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1万元</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1万元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480"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95" w:type="dxa"/>
            <w:vMerge w:val="continue"/>
            <w:tcBorders>
              <w:tl2br w:val="nil"/>
              <w:tr2bl w:val="nil"/>
            </w:tcBorders>
            <w:shd w:val="clear" w:color="auto" w:fill="auto"/>
            <w:vAlign w:val="bottom"/>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80" w:type="dxa"/>
            <w:vMerge w:val="continue"/>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232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安全测评费</w:t>
            </w: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1.2万元</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1.2万元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480"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9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效益</w:t>
            </w:r>
            <w:r>
              <w:rPr>
                <w:rFonts w:hint="eastAsia" w:ascii="Times New Roman" w:hAnsi="Times New Roman" w:eastAsia="仿宋_GB2312" w:cs="Times New Roman"/>
                <w:snapToGrid w:val="0"/>
                <w:kern w:val="2"/>
                <w:sz w:val="21"/>
                <w:szCs w:val="21"/>
                <w:lang w:val="en-US" w:eastAsia="zh-CN" w:bidi="ar-SA"/>
              </w:rPr>
              <w:br w:type="textWrapping"/>
            </w:r>
            <w:r>
              <w:rPr>
                <w:rFonts w:hint="eastAsia" w:ascii="Times New Roman" w:hAnsi="Times New Roman" w:eastAsia="仿宋_GB2312" w:cs="Times New Roman"/>
                <w:snapToGrid w:val="0"/>
                <w:kern w:val="2"/>
                <w:sz w:val="21"/>
                <w:szCs w:val="21"/>
                <w:lang w:val="en-US" w:eastAsia="zh-CN" w:bidi="ar-SA"/>
              </w:rPr>
              <w:t>指标</w:t>
            </w:r>
          </w:p>
        </w:tc>
        <w:tc>
          <w:tcPr>
            <w:tcW w:w="1080"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经济效益  指标</w:t>
            </w:r>
          </w:p>
        </w:tc>
        <w:tc>
          <w:tcPr>
            <w:tcW w:w="2321"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lang w:val="en-US" w:eastAsia="zh-CN" w:bidi="ar-SA"/>
              </w:rPr>
            </w:pPr>
          </w:p>
        </w:tc>
        <w:tc>
          <w:tcPr>
            <w:tcW w:w="2719"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2326"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480"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95" w:type="dxa"/>
            <w:vMerge w:val="continue"/>
            <w:tcBorders>
              <w:tl2br w:val="nil"/>
              <w:tr2bl w:val="nil"/>
            </w:tcBorders>
            <w:shd w:val="clear" w:color="auto" w:fill="auto"/>
            <w:vAlign w:val="bottom"/>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8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社会效益  指标</w:t>
            </w:r>
          </w:p>
        </w:tc>
        <w:tc>
          <w:tcPr>
            <w:tcW w:w="232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以“关注民生、为民服务、互动交流、共创和谐”为宗旨，全面提升我市政府网站政务服务和互动交流水平，推进治理能力现代化。</w:t>
            </w: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深入落实党中央、国务院和省委</w:t>
            </w:r>
            <w:r>
              <w:rPr>
                <w:rFonts w:hint="eastAsia" w:eastAsia="仿宋_GB2312" w:cs="Times New Roman"/>
                <w:snapToGrid w:val="0"/>
                <w:kern w:val="2"/>
                <w:sz w:val="21"/>
                <w:szCs w:val="21"/>
                <w:lang w:val="en-US" w:eastAsia="zh-CN" w:bidi="ar-SA"/>
              </w:rPr>
              <w:t>、</w:t>
            </w:r>
            <w:r>
              <w:rPr>
                <w:rFonts w:hint="eastAsia" w:ascii="Times New Roman" w:hAnsi="Times New Roman" w:eastAsia="仿宋_GB2312" w:cs="Times New Roman"/>
                <w:snapToGrid w:val="0"/>
                <w:kern w:val="2"/>
                <w:sz w:val="21"/>
                <w:szCs w:val="21"/>
                <w:lang w:val="en-US" w:eastAsia="zh-CN" w:bidi="ar-SA"/>
              </w:rPr>
              <w:t>省政府关于全面推进政务公开工作的部署要求，认真执行新修订的《中华人民共和国政府信息公开条例》，不断规范和提升政务公开工作，着力推进政府治理体系和治理能力现代化，努力建设人民满意的服务型政府。</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深入落实党中央、国务院和省委</w:t>
            </w:r>
            <w:r>
              <w:rPr>
                <w:rFonts w:hint="eastAsia" w:eastAsia="仿宋_GB2312" w:cs="Times New Roman"/>
                <w:snapToGrid w:val="0"/>
                <w:kern w:val="2"/>
                <w:sz w:val="21"/>
                <w:szCs w:val="21"/>
                <w:lang w:val="en-US" w:eastAsia="zh-CN" w:bidi="ar-SA"/>
              </w:rPr>
              <w:t>、</w:t>
            </w:r>
            <w:r>
              <w:rPr>
                <w:rFonts w:hint="eastAsia" w:ascii="Times New Roman" w:hAnsi="Times New Roman" w:eastAsia="仿宋_GB2312" w:cs="Times New Roman"/>
                <w:snapToGrid w:val="0"/>
                <w:kern w:val="2"/>
                <w:sz w:val="21"/>
                <w:szCs w:val="21"/>
                <w:lang w:val="en-US" w:eastAsia="zh-CN" w:bidi="ar-SA"/>
              </w:rPr>
              <w:t>省政府关于全面推进政务公开工作的部署要求，认真执行新修订的《中华人民共和国政府信息公开条例》，不断规范和提升政务公开工作，着力推进政府治理体系和治理能力现代化，努力建设人民满意的服务型政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577"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95" w:type="dxa"/>
            <w:vMerge w:val="continue"/>
            <w:tcBorders>
              <w:tl2br w:val="nil"/>
              <w:tr2bl w:val="nil"/>
            </w:tcBorders>
            <w:shd w:val="clear" w:color="auto" w:fill="auto"/>
            <w:vAlign w:val="bottom"/>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8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生态效益  指标</w:t>
            </w:r>
          </w:p>
        </w:tc>
        <w:tc>
          <w:tcPr>
            <w:tcW w:w="2321"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lang w:val="en-US" w:eastAsia="zh-CN" w:bidi="ar-SA"/>
              </w:rPr>
            </w:pPr>
          </w:p>
        </w:tc>
        <w:tc>
          <w:tcPr>
            <w:tcW w:w="2719"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2326"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480"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95" w:type="dxa"/>
            <w:vMerge w:val="continue"/>
            <w:tcBorders>
              <w:tl2br w:val="nil"/>
              <w:tr2bl w:val="nil"/>
            </w:tcBorders>
            <w:shd w:val="clear" w:color="auto" w:fill="auto"/>
            <w:vAlign w:val="bottom"/>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8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可持续影响指标</w:t>
            </w:r>
          </w:p>
        </w:tc>
        <w:tc>
          <w:tcPr>
            <w:tcW w:w="2321"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lang w:val="en-US" w:eastAsia="zh-CN" w:bidi="ar-SA"/>
              </w:rPr>
            </w:pPr>
          </w:p>
        </w:tc>
        <w:tc>
          <w:tcPr>
            <w:tcW w:w="2719"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2326" w:type="dxa"/>
            <w:tcBorders>
              <w:tl2br w:val="nil"/>
              <w:tr2bl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6" w:type="dxa"/>
          <w:trHeight w:val="530" w:hRule="atLeast"/>
          <w:jc w:val="center"/>
        </w:trPr>
        <w:tc>
          <w:tcPr>
            <w:tcW w:w="1227" w:type="dxa"/>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_GB2312" w:cs="Times New Roman"/>
                <w:snapToGrid w:val="0"/>
                <w:kern w:val="2"/>
                <w:sz w:val="21"/>
                <w:szCs w:val="21"/>
                <w:lang w:val="en-US" w:eastAsia="zh-CN" w:bidi="ar-SA"/>
              </w:rPr>
            </w:pPr>
          </w:p>
        </w:tc>
        <w:tc>
          <w:tcPr>
            <w:tcW w:w="109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满意</w:t>
            </w:r>
            <w:r>
              <w:rPr>
                <w:rFonts w:hint="eastAsia" w:ascii="Times New Roman" w:hAnsi="Times New Roman" w:eastAsia="仿宋_GB2312" w:cs="Times New Roman"/>
                <w:snapToGrid w:val="0"/>
                <w:kern w:val="2"/>
                <w:sz w:val="21"/>
                <w:szCs w:val="21"/>
                <w:lang w:val="en-US" w:eastAsia="zh-CN" w:bidi="ar-SA"/>
              </w:rPr>
              <w:br w:type="textWrapping"/>
            </w:r>
            <w:r>
              <w:rPr>
                <w:rFonts w:hint="eastAsia" w:ascii="Times New Roman" w:hAnsi="Times New Roman" w:eastAsia="仿宋_GB2312" w:cs="Times New Roman"/>
                <w:snapToGrid w:val="0"/>
                <w:kern w:val="2"/>
                <w:sz w:val="21"/>
                <w:szCs w:val="21"/>
                <w:lang w:val="en-US" w:eastAsia="zh-CN" w:bidi="ar-SA"/>
              </w:rPr>
              <w:t>度指标</w:t>
            </w:r>
          </w:p>
        </w:tc>
        <w:tc>
          <w:tcPr>
            <w:tcW w:w="108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满意度</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指标</w:t>
            </w:r>
          </w:p>
        </w:tc>
        <w:tc>
          <w:tcPr>
            <w:tcW w:w="232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进一步加强政策解读，积极回应社会关切，提升为民服务的精准性，提升市民、企业对全市政务公开、政策解读的满意程度。</w:t>
            </w:r>
          </w:p>
        </w:tc>
        <w:tc>
          <w:tcPr>
            <w:tcW w:w="27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服务对象基本满意及以上。</w:t>
            </w:r>
          </w:p>
        </w:tc>
        <w:tc>
          <w:tcPr>
            <w:tcW w:w="232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服务对象基本满意及以上。</w:t>
            </w:r>
          </w:p>
        </w:tc>
      </w:tr>
    </w:tbl>
    <w:p>
      <w:pPr>
        <w:spacing w:line="600" w:lineRule="exact"/>
        <w:jc w:val="both"/>
        <w:outlineLvl w:val="0"/>
        <w:rPr>
          <w:rFonts w:hint="eastAsia" w:ascii="黑体" w:hAnsi="黑体" w:eastAsia="黑体"/>
          <w:color w:val="auto"/>
          <w:sz w:val="32"/>
          <w:szCs w:val="32"/>
          <w:highlight w:val="none"/>
        </w:rPr>
      </w:pPr>
    </w:p>
    <w:tbl>
      <w:tblPr>
        <w:tblStyle w:val="12"/>
        <w:tblpPr w:leftFromText="180" w:rightFromText="180" w:vertAnchor="text" w:horzAnchor="page" w:tblpXSpec="center" w:tblpY="660"/>
        <w:tblOverlap w:val="never"/>
        <w:tblW w:w="1058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511"/>
        <w:gridCol w:w="1295"/>
        <w:gridCol w:w="1750"/>
        <w:gridCol w:w="1781"/>
        <w:gridCol w:w="2679"/>
        <w:gridCol w:w="157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0587" w:type="dxa"/>
            <w:gridSpan w:val="6"/>
            <w:tcBorders>
              <w:top w:val="nil"/>
              <w:left w:val="nil"/>
              <w:bottom w:val="single" w:color="000000" w:sz="8" w:space="0"/>
              <w:right w:val="nil"/>
              <w:tl2br w:val="nil"/>
              <w:tr2bl w:val="nil"/>
            </w:tcBorders>
            <w:shd w:val="clear" w:color="auto" w:fill="auto"/>
            <w:vAlign w:val="center"/>
          </w:tcPr>
          <w:p>
            <w:pPr>
              <w:keepNext w:val="0"/>
              <w:keepLines w:val="0"/>
              <w:widowControl/>
              <w:suppressLineNumbers w:val="0"/>
              <w:spacing w:beforeAutospacing="0"/>
              <w:jc w:val="center"/>
              <w:textAlignment w:val="center"/>
              <w:rPr>
                <w:rFonts w:hint="eastAsia" w:ascii="方正小标宋_GBK" w:hAnsi="方正小标宋_GBK" w:eastAsia="方正小标宋_GBK" w:cs="方正小标宋_GBK"/>
                <w:b w:val="0"/>
                <w:bCs w:val="0"/>
                <w:sz w:val="36"/>
                <w:szCs w:val="36"/>
                <w:lang w:val="en-US" w:eastAsia="zh-CN"/>
              </w:rPr>
            </w:pPr>
            <w:r>
              <w:rPr>
                <w:rFonts w:hint="eastAsia" w:ascii="方正小标宋_GBK" w:hAnsi="方正小标宋_GBK" w:eastAsia="方正小标宋_GBK" w:cs="方正小标宋_GBK"/>
                <w:b w:val="0"/>
                <w:bCs w:val="0"/>
                <w:sz w:val="36"/>
                <w:szCs w:val="36"/>
                <w:lang w:val="en-US" w:eastAsia="zh-CN"/>
              </w:rPr>
              <w:t>2021年特定</w:t>
            </w:r>
            <w:r>
              <w:rPr>
                <w:rFonts w:hint="eastAsia" w:ascii="方正小标宋_GBK" w:hAnsi="方正小标宋_GBK" w:eastAsia="方正小标宋_GBK" w:cs="方正小标宋_GBK"/>
                <w:b w:val="0"/>
                <w:bCs w:val="0"/>
                <w:sz w:val="36"/>
                <w:szCs w:val="36"/>
                <w:highlight w:val="none"/>
                <w:lang w:val="en-US" w:eastAsia="zh-CN"/>
              </w:rPr>
              <w:t>目标</w:t>
            </w:r>
            <w:bookmarkStart w:id="122" w:name="hmjd_error_2_0_类_黑马提示无建议_13742"/>
            <w:r>
              <w:rPr>
                <w:rFonts w:hint="eastAsia" w:ascii="方正小标宋_GBK" w:hAnsi="方正小标宋_GBK" w:eastAsia="方正小标宋_GBK" w:cs="方正小标宋_GBK"/>
                <w:b w:val="0"/>
                <w:bCs w:val="0"/>
                <w:sz w:val="36"/>
                <w:szCs w:val="36"/>
                <w:highlight w:val="none"/>
                <w:lang w:val="en-US" w:eastAsia="zh-CN"/>
              </w:rPr>
              <w:t>类</w:t>
            </w:r>
            <w:bookmarkEnd w:id="122"/>
            <w:r>
              <w:rPr>
                <w:rFonts w:hint="eastAsia" w:ascii="方正小标宋_GBK" w:hAnsi="方正小标宋_GBK" w:eastAsia="方正小标宋_GBK" w:cs="方正小标宋_GBK"/>
                <w:b w:val="0"/>
                <w:bCs w:val="0"/>
                <w:sz w:val="36"/>
                <w:szCs w:val="36"/>
                <w:highlight w:val="none"/>
                <w:lang w:val="en-US" w:eastAsia="zh-CN"/>
              </w:rPr>
              <w:t>部门预算项</w:t>
            </w:r>
            <w:r>
              <w:rPr>
                <w:rFonts w:hint="eastAsia" w:ascii="方正小标宋_GBK" w:hAnsi="方正小标宋_GBK" w:eastAsia="方正小标宋_GBK" w:cs="方正小标宋_GBK"/>
                <w:b w:val="0"/>
                <w:bCs w:val="0"/>
                <w:sz w:val="36"/>
                <w:szCs w:val="36"/>
                <w:lang w:val="en-US" w:eastAsia="zh-CN"/>
              </w:rPr>
              <w:t>目绩效目标自评</w:t>
            </w:r>
          </w:p>
          <w:p>
            <w:pPr>
              <w:pStyle w:val="2"/>
              <w:jc w:val="center"/>
              <w:rPr>
                <w:rFonts w:hint="eastAsia"/>
              </w:rPr>
            </w:pPr>
            <w:r>
              <w:rPr>
                <w:rFonts w:hint="eastAsia" w:ascii="Times New Roman" w:hAnsi="Times New Roman" w:eastAsia="仿宋_GB2312" w:cs="Times New Roman"/>
                <w:snapToGrid w:val="0"/>
                <w:kern w:val="2"/>
                <w:sz w:val="32"/>
                <w:szCs w:val="32"/>
                <w:lang w:val="en-US" w:eastAsia="zh-CN" w:bidi="ar-SA"/>
              </w:rPr>
              <w:t>（保安经费）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2806" w:type="dxa"/>
            <w:gridSpan w:val="2"/>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主管部门及代码</w:t>
            </w:r>
          </w:p>
        </w:tc>
        <w:tc>
          <w:tcPr>
            <w:tcW w:w="3531" w:type="dxa"/>
            <w:gridSpan w:val="2"/>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default"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102001攀枝花市人民政府办公室</w:t>
            </w:r>
          </w:p>
        </w:tc>
        <w:tc>
          <w:tcPr>
            <w:tcW w:w="2679"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实施单位</w:t>
            </w:r>
          </w:p>
        </w:tc>
        <w:tc>
          <w:tcPr>
            <w:tcW w:w="1571"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攀枝花市人民政府办公室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1" w:hRule="atLeast"/>
          <w:jc w:val="center"/>
        </w:trPr>
        <w:tc>
          <w:tcPr>
            <w:tcW w:w="2806" w:type="dxa"/>
            <w:gridSpan w:val="2"/>
            <w:vMerge w:val="restart"/>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项目预算执行情况</w:t>
            </w:r>
            <w:r>
              <w:rPr>
                <w:rFonts w:hint="eastAsia" w:ascii="Times New Roman" w:hAnsi="Times New Roman" w:eastAsia="仿宋_GB2312" w:cs="Times New Roman"/>
                <w:snapToGrid w:val="0"/>
                <w:kern w:val="2"/>
                <w:sz w:val="21"/>
                <w:szCs w:val="21"/>
                <w:lang w:val="en-US" w:eastAsia="zh-CN" w:bidi="ar-SA"/>
              </w:rPr>
              <w:br w:type="textWrapping"/>
            </w:r>
            <w:r>
              <w:rPr>
                <w:rFonts w:hint="eastAsia" w:ascii="Times New Roman" w:hAnsi="Times New Roman" w:eastAsia="仿宋_GB2312" w:cs="Times New Roman"/>
                <w:snapToGrid w:val="0"/>
                <w:kern w:val="2"/>
                <w:sz w:val="21"/>
                <w:szCs w:val="21"/>
                <w:lang w:val="en-US" w:eastAsia="zh-CN" w:bidi="ar-SA"/>
              </w:rPr>
              <w:t>（万元）</w:t>
            </w:r>
          </w:p>
        </w:tc>
        <w:tc>
          <w:tcPr>
            <w:tcW w:w="1750"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预算数：</w:t>
            </w:r>
          </w:p>
        </w:tc>
        <w:tc>
          <w:tcPr>
            <w:tcW w:w="1781"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75.6</w:t>
            </w:r>
          </w:p>
        </w:tc>
        <w:tc>
          <w:tcPr>
            <w:tcW w:w="2679"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执行数：</w:t>
            </w:r>
          </w:p>
        </w:tc>
        <w:tc>
          <w:tcPr>
            <w:tcW w:w="1571"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75.6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5" w:hRule="atLeast"/>
          <w:jc w:val="center"/>
        </w:trPr>
        <w:tc>
          <w:tcPr>
            <w:tcW w:w="2806" w:type="dxa"/>
            <w:gridSpan w:val="2"/>
            <w:vMerge w:val="continue"/>
            <w:tcBorders>
              <w:top w:val="single" w:color="000000" w:sz="8" w:space="0"/>
              <w:left w:val="single" w:color="000000" w:sz="8"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750" w:type="dxa"/>
            <w:tcBorders>
              <w:top w:val="single" w:color="000000" w:sz="8"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其中：</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财政拨款</w:t>
            </w:r>
          </w:p>
        </w:tc>
        <w:tc>
          <w:tcPr>
            <w:tcW w:w="1781" w:type="dxa"/>
            <w:tcBorders>
              <w:top w:val="single" w:color="000000" w:sz="8"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75.6</w:t>
            </w:r>
          </w:p>
        </w:tc>
        <w:tc>
          <w:tcPr>
            <w:tcW w:w="2679" w:type="dxa"/>
            <w:tcBorders>
              <w:top w:val="single" w:color="000000" w:sz="8"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其中：</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财政拨款</w:t>
            </w:r>
          </w:p>
        </w:tc>
        <w:tc>
          <w:tcPr>
            <w:tcW w:w="1571" w:type="dxa"/>
            <w:tcBorders>
              <w:top w:val="single" w:color="000000" w:sz="8"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75.6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1" w:hRule="atLeast"/>
          <w:jc w:val="center"/>
        </w:trPr>
        <w:tc>
          <w:tcPr>
            <w:tcW w:w="2806" w:type="dxa"/>
            <w:gridSpan w:val="2"/>
            <w:vMerge w:val="continue"/>
            <w:tcBorders>
              <w:left w:val="single" w:color="000000" w:sz="8" w:space="0"/>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75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其他资金</w:t>
            </w:r>
          </w:p>
        </w:tc>
        <w:tc>
          <w:tcPr>
            <w:tcW w:w="178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267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其他资金</w:t>
            </w:r>
          </w:p>
        </w:tc>
        <w:tc>
          <w:tcPr>
            <w:tcW w:w="157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7" w:hRule="atLeast"/>
          <w:jc w:val="center"/>
        </w:trPr>
        <w:tc>
          <w:tcPr>
            <w:tcW w:w="1511"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年度总体目标</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完成情况</w:t>
            </w:r>
          </w:p>
        </w:tc>
        <w:tc>
          <w:tcPr>
            <w:tcW w:w="4826"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预期目标</w:t>
            </w:r>
          </w:p>
        </w:tc>
        <w:tc>
          <w:tcPr>
            <w:tcW w:w="4250"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目标实际完成情况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7" w:hRule="atLeast"/>
          <w:jc w:val="center"/>
        </w:trPr>
        <w:tc>
          <w:tcPr>
            <w:tcW w:w="1511"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4826"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确保2021年度对市政府办公大楼安全保卫及停车场安全运行，维护市政府、市发展改革委、市经信局等单位的办公秩序，确保信访正常秩序。</w:t>
            </w:r>
          </w:p>
        </w:tc>
        <w:tc>
          <w:tcPr>
            <w:tcW w:w="4250"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较好地完成了年度目标任务，达到了预期的效果。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4" w:hRule="atLeast"/>
          <w:jc w:val="center"/>
        </w:trPr>
        <w:tc>
          <w:tcPr>
            <w:tcW w:w="1511"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年度绩效指标完成情况</w:t>
            </w:r>
          </w:p>
        </w:tc>
        <w:tc>
          <w:tcPr>
            <w:tcW w:w="129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一级指标</w:t>
            </w:r>
          </w:p>
        </w:tc>
        <w:tc>
          <w:tcPr>
            <w:tcW w:w="175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二级指标</w:t>
            </w:r>
          </w:p>
        </w:tc>
        <w:tc>
          <w:tcPr>
            <w:tcW w:w="178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三级指标</w:t>
            </w:r>
          </w:p>
        </w:tc>
        <w:tc>
          <w:tcPr>
            <w:tcW w:w="267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预期指标值</w:t>
            </w:r>
          </w:p>
        </w:tc>
        <w:tc>
          <w:tcPr>
            <w:tcW w:w="157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实际完成指标值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5" w:hRule="atLeast"/>
          <w:jc w:val="center"/>
        </w:trPr>
        <w:tc>
          <w:tcPr>
            <w:tcW w:w="1511"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29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完成指标</w:t>
            </w:r>
          </w:p>
        </w:tc>
        <w:tc>
          <w:tcPr>
            <w:tcW w:w="175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数量指标</w:t>
            </w:r>
          </w:p>
        </w:tc>
        <w:tc>
          <w:tcPr>
            <w:tcW w:w="178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保安服务人数</w:t>
            </w:r>
          </w:p>
        </w:tc>
        <w:tc>
          <w:tcPr>
            <w:tcW w:w="267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17人</w:t>
            </w:r>
          </w:p>
        </w:tc>
        <w:tc>
          <w:tcPr>
            <w:tcW w:w="157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17人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4" w:hRule="atLeast"/>
          <w:jc w:val="center"/>
        </w:trPr>
        <w:tc>
          <w:tcPr>
            <w:tcW w:w="1511"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295"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75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质量指标</w:t>
            </w:r>
          </w:p>
        </w:tc>
        <w:tc>
          <w:tcPr>
            <w:tcW w:w="178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市政府办公大楼安全保卫</w:t>
            </w:r>
          </w:p>
        </w:tc>
        <w:tc>
          <w:tcPr>
            <w:tcW w:w="267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市政府大楼安全保卫的专业化水平进一步提升。</w:t>
            </w:r>
          </w:p>
        </w:tc>
        <w:tc>
          <w:tcPr>
            <w:tcW w:w="157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达到了预期的效果。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35" w:hRule="atLeast"/>
          <w:jc w:val="center"/>
        </w:trPr>
        <w:tc>
          <w:tcPr>
            <w:tcW w:w="1511"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295"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75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时效指标</w:t>
            </w:r>
          </w:p>
        </w:tc>
        <w:tc>
          <w:tcPr>
            <w:tcW w:w="178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服务期限</w:t>
            </w:r>
          </w:p>
        </w:tc>
        <w:tc>
          <w:tcPr>
            <w:tcW w:w="267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2021年1月至2021年12月</w:t>
            </w:r>
          </w:p>
        </w:tc>
        <w:tc>
          <w:tcPr>
            <w:tcW w:w="157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2021年1月至2021年12月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75" w:hRule="atLeast"/>
          <w:jc w:val="center"/>
        </w:trPr>
        <w:tc>
          <w:tcPr>
            <w:tcW w:w="1511"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295"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75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成本指标</w:t>
            </w:r>
          </w:p>
        </w:tc>
        <w:tc>
          <w:tcPr>
            <w:tcW w:w="178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安保服务费</w:t>
            </w:r>
          </w:p>
        </w:tc>
        <w:tc>
          <w:tcPr>
            <w:tcW w:w="267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75.6万元</w:t>
            </w:r>
          </w:p>
        </w:tc>
        <w:tc>
          <w:tcPr>
            <w:tcW w:w="157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75.6万元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6" w:hRule="atLeast"/>
          <w:jc w:val="center"/>
        </w:trPr>
        <w:tc>
          <w:tcPr>
            <w:tcW w:w="1511"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29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效益指标</w:t>
            </w:r>
          </w:p>
        </w:tc>
        <w:tc>
          <w:tcPr>
            <w:tcW w:w="175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经济效益指标</w:t>
            </w:r>
          </w:p>
        </w:tc>
        <w:tc>
          <w:tcPr>
            <w:tcW w:w="178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267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57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0" w:hRule="atLeast"/>
          <w:jc w:val="center"/>
        </w:trPr>
        <w:tc>
          <w:tcPr>
            <w:tcW w:w="1511"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295"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75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社会效益指标</w:t>
            </w:r>
          </w:p>
        </w:tc>
        <w:tc>
          <w:tcPr>
            <w:tcW w:w="178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确保市政府</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大楼安全</w:t>
            </w:r>
          </w:p>
        </w:tc>
        <w:tc>
          <w:tcPr>
            <w:tcW w:w="267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确保市政府大楼及周边安全，维护市政府大楼单位办公秩序；确保信访安全，维护信访秩序，树立良好形象。</w:t>
            </w:r>
          </w:p>
        </w:tc>
        <w:tc>
          <w:tcPr>
            <w:tcW w:w="157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确保市政府大楼及周边安全，维护市政府大楼单位办公秩序；确保信访安全，维护信访秩序，树立良好形象。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7" w:hRule="atLeast"/>
          <w:jc w:val="center"/>
        </w:trPr>
        <w:tc>
          <w:tcPr>
            <w:tcW w:w="1511"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295"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75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生态效益指标</w:t>
            </w:r>
          </w:p>
        </w:tc>
        <w:tc>
          <w:tcPr>
            <w:tcW w:w="178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267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57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0" w:hRule="atLeast"/>
          <w:jc w:val="center"/>
        </w:trPr>
        <w:tc>
          <w:tcPr>
            <w:tcW w:w="1511"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295"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75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可持续影响指标</w:t>
            </w:r>
          </w:p>
        </w:tc>
        <w:tc>
          <w:tcPr>
            <w:tcW w:w="178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267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57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30" w:hRule="atLeast"/>
          <w:jc w:val="center"/>
        </w:trPr>
        <w:tc>
          <w:tcPr>
            <w:tcW w:w="1511"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p>
        </w:tc>
        <w:tc>
          <w:tcPr>
            <w:tcW w:w="129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满意度指标</w:t>
            </w:r>
          </w:p>
        </w:tc>
        <w:tc>
          <w:tcPr>
            <w:tcW w:w="175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满意度指标</w:t>
            </w:r>
          </w:p>
        </w:tc>
        <w:tc>
          <w:tcPr>
            <w:tcW w:w="178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干部职工满意度</w:t>
            </w:r>
          </w:p>
        </w:tc>
        <w:tc>
          <w:tcPr>
            <w:tcW w:w="267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≧90%</w:t>
            </w:r>
          </w:p>
        </w:tc>
        <w:tc>
          <w:tcPr>
            <w:tcW w:w="157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≧90%</w:t>
            </w:r>
          </w:p>
        </w:tc>
      </w:tr>
    </w:tbl>
    <w:p>
      <w:pPr>
        <w:widowControl/>
        <w:adjustRightInd w:val="0"/>
        <w:snapToGrid w:val="0"/>
        <w:spacing w:line="580" w:lineRule="exact"/>
        <w:contextualSpacing/>
        <w:jc w:val="left"/>
        <w:rPr>
          <w:rFonts w:hint="eastAsia" w:ascii="仿宋_GB2312" w:hAnsi="宋体" w:eastAsia="仿宋_GB2312" w:cs="宋体"/>
          <w:color w:val="000000"/>
          <w:kern w:val="0"/>
          <w:sz w:val="32"/>
          <w:szCs w:val="32"/>
          <w:shd w:val="clear" w:color="auto" w:fill="FFFFFF"/>
          <w:lang w:val="en-US" w:eastAsia="zh-CN"/>
        </w:rPr>
      </w:pPr>
    </w:p>
    <w:tbl>
      <w:tblPr>
        <w:tblStyle w:val="12"/>
        <w:tblpPr w:leftFromText="180" w:rightFromText="180" w:vertAnchor="text" w:horzAnchor="page" w:tblpX="1281" w:tblpY="660"/>
        <w:tblOverlap w:val="never"/>
        <w:tblW w:w="1026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16"/>
        <w:gridCol w:w="1503"/>
        <w:gridCol w:w="1452"/>
        <w:gridCol w:w="1287"/>
        <w:gridCol w:w="1893"/>
        <w:gridCol w:w="2280"/>
        <w:gridCol w:w="2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0031" w:type="dxa"/>
            <w:gridSpan w:val="6"/>
            <w:tcBorders>
              <w:top w:val="nil"/>
              <w:left w:val="nil"/>
              <w:bottom w:val="single" w:color="000000" w:sz="8" w:space="0"/>
              <w:right w:val="nil"/>
            </w:tcBorders>
            <w:shd w:val="clear" w:color="auto" w:fill="auto"/>
            <w:vAlign w:val="center"/>
          </w:tcPr>
          <w:p>
            <w:pPr>
              <w:keepNext w:val="0"/>
              <w:keepLines w:val="0"/>
              <w:widowControl/>
              <w:suppressLineNumbers w:val="0"/>
              <w:spacing w:beforeAutospacing="0"/>
              <w:jc w:val="center"/>
              <w:textAlignment w:val="center"/>
              <w:rPr>
                <w:rFonts w:hint="eastAsia"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2021年特定目</w:t>
            </w:r>
            <w:r>
              <w:rPr>
                <w:rFonts w:hint="eastAsia" w:ascii="方正小标宋_GBK" w:hAnsi="方正小标宋_GBK" w:eastAsia="方正小标宋_GBK" w:cs="方正小标宋_GBK"/>
                <w:sz w:val="36"/>
                <w:szCs w:val="36"/>
                <w:highlight w:val="none"/>
                <w:lang w:val="en-US" w:eastAsia="zh-CN"/>
              </w:rPr>
              <w:t>标</w:t>
            </w:r>
            <w:bookmarkStart w:id="123" w:name="hmjd_error_2_0_类_黑马提示无建议_14404"/>
            <w:r>
              <w:rPr>
                <w:rFonts w:hint="eastAsia" w:ascii="方正小标宋_GBK" w:hAnsi="方正小标宋_GBK" w:eastAsia="方正小标宋_GBK" w:cs="方正小标宋_GBK"/>
                <w:sz w:val="36"/>
                <w:szCs w:val="36"/>
                <w:highlight w:val="none"/>
                <w:lang w:val="en-US" w:eastAsia="zh-CN"/>
              </w:rPr>
              <w:t>类</w:t>
            </w:r>
            <w:bookmarkEnd w:id="123"/>
            <w:r>
              <w:rPr>
                <w:rFonts w:hint="eastAsia" w:ascii="方正小标宋_GBK" w:hAnsi="方正小标宋_GBK" w:eastAsia="方正小标宋_GBK" w:cs="方正小标宋_GBK"/>
                <w:sz w:val="36"/>
                <w:szCs w:val="36"/>
                <w:highlight w:val="none"/>
                <w:lang w:val="en-US" w:eastAsia="zh-CN"/>
              </w:rPr>
              <w:t>部门预算项目</w:t>
            </w:r>
            <w:r>
              <w:rPr>
                <w:rFonts w:hint="eastAsia" w:ascii="方正小标宋_GBK" w:hAnsi="方正小标宋_GBK" w:eastAsia="方正小标宋_GBK" w:cs="方正小标宋_GBK"/>
                <w:sz w:val="36"/>
                <w:szCs w:val="36"/>
                <w:lang w:val="en-US" w:eastAsia="zh-CN"/>
              </w:rPr>
              <w:t>绩效目标自评</w:t>
            </w:r>
          </w:p>
          <w:p>
            <w:pPr>
              <w:pStyle w:val="2"/>
              <w:jc w:val="center"/>
              <w:rPr>
                <w:rFonts w:hint="eastAsia" w:eastAsia="仿宋_GB2312"/>
                <w:sz w:val="18"/>
                <w:szCs w:val="18"/>
                <w:lang w:eastAsia="zh-CN"/>
              </w:rPr>
            </w:pPr>
            <w:r>
              <w:rPr>
                <w:rFonts w:hint="eastAsia" w:ascii="Times New Roman" w:hAnsi="Times New Roman" w:eastAsia="仿宋_GB2312" w:cs="Times New Roman"/>
                <w:snapToGrid w:val="0"/>
                <w:kern w:val="2"/>
                <w:sz w:val="32"/>
                <w:szCs w:val="32"/>
                <w:lang w:val="en-US" w:eastAsia="zh-CN" w:bidi="ar-SA"/>
              </w:rPr>
              <w:t>（物业管理费）</w:t>
            </w:r>
          </w:p>
        </w:tc>
        <w:tc>
          <w:tcPr>
            <w:tcW w:w="236" w:type="dxa"/>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254" w:hRule="atLeast"/>
        </w:trPr>
        <w:tc>
          <w:tcPr>
            <w:tcW w:w="3119" w:type="dxa"/>
            <w:gridSpan w:val="2"/>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eastAsia="宋体"/>
                <w:sz w:val="21"/>
                <w:szCs w:val="21"/>
              </w:rPr>
            </w:pPr>
            <w:r>
              <w:rPr>
                <w:rFonts w:hint="eastAsia" w:ascii="仿宋_GB2312" w:hAnsi="仿宋_GB2312" w:eastAsia="仿宋_GB2312" w:cs="仿宋_GB2312"/>
                <w:i w:val="0"/>
                <w:color w:val="auto"/>
                <w:sz w:val="21"/>
                <w:szCs w:val="21"/>
                <w:u w:val="none"/>
                <w:lang w:val="en-US" w:eastAsia="zh-CN"/>
              </w:rPr>
              <w:t>主管部门及代码</w:t>
            </w:r>
          </w:p>
        </w:tc>
        <w:tc>
          <w:tcPr>
            <w:tcW w:w="2739"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仿宋_GB2312" w:hAnsi="仿宋_GB2312" w:eastAsia="仿宋_GB2312" w:cs="仿宋_GB2312"/>
                <w:i w:val="0"/>
                <w:color w:val="auto"/>
                <w:sz w:val="21"/>
                <w:szCs w:val="21"/>
                <w:u w:val="none"/>
                <w:lang w:val="en-US" w:eastAsia="zh-CN"/>
              </w:rPr>
            </w:pPr>
            <w:r>
              <w:rPr>
                <w:rFonts w:hint="eastAsia" w:eastAsia="宋体"/>
                <w:sz w:val="21"/>
                <w:szCs w:val="21"/>
                <w:lang w:val="en-US" w:eastAsia="zh-CN"/>
              </w:rPr>
              <w:t>102001</w:t>
            </w:r>
            <w:r>
              <w:rPr>
                <w:rFonts w:hint="eastAsia" w:ascii="仿宋_GB2312" w:hAnsi="仿宋_GB2312" w:eastAsia="仿宋_GB2312" w:cs="仿宋_GB2312"/>
                <w:i w:val="0"/>
                <w:color w:val="auto"/>
                <w:sz w:val="21"/>
                <w:szCs w:val="21"/>
                <w:u w:val="none"/>
                <w:lang w:val="en-US" w:eastAsia="zh-CN"/>
              </w:rPr>
              <w:t>攀枝花市人民政府办公室</w:t>
            </w:r>
          </w:p>
        </w:tc>
        <w:tc>
          <w:tcPr>
            <w:tcW w:w="1893"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实施单位</w:t>
            </w:r>
          </w:p>
        </w:tc>
        <w:tc>
          <w:tcPr>
            <w:tcW w:w="228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攀枝花市人民政府办公室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6" w:type="dxa"/>
          <w:trHeight w:val="341" w:hRule="atLeast"/>
        </w:trPr>
        <w:tc>
          <w:tcPr>
            <w:tcW w:w="3119" w:type="dxa"/>
            <w:gridSpan w:val="2"/>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项目预算执行情况</w:t>
            </w:r>
            <w:r>
              <w:rPr>
                <w:rFonts w:hint="eastAsia" w:ascii="仿宋_GB2312" w:hAnsi="仿宋_GB2312" w:eastAsia="仿宋_GB2312" w:cs="仿宋_GB2312"/>
                <w:i w:val="0"/>
                <w:color w:val="auto"/>
                <w:sz w:val="21"/>
                <w:szCs w:val="21"/>
                <w:u w:val="none"/>
                <w:lang w:val="en-US" w:eastAsia="zh-CN"/>
              </w:rPr>
              <w:br w:type="textWrapping"/>
            </w:r>
            <w:r>
              <w:rPr>
                <w:rFonts w:hint="eastAsia" w:ascii="仿宋_GB2312" w:hAnsi="仿宋_GB2312" w:eastAsia="仿宋_GB2312" w:cs="仿宋_GB2312"/>
                <w:i w:val="0"/>
                <w:color w:val="auto"/>
                <w:sz w:val="21"/>
                <w:szCs w:val="21"/>
                <w:u w:val="none"/>
                <w:lang w:val="en-US" w:eastAsia="zh-CN"/>
              </w:rPr>
              <w:t>（万元）</w:t>
            </w: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预算数：</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58.6</w:t>
            </w: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执行数：</w:t>
            </w:r>
          </w:p>
        </w:tc>
        <w:tc>
          <w:tcPr>
            <w:tcW w:w="228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58.6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6" w:type="dxa"/>
          <w:trHeight w:val="555" w:hRule="atLeast"/>
        </w:trPr>
        <w:tc>
          <w:tcPr>
            <w:tcW w:w="3119"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其中：</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财政拨款</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58.6</w:t>
            </w: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其中：</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财政拨款</w:t>
            </w:r>
          </w:p>
        </w:tc>
        <w:tc>
          <w:tcPr>
            <w:tcW w:w="228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58.6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6" w:type="dxa"/>
          <w:trHeight w:val="341" w:hRule="atLeast"/>
        </w:trPr>
        <w:tc>
          <w:tcPr>
            <w:tcW w:w="3119"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其他资金</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其他资金</w:t>
            </w:r>
          </w:p>
        </w:tc>
        <w:tc>
          <w:tcPr>
            <w:tcW w:w="228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6" w:type="dxa"/>
          <w:trHeight w:val="217" w:hRule="atLeast"/>
        </w:trPr>
        <w:tc>
          <w:tcPr>
            <w:tcW w:w="1616"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年度总体目标</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完成情况</w:t>
            </w:r>
          </w:p>
        </w:tc>
        <w:tc>
          <w:tcPr>
            <w:tcW w:w="42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预期目标</w:t>
            </w:r>
          </w:p>
        </w:tc>
        <w:tc>
          <w:tcPr>
            <w:tcW w:w="4173"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目标实际完成情况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6" w:type="dxa"/>
          <w:trHeight w:val="797" w:hRule="atLeast"/>
        </w:trPr>
        <w:tc>
          <w:tcPr>
            <w:tcW w:w="161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42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保障市政府办公大楼会务服务、文印服务，以及公共区卫生保洁等物业服务工作有序推进。</w:t>
            </w:r>
          </w:p>
        </w:tc>
        <w:tc>
          <w:tcPr>
            <w:tcW w:w="4173"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按照劳务派遣合同，较好地完成了年度目标任务，达到了预期的效果。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6" w:type="dxa"/>
          <w:trHeight w:val="693" w:hRule="atLeast"/>
        </w:trPr>
        <w:tc>
          <w:tcPr>
            <w:tcW w:w="1616"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年度绩效指标完成情况</w:t>
            </w: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一级指标</w:t>
            </w: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二级指标</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三级指标</w:t>
            </w: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预期指标值</w:t>
            </w:r>
          </w:p>
        </w:tc>
        <w:tc>
          <w:tcPr>
            <w:tcW w:w="228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实际完成指标值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6" w:type="dxa"/>
          <w:trHeight w:val="415" w:hRule="atLeast"/>
        </w:trPr>
        <w:tc>
          <w:tcPr>
            <w:tcW w:w="161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5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完成指标</w:t>
            </w: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数量指标</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物业服务</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人数</w:t>
            </w: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Times New Roman" w:hAnsi="Times New Roman" w:eastAsia="仿宋_GB2312" w:cs="Times New Roman"/>
                <w:snapToGrid w:val="0"/>
                <w:kern w:val="2"/>
                <w:sz w:val="21"/>
                <w:szCs w:val="21"/>
                <w:lang w:val="en-US" w:eastAsia="zh-CN" w:bidi="ar-SA"/>
              </w:rPr>
              <w:t>13人</w:t>
            </w:r>
          </w:p>
        </w:tc>
        <w:tc>
          <w:tcPr>
            <w:tcW w:w="228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Times New Roman" w:hAnsi="Times New Roman" w:eastAsia="仿宋_GB2312" w:cs="Times New Roman"/>
                <w:snapToGrid w:val="0"/>
                <w:kern w:val="2"/>
                <w:sz w:val="21"/>
                <w:szCs w:val="21"/>
                <w:lang w:val="en-US" w:eastAsia="zh-CN" w:bidi="ar-SA"/>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6" w:type="dxa"/>
          <w:trHeight w:val="415" w:hRule="atLeast"/>
        </w:trPr>
        <w:tc>
          <w:tcPr>
            <w:tcW w:w="161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质量指标</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市政府办公大楼物业服务质量</w:t>
            </w: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市政府办公室办文、办会服务质量，物业管理的专业化水平进一步提升。</w:t>
            </w:r>
          </w:p>
        </w:tc>
        <w:tc>
          <w:tcPr>
            <w:tcW w:w="228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市政府办公室办文、办会服务质量，物业管理的专业化水平进一步提升。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6" w:type="dxa"/>
          <w:trHeight w:val="415" w:hRule="atLeast"/>
        </w:trPr>
        <w:tc>
          <w:tcPr>
            <w:tcW w:w="161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时效指标</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服务期限</w:t>
            </w: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2021年1月至2021年12月</w:t>
            </w:r>
          </w:p>
        </w:tc>
        <w:tc>
          <w:tcPr>
            <w:tcW w:w="228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2021年1月至2021年12月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6" w:type="dxa"/>
          <w:trHeight w:val="480" w:hRule="atLeast"/>
        </w:trPr>
        <w:tc>
          <w:tcPr>
            <w:tcW w:w="161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成本指标</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劳务外包及物业管理费</w:t>
            </w: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58.6万元</w:t>
            </w:r>
          </w:p>
        </w:tc>
        <w:tc>
          <w:tcPr>
            <w:tcW w:w="228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58.6万元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6" w:type="dxa"/>
          <w:trHeight w:val="480" w:hRule="atLeast"/>
        </w:trPr>
        <w:tc>
          <w:tcPr>
            <w:tcW w:w="161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5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效益指标</w:t>
            </w: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经济效益</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指标</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228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6" w:type="dxa"/>
          <w:trHeight w:val="480" w:hRule="atLeast"/>
        </w:trPr>
        <w:tc>
          <w:tcPr>
            <w:tcW w:w="161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社会效益</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指标</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市政府办公大楼物业正常运行</w:t>
            </w: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为市政府及办公室提供会务、文印、保洁等服务，确保机关工作正常运行。</w:t>
            </w:r>
          </w:p>
        </w:tc>
        <w:tc>
          <w:tcPr>
            <w:tcW w:w="228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达到了预期的效果。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6" w:type="dxa"/>
          <w:trHeight w:val="577" w:hRule="atLeast"/>
        </w:trPr>
        <w:tc>
          <w:tcPr>
            <w:tcW w:w="161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生态效益  指标</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228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6" w:type="dxa"/>
          <w:trHeight w:val="480" w:hRule="atLeast"/>
        </w:trPr>
        <w:tc>
          <w:tcPr>
            <w:tcW w:w="161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可持续影响 指标</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228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6" w:type="dxa"/>
          <w:trHeight w:val="530" w:hRule="atLeast"/>
        </w:trPr>
        <w:tc>
          <w:tcPr>
            <w:tcW w:w="1616" w:type="dxa"/>
            <w:vMerge w:val="continue"/>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auto"/>
                <w:sz w:val="21"/>
                <w:szCs w:val="21"/>
                <w:u w:val="none"/>
                <w:lang w:val="en-US" w:eastAsia="zh-CN"/>
              </w:rPr>
            </w:pPr>
          </w:p>
        </w:tc>
        <w:tc>
          <w:tcPr>
            <w:tcW w:w="1503"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满意度指标</w:t>
            </w:r>
          </w:p>
        </w:tc>
        <w:tc>
          <w:tcPr>
            <w:tcW w:w="1452"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满意度指标</w:t>
            </w:r>
          </w:p>
        </w:tc>
        <w:tc>
          <w:tcPr>
            <w:tcW w:w="1287"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干部职工</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满意度</w:t>
            </w:r>
          </w:p>
        </w:tc>
        <w:tc>
          <w:tcPr>
            <w:tcW w:w="1893"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≧95%</w:t>
            </w:r>
          </w:p>
        </w:tc>
        <w:tc>
          <w:tcPr>
            <w:tcW w:w="2280"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1"/>
                <w:szCs w:val="21"/>
                <w:u w:val="none"/>
                <w:lang w:val="en-US" w:eastAsia="zh-CN"/>
              </w:rPr>
            </w:pPr>
            <w:r>
              <w:rPr>
                <w:rFonts w:hint="eastAsia" w:ascii="仿宋_GB2312" w:hAnsi="仿宋_GB2312" w:eastAsia="仿宋_GB2312" w:cs="仿宋_GB2312"/>
                <w:i w:val="0"/>
                <w:color w:val="auto"/>
                <w:sz w:val="21"/>
                <w:szCs w:val="21"/>
                <w:u w:val="none"/>
                <w:lang w:val="en-US" w:eastAsia="zh-CN"/>
              </w:rPr>
              <w:t>≧95%</w:t>
            </w:r>
          </w:p>
        </w:tc>
      </w:tr>
    </w:tbl>
    <w:p>
      <w:pPr>
        <w:widowControl/>
        <w:adjustRightInd w:val="0"/>
        <w:snapToGrid w:val="0"/>
        <w:spacing w:line="580" w:lineRule="exact"/>
        <w:contextualSpacing/>
        <w:jc w:val="left"/>
        <w:rPr>
          <w:rFonts w:hint="eastAsia" w:ascii="仿宋_GB2312" w:hAnsi="宋体" w:eastAsia="仿宋_GB2312" w:cs="宋体"/>
          <w:color w:val="000000"/>
          <w:kern w:val="0"/>
          <w:sz w:val="32"/>
          <w:szCs w:val="32"/>
          <w:shd w:val="clear" w:color="auto" w:fill="FFFFFF"/>
          <w:lang w:val="en-US" w:eastAsia="zh-CN"/>
        </w:rPr>
      </w:pPr>
    </w:p>
    <w:tbl>
      <w:tblPr>
        <w:tblStyle w:val="12"/>
        <w:tblpPr w:leftFromText="180" w:rightFromText="180" w:vertAnchor="text" w:horzAnchor="page" w:tblpX="1281" w:tblpY="660"/>
        <w:tblOverlap w:val="never"/>
        <w:tblW w:w="98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436"/>
        <w:gridCol w:w="1185"/>
        <w:gridCol w:w="1590"/>
        <w:gridCol w:w="1838"/>
        <w:gridCol w:w="1822"/>
        <w:gridCol w:w="1706"/>
        <w:gridCol w:w="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9577" w:type="dxa"/>
            <w:gridSpan w:val="6"/>
            <w:tcBorders>
              <w:top w:val="nil"/>
              <w:left w:val="nil"/>
              <w:bottom w:val="single" w:color="auto" w:sz="8" w:space="0"/>
              <w:right w:val="nil"/>
            </w:tcBorders>
            <w:shd w:val="clear" w:color="auto" w:fill="auto"/>
            <w:vAlign w:val="center"/>
          </w:tcPr>
          <w:p>
            <w:pPr>
              <w:keepNext w:val="0"/>
              <w:keepLines w:val="0"/>
              <w:widowControl/>
              <w:suppressLineNumbers w:val="0"/>
              <w:spacing w:beforeAutospacing="0"/>
              <w:jc w:val="center"/>
              <w:textAlignment w:val="center"/>
              <w:rPr>
                <w:rFonts w:hint="eastAsia" w:ascii="方正小标宋_GBK" w:hAnsi="方正小标宋_GBK" w:eastAsia="方正小标宋_GBK" w:cs="方正小标宋_GBK"/>
                <w:sz w:val="36"/>
                <w:szCs w:val="36"/>
                <w:highlight w:val="none"/>
                <w:lang w:val="en-US" w:eastAsia="zh-CN"/>
              </w:rPr>
            </w:pPr>
            <w:r>
              <w:rPr>
                <w:rFonts w:hint="eastAsia" w:ascii="方正小标宋_GBK" w:hAnsi="方正小标宋_GBK" w:eastAsia="方正小标宋_GBK" w:cs="方正小标宋_GBK"/>
                <w:sz w:val="36"/>
                <w:szCs w:val="36"/>
                <w:highlight w:val="none"/>
                <w:lang w:val="en-US" w:eastAsia="zh-CN"/>
              </w:rPr>
              <w:t>2021年特定目标</w:t>
            </w:r>
            <w:bookmarkStart w:id="124" w:name="hmjd_error_2_0_类_黑马提示无建议_15061"/>
            <w:r>
              <w:rPr>
                <w:rFonts w:hint="eastAsia" w:ascii="方正小标宋_GBK" w:hAnsi="方正小标宋_GBK" w:eastAsia="方正小标宋_GBK" w:cs="方正小标宋_GBK"/>
                <w:sz w:val="36"/>
                <w:szCs w:val="36"/>
                <w:highlight w:val="none"/>
                <w:lang w:val="en-US" w:eastAsia="zh-CN"/>
              </w:rPr>
              <w:t>类</w:t>
            </w:r>
            <w:bookmarkEnd w:id="124"/>
            <w:r>
              <w:rPr>
                <w:rFonts w:hint="eastAsia" w:ascii="方正小标宋_GBK" w:hAnsi="方正小标宋_GBK" w:eastAsia="方正小标宋_GBK" w:cs="方正小标宋_GBK"/>
                <w:sz w:val="36"/>
                <w:szCs w:val="36"/>
                <w:highlight w:val="none"/>
                <w:lang w:val="en-US" w:eastAsia="zh-CN"/>
              </w:rPr>
              <w:t>部门预算项目绩效目标自评</w:t>
            </w:r>
          </w:p>
          <w:p>
            <w:pPr>
              <w:pStyle w:val="2"/>
              <w:jc w:val="center"/>
              <w:rPr>
                <w:rFonts w:hint="eastAsia" w:eastAsia="仿宋_GB2312"/>
                <w:highlight w:val="none"/>
                <w:lang w:eastAsia="zh-CN"/>
              </w:rPr>
            </w:pPr>
            <w:r>
              <w:rPr>
                <w:rFonts w:hint="eastAsia" w:ascii="Times New Roman" w:cs="Times New Roman"/>
                <w:snapToGrid w:val="0"/>
                <w:kern w:val="2"/>
                <w:sz w:val="32"/>
                <w:szCs w:val="32"/>
                <w:highlight w:val="none"/>
                <w:lang w:val="en-US" w:eastAsia="zh-CN" w:bidi="ar-SA"/>
              </w:rPr>
              <w:t>（</w:t>
            </w:r>
            <w:r>
              <w:rPr>
                <w:rFonts w:hint="eastAsia" w:ascii="Times New Roman" w:hAnsi="Times New Roman" w:eastAsia="仿宋_GB2312" w:cs="Times New Roman"/>
                <w:snapToGrid w:val="0"/>
                <w:kern w:val="2"/>
                <w:sz w:val="32"/>
                <w:szCs w:val="32"/>
                <w:highlight w:val="none"/>
                <w:lang w:val="en-US" w:eastAsia="zh-CN" w:bidi="ar-SA"/>
              </w:rPr>
              <w:t>政务调研成果评选及汇编</w:t>
            </w:r>
            <w:r>
              <w:rPr>
                <w:rFonts w:hint="eastAsia" w:ascii="Times New Roman" w:cs="Times New Roman"/>
                <w:snapToGrid w:val="0"/>
                <w:kern w:val="2"/>
                <w:sz w:val="32"/>
                <w:szCs w:val="32"/>
                <w:highlight w:val="none"/>
                <w:lang w:val="en-US" w:eastAsia="zh-CN" w:bidi="ar-SA"/>
              </w:rPr>
              <w:t>）</w:t>
            </w:r>
          </w:p>
        </w:tc>
        <w:tc>
          <w:tcPr>
            <w:tcW w:w="234" w:type="dxa"/>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kern w:val="0"/>
                <w:sz w:val="32"/>
                <w:szCs w:val="3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4" w:type="dxa"/>
          <w:trHeight w:val="325" w:hRule="atLeast"/>
        </w:trPr>
        <w:tc>
          <w:tcPr>
            <w:tcW w:w="2621" w:type="dxa"/>
            <w:gridSpan w:val="2"/>
            <w:tcBorders>
              <w:top w:val="single" w:color="auto" w:sz="8" w:space="0"/>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主管部门及代码</w:t>
            </w:r>
          </w:p>
        </w:tc>
        <w:tc>
          <w:tcPr>
            <w:tcW w:w="3428" w:type="dxa"/>
            <w:gridSpan w:val="2"/>
            <w:tcBorders>
              <w:top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102001攀枝花市人民政府办公室</w:t>
            </w:r>
          </w:p>
        </w:tc>
        <w:tc>
          <w:tcPr>
            <w:tcW w:w="1822" w:type="dxa"/>
            <w:tcBorders>
              <w:top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实施单位</w:t>
            </w:r>
          </w:p>
        </w:tc>
        <w:tc>
          <w:tcPr>
            <w:tcW w:w="1706" w:type="dxa"/>
            <w:tcBorders>
              <w:top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攀枝花市人民政府办公室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341" w:hRule="atLeast"/>
        </w:trPr>
        <w:tc>
          <w:tcPr>
            <w:tcW w:w="2621" w:type="dxa"/>
            <w:gridSpan w:val="2"/>
            <w:vMerge w:val="restart"/>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项目预算执行情况</w:t>
            </w:r>
            <w:r>
              <w:rPr>
                <w:rFonts w:hint="eastAsia" w:ascii="Times New Roman" w:hAnsi="Times New Roman" w:eastAsia="仿宋_GB2312" w:cs="Times New Roman"/>
                <w:snapToGrid w:val="0"/>
                <w:kern w:val="2"/>
                <w:sz w:val="21"/>
                <w:szCs w:val="21"/>
                <w:lang w:val="en-US" w:eastAsia="zh-CN" w:bidi="ar-SA"/>
              </w:rPr>
              <w:br w:type="textWrapping"/>
            </w:r>
            <w:r>
              <w:rPr>
                <w:rFonts w:hint="eastAsia" w:ascii="Times New Roman" w:hAnsi="Times New Roman" w:eastAsia="仿宋_GB2312" w:cs="Times New Roman"/>
                <w:snapToGrid w:val="0"/>
                <w:kern w:val="2"/>
                <w:sz w:val="21"/>
                <w:szCs w:val="21"/>
                <w:lang w:val="en-US" w:eastAsia="zh-CN" w:bidi="ar-SA"/>
              </w:rPr>
              <w:t>（万元）</w:t>
            </w:r>
          </w:p>
        </w:tc>
        <w:tc>
          <w:tcPr>
            <w:tcW w:w="15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 xml:space="preserve"> 预算数：</w:t>
            </w:r>
          </w:p>
        </w:tc>
        <w:tc>
          <w:tcPr>
            <w:tcW w:w="183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w:t>
            </w:r>
          </w:p>
        </w:tc>
        <w:tc>
          <w:tcPr>
            <w:tcW w:w="182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 xml:space="preserve"> 执行数：</w:t>
            </w: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555" w:hRule="atLeast"/>
        </w:trPr>
        <w:tc>
          <w:tcPr>
            <w:tcW w:w="2621" w:type="dxa"/>
            <w:gridSpan w:val="2"/>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5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其中：</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财政拨款</w:t>
            </w:r>
          </w:p>
        </w:tc>
        <w:tc>
          <w:tcPr>
            <w:tcW w:w="183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w:t>
            </w:r>
          </w:p>
        </w:tc>
        <w:tc>
          <w:tcPr>
            <w:tcW w:w="182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其中：</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财政拨款</w:t>
            </w: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341" w:hRule="atLeast"/>
        </w:trPr>
        <w:tc>
          <w:tcPr>
            <w:tcW w:w="2621" w:type="dxa"/>
            <w:gridSpan w:val="2"/>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5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其他资金</w:t>
            </w:r>
          </w:p>
        </w:tc>
        <w:tc>
          <w:tcPr>
            <w:tcW w:w="183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82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其他资金</w:t>
            </w: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217" w:hRule="atLeast"/>
        </w:trPr>
        <w:tc>
          <w:tcPr>
            <w:tcW w:w="1436" w:type="dxa"/>
            <w:vMerge w:val="restart"/>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年度总体目标完成情况</w:t>
            </w:r>
          </w:p>
        </w:tc>
        <w:tc>
          <w:tcPr>
            <w:tcW w:w="4613" w:type="dxa"/>
            <w:gridSpan w:val="3"/>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预期目标</w:t>
            </w:r>
          </w:p>
        </w:tc>
        <w:tc>
          <w:tcPr>
            <w:tcW w:w="3528" w:type="dxa"/>
            <w:gridSpan w:val="2"/>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目标实际完成情况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797" w:hRule="atLeast"/>
        </w:trPr>
        <w:tc>
          <w:tcPr>
            <w:tcW w:w="1436" w:type="dxa"/>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highlight w:val="none"/>
                <w:lang w:val="en-US" w:eastAsia="zh-CN" w:bidi="ar-SA"/>
              </w:rPr>
            </w:pPr>
          </w:p>
        </w:tc>
        <w:tc>
          <w:tcPr>
            <w:tcW w:w="4613" w:type="dxa"/>
            <w:gridSpan w:val="3"/>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完成政务调研成果评选及汇编</w:t>
            </w:r>
            <w:bookmarkStart w:id="125" w:name="hmjd_error_2_0_等_黑马提示无建议_15244"/>
            <w:r>
              <w:rPr>
                <w:rFonts w:hint="eastAsia" w:ascii="Times New Roman" w:hAnsi="Times New Roman" w:eastAsia="仿宋_GB2312" w:cs="Times New Roman"/>
                <w:snapToGrid w:val="0"/>
                <w:kern w:val="2"/>
                <w:sz w:val="21"/>
                <w:szCs w:val="21"/>
                <w:highlight w:val="none"/>
                <w:lang w:val="en-US" w:eastAsia="zh-CN" w:bidi="ar-SA"/>
              </w:rPr>
              <w:t>等</w:t>
            </w:r>
            <w:bookmarkEnd w:id="125"/>
          </w:p>
        </w:tc>
        <w:tc>
          <w:tcPr>
            <w:tcW w:w="3528" w:type="dxa"/>
            <w:gridSpan w:val="2"/>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693" w:hRule="atLeast"/>
        </w:trPr>
        <w:tc>
          <w:tcPr>
            <w:tcW w:w="1436" w:type="dxa"/>
            <w:vMerge w:val="restart"/>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年度绩效指标完成情况</w:t>
            </w:r>
          </w:p>
        </w:tc>
        <w:tc>
          <w:tcPr>
            <w:tcW w:w="118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一级指标</w:t>
            </w:r>
          </w:p>
        </w:tc>
        <w:tc>
          <w:tcPr>
            <w:tcW w:w="15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二级指标</w:t>
            </w:r>
          </w:p>
        </w:tc>
        <w:tc>
          <w:tcPr>
            <w:tcW w:w="183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三级指标</w:t>
            </w:r>
          </w:p>
        </w:tc>
        <w:tc>
          <w:tcPr>
            <w:tcW w:w="182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预期指标值</w:t>
            </w: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实际完成指标值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415" w:hRule="atLeast"/>
        </w:trPr>
        <w:tc>
          <w:tcPr>
            <w:tcW w:w="1436" w:type="dxa"/>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185"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完成指标</w:t>
            </w:r>
          </w:p>
        </w:tc>
        <w:tc>
          <w:tcPr>
            <w:tcW w:w="1590"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数量指标</w:t>
            </w:r>
          </w:p>
        </w:tc>
        <w:tc>
          <w:tcPr>
            <w:tcW w:w="1838" w:type="dxa"/>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评选政务调研</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先进单位</w:t>
            </w:r>
          </w:p>
        </w:tc>
        <w:tc>
          <w:tcPr>
            <w:tcW w:w="182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5个左右</w:t>
            </w: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415" w:hRule="atLeast"/>
        </w:trPr>
        <w:tc>
          <w:tcPr>
            <w:tcW w:w="1436" w:type="dxa"/>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185"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590"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838" w:type="dxa"/>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评选优秀</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调研报告</w:t>
            </w:r>
          </w:p>
        </w:tc>
        <w:tc>
          <w:tcPr>
            <w:tcW w:w="182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45—60篇</w:t>
            </w: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60篇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415" w:hRule="atLeast"/>
        </w:trPr>
        <w:tc>
          <w:tcPr>
            <w:tcW w:w="1436" w:type="dxa"/>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185"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590"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838" w:type="dxa"/>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编印优秀</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调研报告</w:t>
            </w:r>
          </w:p>
        </w:tc>
        <w:tc>
          <w:tcPr>
            <w:tcW w:w="182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300本左右</w:t>
            </w: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300本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415" w:hRule="atLeast"/>
        </w:trPr>
        <w:tc>
          <w:tcPr>
            <w:tcW w:w="1436" w:type="dxa"/>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185"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590"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质量指标</w:t>
            </w:r>
          </w:p>
        </w:tc>
        <w:tc>
          <w:tcPr>
            <w:tcW w:w="183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调研报告</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质量标准</w:t>
            </w:r>
          </w:p>
        </w:tc>
        <w:tc>
          <w:tcPr>
            <w:tcW w:w="1822" w:type="dxa"/>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有思想性、科学性、指导性、可操作性，较高的文字综合水平，经评委会认可</w:t>
            </w: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达到预期目标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415" w:hRule="atLeast"/>
        </w:trPr>
        <w:tc>
          <w:tcPr>
            <w:tcW w:w="1436" w:type="dxa"/>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185"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590"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83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政务调研先进</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单位标准</w:t>
            </w:r>
          </w:p>
        </w:tc>
        <w:tc>
          <w:tcPr>
            <w:tcW w:w="1822" w:type="dxa"/>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组织开展政务调研活动数量较多、质量较高，按时按质按量报送了调研报告，获评优秀调研报告数量较多的市级部门（单位）和县（区）政府。经评委会认可。</w:t>
            </w: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达到预期目标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415" w:hRule="atLeast"/>
        </w:trPr>
        <w:tc>
          <w:tcPr>
            <w:tcW w:w="1436" w:type="dxa"/>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185"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590"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时效指标</w:t>
            </w:r>
          </w:p>
        </w:tc>
        <w:tc>
          <w:tcPr>
            <w:tcW w:w="183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调研报告收集</w:t>
            </w:r>
          </w:p>
        </w:tc>
        <w:tc>
          <w:tcPr>
            <w:tcW w:w="1822" w:type="dxa"/>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2021年10月底前完成</w:t>
            </w: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415" w:hRule="atLeast"/>
        </w:trPr>
        <w:tc>
          <w:tcPr>
            <w:tcW w:w="1436" w:type="dxa"/>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185"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590"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83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调研报告初评</w:t>
            </w:r>
          </w:p>
        </w:tc>
        <w:tc>
          <w:tcPr>
            <w:tcW w:w="1822" w:type="dxa"/>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2021年11月底前基本完成</w:t>
            </w: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415" w:hRule="atLeast"/>
        </w:trPr>
        <w:tc>
          <w:tcPr>
            <w:tcW w:w="1436" w:type="dxa"/>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185"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590"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83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优秀成果终评，并编印</w:t>
            </w:r>
          </w:p>
        </w:tc>
        <w:tc>
          <w:tcPr>
            <w:tcW w:w="1822" w:type="dxa"/>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2021年12月底前完成</w:t>
            </w: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480" w:hRule="atLeast"/>
        </w:trPr>
        <w:tc>
          <w:tcPr>
            <w:tcW w:w="1436" w:type="dxa"/>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185"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590"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成本指标</w:t>
            </w:r>
          </w:p>
        </w:tc>
        <w:tc>
          <w:tcPr>
            <w:tcW w:w="183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送专家评审的调研报告复印费</w:t>
            </w:r>
          </w:p>
        </w:tc>
        <w:tc>
          <w:tcPr>
            <w:tcW w:w="1822" w:type="dxa"/>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参评调研报告约400份，复印费平均3元/本，共计1200元。</w:t>
            </w: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480" w:hRule="atLeast"/>
        </w:trPr>
        <w:tc>
          <w:tcPr>
            <w:tcW w:w="1436" w:type="dxa"/>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185"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590"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83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专家劳务费</w:t>
            </w:r>
          </w:p>
        </w:tc>
        <w:tc>
          <w:tcPr>
            <w:tcW w:w="1822" w:type="dxa"/>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专家评审费，共计7000元。</w:t>
            </w: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480" w:hRule="atLeast"/>
        </w:trPr>
        <w:tc>
          <w:tcPr>
            <w:tcW w:w="1436" w:type="dxa"/>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185"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590"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83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制作奖状，编印优秀调研报告</w:t>
            </w:r>
          </w:p>
        </w:tc>
        <w:tc>
          <w:tcPr>
            <w:tcW w:w="1822" w:type="dxa"/>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评选优秀单位5个左右、优秀成果60篇左右，制作奖状65份左右，制作费平均12.5元/份，共计800元左</w:t>
            </w:r>
            <w:r>
              <w:rPr>
                <w:rFonts w:hint="eastAsia" w:ascii="Times New Roman" w:hAnsi="Times New Roman" w:eastAsia="仿宋_GB2312" w:cs="Times New Roman"/>
                <w:snapToGrid w:val="0"/>
                <w:kern w:val="2"/>
                <w:sz w:val="21"/>
                <w:szCs w:val="21"/>
                <w:highlight w:val="none"/>
                <w:lang w:val="en-US" w:eastAsia="zh-CN" w:bidi="ar-SA"/>
              </w:rPr>
              <w:t>右；印300本送相关领导、部门、县区以及存档，</w:t>
            </w:r>
            <w:bookmarkStart w:id="126" w:name="hmjd_error_2_0_含_黑马提示无建议_15794"/>
            <w:r>
              <w:rPr>
                <w:rFonts w:hint="eastAsia" w:ascii="Times New Roman" w:hAnsi="Times New Roman" w:eastAsia="仿宋_GB2312" w:cs="Times New Roman"/>
                <w:snapToGrid w:val="0"/>
                <w:kern w:val="2"/>
                <w:sz w:val="21"/>
                <w:szCs w:val="21"/>
                <w:highlight w:val="none"/>
                <w:lang w:val="en-US" w:eastAsia="zh-CN" w:bidi="ar-SA"/>
              </w:rPr>
              <w:t>含</w:t>
            </w:r>
            <w:bookmarkEnd w:id="126"/>
            <w:r>
              <w:rPr>
                <w:rFonts w:hint="eastAsia" w:ascii="Times New Roman" w:hAnsi="Times New Roman" w:eastAsia="仿宋_GB2312" w:cs="Times New Roman"/>
                <w:snapToGrid w:val="0"/>
                <w:kern w:val="2"/>
                <w:sz w:val="21"/>
                <w:szCs w:val="21"/>
                <w:highlight w:val="none"/>
                <w:lang w:val="en-US" w:eastAsia="zh-CN" w:bidi="ar-SA"/>
              </w:rPr>
              <w:t>编辑费用，共计11</w:t>
            </w:r>
            <w:r>
              <w:rPr>
                <w:rFonts w:hint="eastAsia" w:ascii="Times New Roman" w:hAnsi="Times New Roman" w:eastAsia="仿宋_GB2312" w:cs="Times New Roman"/>
                <w:snapToGrid w:val="0"/>
                <w:kern w:val="2"/>
                <w:sz w:val="21"/>
                <w:szCs w:val="21"/>
                <w:lang w:val="en-US" w:eastAsia="zh-CN" w:bidi="ar-SA"/>
              </w:rPr>
              <w:t>000元。</w:t>
            </w: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480" w:hRule="atLeast"/>
        </w:trPr>
        <w:tc>
          <w:tcPr>
            <w:tcW w:w="1436" w:type="dxa"/>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185"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效益</w:t>
            </w:r>
            <w:r>
              <w:rPr>
                <w:rFonts w:hint="eastAsia" w:ascii="Times New Roman" w:hAnsi="Times New Roman" w:eastAsia="仿宋_GB2312" w:cs="Times New Roman"/>
                <w:snapToGrid w:val="0"/>
                <w:kern w:val="2"/>
                <w:sz w:val="21"/>
                <w:szCs w:val="21"/>
                <w:lang w:val="en-US" w:eastAsia="zh-CN" w:bidi="ar-SA"/>
              </w:rPr>
              <w:br w:type="textWrapping"/>
            </w:r>
            <w:r>
              <w:rPr>
                <w:rFonts w:hint="eastAsia" w:ascii="Times New Roman" w:hAnsi="Times New Roman" w:eastAsia="仿宋_GB2312" w:cs="Times New Roman"/>
                <w:snapToGrid w:val="0"/>
                <w:kern w:val="2"/>
                <w:sz w:val="21"/>
                <w:szCs w:val="21"/>
                <w:lang w:val="en-US" w:eastAsia="zh-CN" w:bidi="ar-SA"/>
              </w:rPr>
              <w:t>指标</w:t>
            </w:r>
          </w:p>
        </w:tc>
        <w:tc>
          <w:tcPr>
            <w:tcW w:w="15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经济效益指标</w:t>
            </w:r>
          </w:p>
        </w:tc>
        <w:tc>
          <w:tcPr>
            <w:tcW w:w="183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82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480" w:hRule="atLeast"/>
        </w:trPr>
        <w:tc>
          <w:tcPr>
            <w:tcW w:w="1436" w:type="dxa"/>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185"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5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社会效益指标</w:t>
            </w:r>
          </w:p>
        </w:tc>
        <w:tc>
          <w:tcPr>
            <w:tcW w:w="183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82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577" w:hRule="atLeast"/>
        </w:trPr>
        <w:tc>
          <w:tcPr>
            <w:tcW w:w="1436" w:type="dxa"/>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185"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5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生态效益指标</w:t>
            </w:r>
          </w:p>
        </w:tc>
        <w:tc>
          <w:tcPr>
            <w:tcW w:w="183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82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480" w:hRule="atLeast"/>
        </w:trPr>
        <w:tc>
          <w:tcPr>
            <w:tcW w:w="1436" w:type="dxa"/>
            <w:vMerge w:val="continue"/>
            <w:tcBorders>
              <w:lef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185" w:type="dxa"/>
            <w:vMerge w:val="continue"/>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59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可持续影响</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指标</w:t>
            </w:r>
          </w:p>
        </w:tc>
        <w:tc>
          <w:tcPr>
            <w:tcW w:w="183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对各部门、各县区的影响</w:t>
            </w:r>
          </w:p>
        </w:tc>
        <w:tc>
          <w:tcPr>
            <w:tcW w:w="182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建立健全调查</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研究机制</w:t>
            </w:r>
          </w:p>
        </w:tc>
        <w:tc>
          <w:tcPr>
            <w:tcW w:w="1706" w:type="dxa"/>
            <w:tcBorders>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达到预期目标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34" w:type="dxa"/>
          <w:trHeight w:val="530" w:hRule="atLeast"/>
        </w:trPr>
        <w:tc>
          <w:tcPr>
            <w:tcW w:w="1436" w:type="dxa"/>
            <w:vMerge w:val="continue"/>
            <w:tcBorders>
              <w:left w:val="single" w:color="auto" w:sz="8" w:space="0"/>
              <w:bottom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185" w:type="dxa"/>
            <w:tcBorders>
              <w:bottom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满意度</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指标</w:t>
            </w:r>
          </w:p>
        </w:tc>
        <w:tc>
          <w:tcPr>
            <w:tcW w:w="1590" w:type="dxa"/>
            <w:tcBorders>
              <w:bottom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满意度</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指标</w:t>
            </w:r>
          </w:p>
        </w:tc>
        <w:tc>
          <w:tcPr>
            <w:tcW w:w="1838" w:type="dxa"/>
            <w:tcBorders>
              <w:bottom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相关部门和决策领导的满意度</w:t>
            </w:r>
          </w:p>
        </w:tc>
        <w:tc>
          <w:tcPr>
            <w:tcW w:w="1822" w:type="dxa"/>
            <w:tcBorders>
              <w:bottom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抽样调查满意度达到基本满意及以上</w:t>
            </w:r>
          </w:p>
        </w:tc>
        <w:tc>
          <w:tcPr>
            <w:tcW w:w="1706" w:type="dxa"/>
            <w:tcBorders>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达到预期目标</w:t>
            </w:r>
          </w:p>
        </w:tc>
      </w:tr>
    </w:tbl>
    <w:p>
      <w:pPr>
        <w:pStyle w:val="2"/>
        <w:rPr>
          <w:rFonts w:hint="eastAsia"/>
          <w:lang w:val="en-US" w:eastAsia="zh-CN"/>
        </w:rPr>
      </w:pPr>
    </w:p>
    <w:tbl>
      <w:tblPr>
        <w:tblStyle w:val="12"/>
        <w:tblpPr w:leftFromText="180" w:rightFromText="180" w:vertAnchor="text" w:horzAnchor="page" w:tblpXSpec="center" w:tblpY="660"/>
        <w:tblOverlap w:val="never"/>
        <w:tblW w:w="1028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20"/>
        <w:gridCol w:w="1230"/>
        <w:gridCol w:w="1950"/>
        <w:gridCol w:w="2112"/>
        <w:gridCol w:w="2244"/>
        <w:gridCol w:w="15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jc w:val="center"/>
        </w:trPr>
        <w:tc>
          <w:tcPr>
            <w:tcW w:w="10285" w:type="dxa"/>
            <w:gridSpan w:val="6"/>
            <w:tcBorders>
              <w:top w:val="nil"/>
              <w:left w:val="nil"/>
              <w:bottom w:val="single" w:color="000000" w:sz="8" w:space="0"/>
              <w:right w:val="nil"/>
            </w:tcBorders>
            <w:shd w:val="clear" w:color="auto" w:fill="auto"/>
            <w:vAlign w:val="center"/>
          </w:tcPr>
          <w:p>
            <w:pPr>
              <w:keepNext w:val="0"/>
              <w:keepLines w:val="0"/>
              <w:widowControl/>
              <w:suppressLineNumbers w:val="0"/>
              <w:spacing w:beforeAutospacing="0"/>
              <w:jc w:val="center"/>
              <w:textAlignment w:val="center"/>
              <w:rPr>
                <w:rFonts w:hint="eastAsia" w:ascii="方正小标宋_GBK" w:hAnsi="方正小标宋_GBK" w:eastAsia="方正小标宋_GBK" w:cs="方正小标宋_GBK"/>
                <w:b w:val="0"/>
                <w:bCs w:val="0"/>
                <w:sz w:val="36"/>
                <w:szCs w:val="36"/>
                <w:highlight w:val="none"/>
                <w:lang w:val="en-US" w:eastAsia="zh-CN"/>
              </w:rPr>
            </w:pPr>
            <w:r>
              <w:rPr>
                <w:rFonts w:hint="eastAsia" w:ascii="方正小标宋_GBK" w:hAnsi="方正小标宋_GBK" w:eastAsia="方正小标宋_GBK" w:cs="方正小标宋_GBK"/>
                <w:b w:val="0"/>
                <w:bCs w:val="0"/>
                <w:sz w:val="36"/>
                <w:szCs w:val="36"/>
                <w:highlight w:val="none"/>
                <w:lang w:val="en-US" w:eastAsia="zh-CN"/>
              </w:rPr>
              <w:t>2021年特定目标</w:t>
            </w:r>
            <w:bookmarkStart w:id="127" w:name="hmjd_error_2_0_类_黑马提示无建议_15965"/>
            <w:r>
              <w:rPr>
                <w:rFonts w:hint="eastAsia" w:ascii="方正小标宋_GBK" w:hAnsi="方正小标宋_GBK" w:eastAsia="方正小标宋_GBK" w:cs="方正小标宋_GBK"/>
                <w:b w:val="0"/>
                <w:bCs w:val="0"/>
                <w:sz w:val="36"/>
                <w:szCs w:val="36"/>
                <w:highlight w:val="none"/>
                <w:lang w:val="en-US" w:eastAsia="zh-CN"/>
              </w:rPr>
              <w:t>类</w:t>
            </w:r>
            <w:bookmarkEnd w:id="127"/>
            <w:r>
              <w:rPr>
                <w:rFonts w:hint="eastAsia" w:ascii="方正小标宋_GBK" w:hAnsi="方正小标宋_GBK" w:eastAsia="方正小标宋_GBK" w:cs="方正小标宋_GBK"/>
                <w:b w:val="0"/>
                <w:bCs w:val="0"/>
                <w:sz w:val="36"/>
                <w:szCs w:val="36"/>
                <w:highlight w:val="none"/>
                <w:lang w:val="en-US" w:eastAsia="zh-CN"/>
              </w:rPr>
              <w:t>部门预算项目绩效目标自评</w:t>
            </w:r>
          </w:p>
          <w:p>
            <w:pPr>
              <w:pStyle w:val="2"/>
              <w:jc w:val="center"/>
              <w:rPr>
                <w:rFonts w:hint="default"/>
                <w:sz w:val="21"/>
                <w:szCs w:val="21"/>
                <w:highlight w:val="none"/>
                <w:lang w:val="en-US"/>
              </w:rPr>
            </w:pPr>
            <w:r>
              <w:rPr>
                <w:rFonts w:hint="eastAsia" w:ascii="Times New Roman" w:cs="Times New Roman"/>
                <w:snapToGrid w:val="0"/>
                <w:kern w:val="2"/>
                <w:sz w:val="32"/>
                <w:szCs w:val="32"/>
                <w:highlight w:val="none"/>
                <w:lang w:val="en-US" w:eastAsia="zh-CN" w:bidi="ar-SA"/>
              </w:rPr>
              <w:t>（市政府办公室业务运行费）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jc w:val="center"/>
        </w:trPr>
        <w:tc>
          <w:tcPr>
            <w:tcW w:w="245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主管部门及代码</w:t>
            </w:r>
          </w:p>
        </w:tc>
        <w:tc>
          <w:tcPr>
            <w:tcW w:w="4062"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102001攀枝花市人民政府办公室</w:t>
            </w: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实施单位</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攀枝花市人民政府办公室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1" w:hRule="atLeast"/>
          <w:jc w:val="center"/>
        </w:trPr>
        <w:tc>
          <w:tcPr>
            <w:tcW w:w="2450" w:type="dxa"/>
            <w:gridSpan w:val="2"/>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项目预算执行情况</w:t>
            </w:r>
            <w:r>
              <w:rPr>
                <w:rFonts w:hint="eastAsia" w:ascii="Times New Roman" w:hAnsi="Times New Roman" w:eastAsia="仿宋_GB2312" w:cs="Times New Roman"/>
                <w:snapToGrid w:val="0"/>
                <w:kern w:val="2"/>
                <w:sz w:val="21"/>
                <w:szCs w:val="21"/>
                <w:lang w:val="en-US" w:eastAsia="zh-CN" w:bidi="ar-SA"/>
              </w:rPr>
              <w:br w:type="textWrapping"/>
            </w:r>
            <w:r>
              <w:rPr>
                <w:rFonts w:hint="eastAsia" w:ascii="Times New Roman" w:hAnsi="Times New Roman" w:eastAsia="仿宋_GB2312" w:cs="Times New Roman"/>
                <w:snapToGrid w:val="0"/>
                <w:kern w:val="2"/>
                <w:sz w:val="21"/>
                <w:szCs w:val="21"/>
                <w:lang w:val="en-US" w:eastAsia="zh-CN" w:bidi="ar-SA"/>
              </w:rPr>
              <w:t>（万元）</w:t>
            </w:r>
          </w:p>
        </w:tc>
        <w:tc>
          <w:tcPr>
            <w:tcW w:w="195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 xml:space="preserve"> 预算数：</w:t>
            </w: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200</w:t>
            </w: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 xml:space="preserve"> 执行数：</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jc w:val="center"/>
        </w:trPr>
        <w:tc>
          <w:tcPr>
            <w:tcW w:w="245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95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其中：</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财政拨款</w:t>
            </w: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200</w:t>
            </w: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其中：</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财政拨款</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1" w:hRule="atLeast"/>
          <w:jc w:val="center"/>
        </w:trPr>
        <w:tc>
          <w:tcPr>
            <w:tcW w:w="245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95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其他资金</w:t>
            </w: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其他资金</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7" w:hRule="atLeast"/>
          <w:jc w:val="center"/>
        </w:trPr>
        <w:tc>
          <w:tcPr>
            <w:tcW w:w="122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年度总体目标</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完成情况</w:t>
            </w:r>
          </w:p>
        </w:tc>
        <w:tc>
          <w:tcPr>
            <w:tcW w:w="5292"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预期目标</w:t>
            </w:r>
          </w:p>
        </w:tc>
        <w:tc>
          <w:tcPr>
            <w:tcW w:w="3773"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目标实际完成情况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7" w:hRule="atLeast"/>
          <w:jc w:val="center"/>
        </w:trPr>
        <w:tc>
          <w:tcPr>
            <w:tcW w:w="12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5292" w:type="dxa"/>
            <w:gridSpan w:val="3"/>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完成全年各项目标任务，完成市政府工作报告，完成政务信息工作任务等，确保大厅LED屏的正常运行</w:t>
            </w:r>
          </w:p>
        </w:tc>
        <w:tc>
          <w:tcPr>
            <w:tcW w:w="3773"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高质量完成全年各项目标任务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jc w:val="center"/>
        </w:trPr>
        <w:tc>
          <w:tcPr>
            <w:tcW w:w="122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年度绩效指标完成情况</w:t>
            </w:r>
          </w:p>
        </w:tc>
        <w:tc>
          <w:tcPr>
            <w:tcW w:w="123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一级指标</w:t>
            </w:r>
          </w:p>
        </w:tc>
        <w:tc>
          <w:tcPr>
            <w:tcW w:w="195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二级指标</w:t>
            </w: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三级指标</w:t>
            </w: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预期指标值</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实际完成指标值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jc w:val="center"/>
        </w:trPr>
        <w:tc>
          <w:tcPr>
            <w:tcW w:w="12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highlight w:val="none"/>
                <w:lang w:val="en-US" w:eastAsia="zh-CN" w:bidi="ar-SA"/>
              </w:rPr>
            </w:pPr>
          </w:p>
        </w:tc>
        <w:tc>
          <w:tcPr>
            <w:tcW w:w="123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完成指标</w:t>
            </w:r>
          </w:p>
        </w:tc>
        <w:tc>
          <w:tcPr>
            <w:tcW w:w="195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数量指标</w:t>
            </w: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维护LED</w:t>
            </w:r>
            <w:bookmarkStart w:id="128" w:name="hmjd_error_2_0_屏_黑马提示无建议_16262"/>
            <w:r>
              <w:rPr>
                <w:rFonts w:hint="eastAsia" w:ascii="Times New Roman" w:hAnsi="Times New Roman" w:eastAsia="仿宋_GB2312" w:cs="Times New Roman"/>
                <w:snapToGrid w:val="0"/>
                <w:kern w:val="2"/>
                <w:sz w:val="21"/>
                <w:szCs w:val="21"/>
                <w:highlight w:val="none"/>
                <w:lang w:val="en-US" w:eastAsia="zh-CN" w:bidi="ar-SA"/>
              </w:rPr>
              <w:t>屏</w:t>
            </w:r>
            <w:bookmarkEnd w:id="128"/>
            <w:r>
              <w:rPr>
                <w:rFonts w:hint="eastAsia" w:ascii="Times New Roman" w:hAnsi="Times New Roman" w:eastAsia="仿宋_GB2312" w:cs="Times New Roman"/>
                <w:snapToGrid w:val="0"/>
                <w:kern w:val="2"/>
                <w:sz w:val="21"/>
                <w:szCs w:val="21"/>
                <w:highlight w:val="none"/>
                <w:lang w:val="en-US" w:eastAsia="zh-CN" w:bidi="ar-SA"/>
              </w:rPr>
              <w:t>数量</w:t>
            </w: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1块</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1块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jc w:val="center"/>
        </w:trPr>
        <w:tc>
          <w:tcPr>
            <w:tcW w:w="12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23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950" w:type="dxa"/>
            <w:vMerge w:val="continue"/>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完成全年各项</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目标任务</w:t>
            </w: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完成市政府工作报告，完成政务信息工作任务，办理政务公开等工作</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完成市政府工作报告，完成政务信息工作任务，办理政务公开等工作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jc w:val="center"/>
        </w:trPr>
        <w:tc>
          <w:tcPr>
            <w:tcW w:w="12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23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950" w:type="dxa"/>
            <w:vMerge w:val="continue"/>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召开全市的</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各类会议</w:t>
            </w: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≧60次</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≧60次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jc w:val="center"/>
        </w:trPr>
        <w:tc>
          <w:tcPr>
            <w:tcW w:w="12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23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950" w:type="dxa"/>
            <w:vMerge w:val="continue"/>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公文写作培训</w:t>
            </w: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1次</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1次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jc w:val="center"/>
        </w:trPr>
        <w:tc>
          <w:tcPr>
            <w:tcW w:w="12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highlight w:val="none"/>
                <w:lang w:val="en-US" w:eastAsia="zh-CN" w:bidi="ar-SA"/>
              </w:rPr>
            </w:pPr>
          </w:p>
        </w:tc>
        <w:tc>
          <w:tcPr>
            <w:tcW w:w="1230" w:type="dxa"/>
            <w:vMerge w:val="continue"/>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highlight w:val="none"/>
                <w:lang w:val="en-US" w:eastAsia="zh-CN" w:bidi="ar-SA"/>
              </w:rPr>
            </w:pPr>
          </w:p>
        </w:tc>
        <w:tc>
          <w:tcPr>
            <w:tcW w:w="195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质量指标</w:t>
            </w: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LED</w:t>
            </w:r>
            <w:bookmarkStart w:id="129" w:name="hmjd_error_2_0_屏_黑马提示无建议_16403"/>
            <w:r>
              <w:rPr>
                <w:rFonts w:hint="eastAsia" w:ascii="Times New Roman" w:hAnsi="Times New Roman" w:eastAsia="仿宋_GB2312" w:cs="Times New Roman"/>
                <w:snapToGrid w:val="0"/>
                <w:kern w:val="2"/>
                <w:sz w:val="21"/>
                <w:szCs w:val="21"/>
                <w:highlight w:val="none"/>
                <w:lang w:val="en-US" w:eastAsia="zh-CN" w:bidi="ar-SA"/>
              </w:rPr>
              <w:t>屏</w:t>
            </w:r>
            <w:bookmarkEnd w:id="129"/>
            <w:r>
              <w:rPr>
                <w:rFonts w:hint="eastAsia" w:ascii="Times New Roman" w:hAnsi="Times New Roman" w:eastAsia="仿宋_GB2312" w:cs="Times New Roman"/>
                <w:snapToGrid w:val="0"/>
                <w:kern w:val="2"/>
                <w:sz w:val="21"/>
                <w:szCs w:val="21"/>
                <w:highlight w:val="none"/>
                <w:lang w:val="en-US" w:eastAsia="zh-CN" w:bidi="ar-SA"/>
              </w:rPr>
              <w:t>正常</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使用率</w:t>
            </w: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≧99%</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jc w:val="center"/>
        </w:trPr>
        <w:tc>
          <w:tcPr>
            <w:tcW w:w="12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230" w:type="dxa"/>
            <w:vMerge w:val="continue"/>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950" w:type="dxa"/>
            <w:vMerge w:val="continue"/>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全年各项目标任务完成率</w:t>
            </w: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全年各项目标任务完成率达到百分之九十五以上</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jc w:val="center"/>
        </w:trPr>
        <w:tc>
          <w:tcPr>
            <w:tcW w:w="12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230" w:type="dxa"/>
            <w:vMerge w:val="continue"/>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950" w:type="dxa"/>
            <w:vMerge w:val="continue"/>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公文写作</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培训效果</w:t>
            </w: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提高全市机关事业单位人员公文写作水平</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提高了全市机关事业单位人员公文写作水平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jc w:val="center"/>
        </w:trPr>
        <w:tc>
          <w:tcPr>
            <w:tcW w:w="12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230" w:type="dxa"/>
            <w:vMerge w:val="continue"/>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95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时效指标</w:t>
            </w: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完成时限</w:t>
            </w: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2021年12月底前</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2021年12月底前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2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230" w:type="dxa"/>
            <w:vMerge w:val="continue"/>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950"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成本指标</w:t>
            </w: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大厅LED运行及各项工作完成成本</w:t>
            </w: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≦200万元</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≦200万元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2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23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效益</w:t>
            </w:r>
            <w:r>
              <w:rPr>
                <w:rFonts w:hint="eastAsia" w:ascii="Times New Roman" w:hAnsi="Times New Roman" w:eastAsia="仿宋_GB2312" w:cs="Times New Roman"/>
                <w:snapToGrid w:val="0"/>
                <w:kern w:val="2"/>
                <w:sz w:val="21"/>
                <w:szCs w:val="21"/>
                <w:lang w:val="en-US" w:eastAsia="zh-CN" w:bidi="ar-SA"/>
              </w:rPr>
              <w:br w:type="textWrapping"/>
            </w:r>
            <w:r>
              <w:rPr>
                <w:rFonts w:hint="eastAsia" w:ascii="Times New Roman" w:hAnsi="Times New Roman" w:eastAsia="仿宋_GB2312" w:cs="Times New Roman"/>
                <w:snapToGrid w:val="0"/>
                <w:kern w:val="2"/>
                <w:sz w:val="21"/>
                <w:szCs w:val="21"/>
                <w:lang w:val="en-US" w:eastAsia="zh-CN" w:bidi="ar-SA"/>
              </w:rPr>
              <w:t>指标</w:t>
            </w:r>
          </w:p>
        </w:tc>
        <w:tc>
          <w:tcPr>
            <w:tcW w:w="1950"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经济效益指标</w:t>
            </w: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2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230" w:type="dxa"/>
            <w:vMerge w:val="continue"/>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95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社会效益指标</w:t>
            </w: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政府信息公示</w:t>
            </w:r>
            <w:bookmarkStart w:id="130" w:name="hmjd_error_2_0_度_黑马提示无建议_16625"/>
            <w:r>
              <w:rPr>
                <w:rFonts w:hint="eastAsia" w:ascii="Times New Roman" w:hAnsi="Times New Roman" w:eastAsia="仿宋_GB2312" w:cs="Times New Roman"/>
                <w:snapToGrid w:val="0"/>
                <w:kern w:val="2"/>
                <w:sz w:val="21"/>
                <w:szCs w:val="21"/>
                <w:highlight w:val="none"/>
                <w:lang w:val="en-US" w:eastAsia="zh-CN" w:bidi="ar-SA"/>
              </w:rPr>
              <w:t>度</w:t>
            </w:r>
            <w:bookmarkEnd w:id="130"/>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highlight w:val="none"/>
                <w:lang w:val="en-US" w:eastAsia="zh-CN" w:bidi="ar-SA"/>
              </w:rPr>
            </w:pPr>
            <w:r>
              <w:rPr>
                <w:rFonts w:hint="eastAsia" w:ascii="Times New Roman" w:hAnsi="Times New Roman" w:eastAsia="仿宋_GB2312" w:cs="Times New Roman"/>
                <w:snapToGrid w:val="0"/>
                <w:kern w:val="2"/>
                <w:sz w:val="21"/>
                <w:szCs w:val="21"/>
                <w:highlight w:val="none"/>
                <w:lang w:val="en-US" w:eastAsia="zh-CN" w:bidi="ar-SA"/>
              </w:rPr>
              <w:t>≧99%</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2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230" w:type="dxa"/>
            <w:vMerge w:val="continue"/>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950" w:type="dxa"/>
            <w:vMerge w:val="continue"/>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确保市政府各项工作和服务的正常运行</w:t>
            </w: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确保市政府各项工作和服务的正常运行</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确保市政府各项工作和服务的正常运行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7" w:hRule="atLeast"/>
          <w:jc w:val="center"/>
        </w:trPr>
        <w:tc>
          <w:tcPr>
            <w:tcW w:w="12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230" w:type="dxa"/>
            <w:vMerge w:val="continue"/>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95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生态效益指标</w:t>
            </w: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2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230" w:type="dxa"/>
            <w:vMerge w:val="continue"/>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95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可持续影响指标</w:t>
            </w: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年度工作完成情况</w:t>
            </w: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保障当年度政府工作的及时有效完成</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保障当年度政府工作的及时有效完成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0" w:hRule="atLeast"/>
          <w:jc w:val="center"/>
        </w:trPr>
        <w:tc>
          <w:tcPr>
            <w:tcW w:w="122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p>
        </w:tc>
        <w:tc>
          <w:tcPr>
            <w:tcW w:w="1230"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满意</w:t>
            </w:r>
            <w:r>
              <w:rPr>
                <w:rFonts w:hint="eastAsia" w:ascii="Times New Roman" w:hAnsi="Times New Roman" w:eastAsia="仿宋_GB2312" w:cs="Times New Roman"/>
                <w:snapToGrid w:val="0"/>
                <w:kern w:val="2"/>
                <w:sz w:val="21"/>
                <w:szCs w:val="21"/>
                <w:lang w:val="en-US" w:eastAsia="zh-CN" w:bidi="ar-SA"/>
              </w:rPr>
              <w:br w:type="textWrapping"/>
            </w:r>
            <w:r>
              <w:rPr>
                <w:rFonts w:hint="eastAsia" w:ascii="Times New Roman" w:hAnsi="Times New Roman" w:eastAsia="仿宋_GB2312" w:cs="Times New Roman"/>
                <w:snapToGrid w:val="0"/>
                <w:kern w:val="2"/>
                <w:sz w:val="21"/>
                <w:szCs w:val="21"/>
                <w:lang w:val="en-US" w:eastAsia="zh-CN" w:bidi="ar-SA"/>
              </w:rPr>
              <w:t>度指标</w:t>
            </w:r>
          </w:p>
        </w:tc>
        <w:tc>
          <w:tcPr>
            <w:tcW w:w="195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满意度指标</w:t>
            </w:r>
          </w:p>
        </w:tc>
        <w:tc>
          <w:tcPr>
            <w:tcW w:w="21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服务对象满意度指标</w:t>
            </w:r>
          </w:p>
        </w:tc>
        <w:tc>
          <w:tcPr>
            <w:tcW w:w="224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公众对政府满意度</w:t>
            </w:r>
          </w:p>
        </w:tc>
        <w:tc>
          <w:tcPr>
            <w:tcW w:w="152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_GB2312" w:cs="Times New Roman"/>
                <w:snapToGrid w:val="0"/>
                <w:kern w:val="2"/>
                <w:sz w:val="21"/>
                <w:szCs w:val="21"/>
                <w:lang w:val="en-US" w:eastAsia="zh-CN" w:bidi="ar-SA"/>
              </w:rPr>
            </w:pPr>
            <w:r>
              <w:rPr>
                <w:rFonts w:hint="eastAsia" w:ascii="Times New Roman" w:hAnsi="Times New Roman" w:eastAsia="仿宋_GB2312" w:cs="Times New Roman"/>
                <w:snapToGrid w:val="0"/>
                <w:kern w:val="2"/>
                <w:sz w:val="21"/>
                <w:szCs w:val="21"/>
                <w:lang w:val="en-US" w:eastAsia="zh-CN" w:bidi="ar-SA"/>
              </w:rPr>
              <w:t>100%</w:t>
            </w:r>
          </w:p>
        </w:tc>
      </w:tr>
    </w:tbl>
    <w:p>
      <w:pPr>
        <w:widowControl/>
        <w:adjustRightInd w:val="0"/>
        <w:snapToGrid w:val="0"/>
        <w:spacing w:line="580" w:lineRule="exact"/>
        <w:contextualSpacing/>
        <w:jc w:val="left"/>
        <w:rPr>
          <w:rFonts w:hint="eastAsia" w:ascii="仿宋_GB2312" w:hAnsi="宋体" w:eastAsia="仿宋_GB2312" w:cs="宋体"/>
          <w:color w:val="000000"/>
          <w:kern w:val="0"/>
          <w:sz w:val="32"/>
          <w:szCs w:val="32"/>
          <w:shd w:val="clear" w:color="auto" w:fill="FFFFFF"/>
          <w:lang w:val="en-US" w:eastAsia="zh-CN"/>
        </w:rPr>
      </w:pPr>
    </w:p>
    <w:p>
      <w:pPr>
        <w:spacing w:line="600" w:lineRule="exact"/>
        <w:jc w:val="center"/>
        <w:outlineLvl w:val="0"/>
        <w:rPr>
          <w:rFonts w:hint="eastAsia" w:ascii="黑体" w:hAnsi="黑体" w:eastAsia="黑体"/>
          <w:color w:val="auto"/>
          <w:sz w:val="44"/>
          <w:szCs w:val="44"/>
          <w:highlight w:val="none"/>
        </w:rPr>
      </w:pPr>
      <w:bookmarkStart w:id="131" w:name="_Toc2014270657_WPSOffice_Level1"/>
    </w:p>
    <w:p>
      <w:pPr>
        <w:spacing w:line="600" w:lineRule="exact"/>
        <w:jc w:val="center"/>
        <w:outlineLvl w:val="0"/>
        <w:rPr>
          <w:rFonts w:hint="eastAsia" w:ascii="黑体" w:hAnsi="黑体" w:eastAsia="黑体"/>
          <w:color w:val="auto"/>
          <w:sz w:val="44"/>
          <w:szCs w:val="44"/>
          <w:highlight w:val="none"/>
        </w:rPr>
      </w:pPr>
    </w:p>
    <w:p>
      <w:pPr>
        <w:spacing w:line="600" w:lineRule="exact"/>
        <w:jc w:val="center"/>
        <w:outlineLvl w:val="0"/>
        <w:rPr>
          <w:rFonts w:hint="eastAsia" w:ascii="黑体" w:hAnsi="黑体" w:eastAsia="黑体"/>
          <w:color w:val="auto"/>
          <w:sz w:val="44"/>
          <w:szCs w:val="44"/>
          <w:highlight w:val="none"/>
        </w:rPr>
      </w:pPr>
    </w:p>
    <w:p>
      <w:pPr>
        <w:spacing w:line="600" w:lineRule="exact"/>
        <w:jc w:val="center"/>
        <w:outlineLvl w:val="0"/>
        <w:rPr>
          <w:rFonts w:hint="eastAsia" w:ascii="黑体" w:hAnsi="黑体" w:eastAsia="黑体"/>
          <w:color w:val="auto"/>
          <w:sz w:val="44"/>
          <w:szCs w:val="44"/>
          <w:highlight w:val="none"/>
        </w:rPr>
      </w:pPr>
    </w:p>
    <w:p>
      <w:pPr>
        <w:spacing w:line="600" w:lineRule="exact"/>
        <w:jc w:val="center"/>
        <w:outlineLvl w:val="0"/>
        <w:rPr>
          <w:rFonts w:hint="eastAsia" w:ascii="黑体" w:hAnsi="黑体" w:eastAsia="黑体"/>
          <w:color w:val="auto"/>
          <w:sz w:val="44"/>
          <w:szCs w:val="44"/>
          <w:highlight w:val="none"/>
        </w:rPr>
      </w:pPr>
    </w:p>
    <w:p>
      <w:pPr>
        <w:spacing w:line="600" w:lineRule="exact"/>
        <w:jc w:val="center"/>
        <w:outlineLvl w:val="0"/>
        <w:rPr>
          <w:rFonts w:hint="eastAsia" w:ascii="黑体" w:hAnsi="黑体" w:eastAsia="黑体"/>
          <w:color w:val="auto"/>
          <w:sz w:val="44"/>
          <w:szCs w:val="44"/>
          <w:highlight w:val="none"/>
        </w:rPr>
      </w:pPr>
    </w:p>
    <w:p>
      <w:pPr>
        <w:spacing w:line="600" w:lineRule="exact"/>
        <w:jc w:val="center"/>
        <w:outlineLvl w:val="0"/>
        <w:rPr>
          <w:rFonts w:hint="eastAsia" w:ascii="黑体" w:hAnsi="黑体" w:eastAsia="黑体"/>
          <w:color w:val="auto"/>
          <w:sz w:val="44"/>
          <w:szCs w:val="44"/>
          <w:highlight w:val="none"/>
        </w:rPr>
      </w:pPr>
    </w:p>
    <w:p>
      <w:pPr>
        <w:spacing w:line="600" w:lineRule="exact"/>
        <w:jc w:val="center"/>
        <w:outlineLvl w:val="0"/>
        <w:rPr>
          <w:rFonts w:hint="eastAsia" w:ascii="黑体" w:hAnsi="黑体" w:eastAsia="黑体"/>
          <w:color w:val="auto"/>
          <w:sz w:val="44"/>
          <w:szCs w:val="44"/>
          <w:highlight w:val="none"/>
        </w:rPr>
      </w:pPr>
    </w:p>
    <w:p>
      <w:pPr>
        <w:spacing w:line="600" w:lineRule="exact"/>
        <w:jc w:val="center"/>
        <w:outlineLvl w:val="0"/>
        <w:rPr>
          <w:rFonts w:hint="eastAsia" w:ascii="黑体" w:hAnsi="黑体" w:eastAsia="黑体"/>
          <w:color w:val="auto"/>
          <w:sz w:val="44"/>
          <w:szCs w:val="44"/>
          <w:highlight w:val="none"/>
        </w:rPr>
      </w:pPr>
    </w:p>
    <w:p>
      <w:pPr>
        <w:spacing w:line="600" w:lineRule="exact"/>
        <w:jc w:val="center"/>
        <w:outlineLvl w:val="0"/>
        <w:rPr>
          <w:rFonts w:hint="eastAsia" w:ascii="黑体" w:hAnsi="黑体" w:eastAsia="黑体"/>
          <w:color w:val="auto"/>
          <w:sz w:val="44"/>
          <w:szCs w:val="44"/>
          <w:highlight w:val="none"/>
        </w:rPr>
      </w:pPr>
    </w:p>
    <w:p>
      <w:pPr>
        <w:spacing w:line="600" w:lineRule="exact"/>
        <w:jc w:val="center"/>
        <w:outlineLvl w:val="0"/>
        <w:rPr>
          <w:rFonts w:hint="eastAsia" w:ascii="黑体" w:hAnsi="黑体" w:eastAsia="黑体"/>
          <w:color w:val="auto"/>
          <w:sz w:val="44"/>
          <w:szCs w:val="44"/>
          <w:highlight w:val="none"/>
        </w:rPr>
      </w:pPr>
    </w:p>
    <w:p>
      <w:pPr>
        <w:spacing w:line="600" w:lineRule="exact"/>
        <w:jc w:val="center"/>
        <w:outlineLvl w:val="0"/>
        <w:rPr>
          <w:rFonts w:hint="eastAsia" w:ascii="黑体" w:hAnsi="黑体" w:eastAsia="黑体"/>
          <w:color w:val="auto"/>
          <w:sz w:val="44"/>
          <w:szCs w:val="44"/>
          <w:highlight w:val="none"/>
        </w:rPr>
      </w:pPr>
    </w:p>
    <w:p>
      <w:pPr>
        <w:spacing w:line="600" w:lineRule="exact"/>
        <w:jc w:val="center"/>
        <w:outlineLvl w:val="0"/>
        <w:rPr>
          <w:rFonts w:hint="eastAsia" w:ascii="黑体" w:hAnsi="黑体" w:eastAsia="黑体"/>
          <w:color w:val="auto"/>
          <w:sz w:val="44"/>
          <w:szCs w:val="44"/>
          <w:highlight w:val="none"/>
        </w:rPr>
      </w:pPr>
    </w:p>
    <w:p>
      <w:pPr>
        <w:spacing w:line="600" w:lineRule="exact"/>
        <w:jc w:val="center"/>
        <w:outlineLvl w:val="0"/>
        <w:rPr>
          <w:rFonts w:hint="eastAsia" w:ascii="黑体" w:hAnsi="黑体" w:eastAsia="黑体"/>
          <w:color w:val="auto"/>
          <w:sz w:val="44"/>
          <w:szCs w:val="44"/>
          <w:highlight w:val="none"/>
        </w:rPr>
      </w:pPr>
    </w:p>
    <w:p>
      <w:pPr>
        <w:spacing w:line="600" w:lineRule="exact"/>
        <w:jc w:val="center"/>
        <w:outlineLvl w:val="0"/>
        <w:rPr>
          <w:rFonts w:hint="eastAsia" w:ascii="黑体" w:hAnsi="黑体" w:eastAsia="黑体"/>
          <w:color w:val="auto"/>
          <w:sz w:val="44"/>
          <w:szCs w:val="44"/>
          <w:highlight w:val="none"/>
        </w:rPr>
      </w:pPr>
    </w:p>
    <w:p>
      <w:pPr>
        <w:spacing w:line="600" w:lineRule="exact"/>
        <w:jc w:val="center"/>
        <w:outlineLvl w:val="0"/>
        <w:rPr>
          <w:rFonts w:hint="eastAsia" w:ascii="黑体" w:hAnsi="黑体" w:eastAsia="黑体"/>
          <w:color w:val="auto"/>
          <w:sz w:val="44"/>
          <w:szCs w:val="44"/>
          <w:highlight w:val="none"/>
        </w:rPr>
      </w:pPr>
    </w:p>
    <w:p>
      <w:pPr>
        <w:spacing w:line="600" w:lineRule="exact"/>
        <w:jc w:val="center"/>
        <w:outlineLvl w:val="0"/>
        <w:rPr>
          <w:rStyle w:val="25"/>
          <w:rFonts w:hint="eastAsia" w:ascii="方正小标宋_GBK" w:hAnsi="方正小标宋_GBK" w:eastAsia="方正小标宋_GBK" w:cs="方正小标宋_GBK"/>
          <w:b w:val="0"/>
          <w:color w:val="auto"/>
          <w:highlight w:val="none"/>
        </w:rPr>
      </w:pPr>
      <w:r>
        <w:rPr>
          <w:rFonts w:hint="eastAsia" w:ascii="方正小标宋_GBK" w:hAnsi="方正小标宋_GBK" w:eastAsia="方正小标宋_GBK" w:cs="方正小标宋_GBK"/>
          <w:color w:val="auto"/>
          <w:sz w:val="44"/>
          <w:szCs w:val="44"/>
          <w:highlight w:val="none"/>
        </w:rPr>
        <w:t>第</w:t>
      </w:r>
      <w:r>
        <w:rPr>
          <w:rStyle w:val="25"/>
          <w:rFonts w:hint="eastAsia" w:ascii="方正小标宋_GBK" w:hAnsi="方正小标宋_GBK" w:eastAsia="方正小标宋_GBK" w:cs="方正小标宋_GBK"/>
          <w:b w:val="0"/>
          <w:color w:val="auto"/>
          <w:highlight w:val="none"/>
        </w:rPr>
        <w:t>五部分</w:t>
      </w:r>
      <w:r>
        <w:rPr>
          <w:rStyle w:val="25"/>
          <w:rFonts w:hint="eastAsia" w:ascii="方正小标宋_GBK" w:hAnsi="方正小标宋_GBK" w:eastAsia="方正小标宋_GBK" w:cs="方正小标宋_GBK"/>
          <w:b w:val="0"/>
          <w:color w:val="auto"/>
          <w:highlight w:val="none"/>
          <w:lang w:eastAsia="zh-CN"/>
        </w:rPr>
        <w:t>　</w:t>
      </w:r>
      <w:r>
        <w:rPr>
          <w:rStyle w:val="25"/>
          <w:rFonts w:hint="eastAsia" w:ascii="方正小标宋_GBK" w:hAnsi="方正小标宋_GBK" w:eastAsia="方正小标宋_GBK" w:cs="方正小标宋_GBK"/>
          <w:b w:val="0"/>
          <w:color w:val="auto"/>
          <w:highlight w:val="none"/>
        </w:rPr>
        <w:t>附表</w:t>
      </w:r>
      <w:bookmarkEnd w:id="102"/>
      <w:bookmarkEnd w:id="105"/>
      <w:bookmarkEnd w:id="131"/>
      <w:bookmarkStart w:id="132" w:name="_Toc15396619"/>
    </w:p>
    <w:p>
      <w:pPr>
        <w:pStyle w:val="2"/>
        <w:rPr>
          <w:rFonts w:hint="eastAsia"/>
          <w:sz w:val="13"/>
          <w:szCs w:val="13"/>
          <w:lang w:eastAsia="zh-CN"/>
        </w:rPr>
      </w:pPr>
    </w:p>
    <w:p>
      <w:pPr>
        <w:pStyle w:val="4"/>
        <w:rPr>
          <w:rFonts w:hint="eastAsia" w:ascii="仿宋_GB2312" w:hAnsi="仿宋_GB2312" w:eastAsia="仿宋_GB2312" w:cs="仿宋_GB2312"/>
          <w:color w:val="auto"/>
          <w:sz w:val="32"/>
          <w:szCs w:val="32"/>
          <w:highlight w:val="none"/>
        </w:rPr>
      </w:pPr>
      <w:bookmarkStart w:id="133" w:name="_Toc1470956776_WPSOffice_Level2"/>
      <w:r>
        <w:rPr>
          <w:rFonts w:hint="eastAsia" w:ascii="仿宋" w:hAnsi="仿宋" w:eastAsia="仿宋"/>
          <w:b w:val="0"/>
          <w:color w:val="auto"/>
          <w:highlight w:val="none"/>
          <w:lang w:eastAsia="zh-CN"/>
        </w:rPr>
        <w:t>　　</w:t>
      </w:r>
      <w:r>
        <w:rPr>
          <w:rFonts w:hint="eastAsia" w:ascii="仿宋_GB2312" w:hAnsi="仿宋_GB2312" w:eastAsia="仿宋_GB2312" w:cs="仿宋_GB2312"/>
          <w:b w:val="0"/>
          <w:color w:val="auto"/>
          <w:sz w:val="32"/>
          <w:szCs w:val="32"/>
          <w:highlight w:val="none"/>
        </w:rPr>
        <w:t>一、收</w:t>
      </w:r>
      <w:r>
        <w:rPr>
          <w:rStyle w:val="26"/>
          <w:rFonts w:hint="eastAsia" w:ascii="仿宋_GB2312" w:hAnsi="仿宋_GB2312" w:eastAsia="仿宋_GB2312" w:cs="仿宋_GB2312"/>
          <w:b w:val="0"/>
          <w:bCs w:val="0"/>
          <w:color w:val="auto"/>
          <w:sz w:val="32"/>
          <w:szCs w:val="32"/>
          <w:highlight w:val="none"/>
        </w:rPr>
        <w:t>入支出决算总表</w:t>
      </w:r>
      <w:bookmarkEnd w:id="132"/>
      <w:bookmarkEnd w:id="133"/>
    </w:p>
    <w:p>
      <w:pPr>
        <w:pStyle w:val="4"/>
        <w:rPr>
          <w:rFonts w:hint="eastAsia" w:ascii="仿宋_GB2312" w:hAnsi="仿宋_GB2312" w:eastAsia="仿宋_GB2312" w:cs="仿宋_GB2312"/>
          <w:color w:val="auto"/>
          <w:sz w:val="32"/>
          <w:szCs w:val="32"/>
          <w:highlight w:val="none"/>
        </w:rPr>
      </w:pPr>
      <w:bookmarkStart w:id="134" w:name="_Toc15396620"/>
      <w:bookmarkStart w:id="135" w:name="_Toc191988306_WPSOffice_Level2"/>
      <w:r>
        <w:rPr>
          <w:rFonts w:hint="eastAsia" w:ascii="仿宋_GB2312" w:hAnsi="仿宋_GB2312" w:eastAsia="仿宋_GB2312" w:cs="仿宋_GB2312"/>
          <w:b w:val="0"/>
          <w:color w:val="auto"/>
          <w:sz w:val="32"/>
          <w:szCs w:val="32"/>
          <w:highlight w:val="none"/>
          <w:lang w:eastAsia="zh-CN"/>
        </w:rPr>
        <w:t>　　</w:t>
      </w:r>
      <w:r>
        <w:rPr>
          <w:rFonts w:hint="eastAsia" w:ascii="仿宋_GB2312" w:hAnsi="仿宋_GB2312" w:eastAsia="仿宋_GB2312" w:cs="仿宋_GB2312"/>
          <w:b w:val="0"/>
          <w:color w:val="auto"/>
          <w:sz w:val="32"/>
          <w:szCs w:val="32"/>
          <w:highlight w:val="none"/>
        </w:rPr>
        <w:t>二、收</w:t>
      </w:r>
      <w:r>
        <w:rPr>
          <w:rStyle w:val="26"/>
          <w:rFonts w:hint="eastAsia" w:ascii="仿宋_GB2312" w:hAnsi="仿宋_GB2312" w:eastAsia="仿宋_GB2312" w:cs="仿宋_GB2312"/>
          <w:b w:val="0"/>
          <w:bCs w:val="0"/>
          <w:color w:val="auto"/>
          <w:sz w:val="32"/>
          <w:szCs w:val="32"/>
          <w:highlight w:val="none"/>
        </w:rPr>
        <w:t>入决算表</w:t>
      </w:r>
      <w:bookmarkEnd w:id="134"/>
      <w:bookmarkEnd w:id="135"/>
    </w:p>
    <w:p>
      <w:pPr>
        <w:pStyle w:val="4"/>
        <w:rPr>
          <w:rFonts w:hint="eastAsia" w:ascii="仿宋_GB2312" w:hAnsi="仿宋_GB2312" w:eastAsia="仿宋_GB2312" w:cs="仿宋_GB2312"/>
          <w:color w:val="auto"/>
          <w:sz w:val="32"/>
          <w:szCs w:val="32"/>
          <w:highlight w:val="none"/>
        </w:rPr>
      </w:pPr>
      <w:bookmarkStart w:id="136" w:name="_Toc1184303042_WPSOffice_Level2"/>
      <w:bookmarkStart w:id="137" w:name="_Toc15396621"/>
      <w:r>
        <w:rPr>
          <w:rStyle w:val="26"/>
          <w:rFonts w:hint="eastAsia" w:ascii="仿宋_GB2312" w:hAnsi="仿宋_GB2312" w:eastAsia="仿宋_GB2312" w:cs="仿宋_GB2312"/>
          <w:b w:val="0"/>
          <w:bCs w:val="0"/>
          <w:color w:val="auto"/>
          <w:sz w:val="32"/>
          <w:szCs w:val="32"/>
          <w:highlight w:val="none"/>
          <w:lang w:eastAsia="zh-CN"/>
        </w:rPr>
        <w:t>　　</w:t>
      </w:r>
      <w:r>
        <w:rPr>
          <w:rStyle w:val="26"/>
          <w:rFonts w:hint="eastAsia" w:ascii="仿宋_GB2312" w:hAnsi="仿宋_GB2312" w:eastAsia="仿宋_GB2312" w:cs="仿宋_GB2312"/>
          <w:b w:val="0"/>
          <w:bCs w:val="0"/>
          <w:color w:val="auto"/>
          <w:sz w:val="32"/>
          <w:szCs w:val="32"/>
          <w:highlight w:val="none"/>
        </w:rPr>
        <w:t>三、</w:t>
      </w:r>
      <w:r>
        <w:rPr>
          <w:rFonts w:hint="eastAsia" w:ascii="仿宋_GB2312" w:hAnsi="仿宋_GB2312" w:eastAsia="仿宋_GB2312" w:cs="仿宋_GB2312"/>
          <w:b w:val="0"/>
          <w:color w:val="auto"/>
          <w:sz w:val="32"/>
          <w:szCs w:val="32"/>
          <w:highlight w:val="none"/>
        </w:rPr>
        <w:t>支</w:t>
      </w:r>
      <w:r>
        <w:rPr>
          <w:rStyle w:val="26"/>
          <w:rFonts w:hint="eastAsia" w:ascii="仿宋_GB2312" w:hAnsi="仿宋_GB2312" w:eastAsia="仿宋_GB2312" w:cs="仿宋_GB2312"/>
          <w:b w:val="0"/>
          <w:bCs w:val="0"/>
          <w:color w:val="auto"/>
          <w:sz w:val="32"/>
          <w:szCs w:val="32"/>
          <w:highlight w:val="none"/>
        </w:rPr>
        <w:t>出决算表</w:t>
      </w:r>
      <w:bookmarkEnd w:id="136"/>
      <w:bookmarkEnd w:id="137"/>
    </w:p>
    <w:p>
      <w:pPr>
        <w:pStyle w:val="4"/>
        <w:rPr>
          <w:rFonts w:hint="eastAsia" w:ascii="仿宋_GB2312" w:hAnsi="仿宋_GB2312" w:eastAsia="仿宋_GB2312" w:cs="仿宋_GB2312"/>
          <w:b w:val="0"/>
          <w:color w:val="auto"/>
          <w:sz w:val="32"/>
          <w:szCs w:val="32"/>
          <w:highlight w:val="none"/>
        </w:rPr>
      </w:pPr>
      <w:bookmarkStart w:id="138" w:name="_Toc15396622"/>
      <w:bookmarkStart w:id="139" w:name="_Toc1716176376_WPSOffice_Level2"/>
      <w:r>
        <w:rPr>
          <w:rStyle w:val="26"/>
          <w:rFonts w:hint="eastAsia" w:ascii="仿宋_GB2312" w:hAnsi="仿宋_GB2312" w:eastAsia="仿宋_GB2312" w:cs="仿宋_GB2312"/>
          <w:b w:val="0"/>
          <w:bCs w:val="0"/>
          <w:color w:val="auto"/>
          <w:sz w:val="32"/>
          <w:szCs w:val="32"/>
          <w:highlight w:val="none"/>
          <w:lang w:eastAsia="zh-CN"/>
        </w:rPr>
        <w:t>　　</w:t>
      </w:r>
      <w:r>
        <w:rPr>
          <w:rStyle w:val="26"/>
          <w:rFonts w:hint="eastAsia" w:ascii="仿宋_GB2312" w:hAnsi="仿宋_GB2312" w:eastAsia="仿宋_GB2312" w:cs="仿宋_GB2312"/>
          <w:b w:val="0"/>
          <w:bCs w:val="0"/>
          <w:color w:val="auto"/>
          <w:sz w:val="32"/>
          <w:szCs w:val="32"/>
          <w:highlight w:val="none"/>
        </w:rPr>
        <w:t>四、</w:t>
      </w:r>
      <w:r>
        <w:rPr>
          <w:rFonts w:hint="eastAsia" w:ascii="仿宋_GB2312" w:hAnsi="仿宋_GB2312" w:eastAsia="仿宋_GB2312" w:cs="仿宋_GB2312"/>
          <w:b w:val="0"/>
          <w:color w:val="auto"/>
          <w:sz w:val="32"/>
          <w:szCs w:val="32"/>
          <w:highlight w:val="none"/>
        </w:rPr>
        <w:t>财</w:t>
      </w:r>
      <w:r>
        <w:rPr>
          <w:rStyle w:val="26"/>
          <w:rFonts w:hint="eastAsia" w:ascii="仿宋_GB2312" w:hAnsi="仿宋_GB2312" w:eastAsia="仿宋_GB2312" w:cs="仿宋_GB2312"/>
          <w:b w:val="0"/>
          <w:bCs w:val="0"/>
          <w:color w:val="auto"/>
          <w:sz w:val="32"/>
          <w:szCs w:val="32"/>
          <w:highlight w:val="none"/>
        </w:rPr>
        <w:t>政拨款收入支出决算总表</w:t>
      </w:r>
      <w:bookmarkEnd w:id="138"/>
      <w:bookmarkEnd w:id="139"/>
    </w:p>
    <w:p>
      <w:pPr>
        <w:pStyle w:val="4"/>
        <w:rPr>
          <w:rStyle w:val="26"/>
          <w:rFonts w:hint="eastAsia" w:ascii="仿宋_GB2312" w:hAnsi="仿宋_GB2312" w:eastAsia="仿宋_GB2312" w:cs="仿宋_GB2312"/>
          <w:b w:val="0"/>
          <w:bCs w:val="0"/>
          <w:color w:val="auto"/>
          <w:sz w:val="32"/>
          <w:szCs w:val="32"/>
          <w:highlight w:val="none"/>
        </w:rPr>
      </w:pPr>
      <w:bookmarkStart w:id="140" w:name="_Toc15396623"/>
      <w:r>
        <w:rPr>
          <w:rStyle w:val="26"/>
          <w:rFonts w:hint="eastAsia" w:ascii="仿宋_GB2312" w:hAnsi="仿宋_GB2312" w:eastAsia="仿宋_GB2312" w:cs="仿宋_GB2312"/>
          <w:b w:val="0"/>
          <w:bCs w:val="0"/>
          <w:color w:val="auto"/>
          <w:sz w:val="32"/>
          <w:szCs w:val="32"/>
          <w:highlight w:val="none"/>
          <w:lang w:eastAsia="zh-CN"/>
        </w:rPr>
        <w:t>　　</w:t>
      </w:r>
      <w:bookmarkStart w:id="141" w:name="_Toc170801999_WPSOffice_Level2"/>
      <w:r>
        <w:rPr>
          <w:rStyle w:val="26"/>
          <w:rFonts w:hint="eastAsia" w:ascii="仿宋_GB2312" w:hAnsi="仿宋_GB2312" w:eastAsia="仿宋_GB2312" w:cs="仿宋_GB2312"/>
          <w:b w:val="0"/>
          <w:bCs w:val="0"/>
          <w:color w:val="auto"/>
          <w:sz w:val="32"/>
          <w:szCs w:val="32"/>
          <w:highlight w:val="none"/>
        </w:rPr>
        <w:t>五、</w:t>
      </w:r>
      <w:r>
        <w:rPr>
          <w:rFonts w:hint="eastAsia" w:ascii="仿宋_GB2312" w:hAnsi="仿宋_GB2312" w:eastAsia="仿宋_GB2312" w:cs="仿宋_GB2312"/>
          <w:b w:val="0"/>
          <w:color w:val="auto"/>
          <w:sz w:val="32"/>
          <w:szCs w:val="32"/>
          <w:highlight w:val="none"/>
        </w:rPr>
        <w:t>财</w:t>
      </w:r>
      <w:r>
        <w:rPr>
          <w:rStyle w:val="26"/>
          <w:rFonts w:hint="eastAsia" w:ascii="仿宋_GB2312" w:hAnsi="仿宋_GB2312" w:eastAsia="仿宋_GB2312" w:cs="仿宋_GB2312"/>
          <w:b w:val="0"/>
          <w:bCs w:val="0"/>
          <w:color w:val="auto"/>
          <w:sz w:val="32"/>
          <w:szCs w:val="32"/>
          <w:highlight w:val="none"/>
        </w:rPr>
        <w:t>政拨款支出决算明细表</w:t>
      </w:r>
      <w:bookmarkEnd w:id="140"/>
      <w:bookmarkEnd w:id="141"/>
      <w:bookmarkStart w:id="142" w:name="_Toc15396624"/>
    </w:p>
    <w:p>
      <w:pPr>
        <w:pStyle w:val="4"/>
        <w:rPr>
          <w:rFonts w:hint="eastAsia" w:ascii="仿宋_GB2312" w:hAnsi="仿宋_GB2312" w:eastAsia="仿宋_GB2312" w:cs="仿宋_GB2312"/>
          <w:color w:val="auto"/>
          <w:sz w:val="32"/>
          <w:szCs w:val="32"/>
          <w:highlight w:val="none"/>
        </w:rPr>
      </w:pPr>
      <w:bookmarkStart w:id="143" w:name="_Toc266113977_WPSOffice_Level2"/>
      <w:r>
        <w:rPr>
          <w:rStyle w:val="26"/>
          <w:rFonts w:hint="eastAsia" w:ascii="仿宋_GB2312" w:hAnsi="仿宋_GB2312" w:eastAsia="仿宋_GB2312" w:cs="仿宋_GB2312"/>
          <w:b w:val="0"/>
          <w:bCs w:val="0"/>
          <w:color w:val="auto"/>
          <w:sz w:val="32"/>
          <w:szCs w:val="32"/>
          <w:highlight w:val="none"/>
          <w:lang w:eastAsia="zh-CN"/>
        </w:rPr>
        <w:t>　　</w:t>
      </w:r>
      <w:r>
        <w:rPr>
          <w:rStyle w:val="26"/>
          <w:rFonts w:hint="eastAsia" w:ascii="仿宋_GB2312" w:hAnsi="仿宋_GB2312" w:eastAsia="仿宋_GB2312" w:cs="仿宋_GB2312"/>
          <w:b w:val="0"/>
          <w:bCs w:val="0"/>
          <w:color w:val="auto"/>
          <w:sz w:val="32"/>
          <w:szCs w:val="32"/>
          <w:highlight w:val="none"/>
        </w:rPr>
        <w:t>六、</w:t>
      </w:r>
      <w:r>
        <w:rPr>
          <w:rFonts w:hint="eastAsia" w:ascii="仿宋_GB2312" w:hAnsi="仿宋_GB2312" w:eastAsia="仿宋_GB2312" w:cs="仿宋_GB2312"/>
          <w:b w:val="0"/>
          <w:color w:val="auto"/>
          <w:sz w:val="32"/>
          <w:szCs w:val="32"/>
          <w:highlight w:val="none"/>
        </w:rPr>
        <w:t>一</w:t>
      </w:r>
      <w:r>
        <w:rPr>
          <w:rStyle w:val="26"/>
          <w:rFonts w:hint="eastAsia" w:ascii="仿宋_GB2312" w:hAnsi="仿宋_GB2312" w:eastAsia="仿宋_GB2312" w:cs="仿宋_GB2312"/>
          <w:b w:val="0"/>
          <w:bCs w:val="0"/>
          <w:color w:val="auto"/>
          <w:sz w:val="32"/>
          <w:szCs w:val="32"/>
          <w:highlight w:val="none"/>
        </w:rPr>
        <w:t>般公共预算财政拨款支出决算表</w:t>
      </w:r>
      <w:bookmarkEnd w:id="142"/>
      <w:bookmarkEnd w:id="143"/>
    </w:p>
    <w:p>
      <w:pPr>
        <w:pStyle w:val="4"/>
        <w:rPr>
          <w:rFonts w:hint="eastAsia" w:ascii="仿宋_GB2312" w:hAnsi="仿宋_GB2312" w:eastAsia="仿宋_GB2312" w:cs="仿宋_GB2312"/>
          <w:color w:val="auto"/>
          <w:sz w:val="32"/>
          <w:szCs w:val="32"/>
          <w:highlight w:val="none"/>
        </w:rPr>
      </w:pPr>
      <w:bookmarkStart w:id="144" w:name="_Toc15396625"/>
      <w:bookmarkStart w:id="145" w:name="_Toc1912960982_WPSOffice_Level2"/>
      <w:r>
        <w:rPr>
          <w:rStyle w:val="26"/>
          <w:rFonts w:hint="eastAsia" w:ascii="仿宋_GB2312" w:hAnsi="仿宋_GB2312" w:eastAsia="仿宋_GB2312" w:cs="仿宋_GB2312"/>
          <w:b w:val="0"/>
          <w:bCs w:val="0"/>
          <w:color w:val="auto"/>
          <w:sz w:val="32"/>
          <w:szCs w:val="32"/>
          <w:highlight w:val="none"/>
          <w:lang w:eastAsia="zh-CN"/>
        </w:rPr>
        <w:t>　　</w:t>
      </w:r>
      <w:r>
        <w:rPr>
          <w:rStyle w:val="26"/>
          <w:rFonts w:hint="eastAsia" w:ascii="仿宋_GB2312" w:hAnsi="仿宋_GB2312" w:eastAsia="仿宋_GB2312" w:cs="仿宋_GB2312"/>
          <w:b w:val="0"/>
          <w:bCs w:val="0"/>
          <w:color w:val="auto"/>
          <w:sz w:val="32"/>
          <w:szCs w:val="32"/>
          <w:highlight w:val="none"/>
        </w:rPr>
        <w:t>七、</w:t>
      </w:r>
      <w:r>
        <w:rPr>
          <w:rFonts w:hint="eastAsia" w:ascii="仿宋_GB2312" w:hAnsi="仿宋_GB2312" w:eastAsia="仿宋_GB2312" w:cs="仿宋_GB2312"/>
          <w:b w:val="0"/>
          <w:color w:val="auto"/>
          <w:sz w:val="32"/>
          <w:szCs w:val="32"/>
          <w:highlight w:val="none"/>
        </w:rPr>
        <w:t>一</w:t>
      </w:r>
      <w:r>
        <w:rPr>
          <w:rStyle w:val="26"/>
          <w:rFonts w:hint="eastAsia" w:ascii="仿宋_GB2312" w:hAnsi="仿宋_GB2312" w:eastAsia="仿宋_GB2312" w:cs="仿宋_GB2312"/>
          <w:b w:val="0"/>
          <w:bCs w:val="0"/>
          <w:color w:val="auto"/>
          <w:sz w:val="32"/>
          <w:szCs w:val="32"/>
          <w:highlight w:val="none"/>
        </w:rPr>
        <w:t>般公共预算财政拨款支出决算明细表</w:t>
      </w:r>
      <w:bookmarkEnd w:id="144"/>
      <w:bookmarkEnd w:id="145"/>
    </w:p>
    <w:p>
      <w:pPr>
        <w:pStyle w:val="4"/>
        <w:rPr>
          <w:rFonts w:hint="eastAsia" w:ascii="仿宋_GB2312" w:hAnsi="仿宋_GB2312" w:eastAsia="仿宋_GB2312" w:cs="仿宋_GB2312"/>
          <w:color w:val="auto"/>
          <w:sz w:val="32"/>
          <w:szCs w:val="32"/>
          <w:highlight w:val="none"/>
        </w:rPr>
      </w:pPr>
      <w:bookmarkStart w:id="146" w:name="_Toc1104911070_WPSOffice_Level2"/>
      <w:bookmarkStart w:id="147" w:name="_Toc15396626"/>
      <w:r>
        <w:rPr>
          <w:rStyle w:val="26"/>
          <w:rFonts w:hint="eastAsia" w:ascii="仿宋_GB2312" w:hAnsi="仿宋_GB2312" w:eastAsia="仿宋_GB2312" w:cs="仿宋_GB2312"/>
          <w:b w:val="0"/>
          <w:bCs w:val="0"/>
          <w:color w:val="auto"/>
          <w:sz w:val="32"/>
          <w:szCs w:val="32"/>
          <w:highlight w:val="none"/>
          <w:lang w:eastAsia="zh-CN"/>
        </w:rPr>
        <w:t>　　</w:t>
      </w:r>
      <w:r>
        <w:rPr>
          <w:rStyle w:val="26"/>
          <w:rFonts w:hint="eastAsia" w:ascii="仿宋_GB2312" w:hAnsi="仿宋_GB2312" w:eastAsia="仿宋_GB2312" w:cs="仿宋_GB2312"/>
          <w:b w:val="0"/>
          <w:bCs w:val="0"/>
          <w:color w:val="auto"/>
          <w:sz w:val="32"/>
          <w:szCs w:val="32"/>
          <w:highlight w:val="none"/>
        </w:rPr>
        <w:t>八、</w:t>
      </w:r>
      <w:r>
        <w:rPr>
          <w:rFonts w:hint="eastAsia" w:ascii="仿宋_GB2312" w:hAnsi="仿宋_GB2312" w:eastAsia="仿宋_GB2312" w:cs="仿宋_GB2312"/>
          <w:b w:val="0"/>
          <w:color w:val="auto"/>
          <w:sz w:val="32"/>
          <w:szCs w:val="32"/>
          <w:highlight w:val="none"/>
        </w:rPr>
        <w:t>一</w:t>
      </w:r>
      <w:r>
        <w:rPr>
          <w:rStyle w:val="26"/>
          <w:rFonts w:hint="eastAsia" w:ascii="仿宋_GB2312" w:hAnsi="仿宋_GB2312" w:eastAsia="仿宋_GB2312" w:cs="仿宋_GB2312"/>
          <w:b w:val="0"/>
          <w:bCs w:val="0"/>
          <w:color w:val="auto"/>
          <w:sz w:val="32"/>
          <w:szCs w:val="32"/>
          <w:highlight w:val="none"/>
        </w:rPr>
        <w:t>般公共预算财政拨款基本支出决算表</w:t>
      </w:r>
      <w:bookmarkEnd w:id="146"/>
      <w:bookmarkEnd w:id="147"/>
    </w:p>
    <w:p>
      <w:pPr>
        <w:pStyle w:val="4"/>
        <w:rPr>
          <w:rFonts w:hint="eastAsia" w:ascii="仿宋_GB2312" w:hAnsi="仿宋_GB2312" w:eastAsia="仿宋_GB2312" w:cs="仿宋_GB2312"/>
          <w:color w:val="auto"/>
          <w:sz w:val="32"/>
          <w:szCs w:val="32"/>
          <w:highlight w:val="none"/>
        </w:rPr>
      </w:pPr>
      <w:bookmarkStart w:id="148" w:name="_Toc410941034_WPSOffice_Level2"/>
      <w:bookmarkStart w:id="149" w:name="_Toc15396627"/>
      <w:r>
        <w:rPr>
          <w:rStyle w:val="26"/>
          <w:rFonts w:hint="eastAsia" w:ascii="仿宋_GB2312" w:hAnsi="仿宋_GB2312" w:eastAsia="仿宋_GB2312" w:cs="仿宋_GB2312"/>
          <w:b w:val="0"/>
          <w:bCs w:val="0"/>
          <w:color w:val="auto"/>
          <w:sz w:val="32"/>
          <w:szCs w:val="32"/>
          <w:highlight w:val="none"/>
          <w:lang w:eastAsia="zh-CN"/>
        </w:rPr>
        <w:t>　　</w:t>
      </w:r>
      <w:r>
        <w:rPr>
          <w:rStyle w:val="26"/>
          <w:rFonts w:hint="eastAsia" w:ascii="仿宋_GB2312" w:hAnsi="仿宋_GB2312" w:eastAsia="仿宋_GB2312" w:cs="仿宋_GB2312"/>
          <w:b w:val="0"/>
          <w:bCs w:val="0"/>
          <w:color w:val="auto"/>
          <w:sz w:val="32"/>
          <w:szCs w:val="32"/>
          <w:highlight w:val="none"/>
        </w:rPr>
        <w:t>九、</w:t>
      </w:r>
      <w:r>
        <w:rPr>
          <w:rFonts w:hint="eastAsia" w:ascii="仿宋_GB2312" w:hAnsi="仿宋_GB2312" w:eastAsia="仿宋_GB2312" w:cs="仿宋_GB2312"/>
          <w:b w:val="0"/>
          <w:color w:val="auto"/>
          <w:sz w:val="32"/>
          <w:szCs w:val="32"/>
          <w:highlight w:val="none"/>
        </w:rPr>
        <w:t>一</w:t>
      </w:r>
      <w:r>
        <w:rPr>
          <w:rStyle w:val="26"/>
          <w:rFonts w:hint="eastAsia" w:ascii="仿宋_GB2312" w:hAnsi="仿宋_GB2312" w:eastAsia="仿宋_GB2312" w:cs="仿宋_GB2312"/>
          <w:b w:val="0"/>
          <w:bCs w:val="0"/>
          <w:color w:val="auto"/>
          <w:sz w:val="32"/>
          <w:szCs w:val="32"/>
          <w:highlight w:val="none"/>
        </w:rPr>
        <w:t>般公共预算财政拨款项目支出决算表</w:t>
      </w:r>
      <w:bookmarkEnd w:id="148"/>
      <w:bookmarkEnd w:id="149"/>
    </w:p>
    <w:p>
      <w:pPr>
        <w:pStyle w:val="4"/>
        <w:rPr>
          <w:rFonts w:hint="eastAsia" w:ascii="仿宋_GB2312" w:hAnsi="仿宋_GB2312" w:eastAsia="仿宋_GB2312" w:cs="仿宋_GB2312"/>
          <w:snapToGrid w:val="0"/>
          <w:color w:val="auto"/>
          <w:spacing w:val="-6"/>
          <w:kern w:val="0"/>
          <w:sz w:val="32"/>
          <w:szCs w:val="32"/>
          <w:highlight w:val="none"/>
        </w:rPr>
      </w:pPr>
      <w:bookmarkStart w:id="150" w:name="_Toc15396628"/>
      <w:r>
        <w:rPr>
          <w:rStyle w:val="26"/>
          <w:rFonts w:hint="eastAsia" w:ascii="仿宋_GB2312" w:hAnsi="仿宋_GB2312" w:eastAsia="仿宋_GB2312" w:cs="仿宋_GB2312"/>
          <w:b w:val="0"/>
          <w:bCs w:val="0"/>
          <w:color w:val="auto"/>
          <w:sz w:val="32"/>
          <w:szCs w:val="32"/>
          <w:highlight w:val="none"/>
          <w:lang w:eastAsia="zh-CN"/>
        </w:rPr>
        <w:t>　</w:t>
      </w:r>
      <w:bookmarkStart w:id="151" w:name="_Toc264592798_WPSOffice_Level2"/>
      <w:r>
        <w:rPr>
          <w:rStyle w:val="26"/>
          <w:rFonts w:hint="eastAsia" w:ascii="仿宋_GB2312" w:hAnsi="仿宋_GB2312" w:eastAsia="仿宋_GB2312" w:cs="仿宋_GB2312"/>
          <w:b w:val="0"/>
          <w:bCs w:val="0"/>
          <w:color w:val="auto"/>
          <w:sz w:val="32"/>
          <w:szCs w:val="32"/>
          <w:highlight w:val="none"/>
          <w:lang w:eastAsia="zh-CN"/>
        </w:rPr>
        <w:t>　</w:t>
      </w:r>
      <w:r>
        <w:rPr>
          <w:rStyle w:val="26"/>
          <w:rFonts w:hint="eastAsia" w:ascii="仿宋_GB2312" w:hAnsi="仿宋_GB2312" w:eastAsia="仿宋_GB2312" w:cs="仿宋_GB2312"/>
          <w:b w:val="0"/>
          <w:bCs w:val="0"/>
          <w:snapToGrid w:val="0"/>
          <w:color w:val="auto"/>
          <w:spacing w:val="-6"/>
          <w:kern w:val="0"/>
          <w:sz w:val="32"/>
          <w:szCs w:val="32"/>
          <w:highlight w:val="none"/>
        </w:rPr>
        <w:t>十、</w:t>
      </w:r>
      <w:r>
        <w:rPr>
          <w:rFonts w:hint="eastAsia" w:ascii="仿宋_GB2312" w:hAnsi="仿宋_GB2312" w:eastAsia="仿宋_GB2312" w:cs="仿宋_GB2312"/>
          <w:b w:val="0"/>
          <w:snapToGrid w:val="0"/>
          <w:color w:val="auto"/>
          <w:spacing w:val="-6"/>
          <w:kern w:val="0"/>
          <w:sz w:val="32"/>
          <w:szCs w:val="32"/>
          <w:highlight w:val="none"/>
        </w:rPr>
        <w:t>一</w:t>
      </w:r>
      <w:r>
        <w:rPr>
          <w:rStyle w:val="26"/>
          <w:rFonts w:hint="eastAsia" w:ascii="仿宋_GB2312" w:hAnsi="仿宋_GB2312" w:eastAsia="仿宋_GB2312" w:cs="仿宋_GB2312"/>
          <w:b w:val="0"/>
          <w:bCs w:val="0"/>
          <w:snapToGrid w:val="0"/>
          <w:color w:val="auto"/>
          <w:spacing w:val="-6"/>
          <w:kern w:val="0"/>
          <w:sz w:val="32"/>
          <w:szCs w:val="32"/>
          <w:highlight w:val="none"/>
        </w:rPr>
        <w:t>般公共预算财政拨款“三公”经费支出决算表</w:t>
      </w:r>
      <w:bookmarkEnd w:id="150"/>
      <w:bookmarkEnd w:id="151"/>
    </w:p>
    <w:p>
      <w:pPr>
        <w:pStyle w:val="4"/>
        <w:rPr>
          <w:rFonts w:hint="eastAsia" w:ascii="仿宋_GB2312" w:hAnsi="仿宋_GB2312" w:eastAsia="仿宋_GB2312" w:cs="仿宋_GB2312"/>
          <w:color w:val="auto"/>
          <w:sz w:val="32"/>
          <w:szCs w:val="32"/>
          <w:highlight w:val="none"/>
        </w:rPr>
      </w:pPr>
      <w:bookmarkStart w:id="152" w:name="_Toc15396629"/>
      <w:bookmarkStart w:id="153" w:name="_Toc277610228_WPSOffice_Level2"/>
      <w:r>
        <w:rPr>
          <w:rStyle w:val="26"/>
          <w:rFonts w:hint="eastAsia" w:ascii="仿宋_GB2312" w:hAnsi="仿宋_GB2312" w:eastAsia="仿宋_GB2312" w:cs="仿宋_GB2312"/>
          <w:b w:val="0"/>
          <w:bCs w:val="0"/>
          <w:color w:val="auto"/>
          <w:sz w:val="32"/>
          <w:szCs w:val="32"/>
          <w:highlight w:val="none"/>
          <w:lang w:eastAsia="zh-CN"/>
        </w:rPr>
        <w:t>　　</w:t>
      </w:r>
      <w:r>
        <w:rPr>
          <w:rStyle w:val="26"/>
          <w:rFonts w:hint="eastAsia" w:ascii="仿宋_GB2312" w:hAnsi="仿宋_GB2312" w:eastAsia="仿宋_GB2312" w:cs="仿宋_GB2312"/>
          <w:b w:val="0"/>
          <w:bCs w:val="0"/>
          <w:color w:val="auto"/>
          <w:sz w:val="32"/>
          <w:szCs w:val="32"/>
          <w:highlight w:val="none"/>
        </w:rPr>
        <w:t>十一、</w:t>
      </w:r>
      <w:r>
        <w:rPr>
          <w:rFonts w:hint="eastAsia" w:ascii="仿宋_GB2312" w:hAnsi="仿宋_GB2312" w:eastAsia="仿宋_GB2312" w:cs="仿宋_GB2312"/>
          <w:b w:val="0"/>
          <w:color w:val="auto"/>
          <w:sz w:val="32"/>
          <w:szCs w:val="32"/>
          <w:highlight w:val="none"/>
        </w:rPr>
        <w:t>政</w:t>
      </w:r>
      <w:r>
        <w:rPr>
          <w:rStyle w:val="26"/>
          <w:rFonts w:hint="eastAsia" w:ascii="仿宋_GB2312" w:hAnsi="仿宋_GB2312" w:eastAsia="仿宋_GB2312" w:cs="仿宋_GB2312"/>
          <w:b w:val="0"/>
          <w:bCs w:val="0"/>
          <w:color w:val="auto"/>
          <w:sz w:val="32"/>
          <w:szCs w:val="32"/>
          <w:highlight w:val="none"/>
        </w:rPr>
        <w:t>府性基金预算财政拨款收入支出决算表</w:t>
      </w:r>
      <w:bookmarkEnd w:id="152"/>
      <w:bookmarkEnd w:id="153"/>
    </w:p>
    <w:p>
      <w:pPr>
        <w:pStyle w:val="4"/>
        <w:rPr>
          <w:rFonts w:hint="eastAsia" w:ascii="仿宋_GB2312" w:hAnsi="仿宋_GB2312" w:eastAsia="仿宋_GB2312" w:cs="仿宋_GB2312"/>
          <w:snapToGrid w:val="0"/>
          <w:color w:val="auto"/>
          <w:spacing w:val="-23"/>
          <w:kern w:val="0"/>
          <w:sz w:val="32"/>
          <w:szCs w:val="32"/>
          <w:highlight w:val="none"/>
        </w:rPr>
      </w:pPr>
      <w:bookmarkStart w:id="154" w:name="_Toc15396630"/>
      <w:bookmarkStart w:id="155" w:name="_Toc1775889622_WPSOffice_Level2"/>
      <w:r>
        <w:rPr>
          <w:rStyle w:val="26"/>
          <w:rFonts w:hint="eastAsia" w:ascii="仿宋_GB2312" w:hAnsi="仿宋_GB2312" w:eastAsia="仿宋_GB2312" w:cs="仿宋_GB2312"/>
          <w:b w:val="0"/>
          <w:bCs w:val="0"/>
          <w:color w:val="auto"/>
          <w:sz w:val="32"/>
          <w:szCs w:val="32"/>
          <w:highlight w:val="none"/>
          <w:lang w:eastAsia="zh-CN"/>
        </w:rPr>
        <w:t>　　</w:t>
      </w:r>
      <w:r>
        <w:rPr>
          <w:rStyle w:val="26"/>
          <w:rFonts w:hint="eastAsia" w:ascii="仿宋_GB2312" w:hAnsi="仿宋_GB2312" w:eastAsia="仿宋_GB2312" w:cs="仿宋_GB2312"/>
          <w:b w:val="0"/>
          <w:bCs w:val="0"/>
          <w:snapToGrid w:val="0"/>
          <w:color w:val="auto"/>
          <w:spacing w:val="-23"/>
          <w:kern w:val="0"/>
          <w:sz w:val="32"/>
          <w:szCs w:val="32"/>
          <w:highlight w:val="none"/>
        </w:rPr>
        <w:t>十二、</w:t>
      </w:r>
      <w:r>
        <w:rPr>
          <w:rFonts w:hint="eastAsia" w:ascii="仿宋_GB2312" w:hAnsi="仿宋_GB2312" w:eastAsia="仿宋_GB2312" w:cs="仿宋_GB2312"/>
          <w:b w:val="0"/>
          <w:snapToGrid w:val="0"/>
          <w:color w:val="auto"/>
          <w:spacing w:val="-23"/>
          <w:kern w:val="0"/>
          <w:sz w:val="32"/>
          <w:szCs w:val="32"/>
          <w:highlight w:val="none"/>
        </w:rPr>
        <w:t>政</w:t>
      </w:r>
      <w:r>
        <w:rPr>
          <w:rStyle w:val="26"/>
          <w:rFonts w:hint="eastAsia" w:ascii="仿宋_GB2312" w:hAnsi="仿宋_GB2312" w:eastAsia="仿宋_GB2312" w:cs="仿宋_GB2312"/>
          <w:b w:val="0"/>
          <w:bCs w:val="0"/>
          <w:snapToGrid w:val="0"/>
          <w:color w:val="auto"/>
          <w:spacing w:val="-23"/>
          <w:kern w:val="0"/>
          <w:sz w:val="32"/>
          <w:szCs w:val="32"/>
          <w:highlight w:val="none"/>
        </w:rPr>
        <w:t>府性基金预算财政拨款“三公”经费支出决算表</w:t>
      </w:r>
      <w:bookmarkEnd w:id="154"/>
      <w:bookmarkEnd w:id="155"/>
    </w:p>
    <w:p>
      <w:pPr>
        <w:pStyle w:val="4"/>
        <w:rPr>
          <w:rStyle w:val="26"/>
          <w:rFonts w:hint="eastAsia" w:ascii="仿宋_GB2312" w:hAnsi="仿宋_GB2312" w:eastAsia="仿宋_GB2312" w:cs="仿宋_GB2312"/>
          <w:b w:val="0"/>
          <w:bCs w:val="0"/>
          <w:color w:val="auto"/>
          <w:sz w:val="32"/>
          <w:szCs w:val="32"/>
          <w:highlight w:val="none"/>
        </w:rPr>
      </w:pPr>
      <w:bookmarkStart w:id="156" w:name="_Toc183221214_WPSOffice_Level2"/>
      <w:bookmarkStart w:id="157" w:name="_Toc15396631"/>
      <w:r>
        <w:rPr>
          <w:rStyle w:val="26"/>
          <w:rFonts w:hint="eastAsia" w:ascii="仿宋_GB2312" w:hAnsi="仿宋_GB2312" w:eastAsia="仿宋_GB2312" w:cs="仿宋_GB2312"/>
          <w:b w:val="0"/>
          <w:bCs w:val="0"/>
          <w:color w:val="auto"/>
          <w:sz w:val="32"/>
          <w:szCs w:val="32"/>
          <w:highlight w:val="none"/>
          <w:lang w:eastAsia="zh-CN"/>
        </w:rPr>
        <w:t>　　</w:t>
      </w:r>
      <w:r>
        <w:rPr>
          <w:rStyle w:val="26"/>
          <w:rFonts w:hint="eastAsia" w:ascii="仿宋_GB2312" w:hAnsi="仿宋_GB2312" w:eastAsia="仿宋_GB2312" w:cs="仿宋_GB2312"/>
          <w:b w:val="0"/>
          <w:bCs w:val="0"/>
          <w:color w:val="auto"/>
          <w:sz w:val="32"/>
          <w:szCs w:val="32"/>
          <w:highlight w:val="none"/>
        </w:rPr>
        <w:t>十三、</w:t>
      </w:r>
      <w:r>
        <w:rPr>
          <w:rFonts w:hint="eastAsia" w:ascii="仿宋_GB2312" w:hAnsi="仿宋_GB2312" w:eastAsia="仿宋_GB2312" w:cs="仿宋_GB2312"/>
          <w:b w:val="0"/>
          <w:color w:val="auto"/>
          <w:sz w:val="32"/>
          <w:szCs w:val="32"/>
          <w:highlight w:val="none"/>
        </w:rPr>
        <w:t>国</w:t>
      </w:r>
      <w:r>
        <w:rPr>
          <w:rStyle w:val="26"/>
          <w:rFonts w:hint="eastAsia" w:ascii="仿宋_GB2312" w:hAnsi="仿宋_GB2312" w:eastAsia="仿宋_GB2312" w:cs="仿宋_GB2312"/>
          <w:b w:val="0"/>
          <w:bCs w:val="0"/>
          <w:color w:val="auto"/>
          <w:sz w:val="32"/>
          <w:szCs w:val="32"/>
          <w:highlight w:val="none"/>
        </w:rPr>
        <w:t>有资本经营预算</w:t>
      </w:r>
      <w:r>
        <w:rPr>
          <w:rStyle w:val="26"/>
          <w:rFonts w:hint="eastAsia" w:ascii="仿宋_GB2312" w:hAnsi="仿宋_GB2312" w:eastAsia="仿宋_GB2312" w:cs="仿宋_GB2312"/>
          <w:b w:val="0"/>
          <w:bCs w:val="0"/>
          <w:color w:val="auto"/>
          <w:sz w:val="32"/>
          <w:szCs w:val="32"/>
          <w:highlight w:val="none"/>
          <w:lang w:eastAsia="zh-CN"/>
        </w:rPr>
        <w:t>财政拨款收入</w:t>
      </w:r>
      <w:r>
        <w:rPr>
          <w:rStyle w:val="26"/>
          <w:rFonts w:hint="eastAsia" w:ascii="仿宋_GB2312" w:hAnsi="仿宋_GB2312" w:eastAsia="仿宋_GB2312" w:cs="仿宋_GB2312"/>
          <w:b w:val="0"/>
          <w:bCs w:val="0"/>
          <w:color w:val="auto"/>
          <w:sz w:val="32"/>
          <w:szCs w:val="32"/>
          <w:highlight w:val="none"/>
        </w:rPr>
        <w:t>支出决算表</w:t>
      </w:r>
      <w:bookmarkEnd w:id="156"/>
      <w:bookmarkEnd w:id="157"/>
    </w:p>
    <w:p>
      <w:pPr>
        <w:rPr>
          <w:rFonts w:hint="eastAsia" w:ascii="仿宋_GB2312" w:hAnsi="仿宋_GB2312" w:eastAsia="仿宋_GB2312" w:cs="仿宋_GB2312"/>
          <w:color w:val="auto"/>
          <w:sz w:val="32"/>
          <w:szCs w:val="32"/>
          <w:highlight w:val="none"/>
          <w:lang w:eastAsia="zh-CN"/>
        </w:rPr>
      </w:pPr>
      <w:bookmarkStart w:id="158" w:name="_Toc1568527883_WPSOffice_Level2"/>
      <w:r>
        <w:rPr>
          <w:rStyle w:val="26"/>
          <w:rFonts w:hint="eastAsia" w:ascii="仿宋_GB2312" w:hAnsi="仿宋_GB2312" w:eastAsia="仿宋_GB2312" w:cs="仿宋_GB2312"/>
          <w:b w:val="0"/>
          <w:bCs w:val="0"/>
          <w:color w:val="auto"/>
          <w:sz w:val="32"/>
          <w:szCs w:val="32"/>
          <w:highlight w:val="none"/>
          <w:lang w:eastAsia="zh-CN"/>
        </w:rPr>
        <w:t>　　十四、国有资本经营预算财政拨款支出决算表</w:t>
      </w:r>
      <w:bookmarkEnd w:id="158"/>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Batang">
    <w:panose1 w:val="02030600000101010101"/>
    <w:charset w:val="81"/>
    <w:family w:val="auto"/>
    <w:pitch w:val="default"/>
    <w:sig w:usb0="B00002AF" w:usb1="69D77CFB" w:usb2="00000030" w:usb3="00000000" w:csb0="4008009F" w:csb1="DFD7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8</w:t>
        </w:r>
        <w: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FD0889"/>
    <w:multiLevelType w:val="singleLevel"/>
    <w:tmpl w:val="EFFD0889"/>
    <w:lvl w:ilvl="0" w:tentative="0">
      <w:start w:val="9"/>
      <w:numFmt w:val="chineseCounting"/>
      <w:suff w:val="nothing"/>
      <w:lvlText w:val="%1、"/>
      <w:lvlJc w:val="left"/>
      <w:rPr>
        <w:rFonts w:hint="eastAsia"/>
      </w:rPr>
    </w:lvl>
  </w:abstractNum>
  <w:abstractNum w:abstractNumId="1">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A2032A3"/>
    <w:rsid w:val="0B8A37D8"/>
    <w:rsid w:val="0BBF5161"/>
    <w:rsid w:val="10C055FF"/>
    <w:rsid w:val="118107EC"/>
    <w:rsid w:val="11DD6519"/>
    <w:rsid w:val="16BB723D"/>
    <w:rsid w:val="17EF8DEF"/>
    <w:rsid w:val="18015F3F"/>
    <w:rsid w:val="18FC058F"/>
    <w:rsid w:val="19FF82B0"/>
    <w:rsid w:val="1BE8440E"/>
    <w:rsid w:val="1D155CEE"/>
    <w:rsid w:val="1DBE6EE8"/>
    <w:rsid w:val="1EBA71DD"/>
    <w:rsid w:val="1FA68B0C"/>
    <w:rsid w:val="1FBD79A6"/>
    <w:rsid w:val="1FFB4981"/>
    <w:rsid w:val="1FFFBFD4"/>
    <w:rsid w:val="20F57F95"/>
    <w:rsid w:val="240371BF"/>
    <w:rsid w:val="25731263"/>
    <w:rsid w:val="25C741E6"/>
    <w:rsid w:val="275519E2"/>
    <w:rsid w:val="27842671"/>
    <w:rsid w:val="29FD04D3"/>
    <w:rsid w:val="2ABE7A3E"/>
    <w:rsid w:val="2BFD26CF"/>
    <w:rsid w:val="2EFA178C"/>
    <w:rsid w:val="2F79614B"/>
    <w:rsid w:val="2FBBF77C"/>
    <w:rsid w:val="30B46D73"/>
    <w:rsid w:val="319F7F4E"/>
    <w:rsid w:val="33DF6AC5"/>
    <w:rsid w:val="33FD35FE"/>
    <w:rsid w:val="365D617D"/>
    <w:rsid w:val="36FFC450"/>
    <w:rsid w:val="376F1E4D"/>
    <w:rsid w:val="37DB0544"/>
    <w:rsid w:val="37E7AD51"/>
    <w:rsid w:val="39AE70AB"/>
    <w:rsid w:val="3AF32D1D"/>
    <w:rsid w:val="3B5D9800"/>
    <w:rsid w:val="3BFFC610"/>
    <w:rsid w:val="3C0C0783"/>
    <w:rsid w:val="3C436C0C"/>
    <w:rsid w:val="3CBD6885"/>
    <w:rsid w:val="3D7F3C5B"/>
    <w:rsid w:val="3E793DE9"/>
    <w:rsid w:val="3E8F4DE2"/>
    <w:rsid w:val="3F9F3A96"/>
    <w:rsid w:val="3FBDE2D2"/>
    <w:rsid w:val="3FBE2894"/>
    <w:rsid w:val="3FFB9D11"/>
    <w:rsid w:val="3FFFD51B"/>
    <w:rsid w:val="4357BD75"/>
    <w:rsid w:val="46ED23D4"/>
    <w:rsid w:val="493C27E9"/>
    <w:rsid w:val="496F39ED"/>
    <w:rsid w:val="49FF41D3"/>
    <w:rsid w:val="49FFBE73"/>
    <w:rsid w:val="4BE068DB"/>
    <w:rsid w:val="4BF6002B"/>
    <w:rsid w:val="4CF5DDC3"/>
    <w:rsid w:val="4ECE2238"/>
    <w:rsid w:val="4F371678"/>
    <w:rsid w:val="4FDCAB94"/>
    <w:rsid w:val="4FFF175F"/>
    <w:rsid w:val="51DB4B86"/>
    <w:rsid w:val="55333C3E"/>
    <w:rsid w:val="557F5344"/>
    <w:rsid w:val="575704D6"/>
    <w:rsid w:val="577B9581"/>
    <w:rsid w:val="5BE74A1B"/>
    <w:rsid w:val="5CBF5A24"/>
    <w:rsid w:val="5CD78EE0"/>
    <w:rsid w:val="5D6E55CA"/>
    <w:rsid w:val="5D7FE8FA"/>
    <w:rsid w:val="5E4FA7CE"/>
    <w:rsid w:val="5EAF7CD3"/>
    <w:rsid w:val="5EFD5C31"/>
    <w:rsid w:val="5EFFD54F"/>
    <w:rsid w:val="5F9C61E0"/>
    <w:rsid w:val="5FEFF160"/>
    <w:rsid w:val="5FF5D1DF"/>
    <w:rsid w:val="5FFF5635"/>
    <w:rsid w:val="5FFF9B77"/>
    <w:rsid w:val="639E9E02"/>
    <w:rsid w:val="64CA39A1"/>
    <w:rsid w:val="69B95D38"/>
    <w:rsid w:val="69D6CC7B"/>
    <w:rsid w:val="6AEECC51"/>
    <w:rsid w:val="6BE121D8"/>
    <w:rsid w:val="6C4A05C8"/>
    <w:rsid w:val="6D7B8B0F"/>
    <w:rsid w:val="6DA3BBDB"/>
    <w:rsid w:val="6F7F9FB3"/>
    <w:rsid w:val="6FBB765D"/>
    <w:rsid w:val="6FBC056E"/>
    <w:rsid w:val="6FEF53C1"/>
    <w:rsid w:val="6FF2A114"/>
    <w:rsid w:val="6FFF2C29"/>
    <w:rsid w:val="6FFF990B"/>
    <w:rsid w:val="71F71392"/>
    <w:rsid w:val="72734D90"/>
    <w:rsid w:val="727FA1C3"/>
    <w:rsid w:val="7677A927"/>
    <w:rsid w:val="7767CC63"/>
    <w:rsid w:val="778D91B8"/>
    <w:rsid w:val="77CF9E1B"/>
    <w:rsid w:val="7975632A"/>
    <w:rsid w:val="79AF43D5"/>
    <w:rsid w:val="79E7B28D"/>
    <w:rsid w:val="7AEB1B8E"/>
    <w:rsid w:val="7AFDE107"/>
    <w:rsid w:val="7B3F5055"/>
    <w:rsid w:val="7B5B23EC"/>
    <w:rsid w:val="7B731D3C"/>
    <w:rsid w:val="7B77A3A9"/>
    <w:rsid w:val="7BAF8E0E"/>
    <w:rsid w:val="7BD91BA0"/>
    <w:rsid w:val="7BDD86EE"/>
    <w:rsid w:val="7BF0B5C7"/>
    <w:rsid w:val="7BF971C1"/>
    <w:rsid w:val="7BFF75E5"/>
    <w:rsid w:val="7BFF9AC1"/>
    <w:rsid w:val="7CD5406B"/>
    <w:rsid w:val="7CF19AAA"/>
    <w:rsid w:val="7CF7C704"/>
    <w:rsid w:val="7D33E09B"/>
    <w:rsid w:val="7D5F73E1"/>
    <w:rsid w:val="7DFF0971"/>
    <w:rsid w:val="7E4D1A67"/>
    <w:rsid w:val="7EED6962"/>
    <w:rsid w:val="7F6E13EC"/>
    <w:rsid w:val="7F6FF9FA"/>
    <w:rsid w:val="7F7D58EC"/>
    <w:rsid w:val="7F7F2ECB"/>
    <w:rsid w:val="7F9F20EE"/>
    <w:rsid w:val="7FBF14CE"/>
    <w:rsid w:val="7FBF2807"/>
    <w:rsid w:val="7FBFF41B"/>
    <w:rsid w:val="7FDD068C"/>
    <w:rsid w:val="7FDF7BB8"/>
    <w:rsid w:val="7FEFEAA3"/>
    <w:rsid w:val="7FF8D9DB"/>
    <w:rsid w:val="7FF94824"/>
    <w:rsid w:val="7FFDA231"/>
    <w:rsid w:val="7FFDBCD8"/>
    <w:rsid w:val="7FFEF555"/>
    <w:rsid w:val="7FFF3875"/>
    <w:rsid w:val="8F4F8D9E"/>
    <w:rsid w:val="977D82EA"/>
    <w:rsid w:val="9BBF8F3C"/>
    <w:rsid w:val="9E3A10E2"/>
    <w:rsid w:val="9FF83707"/>
    <w:rsid w:val="A7E6CC3A"/>
    <w:rsid w:val="A7FD791C"/>
    <w:rsid w:val="AB72BDEA"/>
    <w:rsid w:val="ABFF73B9"/>
    <w:rsid w:val="ACBB7C7B"/>
    <w:rsid w:val="B3FF0A59"/>
    <w:rsid w:val="B6DD690F"/>
    <w:rsid w:val="B6FFA800"/>
    <w:rsid w:val="B77F52BB"/>
    <w:rsid w:val="B9FE6E14"/>
    <w:rsid w:val="BA2F03C0"/>
    <w:rsid w:val="BA7B23C6"/>
    <w:rsid w:val="BB792907"/>
    <w:rsid w:val="BBDFB25F"/>
    <w:rsid w:val="BBEFC352"/>
    <w:rsid w:val="BCB39328"/>
    <w:rsid w:val="BDB91027"/>
    <w:rsid w:val="BDEC52F5"/>
    <w:rsid w:val="BDFFBF89"/>
    <w:rsid w:val="BF35BB3D"/>
    <w:rsid w:val="BFAFF84C"/>
    <w:rsid w:val="BFDDE1CF"/>
    <w:rsid w:val="BFFF39C9"/>
    <w:rsid w:val="BFFFC7E7"/>
    <w:rsid w:val="C37FE2A4"/>
    <w:rsid w:val="C5F72687"/>
    <w:rsid w:val="CB9B0C95"/>
    <w:rsid w:val="CF62530E"/>
    <w:rsid w:val="CFFE6066"/>
    <w:rsid w:val="D63E1882"/>
    <w:rsid w:val="D77A95A9"/>
    <w:rsid w:val="DB99B3A0"/>
    <w:rsid w:val="DBDD4EDF"/>
    <w:rsid w:val="DF3EBF52"/>
    <w:rsid w:val="DFBF117A"/>
    <w:rsid w:val="E2D9337F"/>
    <w:rsid w:val="E47D885D"/>
    <w:rsid w:val="E76F49C6"/>
    <w:rsid w:val="E7FF403C"/>
    <w:rsid w:val="EDEFB6AE"/>
    <w:rsid w:val="EDFF879B"/>
    <w:rsid w:val="EFBE2C2F"/>
    <w:rsid w:val="EFE3678B"/>
    <w:rsid w:val="EFFD66A0"/>
    <w:rsid w:val="F2E1F9D4"/>
    <w:rsid w:val="F2FF6E0B"/>
    <w:rsid w:val="F3FFF452"/>
    <w:rsid w:val="F5EBB297"/>
    <w:rsid w:val="F6BFB444"/>
    <w:rsid w:val="F6CE5D45"/>
    <w:rsid w:val="F7880819"/>
    <w:rsid w:val="F7F6BC34"/>
    <w:rsid w:val="F7FD127F"/>
    <w:rsid w:val="F7FE5167"/>
    <w:rsid w:val="F7FFA4AD"/>
    <w:rsid w:val="F8FF0DA0"/>
    <w:rsid w:val="F91F54C1"/>
    <w:rsid w:val="F9EF8E2E"/>
    <w:rsid w:val="F9FE264F"/>
    <w:rsid w:val="FA7B363B"/>
    <w:rsid w:val="FAFF07D3"/>
    <w:rsid w:val="FBCE3C0E"/>
    <w:rsid w:val="FBEB4121"/>
    <w:rsid w:val="FBFC0F11"/>
    <w:rsid w:val="FC3F464C"/>
    <w:rsid w:val="FCBBDDD5"/>
    <w:rsid w:val="FD7971B5"/>
    <w:rsid w:val="FDDBF55C"/>
    <w:rsid w:val="FDFACE9D"/>
    <w:rsid w:val="FE4B4BD9"/>
    <w:rsid w:val="FE7FA3F5"/>
    <w:rsid w:val="FE9F7EB3"/>
    <w:rsid w:val="FEBF4D3E"/>
    <w:rsid w:val="FEFB5885"/>
    <w:rsid w:val="FEFD5C75"/>
    <w:rsid w:val="FF2B09AF"/>
    <w:rsid w:val="FF2B6B6E"/>
    <w:rsid w:val="FF4B1EC8"/>
    <w:rsid w:val="FF75DDD6"/>
    <w:rsid w:val="FF7F9468"/>
    <w:rsid w:val="FFAF991B"/>
    <w:rsid w:val="FFB8E9CF"/>
    <w:rsid w:val="FFCE77BD"/>
    <w:rsid w:val="FFD34111"/>
    <w:rsid w:val="FFED8DC5"/>
    <w:rsid w:val="FFEFCFBA"/>
    <w:rsid w:val="FFF704DE"/>
    <w:rsid w:val="FFFD3728"/>
    <w:rsid w:val="FFFE27D5"/>
    <w:rsid w:val="FFFEA449"/>
    <w:rsid w:val="FFFEDEBE"/>
    <w:rsid w:val="FFFF3B5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2"/>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8"/>
    <w:semiHidden/>
    <w:unhideWhenUsed/>
    <w:qFormat/>
    <w:uiPriority w:val="99"/>
    <w:rPr>
      <w:sz w:val="18"/>
      <w:szCs w:val="18"/>
    </w:rPr>
  </w:style>
  <w:style w:type="paragraph" w:styleId="8">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paragraph" w:customStyle="1" w:styleId="16">
    <w:name w:val="Normal Indent1"/>
    <w:basedOn w:val="1"/>
    <w:qFormat/>
    <w:uiPriority w:val="0"/>
    <w:pPr>
      <w:ind w:firstLine="200" w:firstLineChars="200"/>
    </w:pPr>
  </w:style>
  <w:style w:type="character" w:customStyle="1" w:styleId="17">
    <w:name w:val="Header Char"/>
    <w:basedOn w:val="13"/>
    <w:semiHidden/>
    <w:qFormat/>
    <w:uiPriority w:val="99"/>
    <w:rPr>
      <w:rFonts w:ascii="Times New Roman" w:hAnsi="Times New Roman"/>
      <w:sz w:val="18"/>
      <w:szCs w:val="18"/>
    </w:rPr>
  </w:style>
  <w:style w:type="character" w:customStyle="1" w:styleId="18">
    <w:name w:val="页眉 Char"/>
    <w:link w:val="9"/>
    <w:semiHidden/>
    <w:qFormat/>
    <w:locked/>
    <w:uiPriority w:val="99"/>
    <w:rPr>
      <w:sz w:val="18"/>
    </w:rPr>
  </w:style>
  <w:style w:type="character" w:customStyle="1" w:styleId="19">
    <w:name w:val="Footer Char"/>
    <w:basedOn w:val="13"/>
    <w:semiHidden/>
    <w:qFormat/>
    <w:uiPriority w:val="99"/>
    <w:rPr>
      <w:rFonts w:ascii="Times New Roman" w:hAnsi="Times New Roman"/>
      <w:sz w:val="18"/>
      <w:szCs w:val="18"/>
    </w:rPr>
  </w:style>
  <w:style w:type="character" w:customStyle="1" w:styleId="20">
    <w:name w:val="页脚 Char"/>
    <w:link w:val="8"/>
    <w:qFormat/>
    <w:locked/>
    <w:uiPriority w:val="99"/>
    <w:rPr>
      <w:sz w:val="18"/>
    </w:rPr>
  </w:style>
  <w:style w:type="character" w:customStyle="1" w:styleId="21">
    <w:name w:val="Body Text Char"/>
    <w:basedOn w:val="13"/>
    <w:semiHidden/>
    <w:qFormat/>
    <w:uiPriority w:val="99"/>
    <w:rPr>
      <w:rFonts w:ascii="Times New Roman" w:hAnsi="Times New Roman"/>
      <w:szCs w:val="24"/>
    </w:rPr>
  </w:style>
  <w:style w:type="character" w:customStyle="1" w:styleId="22">
    <w:name w:val="正文文本 Char"/>
    <w:link w:val="2"/>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3"/>
    <w:link w:val="3"/>
    <w:qFormat/>
    <w:uiPriority w:val="9"/>
    <w:rPr>
      <w:rFonts w:ascii="Times New Roman" w:hAnsi="Times New Roman"/>
      <w:b/>
      <w:bCs/>
      <w:kern w:val="44"/>
      <w:sz w:val="44"/>
      <w:szCs w:val="44"/>
    </w:rPr>
  </w:style>
  <w:style w:type="character" w:customStyle="1" w:styleId="26">
    <w:name w:val="标题 2 Char"/>
    <w:basedOn w:val="13"/>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3"/>
    <w:link w:val="7"/>
    <w:semiHidden/>
    <w:qFormat/>
    <w:uiPriority w:val="99"/>
    <w:rPr>
      <w:rFonts w:ascii="Times New Roman" w:hAnsi="Times New Roman"/>
      <w:kern w:val="2"/>
      <w:sz w:val="18"/>
      <w:szCs w:val="18"/>
    </w:rPr>
  </w:style>
  <w:style w:type="character" w:customStyle="1" w:styleId="29">
    <w:name w:val="标题 3 Char"/>
    <w:basedOn w:val="13"/>
    <w:link w:val="5"/>
    <w:qFormat/>
    <w:uiPriority w:val="9"/>
    <w:rPr>
      <w:rFonts w:ascii="Times New Roman" w:hAnsi="Times New Roman"/>
      <w:b/>
      <w:bCs/>
      <w:kern w:val="2"/>
      <w:sz w:val="32"/>
      <w:szCs w:val="32"/>
    </w:rPr>
  </w:style>
  <w:style w:type="paragraph" w:customStyle="1" w:styleId="30">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1">
    <w:name w:val="WPSOffice手动目录 1"/>
    <w:qFormat/>
    <w:uiPriority w:val="0"/>
    <w:pPr>
      <w:ind w:leftChars="0"/>
    </w:pPr>
    <w:rPr>
      <w:rFonts w:ascii="Times New Roman" w:hAnsi="Times New Roman" w:eastAsia="宋体" w:cs="Times New Roman"/>
      <w:sz w:val="20"/>
      <w:szCs w:val="20"/>
    </w:rPr>
  </w:style>
  <w:style w:type="paragraph" w:customStyle="1" w:styleId="32">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glossaryDocument" Target="glossary/document.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media/user/0661-7E5D/&#22270;3.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edia/user/0661-7E5D/&#21103;&#26412;Xl0000022.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edia/user/0661-7E5D/&#21103;&#26412;Xl0000022.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media/user/0661-7E5D/&#22270;2.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media/user/0661-7E5D/&#22270;3.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media/user/0661-7E5D/&#21103;999Xl0000022.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media/user/0661-7E5D/&#21103;9888Xl0000022.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baseline="0">
                <a:solidFill>
                  <a:srgbClr val="000000"/>
                </a:solidFill>
                <a:latin typeface="方正小标宋_GBK" panose="02000000000000000000" charset="-122"/>
                <a:ea typeface="方正小标宋_GBK" panose="02000000000000000000" charset="-122"/>
                <a:cs typeface="方正小标宋_GBK" panose="02000000000000000000" charset="-122"/>
                <a:sym typeface="方正小标宋_GBK" panose="02000000000000000000" charset="-122"/>
              </a:defRPr>
            </a:pPr>
            <a:r>
              <a:rPr sz="1400" b="0">
                <a:solidFill>
                  <a:srgbClr val="000000"/>
                </a:solidFill>
                <a:uFillTx/>
                <a:latin typeface="方正小标宋_GBK" panose="02000000000000000000" charset="-122"/>
                <a:ea typeface="方正小标宋_GBK" panose="02000000000000000000" charset="-122"/>
                <a:cs typeface="方正小标宋_GBK" panose="02000000000000000000" charset="-122"/>
                <a:sym typeface="方正小标宋_GBK" panose="02000000000000000000" charset="-122"/>
              </a:rPr>
              <a:t>收、支决算总计变动情况图</a:t>
            </a:r>
            <a:endParaRPr sz="1400" b="0" i="0" baseline="0">
              <a:solidFill>
                <a:srgbClr val="000000"/>
              </a:solidFill>
              <a:uFillTx/>
              <a:latin typeface="方正小标宋_GBK" panose="02000000000000000000" charset="-122"/>
              <a:ea typeface="方正小标宋_GBK" panose="02000000000000000000" charset="-122"/>
              <a:cs typeface="方正小标宋_GBK" panose="02000000000000000000" charset="-122"/>
              <a:sym typeface="方正小标宋_GBK" panose="02000000000000000000" charset="-122"/>
            </a:endParaRPr>
          </a:p>
        </c:rich>
      </c:tx>
      <c:layout/>
      <c:overlay val="false"/>
    </c:title>
    <c:autoTitleDeleted val="false"/>
    <c:plotArea>
      <c:layout/>
      <c:barChart>
        <c:barDir val="col"/>
        <c:grouping val="clustered"/>
        <c:varyColors val="false"/>
        <c:ser>
          <c:idx val="0"/>
          <c:order val="0"/>
          <c:tx>
            <c:strRef>
              <c:f>[图3.xls]Sheet1!$D$6</c:f>
              <c:strCache>
                <c:ptCount val="1"/>
                <c:pt idx="0">
                  <c:v>2020年度收、支总计</c:v>
                </c:pt>
              </c:strCache>
            </c:strRef>
          </c:tx>
          <c:spPr>
            <a:solidFill>
              <a:srgbClr val="9999FF"/>
            </a:solidFill>
            <a:ln w="12700">
              <a:solidFill>
                <a:srgbClr val="000000"/>
              </a:solidFill>
            </a:ln>
          </c:spPr>
          <c:invertIfNegative val="false"/>
          <c:dLbls>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val>
            <c:numRef>
              <c:f>[图3.xls]Sheet1!$C$6</c:f>
              <c:numCache>
                <c:formatCode>General</c:formatCode>
                <c:ptCount val="1"/>
                <c:pt idx="0">
                  <c:v>4330.12</c:v>
                </c:pt>
              </c:numCache>
            </c:numRef>
          </c:val>
        </c:ser>
        <c:ser>
          <c:idx val="1"/>
          <c:order val="1"/>
          <c:tx>
            <c:strRef>
              <c:f>[图3.xls]Sheet1!$D$7</c:f>
              <c:strCache>
                <c:ptCount val="1"/>
                <c:pt idx="0">
                  <c:v>2021年度收、支总计</c:v>
                </c:pt>
              </c:strCache>
            </c:strRef>
          </c:tx>
          <c:spPr>
            <a:solidFill>
              <a:srgbClr val="993366"/>
            </a:solidFill>
            <a:ln w="12700">
              <a:solidFill>
                <a:srgbClr val="000000"/>
              </a:solidFill>
            </a:ln>
          </c:spPr>
          <c:invertIfNegative val="false"/>
          <c:dLbls>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cap="none" spc="0" normalizeH="0" baseline="0">
                    <a:solidFill>
                      <a:srgbClr val="000000"/>
                    </a:solidFill>
                    <a:uFill>
                      <a:solidFill>
                        <a:srgbClr val="000000"/>
                      </a:solidFill>
                    </a:uFill>
                    <a:latin typeface="宋体" panose="02010600030101010101" charset="-122"/>
                    <a:ea typeface="宋体" panose="02010600030101010101" charset="-122"/>
                    <a:cs typeface="宋体" panose="02010600030101010101"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val>
            <c:numRef>
              <c:f>[图3.xls]Sheet1!$C$7</c:f>
              <c:numCache>
                <c:formatCode>General</c:formatCode>
                <c:ptCount val="1"/>
                <c:pt idx="0">
                  <c:v>3586.9</c:v>
                </c:pt>
              </c:numCache>
            </c:numRef>
          </c:val>
        </c:ser>
        <c:dLbls>
          <c:showLegendKey val="false"/>
          <c:showVal val="true"/>
          <c:showCatName val="false"/>
          <c:showSerName val="false"/>
          <c:showPercent val="false"/>
          <c:showBubbleSize val="false"/>
        </c:dLbls>
        <c:gapWidth val="150"/>
        <c:overlap val="0"/>
        <c:axId val="696304173"/>
        <c:axId val="487740831"/>
      </c:barChart>
      <c:catAx>
        <c:axId val="696304173"/>
        <c:scaling>
          <c:orientation val="minMax"/>
        </c:scaling>
        <c:delete val="true"/>
        <c:axPos val="b"/>
        <c:majorTickMark val="in"/>
        <c:minorTickMark val="none"/>
        <c:tickLblPos val="nextTo"/>
        <c:txPr>
          <a:bodyPr rot="-6000000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87740831"/>
        <c:crosses val="autoZero"/>
        <c:auto val="true"/>
        <c:lblAlgn val="ctr"/>
        <c:lblOffset val="100"/>
        <c:noMultiLvlLbl val="false"/>
      </c:catAx>
      <c:valAx>
        <c:axId val="487740831"/>
        <c:scaling>
          <c:orientation val="minMax"/>
        </c:scaling>
        <c:delete val="false"/>
        <c:axPos val="l"/>
        <c:majorGridlines>
          <c:spPr>
            <a:ln w="3175" cap="flat" cmpd="sng" algn="ctr">
              <a:solidFill>
                <a:srgbClr val="000000">
                  <a:alpha val="100000"/>
                </a:srgbClr>
              </a:solidFill>
              <a:prstDash val="solid"/>
              <a:round/>
            </a:ln>
          </c:spPr>
        </c:majorGridlines>
        <c:numFmt formatCode="General" sourceLinked="true"/>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696304173"/>
        <c:crosses val="autoZero"/>
        <c:crossBetween val="between"/>
      </c:valAx>
      <c:spPr>
        <a:solidFill>
          <a:srgbClr val="C0C0C0">
            <a:alpha val="100000"/>
          </a:srgbClr>
        </a:solidFill>
        <a:ln w="12700">
          <a:solidFill>
            <a:srgbClr val="808080">
              <a:alpha val="100000"/>
            </a:srgbClr>
          </a:solidFill>
          <a:prstDash val="solid"/>
        </a:ln>
      </c:spPr>
    </c:plotArea>
    <c:legend>
      <c:legendPos val="r"/>
      <c:legendEntry>
        <c:idx val="0"/>
        <c:txPr>
          <a:bodyPr rot="0" spcFirstLastPara="0" vertOverflow="ellipsis" vert="horz" wrap="square" anchor="ctr" anchorCtr="true"/>
          <a:lstStyle/>
          <a:p>
            <a:pPr>
              <a:defRPr lang="zh-CN" sz="1200" b="0" i="0" u="none" strike="noStrike" kern="1200" cap="none" spc="0" normalizeH="0" baseline="0">
                <a:solidFill>
                  <a:srgbClr val="000000"/>
                </a:solidFill>
                <a:uFill>
                  <a:solidFill>
                    <a:srgbClr val="000000"/>
                  </a:solidFill>
                </a:uFill>
                <a:latin typeface="方正仿宋_GBK" panose="02000000000000000000" charset="-122"/>
                <a:ea typeface="方正仿宋_GBK" panose="02000000000000000000" charset="-122"/>
                <a:cs typeface="宋体" panose="02010600030101010101" charset="-122"/>
              </a:defRPr>
            </a:pPr>
          </a:p>
        </c:txPr>
      </c:legendEntry>
      <c:legendEntry>
        <c:idx val="1"/>
        <c:txPr>
          <a:bodyPr rot="0" spcFirstLastPara="0" vertOverflow="ellipsis" vert="horz" wrap="square" anchor="ctr" anchorCtr="true"/>
          <a:lstStyle/>
          <a:p>
            <a:pPr>
              <a:defRPr lang="zh-CN" sz="1200" b="0" i="0" u="none" strike="noStrike" kern="1200" cap="none" spc="0" normalizeH="0" baseline="0">
                <a:solidFill>
                  <a:srgbClr val="000000"/>
                </a:solidFill>
                <a:uFill>
                  <a:solidFill>
                    <a:srgbClr val="000000"/>
                  </a:solidFill>
                </a:uFill>
                <a:latin typeface="方正仿宋_GBK" panose="02000000000000000000" charset="-122"/>
                <a:ea typeface="方正仿宋_GBK" panose="02000000000000000000" charset="-122"/>
                <a:cs typeface="宋体" panose="02010600030101010101" charset="-122"/>
              </a:defRPr>
            </a:pPr>
          </a:p>
        </c:txPr>
      </c:legendEntry>
      <c:layout>
        <c:manualLayout>
          <c:xMode val="edge"/>
          <c:yMode val="edge"/>
          <c:x val="0.705"/>
          <c:y val="0.49125"/>
          <c:w val="0.28825"/>
          <c:h val="0.12275"/>
        </c:manualLayout>
      </c:layout>
      <c:overlay val="false"/>
      <c:spPr>
        <a:solidFill>
          <a:srgbClr val="FFFFFF"/>
        </a:solidFill>
        <a:ln>
          <a:solidFill>
            <a:srgbClr val="000000"/>
          </a:solidFill>
        </a:ln>
      </c:spPr>
      <c:txPr>
        <a:bodyPr rot="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true"/>
    <c:dispBlanksAs val="gap"/>
    <c:showDLblsOverMax val="false"/>
  </c:chart>
  <c:spPr>
    <a:solidFill>
      <a:srgbClr val="FFFFFF"/>
    </a:solidFill>
    <a:ln w="3175" cap="flat" cmpd="sng" algn="ctr">
      <a:solidFill>
        <a:srgbClr val="000000">
          <a:alpha val="100000"/>
        </a:srgbClr>
      </a:solidFill>
      <a:prstDash val="solid"/>
      <a:round/>
    </a:ln>
  </c:spPr>
  <c:txPr>
    <a:bodyPr rot="0" wrap="square" anchor="ctr" anchorCtr="true"/>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lgn="ctr" defTabSz="914400">
              <a:defRPr lang="zh-CN" sz="1200" b="0" i="0" u="none" strike="noStrike" kern="0" cap="none" spc="0" normalizeH="0" baseline="0">
                <a:solidFill>
                  <a:srgbClr val="000000">
                    <a:alpha val="100000"/>
                  </a:srgbClr>
                </a:solidFill>
                <a:uFill/>
                <a:latin typeface="方正小标宋_GBK" panose="02000000000000000000" charset="-122"/>
                <a:ea typeface="方正小标宋_GBK" panose="02000000000000000000" charset="-122"/>
                <a:cs typeface="方正小标宋_GBK" panose="02000000000000000000" charset="-122"/>
                <a:sym typeface="方正小标宋_GBK" panose="02000000000000000000" charset="-122"/>
              </a:defRPr>
            </a:pPr>
            <a:r>
              <a:rPr sz="1400" b="0">
                <a:solidFill>
                  <a:srgbClr val="000000">
                    <a:alpha val="100000"/>
                  </a:srgbClr>
                </a:solidFill>
                <a:uFill/>
                <a:latin typeface="方正小标宋_GBK" panose="02000000000000000000" charset="-122"/>
                <a:ea typeface="方正小标宋_GBK" panose="02000000000000000000" charset="-122"/>
                <a:cs typeface="方正小标宋_GBK" panose="02000000000000000000" charset="-122"/>
                <a:sym typeface="方正小标宋_GBK" panose="02000000000000000000" charset="-122"/>
              </a:rPr>
              <a:t>收入决算结构图</a:t>
            </a:r>
            <a:endParaRPr sz="1400" b="0" i="0" baseline="0">
              <a:solidFill>
                <a:srgbClr val="000000">
                  <a:alpha val="100000"/>
                </a:srgbClr>
              </a:solidFill>
              <a:uFill/>
              <a:latin typeface="方正小标宋_GBK" panose="02000000000000000000" charset="-122"/>
              <a:ea typeface="方正小标宋_GBK" panose="02000000000000000000" charset="-122"/>
              <a:cs typeface="方正小标宋_GBK" panose="02000000000000000000" charset="-122"/>
              <a:sym typeface="方正小标宋_GBK" panose="02000000000000000000" charset="-122"/>
            </a:endParaRPr>
          </a:p>
        </c:rich>
      </c:tx>
      <c:layout/>
      <c:overlay val="false"/>
    </c:title>
    <c:autoTitleDeleted val="false"/>
    <c:plotArea>
      <c:layout>
        <c:manualLayout>
          <c:layoutTarget val="inner"/>
          <c:xMode val="edge"/>
          <c:yMode val="edge"/>
          <c:x val="0.152582358563561"/>
          <c:y val="0.232087274172665"/>
          <c:w val="0.37084684356652"/>
          <c:h val="0.72506879567159"/>
        </c:manualLayout>
      </c:layout>
      <c:pieChart>
        <c:varyColors val="true"/>
        <c:ser>
          <c:idx val="0"/>
          <c:order val="0"/>
          <c:spPr>
            <a:solidFill>
              <a:srgbClr val="9999FF"/>
            </a:solidFill>
            <a:effectLst/>
          </c:spPr>
          <c:explosion val="0"/>
          <c:dPt>
            <c:idx val="0"/>
            <c:bubble3D val="false"/>
            <c:explosion val="0"/>
            <c:spPr>
              <a:solidFill>
                <a:srgbClr val="9999FF">
                  <a:alpha val="100000"/>
                </a:srgbClr>
              </a:solidFill>
              <a:ln w="12700">
                <a:solidFill>
                  <a:srgbClr val="000000">
                    <a:alpha val="100000"/>
                  </a:srgbClr>
                </a:solidFill>
                <a:prstDash val="solid"/>
              </a:ln>
            </c:spPr>
          </c:dPt>
          <c:dPt>
            <c:idx val="1"/>
            <c:bubble3D val="false"/>
            <c:explosion val="0"/>
            <c:spPr>
              <a:solidFill>
                <a:srgbClr val="993366">
                  <a:alpha val="100000"/>
                </a:srgbClr>
              </a:solidFill>
              <a:ln w="12700">
                <a:solidFill>
                  <a:srgbClr val="000000">
                    <a:alpha val="100000"/>
                  </a:srgbClr>
                </a:solidFill>
                <a:prstDash val="solid"/>
              </a:ln>
            </c:spPr>
          </c:dPt>
          <c:dPt>
            <c:idx val="2"/>
            <c:bubble3D val="false"/>
            <c:explosion val="0"/>
            <c:spPr>
              <a:solidFill>
                <a:srgbClr val="FFFFCC">
                  <a:alpha val="100000"/>
                </a:srgbClr>
              </a:solidFill>
              <a:ln w="12700">
                <a:solidFill>
                  <a:srgbClr val="000000">
                    <a:alpha val="100000"/>
                  </a:srgbClr>
                </a:solidFill>
                <a:prstDash val="solid"/>
              </a:ln>
            </c:spPr>
          </c:dPt>
          <c:dPt>
            <c:idx val="3"/>
            <c:bubble3D val="false"/>
            <c:explosion val="0"/>
            <c:spPr>
              <a:solidFill>
                <a:srgbClr val="CCFFFF">
                  <a:alpha val="100000"/>
                </a:srgbClr>
              </a:solidFill>
              <a:ln w="12700">
                <a:solidFill>
                  <a:srgbClr val="000000">
                    <a:alpha val="100000"/>
                  </a:srgbClr>
                </a:solidFill>
                <a:prstDash val="solid"/>
              </a:ln>
            </c:spPr>
          </c:dPt>
          <c:dPt>
            <c:idx val="4"/>
            <c:bubble3D val="false"/>
            <c:explosion val="0"/>
            <c:spPr>
              <a:solidFill>
                <a:srgbClr val="660066">
                  <a:alpha val="100000"/>
                </a:srgbClr>
              </a:solidFill>
              <a:ln w="12700">
                <a:solidFill>
                  <a:srgbClr val="000000">
                    <a:alpha val="100000"/>
                  </a:srgbClr>
                </a:solidFill>
                <a:prstDash val="solid"/>
              </a:ln>
            </c:spPr>
          </c:dPt>
          <c:dPt>
            <c:idx val="5"/>
            <c:bubble3D val="false"/>
            <c:explosion val="0"/>
            <c:spPr>
              <a:solidFill>
                <a:srgbClr val="FF8080">
                  <a:alpha val="100000"/>
                </a:srgbClr>
              </a:solidFill>
              <a:ln w="12700">
                <a:solidFill>
                  <a:srgbClr val="000000">
                    <a:alpha val="100000"/>
                  </a:srgbClr>
                </a:solidFill>
                <a:prstDash val="solid"/>
              </a:ln>
            </c:spPr>
          </c:dPt>
          <c:dPt>
            <c:idx val="6"/>
            <c:bubble3D val="false"/>
            <c:explosion val="0"/>
            <c:spPr>
              <a:solidFill>
                <a:srgbClr val="0066CC">
                  <a:alpha val="100000"/>
                </a:srgbClr>
              </a:solidFill>
              <a:ln w="12700">
                <a:solidFill>
                  <a:srgbClr val="000000">
                    <a:alpha val="100000"/>
                  </a:srgbClr>
                </a:solidFill>
                <a:prstDash val="solid"/>
              </a:ln>
            </c:spPr>
          </c:dPt>
          <c:dPt>
            <c:idx val="7"/>
            <c:bubble3D val="false"/>
            <c:spPr>
              <a:solidFill>
                <a:srgbClr val="9999FF"/>
              </a:solidFill>
              <a:effectLst/>
            </c:spPr>
          </c:dPt>
          <c:dLbls>
            <c:dLbl>
              <c:idx val="1"/>
              <c:layout>
                <c:manualLayout>
                  <c:x val="-0.0961890773555703"/>
                  <c:y val="-0.0110012708471409"/>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2"/>
              <c:delete val="true"/>
            </c:dLbl>
            <c:dLbl>
              <c:idx val="3"/>
              <c:delete val="true"/>
            </c:dLbl>
            <c:dLbl>
              <c:idx val="4"/>
              <c:delete val="true"/>
            </c:dLbl>
            <c:dLbl>
              <c:idx val="5"/>
              <c:delete val="true"/>
            </c:dLbl>
            <c:dLbl>
              <c:idx val="6"/>
              <c:delete val="true"/>
            </c:dLbl>
            <c:dLbl>
              <c:idx val="7"/>
              <c:delete val="true"/>
            </c:dLbl>
            <c:numFmt formatCode="General" sourceLinked="true"/>
            <c:spPr>
              <a:noFill/>
              <a:ln>
                <a:noFill/>
              </a:ln>
              <a:effectLst/>
            </c:spPr>
            <c:txPr>
              <a:bodyPr rot="0" spcFirstLastPara="0" vertOverflow="ellipsis" horzOverflow="overflow"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shade val="95000"/>
                          <a:satMod val="105000"/>
                        </a:schemeClr>
                      </a:solidFill>
                      <a:prstDash val="solid"/>
                      <a:round/>
                    </a:ln>
                    <a:effectLst/>
                  </c:spPr>
                </c15:leaderLines>
              </c:ext>
            </c:extLst>
          </c:dLbls>
          <c:cat>
            <c:strRef>
              <c:f>[副本Xl0000022.xls]Sheet1!$A$2:$A$9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[副本Xl0000022.xls]Sheet1!$B$2:$B$9</c:f>
              <c:numCache>
                <c:formatCode>General</c:formatCode>
                <c:ptCount val="8"/>
                <c:pt idx="0">
                  <c:v>3457.12</c:v>
                </c:pt>
                <c:pt idx="1">
                  <c:v>82.16</c:v>
                </c:pt>
                <c:pt idx="2">
                  <c:v>0</c:v>
                </c:pt>
                <c:pt idx="3">
                  <c:v>0</c:v>
                </c:pt>
                <c:pt idx="4">
                  <c:v>0</c:v>
                </c:pt>
                <c:pt idx="5">
                  <c:v>0</c:v>
                </c:pt>
                <c:pt idx="6">
                  <c:v>0</c:v>
                </c:pt>
                <c:pt idx="7">
                  <c:v>0</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r"/>
      <c:legendEntry>
        <c:idx val="0"/>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1"/>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2"/>
        <c:delete val="true"/>
      </c:legendEntry>
      <c:legendEntry>
        <c:idx val="3"/>
        <c:delete val="true"/>
      </c:legendEntry>
      <c:legendEntry>
        <c:idx val="4"/>
        <c:delete val="true"/>
      </c:legendEntry>
      <c:legendEntry>
        <c:idx val="5"/>
        <c:delete val="true"/>
      </c:legendEntry>
      <c:legendEntry>
        <c:idx val="6"/>
        <c:delete val="true"/>
      </c:legendEntry>
      <c:legendEntry>
        <c:idx val="7"/>
        <c:delete val="true"/>
      </c:legendEntry>
      <c:layout>
        <c:manualLayout>
          <c:xMode val="edge"/>
          <c:yMode val="edge"/>
          <c:x val="0.675531268973892"/>
          <c:y val="0.250129825168773"/>
          <c:w val="0.278809957498482"/>
          <c:h val="0.581616756101783"/>
        </c:manualLayout>
      </c:layout>
      <c:overlay val="false"/>
      <c:spPr>
        <a:solidFill>
          <a:srgbClr val="FFFFFF">
            <a:alpha val="100000"/>
          </a:srgbClr>
        </a:solidFill>
        <a:ln w="12700">
          <a:solidFill>
            <a:srgbClr val="000000">
              <a:alpha val="100000"/>
            </a:srgbClr>
          </a:solidFill>
          <a:prstDash val="solid"/>
        </a:ln>
      </c:spPr>
      <c:txPr>
        <a:bodyPr rot="0" spcFirstLastPara="0" vertOverflow="ellipsis" horzOverflow="overflow" vert="horz" wrap="square"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true"/>
    <c:dispBlanksAs val="zero"/>
    <c:showDLblsOverMax val="false"/>
  </c:chart>
  <c:spPr>
    <a:solidFill>
      <a:srgbClr val="FFFFFF"/>
    </a:solidFill>
    <a:ln w="3175" cap="flat" cmpd="sng" algn="ctr">
      <a:solidFill>
        <a:srgbClr val="000000">
          <a:alpha val="100000"/>
        </a:srgbClr>
      </a:solidFill>
      <a:prstDash val="solid"/>
      <a:round/>
    </a:ln>
    <a:effectLst/>
  </c:spPr>
  <c:txPr>
    <a:bodyPr rot="0" wrap="square" anchor="ctr" anchorCtr="true"/>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lgn="ctr" defTabSz="914400">
              <a:defRPr lang="zh-CN" sz="1200" b="0" i="0" u="none" strike="noStrike" kern="0" cap="none" spc="0" normalizeH="0" baseline="0">
                <a:solidFill>
                  <a:srgbClr val="000000">
                    <a:alpha val="100000"/>
                  </a:srgbClr>
                </a:solidFill>
                <a:uFill/>
                <a:latin typeface="仿宋_GB2312" panose="02010609030101010101" pitchFamily="3" charset="-122"/>
                <a:ea typeface="仿宋_GB2312" panose="02010609030101010101" pitchFamily="3" charset="-122"/>
                <a:cs typeface="宋体" panose="02010600030101010101" charset="-122"/>
              </a:defRPr>
            </a:pPr>
            <a:r>
              <a:rPr sz="1400" b="1">
                <a:solidFill>
                  <a:srgbClr val="000000">
                    <a:alpha val="100000"/>
                  </a:srgbClr>
                </a:solidFill>
                <a:uFill/>
                <a:ea typeface="仿宋_GB2312" panose="02010609030101010101" pitchFamily="3" charset="-122"/>
              </a:rPr>
              <a:t>支出决算结构图</a:t>
            </a:r>
            <a:endParaRPr sz="1400" b="1" i="0" baseline="0">
              <a:solidFill>
                <a:srgbClr val="000000">
                  <a:alpha val="100000"/>
                </a:srgbClr>
              </a:solidFill>
              <a:uFill/>
              <a:ea typeface="仿宋_GB2312" panose="02010609030101010101" pitchFamily="3" charset="-122"/>
              <a:cs typeface="宋体" panose="02010600030101010101" charset="-122"/>
            </a:endParaRPr>
          </a:p>
        </c:rich>
      </c:tx>
      <c:layout/>
      <c:overlay val="false"/>
    </c:title>
    <c:autoTitleDeleted val="false"/>
    <c:plotArea>
      <c:layout>
        <c:manualLayout>
          <c:layoutTarget val="inner"/>
          <c:xMode val="edge"/>
          <c:yMode val="edge"/>
          <c:x val="0.152582358563561"/>
          <c:y val="0.232087274172665"/>
          <c:w val="0.37084684356652"/>
          <c:h val="0.72506879567159"/>
        </c:manualLayout>
      </c:layout>
      <c:pieChart>
        <c:varyColors val="true"/>
        <c:ser>
          <c:idx val="0"/>
          <c:order val="0"/>
          <c:spPr>
            <a:solidFill>
              <a:srgbClr val="9999FF"/>
            </a:solidFill>
            <a:effectLst/>
          </c:spPr>
          <c:explosion val="0"/>
          <c:dPt>
            <c:idx val="0"/>
            <c:bubble3D val="false"/>
            <c:explosion val="0"/>
            <c:spPr>
              <a:solidFill>
                <a:srgbClr val="9999FF">
                  <a:alpha val="100000"/>
                </a:srgbClr>
              </a:solidFill>
              <a:ln w="12700">
                <a:solidFill>
                  <a:srgbClr val="000000">
                    <a:alpha val="100000"/>
                  </a:srgbClr>
                </a:solidFill>
                <a:prstDash val="solid"/>
              </a:ln>
            </c:spPr>
          </c:dPt>
          <c:dPt>
            <c:idx val="1"/>
            <c:bubble3D val="false"/>
            <c:explosion val="0"/>
            <c:spPr>
              <a:solidFill>
                <a:srgbClr val="993366">
                  <a:alpha val="100000"/>
                </a:srgbClr>
              </a:solidFill>
              <a:ln w="12700">
                <a:solidFill>
                  <a:srgbClr val="000000">
                    <a:alpha val="100000"/>
                  </a:srgbClr>
                </a:solidFill>
                <a:prstDash val="solid"/>
              </a:ln>
            </c:spPr>
          </c:dPt>
          <c:dPt>
            <c:idx val="2"/>
            <c:bubble3D val="false"/>
            <c:explosion val="0"/>
            <c:spPr>
              <a:solidFill>
                <a:srgbClr val="FFFFCC">
                  <a:alpha val="100000"/>
                </a:srgbClr>
              </a:solidFill>
              <a:ln w="12700">
                <a:solidFill>
                  <a:srgbClr val="000000">
                    <a:alpha val="100000"/>
                  </a:srgbClr>
                </a:solidFill>
                <a:prstDash val="solid"/>
              </a:ln>
            </c:spPr>
          </c:dPt>
          <c:dPt>
            <c:idx val="3"/>
            <c:bubble3D val="false"/>
            <c:explosion val="0"/>
            <c:spPr>
              <a:solidFill>
                <a:srgbClr val="CCFFFF">
                  <a:alpha val="100000"/>
                </a:srgbClr>
              </a:solidFill>
              <a:ln w="12700">
                <a:solidFill>
                  <a:srgbClr val="000000">
                    <a:alpha val="100000"/>
                  </a:srgbClr>
                </a:solidFill>
                <a:prstDash val="solid"/>
              </a:ln>
            </c:spPr>
          </c:dPt>
          <c:dPt>
            <c:idx val="4"/>
            <c:bubble3D val="false"/>
            <c:explosion val="0"/>
            <c:spPr>
              <a:solidFill>
                <a:srgbClr val="660066">
                  <a:alpha val="100000"/>
                </a:srgbClr>
              </a:solidFill>
              <a:ln w="12700">
                <a:solidFill>
                  <a:srgbClr val="000000">
                    <a:alpha val="100000"/>
                  </a:srgbClr>
                </a:solidFill>
                <a:prstDash val="solid"/>
              </a:ln>
            </c:spPr>
          </c:dPt>
          <c:dLbls>
            <c:dLbl>
              <c:idx val="1"/>
              <c:layout>
                <c:manualLayout>
                  <c:x val="-0.0852601156069364"/>
                  <c:y val="0.0565078169146732"/>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2"/>
              <c:delete val="true"/>
            </c:dLbl>
            <c:dLbl>
              <c:idx val="3"/>
              <c:delete val="true"/>
            </c:dLbl>
            <c:dLbl>
              <c:idx val="4"/>
              <c:delete val="true"/>
            </c:dLbl>
            <c:numFmt formatCode="General" sourceLinked="true"/>
            <c:spPr>
              <a:noFill/>
              <a:ln>
                <a:noFill/>
              </a:ln>
              <a:effectLst/>
            </c:spPr>
            <c:txPr>
              <a:bodyPr rot="0" spcFirstLastPara="0" vertOverflow="ellipsis" horzOverflow="overflow"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shade val="95000"/>
                          <a:satMod val="105000"/>
                        </a:schemeClr>
                      </a:solidFill>
                      <a:prstDash val="solid"/>
                      <a:round/>
                    </a:ln>
                    <a:effectLst/>
                  </c:spPr>
                </c15:leaderLines>
              </c:ext>
            </c:extLst>
          </c:dLbls>
          <c:cat>
            <c:strRef>
              <c:f>[副本Xl0000022.xls]Sheet1!$A$2:$A$6</c:f>
              <c:strCache>
                <c:ptCount val="5"/>
                <c:pt idx="0">
                  <c:v>基本支出</c:v>
                </c:pt>
                <c:pt idx="1">
                  <c:v>项目支出</c:v>
                </c:pt>
                <c:pt idx="2">
                  <c:v>上缴上级支出</c:v>
                </c:pt>
                <c:pt idx="3">
                  <c:v>经营支出</c:v>
                </c:pt>
                <c:pt idx="4">
                  <c:v>对附属单位补助支出</c:v>
                </c:pt>
              </c:strCache>
            </c:strRef>
          </c:cat>
          <c:val>
            <c:numRef>
              <c:f>[副本Xl0000022.xls]Sheet1!$B$2:$B$6</c:f>
              <c:numCache>
                <c:formatCode>General</c:formatCode>
                <c:ptCount val="5"/>
                <c:pt idx="0">
                  <c:v>2964.31</c:v>
                </c:pt>
                <c:pt idx="1">
                  <c:v>603.59</c:v>
                </c:pt>
                <c:pt idx="2">
                  <c:v>0</c:v>
                </c:pt>
                <c:pt idx="3">
                  <c:v>0</c:v>
                </c:pt>
                <c:pt idx="4">
                  <c:v>0</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r"/>
      <c:legendEntry>
        <c:idx val="0"/>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1"/>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2"/>
        <c:delete val="true"/>
      </c:legendEntry>
      <c:legendEntry>
        <c:idx val="3"/>
        <c:delete val="true"/>
      </c:legendEntry>
      <c:legendEntry>
        <c:idx val="4"/>
        <c:delete val="true"/>
      </c:legendEntry>
      <c:layout>
        <c:manualLayout>
          <c:xMode val="edge"/>
          <c:yMode val="edge"/>
          <c:x val="0.693867638129933"/>
          <c:y val="0.19174098487786"/>
          <c:w val="0.27237401335762"/>
          <c:h val="0.645599069406747"/>
        </c:manualLayout>
      </c:layout>
      <c:overlay val="false"/>
      <c:spPr>
        <a:solidFill>
          <a:srgbClr val="FFFFFF">
            <a:alpha val="100000"/>
          </a:srgbClr>
        </a:solidFill>
        <a:ln w="12700">
          <a:solidFill>
            <a:srgbClr val="000000">
              <a:alpha val="100000"/>
            </a:srgbClr>
          </a:solidFill>
          <a:prstDash val="solid"/>
        </a:ln>
      </c:spPr>
      <c:txPr>
        <a:bodyPr rot="0" spcFirstLastPara="0" vertOverflow="ellipsis" horzOverflow="overflow" vert="horz" wrap="square"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true"/>
    <c:dispBlanksAs val="zero"/>
    <c:showDLblsOverMax val="false"/>
  </c:chart>
  <c:spPr>
    <a:solidFill>
      <a:srgbClr val="FFFFFF"/>
    </a:solidFill>
    <a:ln w="3175" cap="flat" cmpd="sng" algn="ctr">
      <a:solidFill>
        <a:srgbClr val="000000">
          <a:alpha val="100000"/>
        </a:srgbClr>
      </a:solidFill>
      <a:prstDash val="solid"/>
      <a:round/>
    </a:ln>
    <a:effectLst/>
  </c:spPr>
  <c:txPr>
    <a:bodyPr rot="0" wrap="square" anchor="ctr" anchorCtr="true"/>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autoTitleDeleted val="true"/>
    <c:plotArea>
      <c:layout/>
      <c:barChart>
        <c:barDir val="col"/>
        <c:grouping val="clustered"/>
        <c:varyColors val="false"/>
        <c:ser>
          <c:idx val="0"/>
          <c:order val="0"/>
          <c:tx>
            <c:strRef>
              <c:f>[图2.xls]Sheet1!$D$6</c:f>
              <c:strCache>
                <c:ptCount val="1"/>
                <c:pt idx="0">
                  <c:v>2020年财政拨款收、支总计</c:v>
                </c:pt>
              </c:strCache>
            </c:strRef>
          </c:tx>
          <c:spPr>
            <a:solidFill>
              <a:srgbClr val="9999FF"/>
            </a:solidFill>
            <a:ln w="12700">
              <a:solidFill>
                <a:srgbClr val="000000"/>
              </a:solidFill>
            </a:ln>
          </c:spPr>
          <c:invertIfNegative val="false"/>
          <c:dLbls>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val>
            <c:numRef>
              <c:f>[图2.xls]Sheet1!$C$6</c:f>
              <c:numCache>
                <c:formatCode>General</c:formatCode>
                <c:ptCount val="1"/>
                <c:pt idx="0">
                  <c:v>4317.37</c:v>
                </c:pt>
              </c:numCache>
            </c:numRef>
          </c:val>
        </c:ser>
        <c:ser>
          <c:idx val="1"/>
          <c:order val="1"/>
          <c:tx>
            <c:strRef>
              <c:f>[图2.xls]Sheet1!$D$7</c:f>
              <c:strCache>
                <c:ptCount val="1"/>
                <c:pt idx="0">
                  <c:v>2021年财政拨款收、支总计</c:v>
                </c:pt>
              </c:strCache>
            </c:strRef>
          </c:tx>
          <c:spPr>
            <a:solidFill>
              <a:srgbClr val="993366"/>
            </a:solidFill>
            <a:ln w="12700">
              <a:solidFill>
                <a:srgbClr val="000000"/>
              </a:solidFill>
            </a:ln>
          </c:spPr>
          <c:invertIfNegative val="false"/>
          <c:dLbls>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val>
            <c:numRef>
              <c:f>[图2.xls]Sheet1!$C$7</c:f>
              <c:numCache>
                <c:formatCode>General</c:formatCode>
                <c:ptCount val="1"/>
                <c:pt idx="0">
                  <c:v>3586.9</c:v>
                </c:pt>
              </c:numCache>
            </c:numRef>
          </c:val>
        </c:ser>
        <c:dLbls>
          <c:showLegendKey val="false"/>
          <c:showVal val="true"/>
          <c:showCatName val="false"/>
          <c:showSerName val="false"/>
          <c:showPercent val="false"/>
          <c:showBubbleSize val="false"/>
        </c:dLbls>
        <c:gapWidth val="150"/>
        <c:overlap val="0"/>
        <c:axId val="768969653"/>
        <c:axId val="952497581"/>
      </c:barChart>
      <c:catAx>
        <c:axId val="768969653"/>
        <c:scaling>
          <c:orientation val="minMax"/>
        </c:scaling>
        <c:delete val="true"/>
        <c:axPos val="b"/>
        <c:majorTickMark val="in"/>
        <c:minorTickMark val="none"/>
        <c:tickLblPos val="nextTo"/>
        <c:txPr>
          <a:bodyPr rot="-6000000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952497581"/>
        <c:crosses val="autoZero"/>
        <c:auto val="true"/>
        <c:lblAlgn val="ctr"/>
        <c:lblOffset val="100"/>
        <c:noMultiLvlLbl val="false"/>
      </c:catAx>
      <c:valAx>
        <c:axId val="952497581"/>
        <c:scaling>
          <c:orientation val="minMax"/>
        </c:scaling>
        <c:delete val="false"/>
        <c:axPos val="l"/>
        <c:majorGridlines>
          <c:spPr>
            <a:ln w="3175" cap="flat" cmpd="sng" algn="ctr">
              <a:solidFill>
                <a:srgbClr val="000000">
                  <a:alpha val="100000"/>
                </a:srgbClr>
              </a:solidFill>
              <a:prstDash val="solid"/>
              <a:round/>
            </a:ln>
          </c:spPr>
        </c:majorGridlines>
        <c:numFmt formatCode="General" sourceLinked="true"/>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768969653"/>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664071190211346"/>
          <c:y val="0.386044591246903"/>
          <c:w val="0.327252502780868"/>
          <c:h val="0.275805119735756"/>
        </c:manualLayout>
      </c:layout>
      <c:overlay val="false"/>
      <c:spPr>
        <a:solidFill>
          <a:srgbClr val="FFFFFF"/>
        </a:solidFill>
        <a:ln>
          <a:solidFill>
            <a:srgbClr val="000000"/>
          </a:solidFill>
        </a:ln>
      </c:spPr>
      <c:txPr>
        <a:bodyPr rot="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true"/>
    <c:dispBlanksAs val="gap"/>
    <c:showDLblsOverMax val="false"/>
  </c:chart>
  <c:spPr>
    <a:solidFill>
      <a:srgbClr val="FFFFFF"/>
    </a:solidFill>
    <a:ln w="3175" cap="flat" cmpd="sng" algn="ctr">
      <a:solidFill>
        <a:srgbClr val="000000">
          <a:alpha val="100000"/>
        </a:srgbClr>
      </a:solidFill>
      <a:prstDash val="solid"/>
      <a:round/>
    </a:ln>
  </c:spPr>
  <c:txPr>
    <a:bodyPr rot="0" wrap="square" anchor="ctr" anchorCtr="true"/>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autoTitleDeleted val="true"/>
    <c:plotArea>
      <c:layout>
        <c:manualLayout>
          <c:layoutTarget val="inner"/>
          <c:xMode val="edge"/>
          <c:yMode val="edge"/>
          <c:x val="0.0928450975668514"/>
          <c:y val="0.00994841562269713"/>
          <c:w val="0.55507106721272"/>
          <c:h val="0.910095799557848"/>
        </c:manualLayout>
      </c:layout>
      <c:barChart>
        <c:barDir val="col"/>
        <c:grouping val="clustered"/>
        <c:varyColors val="false"/>
        <c:ser>
          <c:idx val="0"/>
          <c:order val="0"/>
          <c:tx>
            <c:strRef>
              <c:f>[图3.xls]Sheet1!$D$6</c:f>
              <c:strCache>
                <c:ptCount val="1"/>
                <c:pt idx="0">
                  <c:v>2020年一般公共预算财政拨款支出</c:v>
                </c:pt>
              </c:strCache>
            </c:strRef>
          </c:tx>
          <c:spPr>
            <a:solidFill>
              <a:srgbClr val="9999FF"/>
            </a:solidFill>
            <a:ln w="12700">
              <a:solidFill>
                <a:srgbClr val="000000"/>
              </a:solidFill>
            </a:ln>
          </c:spPr>
          <c:invertIfNegative val="false"/>
          <c:dLbls>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val>
            <c:numRef>
              <c:f>[图3.xls]Sheet1!$C$6</c:f>
              <c:numCache>
                <c:formatCode>General</c:formatCode>
                <c:ptCount val="1"/>
                <c:pt idx="0">
                  <c:v>3530.81</c:v>
                </c:pt>
              </c:numCache>
            </c:numRef>
          </c:val>
        </c:ser>
        <c:ser>
          <c:idx val="1"/>
          <c:order val="1"/>
          <c:tx>
            <c:strRef>
              <c:f>[图3.xls]Sheet1!$D$7</c:f>
              <c:strCache>
                <c:ptCount val="1"/>
                <c:pt idx="0">
                  <c:v>2021年一般公共预算财政拨款支出</c:v>
                </c:pt>
              </c:strCache>
            </c:strRef>
          </c:tx>
          <c:spPr>
            <a:solidFill>
              <a:srgbClr val="993366"/>
            </a:solidFill>
            <a:ln w="12700">
              <a:solidFill>
                <a:srgbClr val="000000"/>
              </a:solidFill>
            </a:ln>
          </c:spPr>
          <c:invertIfNegative val="false"/>
          <c:dLbls>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val>
            <c:numRef>
              <c:f>[图3.xls]Sheet1!$C$7</c:f>
              <c:numCache>
                <c:formatCode>General</c:formatCode>
                <c:ptCount val="1"/>
                <c:pt idx="0">
                  <c:v>3485.74</c:v>
                </c:pt>
              </c:numCache>
            </c:numRef>
          </c:val>
        </c:ser>
        <c:dLbls>
          <c:showLegendKey val="false"/>
          <c:showVal val="true"/>
          <c:showCatName val="false"/>
          <c:showSerName val="false"/>
          <c:showPercent val="false"/>
          <c:showBubbleSize val="false"/>
        </c:dLbls>
        <c:gapWidth val="150"/>
        <c:overlap val="0"/>
        <c:axId val="158944352"/>
        <c:axId val="847465151"/>
      </c:barChart>
      <c:catAx>
        <c:axId val="158944352"/>
        <c:scaling>
          <c:orientation val="minMax"/>
        </c:scaling>
        <c:delete val="true"/>
        <c:axPos val="b"/>
        <c:majorTickMark val="in"/>
        <c:minorTickMark val="none"/>
        <c:tickLblPos val="nextTo"/>
        <c:txPr>
          <a:bodyPr rot="-6000000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847465151"/>
        <c:crosses val="autoZero"/>
        <c:auto val="true"/>
        <c:lblAlgn val="ctr"/>
        <c:lblOffset val="100"/>
        <c:noMultiLvlLbl val="false"/>
      </c:catAx>
      <c:valAx>
        <c:axId val="847465151"/>
        <c:scaling>
          <c:orientation val="minMax"/>
        </c:scaling>
        <c:delete val="false"/>
        <c:axPos val="l"/>
        <c:majorGridlines>
          <c:spPr>
            <a:ln w="3175" cap="flat" cmpd="sng" algn="ctr">
              <a:solidFill>
                <a:srgbClr val="000000">
                  <a:alpha val="100000"/>
                </a:srgbClr>
              </a:solidFill>
              <a:prstDash val="solid"/>
              <a:round/>
            </a:ln>
          </c:spPr>
        </c:majorGridlines>
        <c:numFmt formatCode="General" sourceLinked="true"/>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58944352"/>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6775"/>
          <c:y val="0.386"/>
          <c:w val="0.3155"/>
          <c:h val="0.228"/>
        </c:manualLayout>
      </c:layout>
      <c:overlay val="false"/>
      <c:spPr>
        <a:solidFill>
          <a:srgbClr val="FFFFFF"/>
        </a:solidFill>
        <a:ln>
          <a:solidFill>
            <a:srgbClr val="000000"/>
          </a:solidFill>
        </a:ln>
      </c:spPr>
      <c:txPr>
        <a:bodyPr rot="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true"/>
    <c:dispBlanksAs val="gap"/>
    <c:showDLblsOverMax val="false"/>
  </c:chart>
  <c:spPr>
    <a:solidFill>
      <a:srgbClr val="FFFFFF"/>
    </a:solidFill>
    <a:ln w="3175" cap="flat" cmpd="sng" algn="ctr">
      <a:solidFill>
        <a:srgbClr val="000000">
          <a:alpha val="100000"/>
        </a:srgbClr>
      </a:solidFill>
      <a:prstDash val="solid"/>
      <a:round/>
    </a:ln>
  </c:spPr>
  <c:txPr>
    <a:bodyPr rot="0" wrap="square" anchor="ctr" anchorCtr="true"/>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lgn="ctr" defTabSz="914400">
              <a:defRPr lang="zh-CN" sz="1200" b="0" i="0" u="none" strike="noStrike" kern="0" cap="none" spc="0" normalizeH="0" baseline="0">
                <a:solidFill>
                  <a:srgbClr val="000000">
                    <a:alpha val="100000"/>
                  </a:srgbClr>
                </a:solidFill>
                <a:uFill/>
                <a:latin typeface="仿宋_GB2312" panose="02010609030101010101" pitchFamily="3" charset="-122"/>
                <a:ea typeface="仿宋_GB2312" panose="02010609030101010101" pitchFamily="3" charset="-122"/>
                <a:cs typeface="宋体" panose="02010600030101010101" charset="-122"/>
              </a:defRPr>
            </a:pPr>
            <a:r>
              <a:rPr sz="1400" b="1">
                <a:solidFill>
                  <a:srgbClr val="000000">
                    <a:alpha val="100000"/>
                  </a:srgbClr>
                </a:solidFill>
                <a:uFill/>
                <a:ea typeface="仿宋_GB2312" panose="02010609030101010101" pitchFamily="3" charset="-122"/>
              </a:rPr>
              <a:t>一般公共预算财政拨款支出决算结构图</a:t>
            </a:r>
            <a:endParaRPr sz="1400" b="1" i="0" baseline="0">
              <a:solidFill>
                <a:srgbClr val="000000">
                  <a:alpha val="100000"/>
                </a:srgbClr>
              </a:solidFill>
              <a:uFill/>
              <a:ea typeface="仿宋_GB2312" panose="02010609030101010101" pitchFamily="3" charset="-122"/>
              <a:cs typeface="宋体" panose="02010600030101010101" charset="-122"/>
            </a:endParaRPr>
          </a:p>
        </c:rich>
      </c:tx>
      <c:layout/>
      <c:overlay val="false"/>
    </c:title>
    <c:autoTitleDeleted val="false"/>
    <c:plotArea>
      <c:layout>
        <c:manualLayout>
          <c:layoutTarget val="inner"/>
          <c:xMode val="edge"/>
          <c:yMode val="edge"/>
          <c:x val="0.152582358563561"/>
          <c:y val="0.232087274172665"/>
          <c:w val="0.37084684356652"/>
          <c:h val="0.72506879567159"/>
        </c:manualLayout>
      </c:layout>
      <c:pieChart>
        <c:varyColors val="true"/>
        <c:ser>
          <c:idx val="0"/>
          <c:order val="0"/>
          <c:spPr>
            <a:solidFill>
              <a:srgbClr val="9999FF"/>
            </a:solidFill>
            <a:effectLst/>
          </c:spPr>
          <c:explosion val="0"/>
          <c:dPt>
            <c:idx val="0"/>
            <c:bubble3D val="false"/>
            <c:explosion val="0"/>
            <c:spPr>
              <a:solidFill>
                <a:srgbClr val="9999FF">
                  <a:alpha val="100000"/>
                </a:srgbClr>
              </a:solidFill>
              <a:ln w="12700">
                <a:solidFill>
                  <a:srgbClr val="000000">
                    <a:alpha val="100000"/>
                  </a:srgbClr>
                </a:solidFill>
                <a:prstDash val="solid"/>
              </a:ln>
            </c:spPr>
          </c:dPt>
          <c:dPt>
            <c:idx val="1"/>
            <c:bubble3D val="false"/>
            <c:explosion val="0"/>
            <c:spPr>
              <a:solidFill>
                <a:srgbClr val="993366">
                  <a:alpha val="100000"/>
                </a:srgbClr>
              </a:solidFill>
              <a:ln w="12700">
                <a:solidFill>
                  <a:srgbClr val="000000">
                    <a:alpha val="100000"/>
                  </a:srgbClr>
                </a:solidFill>
                <a:prstDash val="solid"/>
              </a:ln>
            </c:spPr>
          </c:dPt>
          <c:dPt>
            <c:idx val="2"/>
            <c:bubble3D val="false"/>
            <c:explosion val="0"/>
            <c:spPr>
              <a:solidFill>
                <a:srgbClr val="FFFFCC">
                  <a:alpha val="100000"/>
                </a:srgbClr>
              </a:solidFill>
              <a:ln w="12700">
                <a:solidFill>
                  <a:srgbClr val="000000">
                    <a:alpha val="100000"/>
                  </a:srgbClr>
                </a:solidFill>
                <a:prstDash val="solid"/>
              </a:ln>
            </c:spPr>
          </c:dPt>
          <c:dPt>
            <c:idx val="3"/>
            <c:bubble3D val="false"/>
            <c:explosion val="0"/>
            <c:spPr>
              <a:solidFill>
                <a:srgbClr val="CCFFFF">
                  <a:alpha val="100000"/>
                </a:srgbClr>
              </a:solidFill>
              <a:ln w="12700">
                <a:solidFill>
                  <a:srgbClr val="000000">
                    <a:alpha val="100000"/>
                  </a:srgbClr>
                </a:solidFill>
                <a:prstDash val="solid"/>
              </a:ln>
            </c:spPr>
          </c:dPt>
          <c:dPt>
            <c:idx val="4"/>
            <c:bubble3D val="false"/>
            <c:explosion val="0"/>
            <c:spPr>
              <a:solidFill>
                <a:srgbClr val="660066">
                  <a:alpha val="100000"/>
                </a:srgbClr>
              </a:solidFill>
              <a:ln w="12700">
                <a:solidFill>
                  <a:srgbClr val="000000">
                    <a:alpha val="100000"/>
                  </a:srgbClr>
                </a:solidFill>
                <a:prstDash val="solid"/>
              </a:ln>
            </c:spPr>
          </c:dPt>
          <c:dPt>
            <c:idx val="5"/>
            <c:bubble3D val="false"/>
            <c:explosion val="0"/>
            <c:spPr>
              <a:solidFill>
                <a:srgbClr val="FF8080">
                  <a:alpha val="100000"/>
                </a:srgbClr>
              </a:solidFill>
              <a:ln w="12700">
                <a:solidFill>
                  <a:srgbClr val="000000">
                    <a:alpha val="100000"/>
                  </a:srgbClr>
                </a:solidFill>
                <a:prstDash val="solid"/>
              </a:ln>
            </c:spPr>
          </c:dPt>
          <c:dPt>
            <c:idx val="6"/>
            <c:bubble3D val="false"/>
            <c:explosion val="0"/>
            <c:spPr>
              <a:solidFill>
                <a:srgbClr val="0066CC">
                  <a:alpha val="100000"/>
                </a:srgbClr>
              </a:solidFill>
              <a:ln w="12700">
                <a:solidFill>
                  <a:srgbClr val="000000">
                    <a:alpha val="100000"/>
                  </a:srgbClr>
                </a:solidFill>
                <a:prstDash val="solid"/>
              </a:ln>
            </c:spPr>
          </c:dPt>
          <c:dPt>
            <c:idx val="7"/>
            <c:bubble3D val="false"/>
            <c:spPr>
              <a:solidFill>
                <a:schemeClr val="accent2">
                  <a:lumMod val="50000"/>
                </a:schemeClr>
              </a:solidFill>
              <a:effectLst/>
            </c:spPr>
          </c:dPt>
          <c:dPt>
            <c:idx val="8"/>
            <c:bubble3D val="false"/>
            <c:spPr>
              <a:solidFill>
                <a:srgbClr val="6E5669"/>
              </a:solidFill>
              <a:effectLst/>
            </c:spPr>
          </c:dPt>
          <c:dLbls>
            <c:dLbl>
              <c:idx val="1"/>
              <c:layout>
                <c:manualLayout>
                  <c:x val="-0.0852601156069364"/>
                  <c:y val="0.0565078169146732"/>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2"/>
              <c:delete val="true"/>
            </c:dLbl>
            <c:dLbl>
              <c:idx val="3"/>
              <c:delete val="true"/>
            </c:dLbl>
            <c:dLbl>
              <c:idx val="4"/>
              <c:layout>
                <c:manualLayout>
                  <c:x val="0.0563583815028902"/>
                  <c:y val="-0.0452062535317386"/>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5"/>
              <c:delete val="true"/>
            </c:dLbl>
            <c:dLbl>
              <c:idx val="6"/>
              <c:layout>
                <c:manualLayout>
                  <c:x val="0.0984548935718295"/>
                  <c:y val="0.025674719648554"/>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8"/>
              <c:delete val="true"/>
            </c:dLbl>
            <c:numFmt formatCode="General" sourceLinked="true"/>
            <c:spPr>
              <a:noFill/>
              <a:ln>
                <a:noFill/>
              </a:ln>
              <a:effectLst/>
            </c:spPr>
            <c:txPr>
              <a:bodyPr rot="0" spcFirstLastPara="0" vertOverflow="ellipsis" horzOverflow="overflow"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shade val="95000"/>
                          <a:satMod val="105000"/>
                        </a:schemeClr>
                      </a:solidFill>
                      <a:prstDash val="solid"/>
                      <a:round/>
                    </a:ln>
                    <a:effectLst/>
                  </c:spPr>
                </c15:leaderLines>
              </c:ext>
            </c:extLst>
          </c:dLbls>
          <c:cat>
            <c:strRef>
              <c:f>[副999Xl0000022.xls]Sheet1!$A$2:$A$10</c:f>
              <c:strCache>
                <c:ptCount val="9"/>
                <c:pt idx="0">
                  <c:v>一般公共服务（类）支出</c:v>
                </c:pt>
                <c:pt idx="1">
                  <c:v>教育（类）支出</c:v>
                </c:pt>
                <c:pt idx="2">
                  <c:v>科学技术（类）支出</c:v>
                </c:pt>
                <c:pt idx="3">
                  <c:v>文化旅游体育与传媒（类）支出</c:v>
                </c:pt>
                <c:pt idx="4">
                  <c:v>社会保障和就业（类）支出</c:v>
                </c:pt>
                <c:pt idx="5">
                  <c:v>卫生健康（类）支出</c:v>
                </c:pt>
                <c:pt idx="6">
                  <c:v>住房保障（类）支出</c:v>
                </c:pt>
                <c:pt idx="7">
                  <c:v>农林水（类）支出</c:v>
                </c:pt>
                <c:pt idx="8">
                  <c:v>灾害防治及应急管理（类）支出</c:v>
                </c:pt>
              </c:strCache>
            </c:strRef>
          </c:cat>
          <c:val>
            <c:numRef>
              <c:f>[副999Xl0000022.xls]Sheet1!$B$2:$B$10</c:f>
              <c:numCache>
                <c:formatCode>General</c:formatCode>
                <c:ptCount val="9"/>
                <c:pt idx="0">
                  <c:v>2682.18</c:v>
                </c:pt>
                <c:pt idx="1">
                  <c:v>0</c:v>
                </c:pt>
                <c:pt idx="2">
                  <c:v>0</c:v>
                </c:pt>
                <c:pt idx="3">
                  <c:v>0</c:v>
                </c:pt>
                <c:pt idx="4">
                  <c:v>607.36</c:v>
                </c:pt>
                <c:pt idx="5">
                  <c:v>0</c:v>
                </c:pt>
                <c:pt idx="6">
                  <c:v>183.26</c:v>
                </c:pt>
                <c:pt idx="7">
                  <c:v>6.34</c:v>
                </c:pt>
                <c:pt idx="8">
                  <c:v>6.59</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r"/>
      <c:legendEntry>
        <c:idx val="0"/>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1"/>
        <c:delete val="true"/>
      </c:legendEntry>
      <c:legendEntry>
        <c:idx val="2"/>
        <c:delete val="true"/>
      </c:legendEntry>
      <c:legendEntry>
        <c:idx val="3"/>
        <c:delete val="true"/>
      </c:legendEntry>
      <c:legendEntry>
        <c:idx val="4"/>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5"/>
        <c:delete val="true"/>
      </c:legendEntry>
      <c:legendEntry>
        <c:idx val="6"/>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7"/>
        <c:txPr>
          <a:bodyPr rot="0" spcFirstLastPara="0" vertOverflow="ellipsis" vert="horz" wrap="square" anchor="ctr" anchorCtr="true"/>
          <a:lstStyle/>
          <a:p>
            <a:pPr>
              <a:defRPr lang="zh-CN" sz="1200" b="0" i="0" u="none" strike="noStrike" kern="1200" cap="none" spc="0" normalizeH="0" baseline="0">
                <a:solidFill>
                  <a:schemeClr val="tx1"/>
                </a:solidFill>
                <a:uFill>
                  <a:solidFill>
                    <a:schemeClr val="tx1"/>
                  </a:solidFill>
                </a:uFill>
                <a:latin typeface="方正仿宋_GBK" panose="02000000000000000000" charset="-122"/>
                <a:ea typeface="方正仿宋_GBK" panose="02000000000000000000" charset="-122"/>
                <a:cs typeface="宋体" panose="02010600030101010101" charset="-122"/>
              </a:defRPr>
            </a:pPr>
          </a:p>
        </c:txPr>
      </c:legendEntry>
      <c:legendEntry>
        <c:idx val="8"/>
        <c:txPr>
          <a:bodyPr rot="0" spcFirstLastPara="0" vertOverflow="ellipsis" vert="horz" wrap="square" anchor="ctr" anchorCtr="true"/>
          <a:lstStyle/>
          <a:p>
            <a:pPr>
              <a:defRPr lang="zh-CN" sz="1200" b="0" i="0" u="none" strike="noStrike" kern="1200" cap="none" spc="0" normalizeH="0" baseline="0">
                <a:solidFill>
                  <a:schemeClr val="tx1"/>
                </a:solidFill>
                <a:uFill>
                  <a:solidFill>
                    <a:schemeClr val="tx1"/>
                  </a:solidFill>
                </a:uFill>
                <a:latin typeface="宋体" panose="02010600030101010101" charset="-122"/>
                <a:ea typeface="方正仿宋_GBK" panose="02000000000000000000" charset="-122"/>
                <a:cs typeface="宋体" panose="02010600030101010101" charset="-122"/>
              </a:defRPr>
            </a:pPr>
          </a:p>
        </c:txPr>
      </c:legendEntry>
      <c:layout>
        <c:manualLayout>
          <c:xMode val="edge"/>
          <c:yMode val="edge"/>
          <c:x val="0.603764420157863"/>
          <c:y val="0.124033405505722"/>
          <c:w val="0.36842744383728"/>
          <c:h val="0.788586452211568"/>
        </c:manualLayout>
      </c:layout>
      <c:overlay val="false"/>
      <c:spPr>
        <a:solidFill>
          <a:srgbClr val="FFFFFF">
            <a:alpha val="100000"/>
          </a:srgbClr>
        </a:solidFill>
        <a:ln w="12700">
          <a:solidFill>
            <a:srgbClr val="000000">
              <a:alpha val="100000"/>
            </a:srgbClr>
          </a:solidFill>
          <a:prstDash val="solid"/>
        </a:ln>
      </c:spPr>
      <c:txPr>
        <a:bodyPr rot="0" spcFirstLastPara="0" vertOverflow="ellipsis" horzOverflow="overflow" vert="horz" wrap="square"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true"/>
    <c:dispBlanksAs val="zero"/>
    <c:showDLblsOverMax val="false"/>
  </c:chart>
  <c:spPr>
    <a:solidFill>
      <a:srgbClr val="FFFFFF"/>
    </a:solidFill>
    <a:ln w="3175" cap="flat" cmpd="sng" algn="ctr">
      <a:solidFill>
        <a:srgbClr val="000000">
          <a:alpha val="100000"/>
        </a:srgbClr>
      </a:solidFill>
      <a:prstDash val="solid"/>
      <a:round/>
    </a:ln>
    <a:effectLst/>
  </c:spPr>
  <c:txPr>
    <a:bodyPr rot="0" wrap="square" anchor="ctr" anchorCtr="true"/>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lgn="ctr" defTabSz="914400">
              <a:defRPr lang="zh-CN" sz="1200" b="0" i="0" u="none" strike="noStrike" kern="0" cap="none" spc="0" normalizeH="0" baseline="0">
                <a:solidFill>
                  <a:srgbClr val="000000">
                    <a:alpha val="100000"/>
                  </a:srgbClr>
                </a:solidFill>
                <a:uFill/>
                <a:latin typeface="仿宋_GB2312" panose="02010609030101010101" pitchFamily="3" charset="-122"/>
                <a:ea typeface="仿宋_GB2312" panose="02010609030101010101" pitchFamily="3" charset="-122"/>
                <a:cs typeface="宋体" panose="02010600030101010101" charset="-122"/>
              </a:defRPr>
            </a:pPr>
            <a:r>
              <a:rPr sz="1400" b="1">
                <a:solidFill>
                  <a:srgbClr val="000000">
                    <a:alpha val="100000"/>
                  </a:srgbClr>
                </a:solidFill>
              </a:rPr>
              <a:t>“三公”经费财政拨款支出结构图</a:t>
            </a:r>
            <a:endParaRPr sz="1400" b="1">
              <a:solidFill>
                <a:srgbClr val="000000">
                  <a:alpha val="100000"/>
                </a:srgbClr>
              </a:solidFill>
              <a:uFill/>
              <a:ea typeface="仿宋_GB2312" panose="02010609030101010101" pitchFamily="3" charset="-122"/>
            </a:endParaRPr>
          </a:p>
        </c:rich>
      </c:tx>
      <c:layout/>
      <c:overlay val="false"/>
    </c:title>
    <c:autoTitleDeleted val="false"/>
    <c:plotArea>
      <c:layout>
        <c:manualLayout>
          <c:layoutTarget val="inner"/>
          <c:xMode val="edge"/>
          <c:yMode val="edge"/>
          <c:x val="0.152582358563561"/>
          <c:y val="0.232087274172665"/>
          <c:w val="0.37084684356652"/>
          <c:h val="0.72506879567159"/>
        </c:manualLayout>
      </c:layout>
      <c:pieChart>
        <c:varyColors val="true"/>
        <c:ser>
          <c:idx val="0"/>
          <c:order val="0"/>
          <c:spPr>
            <a:solidFill>
              <a:srgbClr val="9999FF"/>
            </a:solidFill>
            <a:effectLst/>
          </c:spPr>
          <c:explosion val="0"/>
          <c:dPt>
            <c:idx val="0"/>
            <c:bubble3D val="false"/>
            <c:explosion val="0"/>
            <c:spPr>
              <a:solidFill>
                <a:srgbClr val="9999FF">
                  <a:alpha val="100000"/>
                </a:srgbClr>
              </a:solidFill>
              <a:ln w="12700">
                <a:solidFill>
                  <a:srgbClr val="000000">
                    <a:alpha val="100000"/>
                  </a:srgbClr>
                </a:solidFill>
                <a:prstDash val="solid"/>
              </a:ln>
            </c:spPr>
          </c:dPt>
          <c:dPt>
            <c:idx val="1"/>
            <c:bubble3D val="false"/>
            <c:explosion val="0"/>
            <c:spPr>
              <a:solidFill>
                <a:srgbClr val="993366">
                  <a:alpha val="100000"/>
                </a:srgbClr>
              </a:solidFill>
              <a:ln w="12700">
                <a:solidFill>
                  <a:srgbClr val="000000">
                    <a:alpha val="100000"/>
                  </a:srgbClr>
                </a:solidFill>
                <a:prstDash val="solid"/>
              </a:ln>
            </c:spPr>
          </c:dPt>
          <c:dPt>
            <c:idx val="2"/>
            <c:bubble3D val="false"/>
            <c:explosion val="0"/>
            <c:spPr>
              <a:solidFill>
                <a:srgbClr val="FFFFCC">
                  <a:alpha val="100000"/>
                </a:srgbClr>
              </a:solidFill>
              <a:ln w="12700">
                <a:solidFill>
                  <a:srgbClr val="000000">
                    <a:alpha val="100000"/>
                  </a:srgbClr>
                </a:solidFill>
                <a:prstDash val="solid"/>
              </a:ln>
            </c:spPr>
          </c:dPt>
          <c:dLbls>
            <c:dLbl>
              <c:idx val="1"/>
              <c:layout>
                <c:manualLayout>
                  <c:x val="-0.0852601156069364"/>
                  <c:y val="0.0565078169146732"/>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2"/>
              <c:layout>
                <c:manualLayout>
                  <c:x val="-0.00867052023121387"/>
                  <c:y val="-0.123174175648759"/>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numFmt formatCode="General" sourceLinked="true"/>
            <c:spPr>
              <a:noFill/>
              <a:ln>
                <a:noFill/>
              </a:ln>
              <a:effectLst/>
            </c:spPr>
            <c:txPr>
              <a:bodyPr rot="0" spcFirstLastPara="0" vertOverflow="ellipsis" horzOverflow="overflow"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shade val="95000"/>
                          <a:satMod val="105000"/>
                        </a:schemeClr>
                      </a:solidFill>
                      <a:prstDash val="solid"/>
                      <a:round/>
                    </a:ln>
                    <a:effectLst/>
                  </c:spPr>
                </c15:leaderLines>
              </c:ext>
            </c:extLst>
          </c:dLbls>
          <c:cat>
            <c:strRef>
              <c:f>[副9888Xl0000022.xls]Sheet1!$A$2:$A$4</c:f>
              <c:strCache>
                <c:ptCount val="3"/>
                <c:pt idx="0">
                  <c:v>因公出国（境）费支出决算</c:v>
                </c:pt>
                <c:pt idx="1">
                  <c:v>公务用车购置及运行维护费支出决算</c:v>
                </c:pt>
                <c:pt idx="2">
                  <c:v>公务接待费支出决算</c:v>
                </c:pt>
              </c:strCache>
            </c:strRef>
          </c:cat>
          <c:val>
            <c:numRef>
              <c:f>[副9888Xl0000022.xls]Sheet1!$B$2:$B$4</c:f>
              <c:numCache>
                <c:formatCode>General</c:formatCode>
                <c:ptCount val="3"/>
                <c:pt idx="0">
                  <c:v>0</c:v>
                </c:pt>
                <c:pt idx="1">
                  <c:v>50.14</c:v>
                </c:pt>
                <c:pt idx="2">
                  <c:v>0.55</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r"/>
      <c:legendEntry>
        <c:idx val="0"/>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1"/>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2"/>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ayout>
        <c:manualLayout>
          <c:xMode val="edge"/>
          <c:yMode val="edge"/>
          <c:x val="0.55975"/>
          <c:y val="0.36425"/>
          <c:w val="0.41615415414211"/>
          <c:h val="0.323343276380341"/>
        </c:manualLayout>
      </c:layout>
      <c:overlay val="false"/>
      <c:spPr>
        <a:solidFill>
          <a:srgbClr val="FFFFFF">
            <a:alpha val="100000"/>
          </a:srgbClr>
        </a:solidFill>
        <a:ln w="12700">
          <a:solidFill>
            <a:srgbClr val="000000">
              <a:alpha val="100000"/>
            </a:srgbClr>
          </a:solidFill>
          <a:prstDash val="solid"/>
        </a:ln>
      </c:spPr>
      <c:txPr>
        <a:bodyPr rot="0" spcFirstLastPara="0" vertOverflow="ellipsis" horzOverflow="overflow" vert="horz" wrap="square"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true"/>
    <c:dispBlanksAs val="zero"/>
    <c:showDLblsOverMax val="false"/>
  </c:chart>
  <c:spPr>
    <a:solidFill>
      <a:srgbClr val="FFFFFF"/>
    </a:solidFill>
    <a:ln w="3175" cap="flat" cmpd="sng" algn="ctr">
      <a:solidFill>
        <a:srgbClr val="000000">
          <a:alpha val="100000"/>
        </a:srgbClr>
      </a:solidFill>
      <a:prstDash val="solid"/>
      <a:round/>
    </a:ln>
    <a:effectLst/>
  </c:spPr>
  <c:txPr>
    <a:bodyPr rot="0" wrap="square" anchor="ctr" anchorCtr="true"/>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c58c44f0-321b-43a5-bb70-8bef0eae7939}"/>
        <w:style w:val=""/>
        <w:category>
          <w:name w:val="常规"/>
          <w:gallery w:val="placeholder"/>
        </w:category>
        <w:types>
          <w:type w:val="bbPlcHdr"/>
        </w:types>
        <w:behaviors>
          <w:behavior w:val="content"/>
        </w:behaviors>
        <w:description w:val=""/>
        <w:guid w:val="{c58c44f0-321b-43a5-bb70-8bef0eae7939}"/>
      </w:docPartPr>
      <w:docPartBody>
        <w:p>
          <w:r>
            <w:rPr>
              <w:color w:val="808080"/>
            </w:rPr>
            <w:t>单击此处输入文字。</w:t>
          </w:r>
        </w:p>
      </w:docPartBody>
    </w:docPart>
    <w:docPart>
      <w:docPartPr>
        <w:name w:val="{681d87a0-b447-4a73-bd8f-bb1fe297316e}"/>
        <w:style w:val=""/>
        <w:category>
          <w:name w:val="常规"/>
          <w:gallery w:val="placeholder"/>
        </w:category>
        <w:types>
          <w:type w:val="bbPlcHdr"/>
        </w:types>
        <w:behaviors>
          <w:behavior w:val="content"/>
        </w:behaviors>
        <w:description w:val=""/>
        <w:guid w:val="{681d87a0-b447-4a73-bd8f-bb1fe297316e}"/>
      </w:docPartPr>
      <w:docPartBody>
        <w:p>
          <w:r>
            <w:rPr>
              <w:color w:val="808080"/>
            </w:rPr>
            <w:t>单击此处输入文字。</w:t>
          </w:r>
        </w:p>
      </w:docPartBody>
    </w:docPart>
    <w:docPart>
      <w:docPartPr>
        <w:name w:val="{e78d776b-e5d3-4792-9d16-4c65899f9657}"/>
        <w:style w:val=""/>
        <w:category>
          <w:name w:val="常规"/>
          <w:gallery w:val="placeholder"/>
        </w:category>
        <w:types>
          <w:type w:val="bbPlcHdr"/>
        </w:types>
        <w:behaviors>
          <w:behavior w:val="content"/>
        </w:behaviors>
        <w:description w:val=""/>
        <w:guid w:val="{e78d776b-e5d3-4792-9d16-4c65899f9657}"/>
      </w:docPartPr>
      <w:docPartBody>
        <w:p>
          <w:r>
            <w:rPr>
              <w:color w:val="808080"/>
            </w:rPr>
            <w:t>单击此处输入文字。</w:t>
          </w:r>
        </w:p>
      </w:docPartBody>
    </w:docPart>
    <w:docPart>
      <w:docPartPr>
        <w:name w:val="{791227f7-d7dc-44b8-b52e-f8a16cc293fd}"/>
        <w:style w:val=""/>
        <w:category>
          <w:name w:val="常规"/>
          <w:gallery w:val="placeholder"/>
        </w:category>
        <w:types>
          <w:type w:val="bbPlcHdr"/>
        </w:types>
        <w:behaviors>
          <w:behavior w:val="content"/>
        </w:behaviors>
        <w:description w:val=""/>
        <w:guid w:val="{791227f7-d7dc-44b8-b52e-f8a16cc293fd}"/>
      </w:docPartPr>
      <w:docPartBody>
        <w:p>
          <w:r>
            <w:rPr>
              <w:color w:val="808080"/>
            </w:rPr>
            <w:t>单击此处输入文字。</w:t>
          </w:r>
        </w:p>
      </w:docPartBody>
    </w:docPart>
    <w:docPart>
      <w:docPartPr>
        <w:name w:val="{2bd58519-5e01-4113-8a7e-1ec1c68358c2}"/>
        <w:style w:val=""/>
        <w:category>
          <w:name w:val="常规"/>
          <w:gallery w:val="placeholder"/>
        </w:category>
        <w:types>
          <w:type w:val="bbPlcHdr"/>
        </w:types>
        <w:behaviors>
          <w:behavior w:val="content"/>
        </w:behaviors>
        <w:description w:val=""/>
        <w:guid w:val="{2bd58519-5e01-4113-8a7e-1ec1c68358c2}"/>
      </w:docPartPr>
      <w:docPartBody>
        <w:p>
          <w:r>
            <w:rPr>
              <w:color w:val="808080"/>
            </w:rPr>
            <w:t>单击此处输入文字。</w:t>
          </w:r>
        </w:p>
      </w:docPartBody>
    </w:docPart>
    <w:docPart>
      <w:docPartPr>
        <w:name w:val="{269422a2-b27c-4644-a7fc-4a2b24fa0f83}"/>
        <w:style w:val=""/>
        <w:category>
          <w:name w:val="常规"/>
          <w:gallery w:val="placeholder"/>
        </w:category>
        <w:types>
          <w:type w:val="bbPlcHdr"/>
        </w:types>
        <w:behaviors>
          <w:behavior w:val="content"/>
        </w:behaviors>
        <w:description w:val=""/>
        <w:guid w:val="{269422a2-b27c-4644-a7fc-4a2b24fa0f83}"/>
      </w:docPartPr>
      <w:docPartBody>
        <w:p>
          <w:r>
            <w:rPr>
              <w:color w:val="808080"/>
            </w:rPr>
            <w:t>单击此处输入文字。</w:t>
          </w:r>
        </w:p>
      </w:docPartBody>
    </w:docPart>
    <w:docPart>
      <w:docPartPr>
        <w:name w:val="{42227ee1-abe6-4fe5-87ee-1e00658029fc}"/>
        <w:style w:val=""/>
        <w:category>
          <w:name w:val="常规"/>
          <w:gallery w:val="placeholder"/>
        </w:category>
        <w:types>
          <w:type w:val="bbPlcHdr"/>
        </w:types>
        <w:behaviors>
          <w:behavior w:val="content"/>
        </w:behaviors>
        <w:description w:val=""/>
        <w:guid w:val="{42227ee1-abe6-4fe5-87ee-1e00658029fc}"/>
      </w:docPartPr>
      <w:docPartBody>
        <w:p>
          <w:r>
            <w:rPr>
              <w:color w:val="808080"/>
            </w:rPr>
            <w:t>单击此处输入文字。</w:t>
          </w:r>
        </w:p>
      </w:docPartBody>
    </w:docPart>
    <w:docPart>
      <w:docPartPr>
        <w:name w:val="{1f63c19c-3314-41bd-b2b4-895c93777474}"/>
        <w:style w:val=""/>
        <w:category>
          <w:name w:val="常规"/>
          <w:gallery w:val="placeholder"/>
        </w:category>
        <w:types>
          <w:type w:val="bbPlcHdr"/>
        </w:types>
        <w:behaviors>
          <w:behavior w:val="content"/>
        </w:behaviors>
        <w:description w:val=""/>
        <w:guid w:val="{1f63c19c-3314-41bd-b2b4-895c93777474}"/>
      </w:docPartPr>
      <w:docPartBody>
        <w:p>
          <w:r>
            <w:rPr>
              <w:color w:val="808080"/>
            </w:rPr>
            <w:t>单击此处输入文字。</w:t>
          </w:r>
        </w:p>
      </w:docPartBody>
    </w:docPart>
    <w:docPart>
      <w:docPartPr>
        <w:name w:val="{040513a2-10f6-48b9-bd4b-7b2227aca418}"/>
        <w:style w:val=""/>
        <w:category>
          <w:name w:val="常规"/>
          <w:gallery w:val="placeholder"/>
        </w:category>
        <w:types>
          <w:type w:val="bbPlcHdr"/>
        </w:types>
        <w:behaviors>
          <w:behavior w:val="content"/>
        </w:behaviors>
        <w:description w:val=""/>
        <w:guid w:val="{040513a2-10f6-48b9-bd4b-7b2227aca418}"/>
      </w:docPartPr>
      <w:docPartBody>
        <w:p>
          <w:r>
            <w:rPr>
              <w:color w:val="808080"/>
            </w:rPr>
            <w:t>单击此处输入文字。</w:t>
          </w:r>
        </w:p>
      </w:docPartBody>
    </w:docPart>
    <w:docPart>
      <w:docPartPr>
        <w:name w:val="{af262233-ea87-43d8-9d24-63969aa98ca3}"/>
        <w:style w:val=""/>
        <w:category>
          <w:name w:val="常规"/>
          <w:gallery w:val="placeholder"/>
        </w:category>
        <w:types>
          <w:type w:val="bbPlcHdr"/>
        </w:types>
        <w:behaviors>
          <w:behavior w:val="content"/>
        </w:behaviors>
        <w:description w:val=""/>
        <w:guid w:val="{af262233-ea87-43d8-9d24-63969aa98ca3}"/>
      </w:docPartPr>
      <w:docPartBody>
        <w:p>
          <w:r>
            <w:rPr>
              <w:color w:val="808080"/>
            </w:rPr>
            <w:t>单击此处输入文字。</w:t>
          </w:r>
        </w:p>
      </w:docPartBody>
    </w:docPart>
    <w:docPart>
      <w:docPartPr>
        <w:name w:val="{93eb80d4-e5c0-44fb-a811-a032a47cfc20}"/>
        <w:style w:val=""/>
        <w:category>
          <w:name w:val="常规"/>
          <w:gallery w:val="placeholder"/>
        </w:category>
        <w:types>
          <w:type w:val="bbPlcHdr"/>
        </w:types>
        <w:behaviors>
          <w:behavior w:val="content"/>
        </w:behaviors>
        <w:description w:val=""/>
        <w:guid w:val="{93eb80d4-e5c0-44fb-a811-a032a47cfc20}"/>
      </w:docPartPr>
      <w:docPartBody>
        <w:p>
          <w:r>
            <w:rPr>
              <w:color w:val="808080"/>
            </w:rPr>
            <w:t>单击此处输入文字。</w:t>
          </w:r>
        </w:p>
      </w:docPartBody>
    </w:docPart>
    <w:docPart>
      <w:docPartPr>
        <w:name w:val="{334b7058-c408-4833-826e-4b683a85c7ba}"/>
        <w:style w:val=""/>
        <w:category>
          <w:name w:val="常规"/>
          <w:gallery w:val="placeholder"/>
        </w:category>
        <w:types>
          <w:type w:val="bbPlcHdr"/>
        </w:types>
        <w:behaviors>
          <w:behavior w:val="content"/>
        </w:behaviors>
        <w:description w:val=""/>
        <w:guid w:val="{334b7058-c408-4833-826e-4b683a85c7ba}"/>
      </w:docPartPr>
      <w:docPartBody>
        <w:p>
          <w:r>
            <w:rPr>
              <w:color w:val="808080"/>
            </w:rPr>
            <w:t>单击此处输入文字。</w:t>
          </w:r>
        </w:p>
      </w:docPartBody>
    </w:docPart>
    <w:docPart>
      <w:docPartPr>
        <w:name w:val="{83eb7f5f-27e8-4c63-89cd-a240a9c6ca7c}"/>
        <w:style w:val=""/>
        <w:category>
          <w:name w:val="常规"/>
          <w:gallery w:val="placeholder"/>
        </w:category>
        <w:types>
          <w:type w:val="bbPlcHdr"/>
        </w:types>
        <w:behaviors>
          <w:behavior w:val="content"/>
        </w:behaviors>
        <w:description w:val=""/>
        <w:guid w:val="{83eb7f5f-27e8-4c63-89cd-a240a9c6ca7c}"/>
      </w:docPartPr>
      <w:docPartBody>
        <w:p>
          <w:r>
            <w:rPr>
              <w:color w:val="808080"/>
            </w:rPr>
            <w:t>单击此处输入文字。</w:t>
          </w:r>
        </w:p>
      </w:docPartBody>
    </w:docPart>
    <w:docPart>
      <w:docPartPr>
        <w:name w:val="{ffdf4e74-e33c-4ab1-8a35-486b5616d190}"/>
        <w:style w:val=""/>
        <w:category>
          <w:name w:val="常规"/>
          <w:gallery w:val="placeholder"/>
        </w:category>
        <w:types>
          <w:type w:val="bbPlcHdr"/>
        </w:types>
        <w:behaviors>
          <w:behavior w:val="content"/>
        </w:behaviors>
        <w:description w:val=""/>
        <w:guid w:val="{ffdf4e74-e33c-4ab1-8a35-486b5616d190}"/>
      </w:docPartPr>
      <w:docPartBody>
        <w:p>
          <w:r>
            <w:rPr>
              <w:color w:val="808080"/>
            </w:rPr>
            <w:t>单击此处输入文字。</w:t>
          </w:r>
        </w:p>
      </w:docPartBody>
    </w:docPart>
    <w:docPart>
      <w:docPartPr>
        <w:name w:val="{185e0a0b-4deb-46d0-af44-7ee5b1aad078}"/>
        <w:style w:val=""/>
        <w:category>
          <w:name w:val="常规"/>
          <w:gallery w:val="placeholder"/>
        </w:category>
        <w:types>
          <w:type w:val="bbPlcHdr"/>
        </w:types>
        <w:behaviors>
          <w:behavior w:val="content"/>
        </w:behaviors>
        <w:description w:val=""/>
        <w:guid w:val="{185e0a0b-4deb-46d0-af44-7ee5b1aad078}"/>
      </w:docPartPr>
      <w:docPartBody>
        <w:p>
          <w:r>
            <w:rPr>
              <w:color w:val="808080"/>
            </w:rPr>
            <w:t>单击此处输入文字。</w:t>
          </w:r>
        </w:p>
      </w:docPartBody>
    </w:docPart>
    <w:docPart>
      <w:docPartPr>
        <w:name w:val="{7696006b-3814-47c1-90b3-4c5ac7ef28d9}"/>
        <w:style w:val=""/>
        <w:category>
          <w:name w:val="常规"/>
          <w:gallery w:val="placeholder"/>
        </w:category>
        <w:types>
          <w:type w:val="bbPlcHdr"/>
        </w:types>
        <w:behaviors>
          <w:behavior w:val="content"/>
        </w:behaviors>
        <w:description w:val=""/>
        <w:guid w:val="{7696006b-3814-47c1-90b3-4c5ac7ef28d9}"/>
      </w:docPartPr>
      <w:docPartBody>
        <w:p>
          <w:r>
            <w:rPr>
              <w:color w:val="808080"/>
            </w:rPr>
            <w:t>单击此处输入文字。</w:t>
          </w:r>
        </w:p>
      </w:docPartBody>
    </w:docPart>
    <w:docPart>
      <w:docPartPr>
        <w:name w:val="{31bb0158-c2bd-44ae-a956-7760d0b384c5}"/>
        <w:style w:val=""/>
        <w:category>
          <w:name w:val="常规"/>
          <w:gallery w:val="placeholder"/>
        </w:category>
        <w:types>
          <w:type w:val="bbPlcHdr"/>
        </w:types>
        <w:behaviors>
          <w:behavior w:val="content"/>
        </w:behaviors>
        <w:description w:val=""/>
        <w:guid w:val="{31bb0158-c2bd-44ae-a956-7760d0b384c5}"/>
      </w:docPartPr>
      <w:docPartBody>
        <w:p>
          <w:r>
            <w:rPr>
              <w:color w:val="808080"/>
            </w:rPr>
            <w:t>单击此处输入文字。</w:t>
          </w:r>
        </w:p>
      </w:docPartBody>
    </w:docPart>
    <w:docPart>
      <w:docPartPr>
        <w:name w:val="{57bf727e-cca9-4260-922f-21451d6d3b36}"/>
        <w:style w:val=""/>
        <w:category>
          <w:name w:val="常规"/>
          <w:gallery w:val="placeholder"/>
        </w:category>
        <w:types>
          <w:type w:val="bbPlcHdr"/>
        </w:types>
        <w:behaviors>
          <w:behavior w:val="content"/>
        </w:behaviors>
        <w:description w:val=""/>
        <w:guid w:val="{57bf727e-cca9-4260-922f-21451d6d3b36}"/>
      </w:docPartPr>
      <w:docPartBody>
        <w:p>
          <w:r>
            <w:rPr>
              <w:color w:val="808080"/>
            </w:rPr>
            <w:t>单击此处输入文字。</w:t>
          </w:r>
        </w:p>
      </w:docPartBody>
    </w:docPart>
    <w:docPart>
      <w:docPartPr>
        <w:name w:val="{11b7629f-0a3d-4ada-85bd-aec675027c46}"/>
        <w:style w:val=""/>
        <w:category>
          <w:name w:val="常规"/>
          <w:gallery w:val="placeholder"/>
        </w:category>
        <w:types>
          <w:type w:val="bbPlcHdr"/>
        </w:types>
        <w:behaviors>
          <w:behavior w:val="content"/>
        </w:behaviors>
        <w:description w:val=""/>
        <w:guid w:val="{11b7629f-0a3d-4ada-85bd-aec675027c46}"/>
      </w:docPartPr>
      <w:docPartBody>
        <w:p>
          <w:r>
            <w:rPr>
              <w:color w:val="808080"/>
            </w:rPr>
            <w:t>单击此处输入文字。</w:t>
          </w:r>
        </w:p>
      </w:docPartBody>
    </w:docPart>
    <w:docPart>
      <w:docPartPr>
        <w:name w:val="{4b3b640d-a091-4bb6-a70c-70f582501b8e}"/>
        <w:style w:val=""/>
        <w:category>
          <w:name w:val="常规"/>
          <w:gallery w:val="placeholder"/>
        </w:category>
        <w:types>
          <w:type w:val="bbPlcHdr"/>
        </w:types>
        <w:behaviors>
          <w:behavior w:val="content"/>
        </w:behaviors>
        <w:description w:val=""/>
        <w:guid w:val="{4b3b640d-a091-4bb6-a70c-70f582501b8e}"/>
      </w:docPartPr>
      <w:docPartBody>
        <w:p>
          <w:r>
            <w:rPr>
              <w:color w:val="808080"/>
            </w:rPr>
            <w:t>单击此处输入文字。</w:t>
          </w:r>
        </w:p>
      </w:docPartBody>
    </w:docPart>
    <w:docPart>
      <w:docPartPr>
        <w:name w:val="{a1eea49d-bcff-4ba8-9bce-bcca8476565b}"/>
        <w:style w:val=""/>
        <w:category>
          <w:name w:val="常规"/>
          <w:gallery w:val="placeholder"/>
        </w:category>
        <w:types>
          <w:type w:val="bbPlcHdr"/>
        </w:types>
        <w:behaviors>
          <w:behavior w:val="content"/>
        </w:behaviors>
        <w:description w:val=""/>
        <w:guid w:val="{a1eea49d-bcff-4ba8-9bce-bcca8476565b}"/>
      </w:docPartPr>
      <w:docPartBody>
        <w:p>
          <w:r>
            <w:rPr>
              <w:color w:val="808080"/>
            </w:rPr>
            <w:t>单击此处输入文字。</w:t>
          </w:r>
        </w:p>
      </w:docPartBody>
    </w:docPart>
    <w:docPart>
      <w:docPartPr>
        <w:name w:val="{a8216df8-7135-4e11-b0fe-53f7e7496ef0}"/>
        <w:style w:val=""/>
        <w:category>
          <w:name w:val="常规"/>
          <w:gallery w:val="placeholder"/>
        </w:category>
        <w:types>
          <w:type w:val="bbPlcHdr"/>
        </w:types>
        <w:behaviors>
          <w:behavior w:val="content"/>
        </w:behaviors>
        <w:description w:val=""/>
        <w:guid w:val="{a8216df8-7135-4e11-b0fe-53f7e7496ef0}"/>
      </w:docPartPr>
      <w:docPartBody>
        <w:p>
          <w:r>
            <w:rPr>
              <w:color w:val="808080"/>
            </w:rPr>
            <w:t>单击此处输入文字。</w:t>
          </w:r>
        </w:p>
      </w:docPartBody>
    </w:docPart>
    <w:docPart>
      <w:docPartPr>
        <w:name w:val="{e3aeddc1-89f2-4521-9e94-d508602c66ed}"/>
        <w:style w:val=""/>
        <w:category>
          <w:name w:val="常规"/>
          <w:gallery w:val="placeholder"/>
        </w:category>
        <w:types>
          <w:type w:val="bbPlcHdr"/>
        </w:types>
        <w:behaviors>
          <w:behavior w:val="content"/>
        </w:behaviors>
        <w:description w:val=""/>
        <w:guid w:val="{e3aeddc1-89f2-4521-9e94-d508602c66ed}"/>
      </w:docPartPr>
      <w:docPartBody>
        <w:p>
          <w:r>
            <w:rPr>
              <w:color w:val="808080"/>
            </w:rPr>
            <w:t>单击此处输入文字。</w:t>
          </w:r>
        </w:p>
      </w:docPartBody>
    </w:docPart>
    <w:docPart>
      <w:docPartPr>
        <w:name w:val="{38bf7a72-4c56-42fa-a3da-7cf7ea57c4e6}"/>
        <w:style w:val=""/>
        <w:category>
          <w:name w:val="常规"/>
          <w:gallery w:val="placeholder"/>
        </w:category>
        <w:types>
          <w:type w:val="bbPlcHdr"/>
        </w:types>
        <w:behaviors>
          <w:behavior w:val="content"/>
        </w:behaviors>
        <w:description w:val=""/>
        <w:guid w:val="{38bf7a72-4c56-42fa-a3da-7cf7ea57c4e6}"/>
      </w:docPartPr>
      <w:docPartBody>
        <w:p>
          <w:r>
            <w:rPr>
              <w:color w:val="808080"/>
            </w:rPr>
            <w:t>单击此处输入文字。</w:t>
          </w:r>
        </w:p>
      </w:docPartBody>
    </w:docPart>
    <w:docPart>
      <w:docPartPr>
        <w:name w:val="{1977d9c3-6be4-42b3-b2a7-0de03d0504a2}"/>
        <w:style w:val=""/>
        <w:category>
          <w:name w:val="常规"/>
          <w:gallery w:val="placeholder"/>
        </w:category>
        <w:types>
          <w:type w:val="bbPlcHdr"/>
        </w:types>
        <w:behaviors>
          <w:behavior w:val="content"/>
        </w:behaviors>
        <w:description w:val=""/>
        <w:guid w:val="{1977d9c3-6be4-42b3-b2a7-0de03d0504a2}"/>
      </w:docPartPr>
      <w:docPartBody>
        <w:p>
          <w:r>
            <w:rPr>
              <w:color w:val="808080"/>
            </w:rPr>
            <w:t>单击此处输入文字。</w:t>
          </w:r>
        </w:p>
      </w:docPartBody>
    </w:docPart>
    <w:docPart>
      <w:docPartPr>
        <w:name w:val="{00c8ef91-30b8-48d6-9281-152376441c30}"/>
        <w:style w:val=""/>
        <w:category>
          <w:name w:val="常规"/>
          <w:gallery w:val="placeholder"/>
        </w:category>
        <w:types>
          <w:type w:val="bbPlcHdr"/>
        </w:types>
        <w:behaviors>
          <w:behavior w:val="content"/>
        </w:behaviors>
        <w:description w:val=""/>
        <w:guid w:val="{00c8ef91-30b8-48d6-9281-152376441c30}"/>
      </w:docPartPr>
      <w:docPartBody>
        <w:p>
          <w:r>
            <w:rPr>
              <w:color w:val="808080"/>
            </w:rPr>
            <w:t>单击此处输入文字。</w:t>
          </w:r>
        </w:p>
      </w:docPartBody>
    </w:docPart>
    <w:docPart>
      <w:docPartPr>
        <w:name w:val="{b60b77e6-6c2b-4450-aa3a-a3680059d696}"/>
        <w:style w:val=""/>
        <w:category>
          <w:name w:val="常规"/>
          <w:gallery w:val="placeholder"/>
        </w:category>
        <w:types>
          <w:type w:val="bbPlcHdr"/>
        </w:types>
        <w:behaviors>
          <w:behavior w:val="content"/>
        </w:behaviors>
        <w:description w:val=""/>
        <w:guid w:val="{b60b77e6-6c2b-4450-aa3a-a3680059d696}"/>
      </w:docPartPr>
      <w:docPartBody>
        <w:p>
          <w:r>
            <w:rPr>
              <w:color w:val="808080"/>
            </w:rPr>
            <w:t>单击此处输入文字。</w:t>
          </w:r>
        </w:p>
      </w:docPartBody>
    </w:docPart>
    <w:docPart>
      <w:docPartPr>
        <w:name w:val="{716f83ef-04a9-4394-b719-9555d11daeb0}"/>
        <w:style w:val=""/>
        <w:category>
          <w:name w:val="常规"/>
          <w:gallery w:val="placeholder"/>
        </w:category>
        <w:types>
          <w:type w:val="bbPlcHdr"/>
        </w:types>
        <w:behaviors>
          <w:behavior w:val="content"/>
        </w:behaviors>
        <w:description w:val=""/>
        <w:guid w:val="{716f83ef-04a9-4394-b719-9555d11daeb0}"/>
      </w:docPartPr>
      <w:docPartBody>
        <w:p>
          <w:r>
            <w:rPr>
              <w:color w:val="808080"/>
            </w:rPr>
            <w:t>单击此处输入文字。</w:t>
          </w:r>
        </w:p>
      </w:docPartBody>
    </w:docPart>
    <w:docPart>
      <w:docPartPr>
        <w:name w:val="{a70f2ec3-33b8-4bec-8d30-7622f80bef70}"/>
        <w:style w:val=""/>
        <w:category>
          <w:name w:val="常规"/>
          <w:gallery w:val="placeholder"/>
        </w:category>
        <w:types>
          <w:type w:val="bbPlcHdr"/>
        </w:types>
        <w:behaviors>
          <w:behavior w:val="content"/>
        </w:behaviors>
        <w:description w:val=""/>
        <w:guid w:val="{a70f2ec3-33b8-4bec-8d30-7622f80bef70}"/>
      </w:docPartPr>
      <w:docPartBody>
        <w:p>
          <w:r>
            <w:rPr>
              <w:color w:val="808080"/>
            </w:rPr>
            <w:t>单击此处输入文字。</w:t>
          </w:r>
        </w:p>
      </w:docPartBody>
    </w:docPart>
    <w:docPart>
      <w:docPartPr>
        <w:name w:val="{a64029c7-77dc-4134-8083-a9ca5b7ee1ad}"/>
        <w:style w:val=""/>
        <w:category>
          <w:name w:val="常规"/>
          <w:gallery w:val="placeholder"/>
        </w:category>
        <w:types>
          <w:type w:val="bbPlcHdr"/>
        </w:types>
        <w:behaviors>
          <w:behavior w:val="content"/>
        </w:behaviors>
        <w:description w:val=""/>
        <w:guid w:val="{a64029c7-77dc-4134-8083-a9ca5b7ee1ad}"/>
      </w:docPartPr>
      <w:docPartBody>
        <w:p>
          <w:r>
            <w:rPr>
              <w:color w:val="808080"/>
            </w:rPr>
            <w:t>单击此处输入文字。</w:t>
          </w:r>
        </w:p>
      </w:docPartBody>
    </w:docPart>
    <w:docPart>
      <w:docPartPr>
        <w:name w:val="{608a8e35-8a35-46aa-b038-65c5af4cc547}"/>
        <w:style w:val=""/>
        <w:category>
          <w:name w:val="常规"/>
          <w:gallery w:val="placeholder"/>
        </w:category>
        <w:types>
          <w:type w:val="bbPlcHdr"/>
        </w:types>
        <w:behaviors>
          <w:behavior w:val="content"/>
        </w:behaviors>
        <w:description w:val=""/>
        <w:guid w:val="{608a8e35-8a35-46aa-b038-65c5af4cc547}"/>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24</Pages>
  <Words>1299</Words>
  <Characters>7410</Characters>
  <Lines>61</Lines>
  <Paragraphs>17</Paragraphs>
  <TotalTime>3</TotalTime>
  <ScaleCrop>false</ScaleCrop>
  <LinksUpToDate>false</LinksUpToDate>
  <CharactersWithSpaces>8692</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2020-08-18T01:49:00Z</dcterms:created>
  <dc:creator>曹颖</dc:creator>
  <cp:lastModifiedBy>初见</cp:lastModifiedBy>
  <cp:lastPrinted>2022-10-02T07:41:00Z</cp:lastPrinted>
  <dcterms:modified xsi:type="dcterms:W3CDTF">2023-10-13T22:11:05Z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