
<file path=[Content_Types].xml><?xml version="1.0" encoding="utf-8"?>
<Types xmlns="http://schemas.openxmlformats.org/package/2006/content-types">
  <Default Extension="xml" ContentType="application/xml"/>
  <Default Extension="xlsx" ContentType="application/vnd.openxmlformats-officedocument.spreadsheetml.sheet"/>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简体" w:hAnsi="宋体" w:eastAsia="方正小标宋简体"/>
          <w:sz w:val="72"/>
          <w:szCs w:val="72"/>
        </w:rPr>
      </w:pPr>
      <w:bookmarkStart w:id="0" w:name="_Toc15377193"/>
      <w:bookmarkStart w:id="1" w:name="_Toc15396597"/>
      <w:bookmarkStart w:id="2" w:name="_Toc15396475"/>
      <w:bookmarkStart w:id="3" w:name="_Toc15377425"/>
      <w:bookmarkStart w:id="4" w:name="_Toc15378441"/>
      <w:bookmarkStart w:id="5" w:name="_Toc15306267"/>
    </w:p>
    <w:p>
      <w:pPr>
        <w:spacing w:line="600" w:lineRule="exact"/>
        <w:jc w:val="center"/>
        <w:rPr>
          <w:rFonts w:ascii="方正小标宋简体" w:hAnsi="宋体" w:eastAsia="方正小标宋简体"/>
          <w:sz w:val="72"/>
          <w:szCs w:val="72"/>
        </w:rPr>
      </w:pPr>
    </w:p>
    <w:p>
      <w:pPr>
        <w:spacing w:line="600" w:lineRule="exact"/>
        <w:jc w:val="center"/>
        <w:rPr>
          <w:rFonts w:ascii="方正小标宋简体" w:hAnsi="宋体" w:eastAsia="方正小标宋简体"/>
          <w:sz w:val="72"/>
          <w:szCs w:val="72"/>
        </w:rPr>
      </w:pPr>
    </w:p>
    <w:p>
      <w:pPr>
        <w:spacing w:line="600" w:lineRule="exact"/>
        <w:jc w:val="center"/>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8434"/>
      <w:r>
        <w:rPr>
          <w:rFonts w:hint="eastAsia" w:ascii="方正小标宋简体" w:hAnsi="方正小标宋简体" w:eastAsia="方正小标宋简体" w:cs="方正小标宋简体"/>
          <w:sz w:val="72"/>
          <w:szCs w:val="72"/>
        </w:rPr>
        <w:t>2021年度</w:t>
      </w:r>
      <w:bookmarkEnd w:id="0"/>
      <w:bookmarkEnd w:id="1"/>
      <w:bookmarkEnd w:id="2"/>
      <w:bookmarkEnd w:id="3"/>
      <w:bookmarkEnd w:id="4"/>
      <w:bookmarkEnd w:id="6"/>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7" w:name="_Toc15396476"/>
      <w:bookmarkStart w:id="8" w:name="_Toc15378442"/>
      <w:bookmarkStart w:id="9" w:name="_Toc15377426"/>
      <w:bookmarkStart w:id="10" w:name="_Toc15377194"/>
      <w:bookmarkStart w:id="11" w:name="_Toc15396598"/>
      <w:bookmarkStart w:id="12" w:name="_Toc32178"/>
      <w:r>
        <w:rPr>
          <w:rFonts w:hint="eastAsia" w:ascii="方正小标宋简体" w:hAnsi="方正小标宋简体" w:eastAsia="方正小标宋简体" w:cs="方正小标宋简体"/>
          <w:sz w:val="72"/>
          <w:szCs w:val="72"/>
        </w:rPr>
        <w:t>四川省</w:t>
      </w:r>
      <w:bookmarkEnd w:id="5"/>
      <w:bookmarkStart w:id="13" w:name="_Toc15306268"/>
      <w:r>
        <w:rPr>
          <w:rFonts w:hint="eastAsia" w:ascii="方正小标宋简体" w:hAnsi="方正小标宋简体" w:eastAsia="方正小标宋简体" w:cs="方正小标宋简体"/>
          <w:sz w:val="72"/>
          <w:szCs w:val="72"/>
        </w:rPr>
        <w:t>攀枝花市强制隔离戒毒所部门决算</w:t>
      </w:r>
      <w:bookmarkEnd w:id="7"/>
      <w:bookmarkEnd w:id="8"/>
      <w:bookmarkEnd w:id="9"/>
      <w:bookmarkEnd w:id="10"/>
      <w:bookmarkEnd w:id="11"/>
      <w:bookmarkEnd w:id="12"/>
      <w:bookmarkEnd w:id="13"/>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0"/>
      </w:pPr>
      <w:r>
        <w:rPr>
          <w:rFonts w:hint="eastAsia"/>
        </w:rPr>
        <w:t>公开时间：2022年9月1</w:t>
      </w:r>
      <w:r>
        <w:t>4</w:t>
      </w:r>
      <w:r>
        <w:rPr>
          <w:rFonts w:hint="eastAsia"/>
        </w:rPr>
        <w:t>日</w:t>
      </w:r>
      <w:bookmarkStart w:id="109" w:name="_GoBack"/>
      <w:bookmarkEnd w:id="109"/>
    </w:p>
    <w:p/>
    <w:sdt>
      <w:sdtPr>
        <w:rPr>
          <w:rFonts w:hint="eastAsia" w:ascii="宋体" w:hAnsi="宋体" w:cs="宋体"/>
          <w:sz w:val="24"/>
        </w:rPr>
        <w:id w:val="147463170"/>
        <w15:color w:val="DBDBDB"/>
        <w:docPartObj>
          <w:docPartGallery w:val="Table of Contents"/>
          <w:docPartUnique/>
        </w:docPartObj>
      </w:sdtPr>
      <w:sdtEndPr>
        <w:rPr>
          <w:rFonts w:hint="eastAsia" w:ascii="宋体" w:hAnsi="宋体" w:cs="宋体"/>
          <w:b/>
          <w:sz w:val="24"/>
        </w:rPr>
      </w:sdtEndPr>
      <w:sdtContent>
        <w:p>
          <w:pPr>
            <w:jc w:val="center"/>
            <w:rPr>
              <w:rFonts w:ascii="宋体" w:hAnsi="宋体" w:cs="宋体"/>
              <w:sz w:val="24"/>
            </w:rPr>
          </w:pPr>
          <w:r>
            <w:rPr>
              <w:rFonts w:hint="eastAsia" w:ascii="宋体" w:hAnsi="宋体" w:cs="宋体"/>
              <w:sz w:val="24"/>
            </w:rPr>
            <w:fldChar w:fldCharType="begin"/>
          </w:r>
          <w:r>
            <w:rPr>
              <w:rFonts w:hint="eastAsia" w:ascii="宋体" w:hAnsi="宋体" w:cs="宋体"/>
              <w:sz w:val="24"/>
            </w:rPr>
            <w:instrText xml:space="preserve">TOC \o "1-2" \h \u </w:instrText>
          </w:r>
          <w:r>
            <w:rPr>
              <w:rFonts w:hint="eastAsia" w:ascii="宋体" w:hAnsi="宋体" w:cs="宋体"/>
              <w:sz w:val="24"/>
            </w:rPr>
            <w:fldChar w:fldCharType="separate"/>
          </w:r>
        </w:p>
        <w:p>
          <w:pPr>
            <w:pStyle w:val="31"/>
            <w:tabs>
              <w:tab w:val="right" w:leader="dot" w:pos="8306"/>
            </w:tabs>
            <w:rPr>
              <w:rFonts w:ascii="宋体" w:hAnsi="宋体" w:cs="宋体"/>
              <w:sz w:val="24"/>
              <w:szCs w:val="24"/>
            </w:rPr>
          </w:pPr>
          <w:r>
            <w:fldChar w:fldCharType="begin"/>
          </w:r>
          <w:r>
            <w:instrText xml:space="preserve"> HYPERLINK \l "_Toc31261" </w:instrText>
          </w:r>
          <w:r>
            <w:fldChar w:fldCharType="separate"/>
          </w:r>
          <w:r>
            <w:rPr>
              <w:rFonts w:hint="eastAsia" w:ascii="宋体" w:hAnsi="宋体" w:cs="宋体"/>
              <w:sz w:val="24"/>
              <w:szCs w:val="24"/>
            </w:rPr>
            <w:t>第一部分 部门概况</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_Toc31261 \h </w:instrText>
          </w:r>
          <w:r>
            <w:rPr>
              <w:rFonts w:hint="eastAsia" w:ascii="宋体" w:hAnsi="宋体" w:cs="宋体"/>
              <w:sz w:val="24"/>
              <w:szCs w:val="24"/>
            </w:rPr>
            <w:fldChar w:fldCharType="separate"/>
          </w:r>
          <w:r>
            <w:rPr>
              <w:rFonts w:hint="eastAsia" w:ascii="宋体" w:hAnsi="宋体" w:cs="宋体"/>
              <w:sz w:val="24"/>
              <w:szCs w:val="24"/>
            </w:rPr>
            <w:t>3</w:t>
          </w:r>
          <w:r>
            <w:rPr>
              <w:rFonts w:hint="eastAsia" w:ascii="宋体" w:hAnsi="宋体" w:cs="宋体"/>
              <w:sz w:val="24"/>
              <w:szCs w:val="24"/>
            </w:rPr>
            <w:fldChar w:fldCharType="end"/>
          </w:r>
          <w:r>
            <w:rPr>
              <w:rFonts w:hint="eastAsia" w:ascii="宋体" w:hAnsi="宋体" w:cs="宋体"/>
              <w:sz w:val="24"/>
              <w:szCs w:val="24"/>
            </w:rPr>
            <w:fldChar w:fldCharType="end"/>
          </w:r>
        </w:p>
        <w:p>
          <w:pPr>
            <w:pStyle w:val="32"/>
            <w:tabs>
              <w:tab w:val="right" w:leader="dot" w:pos="8306"/>
            </w:tabs>
            <w:ind w:left="420"/>
            <w:rPr>
              <w:rFonts w:ascii="宋体" w:hAnsi="宋体" w:cs="宋体"/>
              <w:sz w:val="24"/>
              <w:szCs w:val="24"/>
            </w:rPr>
          </w:pPr>
          <w:r>
            <w:fldChar w:fldCharType="begin"/>
          </w:r>
          <w:r>
            <w:instrText xml:space="preserve"> HYPERLINK \l "_Toc24585" </w:instrText>
          </w:r>
          <w:r>
            <w:fldChar w:fldCharType="separate"/>
          </w:r>
          <w:r>
            <w:rPr>
              <w:rFonts w:hint="eastAsia" w:ascii="宋体" w:hAnsi="宋体" w:cs="宋体"/>
              <w:sz w:val="24"/>
              <w:szCs w:val="24"/>
            </w:rPr>
            <w:t>一、基本职能及主要工作</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_Toc24585 \h </w:instrText>
          </w:r>
          <w:r>
            <w:rPr>
              <w:rFonts w:hint="eastAsia" w:ascii="宋体" w:hAnsi="宋体" w:cs="宋体"/>
              <w:sz w:val="24"/>
              <w:szCs w:val="24"/>
            </w:rPr>
            <w:fldChar w:fldCharType="separate"/>
          </w:r>
          <w:r>
            <w:rPr>
              <w:rFonts w:hint="eastAsia" w:ascii="宋体" w:hAnsi="宋体" w:cs="宋体"/>
              <w:sz w:val="24"/>
              <w:szCs w:val="24"/>
            </w:rPr>
            <w:t>3</w:t>
          </w:r>
          <w:r>
            <w:rPr>
              <w:rFonts w:hint="eastAsia" w:ascii="宋体" w:hAnsi="宋体" w:cs="宋体"/>
              <w:sz w:val="24"/>
              <w:szCs w:val="24"/>
            </w:rPr>
            <w:fldChar w:fldCharType="end"/>
          </w:r>
          <w:r>
            <w:rPr>
              <w:rFonts w:hint="eastAsia" w:ascii="宋体" w:hAnsi="宋体" w:cs="宋体"/>
              <w:sz w:val="24"/>
              <w:szCs w:val="24"/>
            </w:rPr>
            <w:fldChar w:fldCharType="end"/>
          </w:r>
        </w:p>
        <w:p>
          <w:pPr>
            <w:pStyle w:val="32"/>
            <w:tabs>
              <w:tab w:val="right" w:leader="dot" w:pos="8306"/>
            </w:tabs>
            <w:ind w:left="420"/>
            <w:rPr>
              <w:rFonts w:ascii="宋体" w:hAnsi="宋体" w:cs="宋体"/>
              <w:sz w:val="24"/>
              <w:szCs w:val="24"/>
            </w:rPr>
          </w:pPr>
          <w:r>
            <w:fldChar w:fldCharType="begin"/>
          </w:r>
          <w:r>
            <w:instrText xml:space="preserve"> HYPERLINK \l "_Toc9003" </w:instrText>
          </w:r>
          <w:r>
            <w:fldChar w:fldCharType="separate"/>
          </w:r>
          <w:r>
            <w:rPr>
              <w:rFonts w:hint="eastAsia" w:ascii="宋体" w:hAnsi="宋体" w:cs="宋体"/>
              <w:sz w:val="24"/>
              <w:szCs w:val="24"/>
            </w:rPr>
            <w:t>二、机构设置</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_Toc9003 \h </w:instrText>
          </w:r>
          <w:r>
            <w:rPr>
              <w:rFonts w:hint="eastAsia" w:ascii="宋体" w:hAnsi="宋体" w:cs="宋体"/>
              <w:sz w:val="24"/>
              <w:szCs w:val="24"/>
            </w:rPr>
            <w:fldChar w:fldCharType="separate"/>
          </w:r>
          <w:r>
            <w:rPr>
              <w:rFonts w:hint="eastAsia" w:ascii="宋体" w:hAnsi="宋体" w:cs="宋体"/>
              <w:sz w:val="24"/>
              <w:szCs w:val="24"/>
            </w:rPr>
            <w:t>9</w:t>
          </w:r>
          <w:r>
            <w:rPr>
              <w:rFonts w:hint="eastAsia" w:ascii="宋体" w:hAnsi="宋体" w:cs="宋体"/>
              <w:sz w:val="24"/>
              <w:szCs w:val="24"/>
            </w:rPr>
            <w:fldChar w:fldCharType="end"/>
          </w:r>
          <w:r>
            <w:rPr>
              <w:rFonts w:hint="eastAsia" w:ascii="宋体" w:hAnsi="宋体" w:cs="宋体"/>
              <w:sz w:val="24"/>
              <w:szCs w:val="24"/>
            </w:rPr>
            <w:fldChar w:fldCharType="end"/>
          </w:r>
        </w:p>
        <w:p>
          <w:pPr>
            <w:pStyle w:val="31"/>
            <w:tabs>
              <w:tab w:val="right" w:leader="dot" w:pos="8306"/>
            </w:tabs>
            <w:rPr>
              <w:rFonts w:ascii="宋体" w:hAnsi="宋体" w:cs="宋体"/>
              <w:sz w:val="24"/>
              <w:szCs w:val="24"/>
            </w:rPr>
          </w:pPr>
          <w:r>
            <w:fldChar w:fldCharType="begin"/>
          </w:r>
          <w:r>
            <w:instrText xml:space="preserve"> HYPERLINK \l "_Toc10186" </w:instrText>
          </w:r>
          <w:r>
            <w:fldChar w:fldCharType="separate"/>
          </w:r>
          <w:r>
            <w:rPr>
              <w:rFonts w:hint="eastAsia" w:ascii="宋体" w:hAnsi="宋体" w:cs="宋体"/>
              <w:sz w:val="24"/>
              <w:szCs w:val="24"/>
            </w:rPr>
            <w:t>第二部分 2021年度部门决算情况说明</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_Toc10186 \h </w:instrText>
          </w:r>
          <w:r>
            <w:rPr>
              <w:rFonts w:hint="eastAsia" w:ascii="宋体" w:hAnsi="宋体" w:cs="宋体"/>
              <w:sz w:val="24"/>
              <w:szCs w:val="24"/>
            </w:rPr>
            <w:fldChar w:fldCharType="separate"/>
          </w:r>
          <w:r>
            <w:rPr>
              <w:rFonts w:hint="eastAsia" w:ascii="宋体" w:hAnsi="宋体" w:cs="宋体"/>
              <w:sz w:val="24"/>
              <w:szCs w:val="24"/>
            </w:rPr>
            <w:t>10</w:t>
          </w:r>
          <w:r>
            <w:rPr>
              <w:rFonts w:hint="eastAsia" w:ascii="宋体" w:hAnsi="宋体" w:cs="宋体"/>
              <w:sz w:val="24"/>
              <w:szCs w:val="24"/>
            </w:rPr>
            <w:fldChar w:fldCharType="end"/>
          </w:r>
          <w:r>
            <w:rPr>
              <w:rFonts w:hint="eastAsia" w:ascii="宋体" w:hAnsi="宋体" w:cs="宋体"/>
              <w:sz w:val="24"/>
              <w:szCs w:val="24"/>
            </w:rPr>
            <w:fldChar w:fldCharType="end"/>
          </w:r>
        </w:p>
        <w:p>
          <w:pPr>
            <w:pStyle w:val="32"/>
            <w:tabs>
              <w:tab w:val="right" w:leader="dot" w:pos="8306"/>
            </w:tabs>
            <w:ind w:left="420"/>
            <w:rPr>
              <w:rFonts w:ascii="宋体" w:hAnsi="宋体" w:cs="宋体"/>
              <w:sz w:val="24"/>
              <w:szCs w:val="24"/>
            </w:rPr>
          </w:pPr>
          <w:r>
            <w:fldChar w:fldCharType="begin"/>
          </w:r>
          <w:r>
            <w:instrText xml:space="preserve"> HYPERLINK \l "_Toc27081" </w:instrText>
          </w:r>
          <w:r>
            <w:fldChar w:fldCharType="separate"/>
          </w:r>
          <w:r>
            <w:rPr>
              <w:rFonts w:hint="eastAsia" w:ascii="宋体" w:hAnsi="宋体" w:cs="宋体"/>
              <w:sz w:val="24"/>
              <w:szCs w:val="24"/>
            </w:rPr>
            <w:t>一、 收入支出决算总体情况说明</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_Toc27081 \h </w:instrText>
          </w:r>
          <w:r>
            <w:rPr>
              <w:rFonts w:hint="eastAsia" w:ascii="宋体" w:hAnsi="宋体" w:cs="宋体"/>
              <w:sz w:val="24"/>
              <w:szCs w:val="24"/>
            </w:rPr>
            <w:fldChar w:fldCharType="separate"/>
          </w:r>
          <w:r>
            <w:rPr>
              <w:rFonts w:hint="eastAsia" w:ascii="宋体" w:hAnsi="宋体" w:cs="宋体"/>
              <w:sz w:val="24"/>
              <w:szCs w:val="24"/>
            </w:rPr>
            <w:t>10</w:t>
          </w:r>
          <w:r>
            <w:rPr>
              <w:rFonts w:hint="eastAsia" w:ascii="宋体" w:hAnsi="宋体" w:cs="宋体"/>
              <w:sz w:val="24"/>
              <w:szCs w:val="24"/>
            </w:rPr>
            <w:fldChar w:fldCharType="end"/>
          </w:r>
          <w:r>
            <w:rPr>
              <w:rFonts w:hint="eastAsia" w:ascii="宋体" w:hAnsi="宋体" w:cs="宋体"/>
              <w:sz w:val="24"/>
              <w:szCs w:val="24"/>
            </w:rPr>
            <w:fldChar w:fldCharType="end"/>
          </w:r>
        </w:p>
        <w:p>
          <w:pPr>
            <w:pStyle w:val="32"/>
            <w:tabs>
              <w:tab w:val="right" w:leader="dot" w:pos="8306"/>
            </w:tabs>
            <w:ind w:left="420"/>
            <w:rPr>
              <w:rFonts w:ascii="宋体" w:hAnsi="宋体" w:cs="宋体"/>
              <w:sz w:val="24"/>
              <w:szCs w:val="24"/>
            </w:rPr>
          </w:pPr>
          <w:r>
            <w:fldChar w:fldCharType="begin"/>
          </w:r>
          <w:r>
            <w:instrText xml:space="preserve"> HYPERLINK \l "_Toc18016" </w:instrText>
          </w:r>
          <w:r>
            <w:fldChar w:fldCharType="separate"/>
          </w:r>
          <w:r>
            <w:rPr>
              <w:rFonts w:hint="eastAsia" w:ascii="宋体" w:hAnsi="宋体" w:cs="宋体"/>
              <w:sz w:val="24"/>
              <w:szCs w:val="24"/>
            </w:rPr>
            <w:t>二、 收入决算情况说明</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_Toc18016 \h </w:instrText>
          </w:r>
          <w:r>
            <w:rPr>
              <w:rFonts w:hint="eastAsia" w:ascii="宋体" w:hAnsi="宋体" w:cs="宋体"/>
              <w:sz w:val="24"/>
              <w:szCs w:val="24"/>
            </w:rPr>
            <w:fldChar w:fldCharType="separate"/>
          </w:r>
          <w:r>
            <w:rPr>
              <w:rFonts w:hint="eastAsia" w:ascii="宋体" w:hAnsi="宋体" w:cs="宋体"/>
              <w:sz w:val="24"/>
              <w:szCs w:val="24"/>
            </w:rPr>
            <w:t>10</w:t>
          </w:r>
          <w:r>
            <w:rPr>
              <w:rFonts w:hint="eastAsia" w:ascii="宋体" w:hAnsi="宋体" w:cs="宋体"/>
              <w:sz w:val="24"/>
              <w:szCs w:val="24"/>
            </w:rPr>
            <w:fldChar w:fldCharType="end"/>
          </w:r>
          <w:r>
            <w:rPr>
              <w:rFonts w:hint="eastAsia" w:ascii="宋体" w:hAnsi="宋体" w:cs="宋体"/>
              <w:sz w:val="24"/>
              <w:szCs w:val="24"/>
            </w:rPr>
            <w:fldChar w:fldCharType="end"/>
          </w:r>
        </w:p>
        <w:p>
          <w:pPr>
            <w:pStyle w:val="32"/>
            <w:tabs>
              <w:tab w:val="right" w:leader="dot" w:pos="8306"/>
            </w:tabs>
            <w:ind w:left="420"/>
            <w:rPr>
              <w:rFonts w:ascii="宋体" w:hAnsi="宋体" w:cs="宋体"/>
              <w:sz w:val="24"/>
              <w:szCs w:val="24"/>
            </w:rPr>
          </w:pPr>
          <w:r>
            <w:fldChar w:fldCharType="begin"/>
          </w:r>
          <w:r>
            <w:instrText xml:space="preserve"> HYPERLINK \l "_Toc27919" </w:instrText>
          </w:r>
          <w:r>
            <w:fldChar w:fldCharType="separate"/>
          </w:r>
          <w:r>
            <w:rPr>
              <w:rFonts w:hint="eastAsia" w:ascii="宋体" w:hAnsi="宋体" w:cs="宋体"/>
              <w:sz w:val="24"/>
              <w:szCs w:val="24"/>
            </w:rPr>
            <w:t>三、 支出决算情况说明</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_Toc27919 \h </w:instrText>
          </w:r>
          <w:r>
            <w:rPr>
              <w:rFonts w:hint="eastAsia" w:ascii="宋体" w:hAnsi="宋体" w:cs="宋体"/>
              <w:sz w:val="24"/>
              <w:szCs w:val="24"/>
            </w:rPr>
            <w:fldChar w:fldCharType="separate"/>
          </w:r>
          <w:r>
            <w:rPr>
              <w:rFonts w:hint="eastAsia" w:ascii="宋体" w:hAnsi="宋体" w:cs="宋体"/>
              <w:sz w:val="24"/>
              <w:szCs w:val="24"/>
            </w:rPr>
            <w:t>11</w:t>
          </w:r>
          <w:r>
            <w:rPr>
              <w:rFonts w:hint="eastAsia" w:ascii="宋体" w:hAnsi="宋体" w:cs="宋体"/>
              <w:sz w:val="24"/>
              <w:szCs w:val="24"/>
            </w:rPr>
            <w:fldChar w:fldCharType="end"/>
          </w:r>
          <w:r>
            <w:rPr>
              <w:rFonts w:hint="eastAsia" w:ascii="宋体" w:hAnsi="宋体" w:cs="宋体"/>
              <w:sz w:val="24"/>
              <w:szCs w:val="24"/>
            </w:rPr>
            <w:fldChar w:fldCharType="end"/>
          </w:r>
        </w:p>
        <w:p>
          <w:pPr>
            <w:pStyle w:val="32"/>
            <w:tabs>
              <w:tab w:val="right" w:leader="dot" w:pos="8306"/>
            </w:tabs>
            <w:ind w:left="420"/>
            <w:rPr>
              <w:rFonts w:ascii="宋体" w:hAnsi="宋体" w:cs="宋体"/>
              <w:sz w:val="24"/>
              <w:szCs w:val="24"/>
            </w:rPr>
          </w:pPr>
          <w:r>
            <w:fldChar w:fldCharType="begin"/>
          </w:r>
          <w:r>
            <w:instrText xml:space="preserve"> HYPERLINK \l "_Toc20597" </w:instrText>
          </w:r>
          <w:r>
            <w:fldChar w:fldCharType="separate"/>
          </w:r>
          <w:r>
            <w:rPr>
              <w:rFonts w:hint="eastAsia" w:ascii="宋体" w:hAnsi="宋体" w:cs="宋体"/>
              <w:sz w:val="24"/>
              <w:szCs w:val="24"/>
            </w:rPr>
            <w:t>四、财政拨款收入支出决算总体情况说明</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_Toc20597 \h </w:instrText>
          </w:r>
          <w:r>
            <w:rPr>
              <w:rFonts w:hint="eastAsia" w:ascii="宋体" w:hAnsi="宋体" w:cs="宋体"/>
              <w:sz w:val="24"/>
              <w:szCs w:val="24"/>
            </w:rPr>
            <w:fldChar w:fldCharType="separate"/>
          </w:r>
          <w:r>
            <w:rPr>
              <w:rFonts w:hint="eastAsia" w:ascii="宋体" w:hAnsi="宋体" w:cs="宋体"/>
              <w:sz w:val="24"/>
              <w:szCs w:val="24"/>
            </w:rPr>
            <w:t>12</w:t>
          </w:r>
          <w:r>
            <w:rPr>
              <w:rFonts w:hint="eastAsia" w:ascii="宋体" w:hAnsi="宋体" w:cs="宋体"/>
              <w:sz w:val="24"/>
              <w:szCs w:val="24"/>
            </w:rPr>
            <w:fldChar w:fldCharType="end"/>
          </w:r>
          <w:r>
            <w:rPr>
              <w:rFonts w:hint="eastAsia" w:ascii="宋体" w:hAnsi="宋体" w:cs="宋体"/>
              <w:sz w:val="24"/>
              <w:szCs w:val="24"/>
            </w:rPr>
            <w:fldChar w:fldCharType="end"/>
          </w:r>
        </w:p>
        <w:p>
          <w:pPr>
            <w:pStyle w:val="32"/>
            <w:tabs>
              <w:tab w:val="right" w:leader="dot" w:pos="8306"/>
            </w:tabs>
            <w:ind w:left="420"/>
            <w:rPr>
              <w:rFonts w:ascii="宋体" w:hAnsi="宋体" w:cs="宋体"/>
              <w:sz w:val="24"/>
              <w:szCs w:val="24"/>
            </w:rPr>
          </w:pPr>
          <w:r>
            <w:fldChar w:fldCharType="begin"/>
          </w:r>
          <w:r>
            <w:instrText xml:space="preserve"> HYPERLINK \l "_Toc7528" </w:instrText>
          </w:r>
          <w:r>
            <w:fldChar w:fldCharType="separate"/>
          </w:r>
          <w:r>
            <w:rPr>
              <w:rFonts w:hint="eastAsia" w:ascii="宋体" w:hAnsi="宋体" w:cs="宋体"/>
              <w:sz w:val="24"/>
              <w:szCs w:val="24"/>
            </w:rPr>
            <w:t>五、一般公共预算财政拨款支出决算情况说明</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_Toc7528 \h </w:instrText>
          </w:r>
          <w:r>
            <w:rPr>
              <w:rFonts w:hint="eastAsia" w:ascii="宋体" w:hAnsi="宋体" w:cs="宋体"/>
              <w:sz w:val="24"/>
              <w:szCs w:val="24"/>
            </w:rPr>
            <w:fldChar w:fldCharType="separate"/>
          </w:r>
          <w:r>
            <w:rPr>
              <w:rFonts w:hint="eastAsia" w:ascii="宋体" w:hAnsi="宋体" w:cs="宋体"/>
              <w:sz w:val="24"/>
              <w:szCs w:val="24"/>
            </w:rPr>
            <w:t>12</w:t>
          </w:r>
          <w:r>
            <w:rPr>
              <w:rFonts w:hint="eastAsia" w:ascii="宋体" w:hAnsi="宋体" w:cs="宋体"/>
              <w:sz w:val="24"/>
              <w:szCs w:val="24"/>
            </w:rPr>
            <w:fldChar w:fldCharType="end"/>
          </w:r>
          <w:r>
            <w:rPr>
              <w:rFonts w:hint="eastAsia" w:ascii="宋体" w:hAnsi="宋体" w:cs="宋体"/>
              <w:sz w:val="24"/>
              <w:szCs w:val="24"/>
            </w:rPr>
            <w:fldChar w:fldCharType="end"/>
          </w:r>
        </w:p>
        <w:p>
          <w:pPr>
            <w:pStyle w:val="32"/>
            <w:tabs>
              <w:tab w:val="right" w:leader="dot" w:pos="8306"/>
            </w:tabs>
            <w:ind w:left="420"/>
            <w:rPr>
              <w:rFonts w:ascii="宋体" w:hAnsi="宋体" w:cs="宋体"/>
              <w:sz w:val="24"/>
              <w:szCs w:val="24"/>
            </w:rPr>
          </w:pPr>
          <w:r>
            <w:fldChar w:fldCharType="begin"/>
          </w:r>
          <w:r>
            <w:instrText xml:space="preserve"> HYPERLINK \l "_Toc11528" </w:instrText>
          </w:r>
          <w:r>
            <w:fldChar w:fldCharType="separate"/>
          </w:r>
          <w:r>
            <w:rPr>
              <w:rFonts w:hint="eastAsia" w:ascii="宋体" w:hAnsi="宋体" w:cs="宋体"/>
              <w:sz w:val="24"/>
              <w:szCs w:val="24"/>
            </w:rPr>
            <w:t>六、一般公共预算财政拨款基本支出决算情况说明</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_Toc11528 \h </w:instrText>
          </w:r>
          <w:r>
            <w:rPr>
              <w:rFonts w:hint="eastAsia" w:ascii="宋体" w:hAnsi="宋体" w:cs="宋体"/>
              <w:sz w:val="24"/>
              <w:szCs w:val="24"/>
            </w:rPr>
            <w:fldChar w:fldCharType="separate"/>
          </w:r>
          <w:r>
            <w:rPr>
              <w:rFonts w:hint="eastAsia" w:ascii="宋体" w:hAnsi="宋体" w:cs="宋体"/>
              <w:sz w:val="24"/>
              <w:szCs w:val="24"/>
            </w:rPr>
            <w:t>14</w:t>
          </w:r>
          <w:r>
            <w:rPr>
              <w:rFonts w:hint="eastAsia" w:ascii="宋体" w:hAnsi="宋体" w:cs="宋体"/>
              <w:sz w:val="24"/>
              <w:szCs w:val="24"/>
            </w:rPr>
            <w:fldChar w:fldCharType="end"/>
          </w:r>
          <w:r>
            <w:rPr>
              <w:rFonts w:hint="eastAsia" w:ascii="宋体" w:hAnsi="宋体" w:cs="宋体"/>
              <w:sz w:val="24"/>
              <w:szCs w:val="24"/>
            </w:rPr>
            <w:fldChar w:fldCharType="end"/>
          </w:r>
        </w:p>
        <w:p>
          <w:pPr>
            <w:pStyle w:val="32"/>
            <w:tabs>
              <w:tab w:val="right" w:leader="dot" w:pos="8306"/>
            </w:tabs>
            <w:ind w:left="420"/>
            <w:rPr>
              <w:rFonts w:ascii="宋体" w:hAnsi="宋体" w:cs="宋体"/>
              <w:sz w:val="24"/>
              <w:szCs w:val="24"/>
            </w:rPr>
          </w:pPr>
          <w:r>
            <w:fldChar w:fldCharType="begin"/>
          </w:r>
          <w:r>
            <w:instrText xml:space="preserve"> HYPERLINK \l "_Toc31410" </w:instrText>
          </w:r>
          <w:r>
            <w:fldChar w:fldCharType="separate"/>
          </w:r>
          <w:r>
            <w:rPr>
              <w:rFonts w:hint="eastAsia" w:ascii="宋体" w:hAnsi="宋体" w:cs="宋体"/>
              <w:sz w:val="24"/>
              <w:szCs w:val="24"/>
            </w:rPr>
            <w:t>七、“三公”经费财政拨款支出决算情况说明</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_Toc31410 \h </w:instrText>
          </w:r>
          <w:r>
            <w:rPr>
              <w:rFonts w:hint="eastAsia" w:ascii="宋体" w:hAnsi="宋体" w:cs="宋体"/>
              <w:sz w:val="24"/>
              <w:szCs w:val="24"/>
            </w:rPr>
            <w:fldChar w:fldCharType="separate"/>
          </w:r>
          <w:r>
            <w:rPr>
              <w:rFonts w:hint="eastAsia" w:ascii="宋体" w:hAnsi="宋体" w:cs="宋体"/>
              <w:sz w:val="24"/>
              <w:szCs w:val="24"/>
            </w:rPr>
            <w:t>15</w:t>
          </w:r>
          <w:r>
            <w:rPr>
              <w:rFonts w:hint="eastAsia" w:ascii="宋体" w:hAnsi="宋体" w:cs="宋体"/>
              <w:sz w:val="24"/>
              <w:szCs w:val="24"/>
            </w:rPr>
            <w:fldChar w:fldCharType="end"/>
          </w:r>
          <w:r>
            <w:rPr>
              <w:rFonts w:hint="eastAsia" w:ascii="宋体" w:hAnsi="宋体" w:cs="宋体"/>
              <w:sz w:val="24"/>
              <w:szCs w:val="24"/>
            </w:rPr>
            <w:fldChar w:fldCharType="end"/>
          </w:r>
        </w:p>
        <w:p>
          <w:pPr>
            <w:pStyle w:val="32"/>
            <w:tabs>
              <w:tab w:val="right" w:leader="dot" w:pos="8306"/>
            </w:tabs>
            <w:ind w:left="420"/>
            <w:rPr>
              <w:rFonts w:ascii="宋体" w:hAnsi="宋体" w:cs="宋体"/>
              <w:sz w:val="24"/>
              <w:szCs w:val="24"/>
            </w:rPr>
          </w:pPr>
          <w:r>
            <w:fldChar w:fldCharType="begin"/>
          </w:r>
          <w:r>
            <w:instrText xml:space="preserve"> HYPERLINK \l "_Toc15429" </w:instrText>
          </w:r>
          <w:r>
            <w:fldChar w:fldCharType="separate"/>
          </w:r>
          <w:r>
            <w:rPr>
              <w:rFonts w:hint="eastAsia" w:ascii="宋体" w:hAnsi="宋体" w:cs="宋体"/>
              <w:sz w:val="24"/>
              <w:szCs w:val="24"/>
            </w:rPr>
            <w:t>八、政府性基金预算支出决算情况说明</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_Toc15429 \h </w:instrText>
          </w:r>
          <w:r>
            <w:rPr>
              <w:rFonts w:hint="eastAsia" w:ascii="宋体" w:hAnsi="宋体" w:cs="宋体"/>
              <w:sz w:val="24"/>
              <w:szCs w:val="24"/>
            </w:rPr>
            <w:fldChar w:fldCharType="separate"/>
          </w:r>
          <w:r>
            <w:rPr>
              <w:rFonts w:hint="eastAsia" w:ascii="宋体" w:hAnsi="宋体" w:cs="宋体"/>
              <w:sz w:val="24"/>
              <w:szCs w:val="24"/>
            </w:rPr>
            <w:t>18</w:t>
          </w:r>
          <w:r>
            <w:rPr>
              <w:rFonts w:hint="eastAsia" w:ascii="宋体" w:hAnsi="宋体" w:cs="宋体"/>
              <w:sz w:val="24"/>
              <w:szCs w:val="24"/>
            </w:rPr>
            <w:fldChar w:fldCharType="end"/>
          </w:r>
          <w:r>
            <w:rPr>
              <w:rFonts w:hint="eastAsia" w:ascii="宋体" w:hAnsi="宋体" w:cs="宋体"/>
              <w:sz w:val="24"/>
              <w:szCs w:val="24"/>
            </w:rPr>
            <w:fldChar w:fldCharType="end"/>
          </w:r>
        </w:p>
        <w:p>
          <w:pPr>
            <w:pStyle w:val="32"/>
            <w:tabs>
              <w:tab w:val="right" w:leader="dot" w:pos="8306"/>
            </w:tabs>
            <w:ind w:left="420"/>
            <w:rPr>
              <w:rFonts w:ascii="宋体" w:hAnsi="宋体" w:cs="宋体"/>
              <w:sz w:val="24"/>
              <w:szCs w:val="24"/>
            </w:rPr>
          </w:pPr>
          <w:r>
            <w:fldChar w:fldCharType="begin"/>
          </w:r>
          <w:r>
            <w:instrText xml:space="preserve"> HYPERLINK \l "_Toc22343" </w:instrText>
          </w:r>
          <w:r>
            <w:fldChar w:fldCharType="separate"/>
          </w:r>
          <w:r>
            <w:rPr>
              <w:rFonts w:hint="eastAsia" w:ascii="宋体" w:hAnsi="宋体" w:cs="宋体"/>
              <w:sz w:val="24"/>
              <w:szCs w:val="24"/>
            </w:rPr>
            <w:t>九、 国有资本经营预算支出决算情况说明</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_Toc22343 \h </w:instrText>
          </w:r>
          <w:r>
            <w:rPr>
              <w:rFonts w:hint="eastAsia" w:ascii="宋体" w:hAnsi="宋体" w:cs="宋体"/>
              <w:sz w:val="24"/>
              <w:szCs w:val="24"/>
            </w:rPr>
            <w:fldChar w:fldCharType="separate"/>
          </w:r>
          <w:r>
            <w:rPr>
              <w:rFonts w:hint="eastAsia" w:ascii="宋体" w:hAnsi="宋体" w:cs="宋体"/>
              <w:sz w:val="24"/>
              <w:szCs w:val="24"/>
            </w:rPr>
            <w:t>18</w:t>
          </w:r>
          <w:r>
            <w:rPr>
              <w:rFonts w:hint="eastAsia" w:ascii="宋体" w:hAnsi="宋体" w:cs="宋体"/>
              <w:sz w:val="24"/>
              <w:szCs w:val="24"/>
            </w:rPr>
            <w:fldChar w:fldCharType="end"/>
          </w:r>
          <w:r>
            <w:rPr>
              <w:rFonts w:hint="eastAsia" w:ascii="宋体" w:hAnsi="宋体" w:cs="宋体"/>
              <w:sz w:val="24"/>
              <w:szCs w:val="24"/>
            </w:rPr>
            <w:fldChar w:fldCharType="end"/>
          </w:r>
        </w:p>
        <w:p>
          <w:pPr>
            <w:pStyle w:val="32"/>
            <w:tabs>
              <w:tab w:val="right" w:leader="dot" w:pos="8306"/>
            </w:tabs>
            <w:ind w:left="420"/>
            <w:rPr>
              <w:rFonts w:ascii="宋体" w:hAnsi="宋体" w:cs="宋体"/>
              <w:sz w:val="24"/>
              <w:szCs w:val="24"/>
            </w:rPr>
          </w:pPr>
          <w:r>
            <w:fldChar w:fldCharType="begin"/>
          </w:r>
          <w:r>
            <w:instrText xml:space="preserve"> HYPERLINK \l "_Toc2235" </w:instrText>
          </w:r>
          <w:r>
            <w:fldChar w:fldCharType="separate"/>
          </w:r>
          <w:r>
            <w:rPr>
              <w:rFonts w:hint="eastAsia" w:ascii="宋体" w:hAnsi="宋体" w:cs="宋体"/>
              <w:sz w:val="24"/>
              <w:szCs w:val="24"/>
            </w:rPr>
            <w:t>十、 其他重要事项的情况说明</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_Toc2235 \h </w:instrText>
          </w:r>
          <w:r>
            <w:rPr>
              <w:rFonts w:hint="eastAsia" w:ascii="宋体" w:hAnsi="宋体" w:cs="宋体"/>
              <w:sz w:val="24"/>
              <w:szCs w:val="24"/>
            </w:rPr>
            <w:fldChar w:fldCharType="separate"/>
          </w:r>
          <w:r>
            <w:rPr>
              <w:rFonts w:hint="eastAsia" w:ascii="宋体" w:hAnsi="宋体" w:cs="宋体"/>
              <w:sz w:val="24"/>
              <w:szCs w:val="24"/>
            </w:rPr>
            <w:t>18</w:t>
          </w:r>
          <w:r>
            <w:rPr>
              <w:rFonts w:hint="eastAsia" w:ascii="宋体" w:hAnsi="宋体" w:cs="宋体"/>
              <w:sz w:val="24"/>
              <w:szCs w:val="24"/>
            </w:rPr>
            <w:fldChar w:fldCharType="end"/>
          </w:r>
          <w:r>
            <w:rPr>
              <w:rFonts w:hint="eastAsia" w:ascii="宋体" w:hAnsi="宋体" w:cs="宋体"/>
              <w:sz w:val="24"/>
              <w:szCs w:val="24"/>
            </w:rPr>
            <w:fldChar w:fldCharType="end"/>
          </w:r>
        </w:p>
        <w:p>
          <w:pPr>
            <w:pStyle w:val="31"/>
            <w:tabs>
              <w:tab w:val="right" w:leader="dot" w:pos="8306"/>
            </w:tabs>
            <w:rPr>
              <w:rFonts w:ascii="宋体" w:hAnsi="宋体" w:cs="宋体"/>
              <w:sz w:val="24"/>
              <w:szCs w:val="24"/>
            </w:rPr>
          </w:pPr>
          <w:r>
            <w:fldChar w:fldCharType="begin"/>
          </w:r>
          <w:r>
            <w:instrText xml:space="preserve"> HYPERLINK \l "_Toc18401" </w:instrText>
          </w:r>
          <w:r>
            <w:fldChar w:fldCharType="separate"/>
          </w:r>
          <w:r>
            <w:rPr>
              <w:rFonts w:hint="eastAsia" w:ascii="宋体" w:hAnsi="宋体" w:cs="宋体"/>
              <w:sz w:val="24"/>
              <w:szCs w:val="24"/>
            </w:rPr>
            <w:t>第三部分 名词解释</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_Toc18401 \h </w:instrText>
          </w:r>
          <w:r>
            <w:rPr>
              <w:rFonts w:hint="eastAsia" w:ascii="宋体" w:hAnsi="宋体" w:cs="宋体"/>
              <w:sz w:val="24"/>
              <w:szCs w:val="24"/>
            </w:rPr>
            <w:fldChar w:fldCharType="separate"/>
          </w:r>
          <w:r>
            <w:rPr>
              <w:rFonts w:hint="eastAsia" w:ascii="宋体" w:hAnsi="宋体" w:cs="宋体"/>
              <w:sz w:val="24"/>
              <w:szCs w:val="24"/>
            </w:rPr>
            <w:t>20</w:t>
          </w:r>
          <w:r>
            <w:rPr>
              <w:rFonts w:hint="eastAsia" w:ascii="宋体" w:hAnsi="宋体" w:cs="宋体"/>
              <w:sz w:val="24"/>
              <w:szCs w:val="24"/>
            </w:rPr>
            <w:fldChar w:fldCharType="end"/>
          </w:r>
          <w:r>
            <w:rPr>
              <w:rFonts w:hint="eastAsia" w:ascii="宋体" w:hAnsi="宋体" w:cs="宋体"/>
              <w:sz w:val="24"/>
              <w:szCs w:val="24"/>
            </w:rPr>
            <w:fldChar w:fldCharType="end"/>
          </w:r>
        </w:p>
        <w:p>
          <w:pPr>
            <w:pStyle w:val="31"/>
            <w:tabs>
              <w:tab w:val="right" w:leader="dot" w:pos="8306"/>
            </w:tabs>
            <w:rPr>
              <w:rFonts w:ascii="宋体" w:hAnsi="宋体" w:cs="宋体"/>
              <w:sz w:val="24"/>
              <w:szCs w:val="24"/>
            </w:rPr>
          </w:pPr>
          <w:r>
            <w:fldChar w:fldCharType="begin"/>
          </w:r>
          <w:r>
            <w:instrText xml:space="preserve"> HYPERLINK \l "_Toc16153" </w:instrText>
          </w:r>
          <w:r>
            <w:fldChar w:fldCharType="separate"/>
          </w:r>
          <w:r>
            <w:rPr>
              <w:rFonts w:hint="eastAsia" w:ascii="宋体" w:hAnsi="宋体" w:cs="宋体"/>
              <w:sz w:val="24"/>
              <w:szCs w:val="24"/>
            </w:rPr>
            <w:t>第四部分 附件</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_Toc16153 \h </w:instrText>
          </w:r>
          <w:r>
            <w:rPr>
              <w:rFonts w:hint="eastAsia" w:ascii="宋体" w:hAnsi="宋体" w:cs="宋体"/>
              <w:sz w:val="24"/>
              <w:szCs w:val="24"/>
            </w:rPr>
            <w:fldChar w:fldCharType="separate"/>
          </w:r>
          <w:r>
            <w:rPr>
              <w:rFonts w:hint="eastAsia" w:ascii="宋体" w:hAnsi="宋体" w:cs="宋体"/>
              <w:sz w:val="24"/>
              <w:szCs w:val="24"/>
            </w:rPr>
            <w:t>23</w:t>
          </w:r>
          <w:r>
            <w:rPr>
              <w:rFonts w:hint="eastAsia" w:ascii="宋体" w:hAnsi="宋体" w:cs="宋体"/>
              <w:sz w:val="24"/>
              <w:szCs w:val="24"/>
            </w:rPr>
            <w:fldChar w:fldCharType="end"/>
          </w:r>
          <w:r>
            <w:rPr>
              <w:rFonts w:hint="eastAsia" w:ascii="宋体" w:hAnsi="宋体" w:cs="宋体"/>
              <w:sz w:val="24"/>
              <w:szCs w:val="24"/>
            </w:rPr>
            <w:fldChar w:fldCharType="end"/>
          </w:r>
        </w:p>
        <w:p>
          <w:pPr>
            <w:pStyle w:val="31"/>
            <w:tabs>
              <w:tab w:val="right" w:leader="dot" w:pos="8306"/>
            </w:tabs>
            <w:ind w:firstLine="400" w:firstLineChars="200"/>
            <w:rPr>
              <w:rFonts w:ascii="宋体" w:hAnsi="宋体" w:cs="宋体"/>
              <w:sz w:val="24"/>
              <w:szCs w:val="24"/>
            </w:rPr>
          </w:pPr>
          <w:r>
            <w:fldChar w:fldCharType="begin"/>
          </w:r>
          <w:r>
            <w:instrText xml:space="preserve"> HYPERLINK \l "_Toc28132" </w:instrText>
          </w:r>
          <w:r>
            <w:fldChar w:fldCharType="separate"/>
          </w:r>
          <w:r>
            <w:rPr>
              <w:rFonts w:hint="eastAsia" w:ascii="宋体" w:hAnsi="宋体" w:cs="宋体"/>
              <w:sz w:val="24"/>
              <w:szCs w:val="24"/>
            </w:rPr>
            <w:t>附件1</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_Toc28132 \h </w:instrText>
          </w:r>
          <w:r>
            <w:rPr>
              <w:rFonts w:hint="eastAsia" w:ascii="宋体" w:hAnsi="宋体" w:cs="宋体"/>
              <w:sz w:val="24"/>
              <w:szCs w:val="24"/>
            </w:rPr>
            <w:fldChar w:fldCharType="separate"/>
          </w:r>
          <w:r>
            <w:rPr>
              <w:rFonts w:hint="eastAsia" w:ascii="宋体" w:hAnsi="宋体" w:cs="宋体"/>
              <w:sz w:val="24"/>
              <w:szCs w:val="24"/>
            </w:rPr>
            <w:t>23</w:t>
          </w:r>
          <w:r>
            <w:rPr>
              <w:rFonts w:hint="eastAsia" w:ascii="宋体" w:hAnsi="宋体" w:cs="宋体"/>
              <w:sz w:val="24"/>
              <w:szCs w:val="24"/>
            </w:rPr>
            <w:fldChar w:fldCharType="end"/>
          </w:r>
          <w:r>
            <w:rPr>
              <w:rFonts w:hint="eastAsia" w:ascii="宋体" w:hAnsi="宋体" w:cs="宋体"/>
              <w:sz w:val="24"/>
              <w:szCs w:val="24"/>
            </w:rPr>
            <w:fldChar w:fldCharType="end"/>
          </w:r>
        </w:p>
        <w:p>
          <w:pPr>
            <w:pStyle w:val="31"/>
            <w:tabs>
              <w:tab w:val="right" w:leader="dot" w:pos="8306"/>
            </w:tabs>
            <w:ind w:firstLine="400" w:firstLineChars="200"/>
            <w:rPr>
              <w:rFonts w:ascii="宋体" w:hAnsi="宋体" w:cs="宋体"/>
              <w:sz w:val="24"/>
              <w:szCs w:val="24"/>
            </w:rPr>
          </w:pPr>
          <w:r>
            <w:fldChar w:fldCharType="begin"/>
          </w:r>
          <w:r>
            <w:instrText xml:space="preserve"> HYPERLINK \l "_Toc28132" </w:instrText>
          </w:r>
          <w:r>
            <w:fldChar w:fldCharType="separate"/>
          </w:r>
          <w:r>
            <w:rPr>
              <w:rFonts w:hint="eastAsia" w:ascii="宋体" w:hAnsi="宋体" w:cs="宋体"/>
              <w:sz w:val="24"/>
              <w:szCs w:val="24"/>
            </w:rPr>
            <w:t>附件2</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_Toc28132 \h </w:instrText>
          </w:r>
          <w:r>
            <w:rPr>
              <w:rFonts w:hint="eastAsia" w:ascii="宋体" w:hAnsi="宋体" w:cs="宋体"/>
              <w:sz w:val="24"/>
              <w:szCs w:val="24"/>
            </w:rPr>
            <w:fldChar w:fldCharType="separate"/>
          </w:r>
          <w:r>
            <w:rPr>
              <w:rFonts w:hint="eastAsia" w:ascii="宋体" w:hAnsi="宋体" w:cs="宋体"/>
              <w:sz w:val="24"/>
              <w:szCs w:val="24"/>
            </w:rPr>
            <w:t>23</w:t>
          </w:r>
          <w:r>
            <w:rPr>
              <w:rFonts w:hint="eastAsia" w:ascii="宋体" w:hAnsi="宋体" w:cs="宋体"/>
              <w:sz w:val="24"/>
              <w:szCs w:val="24"/>
            </w:rPr>
            <w:fldChar w:fldCharType="end"/>
          </w:r>
          <w:r>
            <w:rPr>
              <w:rFonts w:hint="eastAsia" w:ascii="宋体" w:hAnsi="宋体" w:cs="宋体"/>
              <w:sz w:val="24"/>
              <w:szCs w:val="24"/>
            </w:rPr>
            <w:fldChar w:fldCharType="end"/>
          </w:r>
        </w:p>
        <w:p>
          <w:pPr>
            <w:pStyle w:val="31"/>
            <w:tabs>
              <w:tab w:val="right" w:leader="dot" w:pos="8306"/>
            </w:tabs>
            <w:rPr>
              <w:rFonts w:ascii="宋体" w:hAnsi="宋体" w:cs="宋体"/>
              <w:sz w:val="24"/>
              <w:szCs w:val="24"/>
            </w:rPr>
          </w:pPr>
          <w:r>
            <w:fldChar w:fldCharType="begin"/>
          </w:r>
          <w:r>
            <w:instrText xml:space="preserve"> HYPERLINK \l "_Toc19676" </w:instrText>
          </w:r>
          <w:r>
            <w:fldChar w:fldCharType="separate"/>
          </w:r>
          <w:r>
            <w:rPr>
              <w:rFonts w:hint="eastAsia" w:ascii="宋体" w:hAnsi="宋体" w:cs="宋体"/>
              <w:sz w:val="24"/>
              <w:szCs w:val="24"/>
            </w:rPr>
            <w:t>第五部分 附表</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_Toc19676 \h </w:instrText>
          </w:r>
          <w:r>
            <w:rPr>
              <w:rFonts w:hint="eastAsia" w:ascii="宋体" w:hAnsi="宋体" w:cs="宋体"/>
              <w:sz w:val="24"/>
              <w:szCs w:val="24"/>
            </w:rPr>
            <w:fldChar w:fldCharType="separate"/>
          </w:r>
          <w:r>
            <w:rPr>
              <w:rFonts w:hint="eastAsia" w:ascii="宋体" w:hAnsi="宋体" w:cs="宋体"/>
              <w:sz w:val="24"/>
              <w:szCs w:val="24"/>
            </w:rPr>
            <w:t>34</w:t>
          </w:r>
          <w:r>
            <w:rPr>
              <w:rFonts w:hint="eastAsia" w:ascii="宋体" w:hAnsi="宋体" w:cs="宋体"/>
              <w:sz w:val="24"/>
              <w:szCs w:val="24"/>
            </w:rPr>
            <w:fldChar w:fldCharType="end"/>
          </w:r>
          <w:r>
            <w:rPr>
              <w:rFonts w:hint="eastAsia" w:ascii="宋体" w:hAnsi="宋体" w:cs="宋体"/>
              <w:sz w:val="24"/>
              <w:szCs w:val="24"/>
            </w:rPr>
            <w:fldChar w:fldCharType="end"/>
          </w:r>
        </w:p>
        <w:p>
          <w:pPr>
            <w:pStyle w:val="32"/>
            <w:tabs>
              <w:tab w:val="right" w:leader="dot" w:pos="8306"/>
            </w:tabs>
            <w:ind w:left="420"/>
            <w:rPr>
              <w:rFonts w:ascii="宋体" w:hAnsi="宋体" w:cs="宋体"/>
              <w:sz w:val="24"/>
              <w:szCs w:val="24"/>
            </w:rPr>
          </w:pPr>
          <w:r>
            <w:fldChar w:fldCharType="begin"/>
          </w:r>
          <w:r>
            <w:instrText xml:space="preserve"> HYPERLINK \l "_Toc13276" </w:instrText>
          </w:r>
          <w:r>
            <w:fldChar w:fldCharType="separate"/>
          </w:r>
          <w:r>
            <w:rPr>
              <w:rFonts w:hint="eastAsia" w:ascii="宋体" w:hAnsi="宋体" w:cs="宋体"/>
              <w:sz w:val="24"/>
              <w:szCs w:val="24"/>
            </w:rPr>
            <w:t>一、收入支出决算总表</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_Toc13276 \h </w:instrText>
          </w:r>
          <w:r>
            <w:rPr>
              <w:rFonts w:hint="eastAsia" w:ascii="宋体" w:hAnsi="宋体" w:cs="宋体"/>
              <w:sz w:val="24"/>
              <w:szCs w:val="24"/>
            </w:rPr>
            <w:fldChar w:fldCharType="separate"/>
          </w:r>
          <w:r>
            <w:rPr>
              <w:rFonts w:hint="eastAsia" w:ascii="宋体" w:hAnsi="宋体" w:cs="宋体"/>
              <w:sz w:val="24"/>
              <w:szCs w:val="24"/>
            </w:rPr>
            <w:t>34</w:t>
          </w:r>
          <w:r>
            <w:rPr>
              <w:rFonts w:hint="eastAsia" w:ascii="宋体" w:hAnsi="宋体" w:cs="宋体"/>
              <w:sz w:val="24"/>
              <w:szCs w:val="24"/>
            </w:rPr>
            <w:fldChar w:fldCharType="end"/>
          </w:r>
          <w:r>
            <w:rPr>
              <w:rFonts w:hint="eastAsia" w:ascii="宋体" w:hAnsi="宋体" w:cs="宋体"/>
              <w:sz w:val="24"/>
              <w:szCs w:val="24"/>
            </w:rPr>
            <w:fldChar w:fldCharType="end"/>
          </w:r>
        </w:p>
        <w:p>
          <w:pPr>
            <w:pStyle w:val="32"/>
            <w:tabs>
              <w:tab w:val="right" w:leader="dot" w:pos="8306"/>
            </w:tabs>
            <w:ind w:left="420"/>
            <w:rPr>
              <w:rFonts w:ascii="宋体" w:hAnsi="宋体" w:cs="宋体"/>
              <w:sz w:val="24"/>
              <w:szCs w:val="24"/>
            </w:rPr>
          </w:pPr>
          <w:r>
            <w:fldChar w:fldCharType="begin"/>
          </w:r>
          <w:r>
            <w:instrText xml:space="preserve"> HYPERLINK \l "_Toc24922" </w:instrText>
          </w:r>
          <w:r>
            <w:fldChar w:fldCharType="separate"/>
          </w:r>
          <w:r>
            <w:rPr>
              <w:rFonts w:hint="eastAsia" w:ascii="宋体" w:hAnsi="宋体" w:cs="宋体"/>
              <w:sz w:val="24"/>
              <w:szCs w:val="24"/>
            </w:rPr>
            <w:t>二、收入决算表</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_Toc24922 \h </w:instrText>
          </w:r>
          <w:r>
            <w:rPr>
              <w:rFonts w:hint="eastAsia" w:ascii="宋体" w:hAnsi="宋体" w:cs="宋体"/>
              <w:sz w:val="24"/>
              <w:szCs w:val="24"/>
            </w:rPr>
            <w:fldChar w:fldCharType="separate"/>
          </w:r>
          <w:r>
            <w:rPr>
              <w:rFonts w:hint="eastAsia" w:ascii="宋体" w:hAnsi="宋体" w:cs="宋体"/>
              <w:sz w:val="24"/>
              <w:szCs w:val="24"/>
            </w:rPr>
            <w:t>34</w:t>
          </w:r>
          <w:r>
            <w:rPr>
              <w:rFonts w:hint="eastAsia" w:ascii="宋体" w:hAnsi="宋体" w:cs="宋体"/>
              <w:sz w:val="24"/>
              <w:szCs w:val="24"/>
            </w:rPr>
            <w:fldChar w:fldCharType="end"/>
          </w:r>
          <w:r>
            <w:rPr>
              <w:rFonts w:hint="eastAsia" w:ascii="宋体" w:hAnsi="宋体" w:cs="宋体"/>
              <w:sz w:val="24"/>
              <w:szCs w:val="24"/>
            </w:rPr>
            <w:fldChar w:fldCharType="end"/>
          </w:r>
        </w:p>
        <w:p>
          <w:pPr>
            <w:pStyle w:val="32"/>
            <w:tabs>
              <w:tab w:val="right" w:leader="dot" w:pos="8306"/>
            </w:tabs>
            <w:ind w:left="420"/>
            <w:rPr>
              <w:rFonts w:ascii="宋体" w:hAnsi="宋体" w:cs="宋体"/>
              <w:sz w:val="24"/>
              <w:szCs w:val="24"/>
            </w:rPr>
          </w:pPr>
          <w:r>
            <w:fldChar w:fldCharType="begin"/>
          </w:r>
          <w:r>
            <w:instrText xml:space="preserve"> HYPERLINK \l "_Toc9938" </w:instrText>
          </w:r>
          <w:r>
            <w:fldChar w:fldCharType="separate"/>
          </w:r>
          <w:r>
            <w:rPr>
              <w:rFonts w:hint="eastAsia" w:ascii="宋体" w:hAnsi="宋体" w:cs="宋体"/>
              <w:sz w:val="24"/>
              <w:szCs w:val="24"/>
            </w:rPr>
            <w:t>三、支出决算表</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_Toc9938 \h </w:instrText>
          </w:r>
          <w:r>
            <w:rPr>
              <w:rFonts w:hint="eastAsia" w:ascii="宋体" w:hAnsi="宋体" w:cs="宋体"/>
              <w:sz w:val="24"/>
              <w:szCs w:val="24"/>
            </w:rPr>
            <w:fldChar w:fldCharType="separate"/>
          </w:r>
          <w:r>
            <w:rPr>
              <w:rFonts w:hint="eastAsia" w:ascii="宋体" w:hAnsi="宋体" w:cs="宋体"/>
              <w:sz w:val="24"/>
              <w:szCs w:val="24"/>
            </w:rPr>
            <w:t>34</w:t>
          </w:r>
          <w:r>
            <w:rPr>
              <w:rFonts w:hint="eastAsia" w:ascii="宋体" w:hAnsi="宋体" w:cs="宋体"/>
              <w:sz w:val="24"/>
              <w:szCs w:val="24"/>
            </w:rPr>
            <w:fldChar w:fldCharType="end"/>
          </w:r>
          <w:r>
            <w:rPr>
              <w:rFonts w:hint="eastAsia" w:ascii="宋体" w:hAnsi="宋体" w:cs="宋体"/>
              <w:sz w:val="24"/>
              <w:szCs w:val="24"/>
            </w:rPr>
            <w:fldChar w:fldCharType="end"/>
          </w:r>
        </w:p>
        <w:p>
          <w:pPr>
            <w:pStyle w:val="32"/>
            <w:tabs>
              <w:tab w:val="right" w:leader="dot" w:pos="8306"/>
            </w:tabs>
            <w:ind w:left="420"/>
            <w:rPr>
              <w:rFonts w:ascii="宋体" w:hAnsi="宋体" w:cs="宋体"/>
              <w:sz w:val="24"/>
              <w:szCs w:val="24"/>
            </w:rPr>
          </w:pPr>
          <w:r>
            <w:fldChar w:fldCharType="begin"/>
          </w:r>
          <w:r>
            <w:instrText xml:space="preserve"> HYPERLINK \l "_Toc19518" </w:instrText>
          </w:r>
          <w:r>
            <w:fldChar w:fldCharType="separate"/>
          </w:r>
          <w:r>
            <w:rPr>
              <w:rFonts w:hint="eastAsia" w:ascii="宋体" w:hAnsi="宋体" w:cs="宋体"/>
              <w:sz w:val="24"/>
              <w:szCs w:val="24"/>
            </w:rPr>
            <w:t>四、财政拨款收入支出决算总表</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_Toc19518 \h </w:instrText>
          </w:r>
          <w:r>
            <w:rPr>
              <w:rFonts w:hint="eastAsia" w:ascii="宋体" w:hAnsi="宋体" w:cs="宋体"/>
              <w:sz w:val="24"/>
              <w:szCs w:val="24"/>
            </w:rPr>
            <w:fldChar w:fldCharType="separate"/>
          </w:r>
          <w:r>
            <w:rPr>
              <w:rFonts w:hint="eastAsia" w:ascii="宋体" w:hAnsi="宋体" w:cs="宋体"/>
              <w:sz w:val="24"/>
              <w:szCs w:val="24"/>
            </w:rPr>
            <w:t>34</w:t>
          </w:r>
          <w:r>
            <w:rPr>
              <w:rFonts w:hint="eastAsia" w:ascii="宋体" w:hAnsi="宋体" w:cs="宋体"/>
              <w:sz w:val="24"/>
              <w:szCs w:val="24"/>
            </w:rPr>
            <w:fldChar w:fldCharType="end"/>
          </w:r>
          <w:r>
            <w:rPr>
              <w:rFonts w:hint="eastAsia" w:ascii="宋体" w:hAnsi="宋体" w:cs="宋体"/>
              <w:sz w:val="24"/>
              <w:szCs w:val="24"/>
            </w:rPr>
            <w:fldChar w:fldCharType="end"/>
          </w:r>
        </w:p>
        <w:p>
          <w:pPr>
            <w:pStyle w:val="32"/>
            <w:tabs>
              <w:tab w:val="right" w:leader="dot" w:pos="8306"/>
            </w:tabs>
            <w:ind w:left="420"/>
            <w:rPr>
              <w:rFonts w:ascii="宋体" w:hAnsi="宋体" w:cs="宋体"/>
              <w:sz w:val="24"/>
              <w:szCs w:val="24"/>
            </w:rPr>
          </w:pPr>
          <w:r>
            <w:fldChar w:fldCharType="begin"/>
          </w:r>
          <w:r>
            <w:instrText xml:space="preserve"> HYPERLINK \l "_Toc7025" </w:instrText>
          </w:r>
          <w:r>
            <w:fldChar w:fldCharType="separate"/>
          </w:r>
          <w:r>
            <w:rPr>
              <w:rFonts w:hint="eastAsia" w:ascii="宋体" w:hAnsi="宋体" w:cs="宋体"/>
              <w:sz w:val="24"/>
              <w:szCs w:val="24"/>
            </w:rPr>
            <w:t>五、财政拨款支出决算明细表</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_Toc7025 \h </w:instrText>
          </w:r>
          <w:r>
            <w:rPr>
              <w:rFonts w:hint="eastAsia" w:ascii="宋体" w:hAnsi="宋体" w:cs="宋体"/>
              <w:sz w:val="24"/>
              <w:szCs w:val="24"/>
            </w:rPr>
            <w:fldChar w:fldCharType="separate"/>
          </w:r>
          <w:r>
            <w:rPr>
              <w:rFonts w:hint="eastAsia" w:ascii="宋体" w:hAnsi="宋体" w:cs="宋体"/>
              <w:sz w:val="24"/>
              <w:szCs w:val="24"/>
            </w:rPr>
            <w:t>34</w:t>
          </w:r>
          <w:r>
            <w:rPr>
              <w:rFonts w:hint="eastAsia" w:ascii="宋体" w:hAnsi="宋体" w:cs="宋体"/>
              <w:sz w:val="24"/>
              <w:szCs w:val="24"/>
            </w:rPr>
            <w:fldChar w:fldCharType="end"/>
          </w:r>
          <w:r>
            <w:rPr>
              <w:rFonts w:hint="eastAsia" w:ascii="宋体" w:hAnsi="宋体" w:cs="宋体"/>
              <w:sz w:val="24"/>
              <w:szCs w:val="24"/>
            </w:rPr>
            <w:fldChar w:fldCharType="end"/>
          </w:r>
        </w:p>
        <w:p>
          <w:pPr>
            <w:pStyle w:val="32"/>
            <w:tabs>
              <w:tab w:val="right" w:leader="dot" w:pos="8306"/>
            </w:tabs>
            <w:ind w:left="420"/>
            <w:rPr>
              <w:rFonts w:ascii="宋体" w:hAnsi="宋体" w:cs="宋体"/>
              <w:sz w:val="24"/>
              <w:szCs w:val="24"/>
            </w:rPr>
          </w:pPr>
          <w:r>
            <w:fldChar w:fldCharType="begin"/>
          </w:r>
          <w:r>
            <w:instrText xml:space="preserve"> HYPERLINK \l "_Toc19622" </w:instrText>
          </w:r>
          <w:r>
            <w:fldChar w:fldCharType="separate"/>
          </w:r>
          <w:r>
            <w:rPr>
              <w:rFonts w:hint="eastAsia" w:ascii="宋体" w:hAnsi="宋体" w:cs="宋体"/>
              <w:sz w:val="24"/>
              <w:szCs w:val="24"/>
            </w:rPr>
            <w:t>六、一般公共预算财政拨款支出决算表</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_Toc19622 \h </w:instrText>
          </w:r>
          <w:r>
            <w:rPr>
              <w:rFonts w:hint="eastAsia" w:ascii="宋体" w:hAnsi="宋体" w:cs="宋体"/>
              <w:sz w:val="24"/>
              <w:szCs w:val="24"/>
            </w:rPr>
            <w:fldChar w:fldCharType="separate"/>
          </w:r>
          <w:r>
            <w:rPr>
              <w:rFonts w:hint="eastAsia" w:ascii="宋体" w:hAnsi="宋体" w:cs="宋体"/>
              <w:sz w:val="24"/>
              <w:szCs w:val="24"/>
            </w:rPr>
            <w:t>34</w:t>
          </w:r>
          <w:r>
            <w:rPr>
              <w:rFonts w:hint="eastAsia" w:ascii="宋体" w:hAnsi="宋体" w:cs="宋体"/>
              <w:sz w:val="24"/>
              <w:szCs w:val="24"/>
            </w:rPr>
            <w:fldChar w:fldCharType="end"/>
          </w:r>
          <w:r>
            <w:rPr>
              <w:rFonts w:hint="eastAsia" w:ascii="宋体" w:hAnsi="宋体" w:cs="宋体"/>
              <w:sz w:val="24"/>
              <w:szCs w:val="24"/>
            </w:rPr>
            <w:fldChar w:fldCharType="end"/>
          </w:r>
        </w:p>
        <w:p>
          <w:pPr>
            <w:pStyle w:val="32"/>
            <w:tabs>
              <w:tab w:val="right" w:leader="dot" w:pos="8306"/>
            </w:tabs>
            <w:ind w:left="420"/>
            <w:rPr>
              <w:rFonts w:ascii="宋体" w:hAnsi="宋体" w:cs="宋体"/>
              <w:sz w:val="24"/>
              <w:szCs w:val="24"/>
            </w:rPr>
          </w:pPr>
          <w:r>
            <w:fldChar w:fldCharType="begin"/>
          </w:r>
          <w:r>
            <w:instrText xml:space="preserve"> HYPERLINK \l "_Toc1288" </w:instrText>
          </w:r>
          <w:r>
            <w:fldChar w:fldCharType="separate"/>
          </w:r>
          <w:r>
            <w:rPr>
              <w:rFonts w:hint="eastAsia" w:ascii="宋体" w:hAnsi="宋体" w:cs="宋体"/>
              <w:sz w:val="24"/>
              <w:szCs w:val="24"/>
            </w:rPr>
            <w:t>七、一般公共预算财政拨款支出决算明细表</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_Toc1288 \h </w:instrText>
          </w:r>
          <w:r>
            <w:rPr>
              <w:rFonts w:hint="eastAsia" w:ascii="宋体" w:hAnsi="宋体" w:cs="宋体"/>
              <w:sz w:val="24"/>
              <w:szCs w:val="24"/>
            </w:rPr>
            <w:fldChar w:fldCharType="separate"/>
          </w:r>
          <w:r>
            <w:rPr>
              <w:rFonts w:hint="eastAsia" w:ascii="宋体" w:hAnsi="宋体" w:cs="宋体"/>
              <w:sz w:val="24"/>
              <w:szCs w:val="24"/>
            </w:rPr>
            <w:t>34</w:t>
          </w:r>
          <w:r>
            <w:rPr>
              <w:rFonts w:hint="eastAsia" w:ascii="宋体" w:hAnsi="宋体" w:cs="宋体"/>
              <w:sz w:val="24"/>
              <w:szCs w:val="24"/>
            </w:rPr>
            <w:fldChar w:fldCharType="end"/>
          </w:r>
          <w:r>
            <w:rPr>
              <w:rFonts w:hint="eastAsia" w:ascii="宋体" w:hAnsi="宋体" w:cs="宋体"/>
              <w:sz w:val="24"/>
              <w:szCs w:val="24"/>
            </w:rPr>
            <w:fldChar w:fldCharType="end"/>
          </w:r>
        </w:p>
        <w:p>
          <w:pPr>
            <w:pStyle w:val="32"/>
            <w:tabs>
              <w:tab w:val="right" w:leader="dot" w:pos="8306"/>
            </w:tabs>
            <w:ind w:left="420"/>
            <w:rPr>
              <w:rFonts w:ascii="宋体" w:hAnsi="宋体" w:cs="宋体"/>
              <w:sz w:val="24"/>
              <w:szCs w:val="24"/>
            </w:rPr>
          </w:pPr>
          <w:r>
            <w:fldChar w:fldCharType="begin"/>
          </w:r>
          <w:r>
            <w:instrText xml:space="preserve"> HYPERLINK \l "_Toc16013" </w:instrText>
          </w:r>
          <w:r>
            <w:fldChar w:fldCharType="separate"/>
          </w:r>
          <w:r>
            <w:rPr>
              <w:rFonts w:hint="eastAsia" w:ascii="宋体" w:hAnsi="宋体" w:cs="宋体"/>
              <w:sz w:val="24"/>
              <w:szCs w:val="24"/>
            </w:rPr>
            <w:t>八、一般公共预算财政拨款基本支出决算表</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_Toc16013 \h </w:instrText>
          </w:r>
          <w:r>
            <w:rPr>
              <w:rFonts w:hint="eastAsia" w:ascii="宋体" w:hAnsi="宋体" w:cs="宋体"/>
              <w:sz w:val="24"/>
              <w:szCs w:val="24"/>
            </w:rPr>
            <w:fldChar w:fldCharType="separate"/>
          </w:r>
          <w:r>
            <w:rPr>
              <w:rFonts w:hint="eastAsia" w:ascii="宋体" w:hAnsi="宋体" w:cs="宋体"/>
              <w:sz w:val="24"/>
              <w:szCs w:val="24"/>
            </w:rPr>
            <w:t>34</w:t>
          </w:r>
          <w:r>
            <w:rPr>
              <w:rFonts w:hint="eastAsia" w:ascii="宋体" w:hAnsi="宋体" w:cs="宋体"/>
              <w:sz w:val="24"/>
              <w:szCs w:val="24"/>
            </w:rPr>
            <w:fldChar w:fldCharType="end"/>
          </w:r>
          <w:r>
            <w:rPr>
              <w:rFonts w:hint="eastAsia" w:ascii="宋体" w:hAnsi="宋体" w:cs="宋体"/>
              <w:sz w:val="24"/>
              <w:szCs w:val="24"/>
            </w:rPr>
            <w:fldChar w:fldCharType="end"/>
          </w:r>
        </w:p>
        <w:p>
          <w:pPr>
            <w:pStyle w:val="32"/>
            <w:tabs>
              <w:tab w:val="right" w:leader="dot" w:pos="8306"/>
            </w:tabs>
            <w:ind w:left="420"/>
            <w:rPr>
              <w:rFonts w:ascii="宋体" w:hAnsi="宋体" w:cs="宋体"/>
              <w:sz w:val="24"/>
              <w:szCs w:val="24"/>
            </w:rPr>
          </w:pPr>
          <w:r>
            <w:fldChar w:fldCharType="begin"/>
          </w:r>
          <w:r>
            <w:instrText xml:space="preserve"> HYPERLINK \l "_Toc22000" </w:instrText>
          </w:r>
          <w:r>
            <w:fldChar w:fldCharType="separate"/>
          </w:r>
          <w:r>
            <w:rPr>
              <w:rFonts w:hint="eastAsia" w:ascii="宋体" w:hAnsi="宋体" w:cs="宋体"/>
              <w:sz w:val="24"/>
              <w:szCs w:val="24"/>
            </w:rPr>
            <w:t>九、一般公共预算财政拨款项目支出决算表</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_Toc22000 \h </w:instrText>
          </w:r>
          <w:r>
            <w:rPr>
              <w:rFonts w:hint="eastAsia" w:ascii="宋体" w:hAnsi="宋体" w:cs="宋体"/>
              <w:sz w:val="24"/>
              <w:szCs w:val="24"/>
            </w:rPr>
            <w:fldChar w:fldCharType="separate"/>
          </w:r>
          <w:r>
            <w:rPr>
              <w:rFonts w:hint="eastAsia" w:ascii="宋体" w:hAnsi="宋体" w:cs="宋体"/>
              <w:sz w:val="24"/>
              <w:szCs w:val="24"/>
            </w:rPr>
            <w:t>34</w:t>
          </w:r>
          <w:r>
            <w:rPr>
              <w:rFonts w:hint="eastAsia" w:ascii="宋体" w:hAnsi="宋体" w:cs="宋体"/>
              <w:sz w:val="24"/>
              <w:szCs w:val="24"/>
            </w:rPr>
            <w:fldChar w:fldCharType="end"/>
          </w:r>
          <w:r>
            <w:rPr>
              <w:rFonts w:hint="eastAsia" w:ascii="宋体" w:hAnsi="宋体" w:cs="宋体"/>
              <w:sz w:val="24"/>
              <w:szCs w:val="24"/>
            </w:rPr>
            <w:fldChar w:fldCharType="end"/>
          </w:r>
        </w:p>
        <w:p>
          <w:pPr>
            <w:pStyle w:val="32"/>
            <w:tabs>
              <w:tab w:val="right" w:leader="dot" w:pos="8306"/>
            </w:tabs>
            <w:ind w:left="420"/>
            <w:rPr>
              <w:rFonts w:ascii="宋体" w:hAnsi="宋体" w:cs="宋体"/>
              <w:sz w:val="24"/>
              <w:szCs w:val="24"/>
            </w:rPr>
          </w:pPr>
          <w:r>
            <w:fldChar w:fldCharType="begin"/>
          </w:r>
          <w:r>
            <w:instrText xml:space="preserve"> HYPERLINK \l "_Toc16419" </w:instrText>
          </w:r>
          <w:r>
            <w:fldChar w:fldCharType="separate"/>
          </w:r>
          <w:r>
            <w:rPr>
              <w:rFonts w:hint="eastAsia" w:ascii="宋体" w:hAnsi="宋体" w:cs="宋体"/>
              <w:sz w:val="24"/>
              <w:szCs w:val="24"/>
            </w:rPr>
            <w:t>十、一般公共预算财政拨款“三公”经费支出决算表</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_Toc16419 \h </w:instrText>
          </w:r>
          <w:r>
            <w:rPr>
              <w:rFonts w:hint="eastAsia" w:ascii="宋体" w:hAnsi="宋体" w:cs="宋体"/>
              <w:sz w:val="24"/>
              <w:szCs w:val="24"/>
            </w:rPr>
            <w:fldChar w:fldCharType="separate"/>
          </w:r>
          <w:r>
            <w:rPr>
              <w:rFonts w:hint="eastAsia" w:ascii="宋体" w:hAnsi="宋体" w:cs="宋体"/>
              <w:sz w:val="24"/>
              <w:szCs w:val="24"/>
            </w:rPr>
            <w:t>34</w:t>
          </w:r>
          <w:r>
            <w:rPr>
              <w:rFonts w:hint="eastAsia" w:ascii="宋体" w:hAnsi="宋体" w:cs="宋体"/>
              <w:sz w:val="24"/>
              <w:szCs w:val="24"/>
            </w:rPr>
            <w:fldChar w:fldCharType="end"/>
          </w:r>
          <w:r>
            <w:rPr>
              <w:rFonts w:hint="eastAsia" w:ascii="宋体" w:hAnsi="宋体" w:cs="宋体"/>
              <w:sz w:val="24"/>
              <w:szCs w:val="24"/>
            </w:rPr>
            <w:fldChar w:fldCharType="end"/>
          </w:r>
        </w:p>
        <w:p>
          <w:pPr>
            <w:pStyle w:val="32"/>
            <w:tabs>
              <w:tab w:val="right" w:leader="dot" w:pos="8306"/>
            </w:tabs>
            <w:ind w:left="420"/>
            <w:rPr>
              <w:rFonts w:ascii="宋体" w:hAnsi="宋体" w:cs="宋体"/>
              <w:sz w:val="24"/>
              <w:szCs w:val="24"/>
            </w:rPr>
          </w:pPr>
          <w:r>
            <w:fldChar w:fldCharType="begin"/>
          </w:r>
          <w:r>
            <w:instrText xml:space="preserve"> HYPERLINK \l "_Toc15332" </w:instrText>
          </w:r>
          <w:r>
            <w:fldChar w:fldCharType="separate"/>
          </w:r>
          <w:r>
            <w:rPr>
              <w:rFonts w:hint="eastAsia" w:ascii="宋体" w:hAnsi="宋体" w:cs="宋体"/>
              <w:sz w:val="24"/>
              <w:szCs w:val="24"/>
            </w:rPr>
            <w:t>十一、政府性基金预算财政拨款收入支出决算表（此表无数据）</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_Toc15332 \h </w:instrText>
          </w:r>
          <w:r>
            <w:rPr>
              <w:rFonts w:hint="eastAsia" w:ascii="宋体" w:hAnsi="宋体" w:cs="宋体"/>
              <w:sz w:val="24"/>
              <w:szCs w:val="24"/>
            </w:rPr>
            <w:fldChar w:fldCharType="separate"/>
          </w:r>
          <w:r>
            <w:rPr>
              <w:rFonts w:hint="eastAsia" w:ascii="宋体" w:hAnsi="宋体" w:cs="宋体"/>
              <w:sz w:val="24"/>
              <w:szCs w:val="24"/>
            </w:rPr>
            <w:t>34</w:t>
          </w:r>
          <w:r>
            <w:rPr>
              <w:rFonts w:hint="eastAsia" w:ascii="宋体" w:hAnsi="宋体" w:cs="宋体"/>
              <w:sz w:val="24"/>
              <w:szCs w:val="24"/>
            </w:rPr>
            <w:fldChar w:fldCharType="end"/>
          </w:r>
          <w:r>
            <w:rPr>
              <w:rFonts w:hint="eastAsia" w:ascii="宋体" w:hAnsi="宋体" w:cs="宋体"/>
              <w:sz w:val="24"/>
              <w:szCs w:val="24"/>
            </w:rPr>
            <w:fldChar w:fldCharType="end"/>
          </w:r>
        </w:p>
        <w:p>
          <w:pPr>
            <w:pStyle w:val="32"/>
            <w:tabs>
              <w:tab w:val="right" w:leader="dot" w:pos="8306"/>
            </w:tabs>
            <w:ind w:left="420"/>
            <w:rPr>
              <w:rFonts w:ascii="宋体" w:hAnsi="宋体" w:cs="宋体"/>
              <w:sz w:val="24"/>
              <w:szCs w:val="24"/>
            </w:rPr>
          </w:pPr>
          <w:r>
            <w:fldChar w:fldCharType="begin"/>
          </w:r>
          <w:r>
            <w:instrText xml:space="preserve"> HYPERLINK \l "_Toc30527" </w:instrText>
          </w:r>
          <w:r>
            <w:fldChar w:fldCharType="separate"/>
          </w:r>
          <w:r>
            <w:rPr>
              <w:rFonts w:hint="eastAsia" w:ascii="宋体" w:hAnsi="宋体" w:cs="宋体"/>
              <w:sz w:val="24"/>
              <w:szCs w:val="24"/>
            </w:rPr>
            <w:t>十二、政府性基金预算财政拨款“三公”经费支出决算表（此表无数据）</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_Toc30527 \h </w:instrText>
          </w:r>
          <w:r>
            <w:rPr>
              <w:rFonts w:hint="eastAsia" w:ascii="宋体" w:hAnsi="宋体" w:cs="宋体"/>
              <w:sz w:val="24"/>
              <w:szCs w:val="24"/>
            </w:rPr>
            <w:fldChar w:fldCharType="separate"/>
          </w:r>
          <w:r>
            <w:rPr>
              <w:rFonts w:hint="eastAsia" w:ascii="宋体" w:hAnsi="宋体" w:cs="宋体"/>
              <w:sz w:val="24"/>
              <w:szCs w:val="24"/>
            </w:rPr>
            <w:t>34</w:t>
          </w:r>
          <w:r>
            <w:rPr>
              <w:rFonts w:hint="eastAsia" w:ascii="宋体" w:hAnsi="宋体" w:cs="宋体"/>
              <w:sz w:val="24"/>
              <w:szCs w:val="24"/>
            </w:rPr>
            <w:fldChar w:fldCharType="end"/>
          </w:r>
          <w:r>
            <w:rPr>
              <w:rFonts w:hint="eastAsia" w:ascii="宋体" w:hAnsi="宋体" w:cs="宋体"/>
              <w:sz w:val="24"/>
              <w:szCs w:val="24"/>
            </w:rPr>
            <w:fldChar w:fldCharType="end"/>
          </w:r>
        </w:p>
        <w:p>
          <w:pPr>
            <w:pStyle w:val="32"/>
            <w:tabs>
              <w:tab w:val="right" w:leader="dot" w:pos="8306"/>
            </w:tabs>
            <w:ind w:left="420"/>
            <w:rPr>
              <w:rFonts w:ascii="宋体" w:hAnsi="宋体" w:cs="宋体"/>
              <w:sz w:val="24"/>
              <w:szCs w:val="24"/>
            </w:rPr>
          </w:pPr>
          <w:r>
            <w:fldChar w:fldCharType="begin"/>
          </w:r>
          <w:r>
            <w:instrText xml:space="preserve"> HYPERLINK \l "_Toc24647" </w:instrText>
          </w:r>
          <w:r>
            <w:fldChar w:fldCharType="separate"/>
          </w:r>
          <w:r>
            <w:rPr>
              <w:rFonts w:hint="eastAsia" w:ascii="宋体" w:hAnsi="宋体" w:cs="宋体"/>
              <w:sz w:val="24"/>
              <w:szCs w:val="24"/>
            </w:rPr>
            <w:t>十三、国有资本经营预算财政拨款收入支出决算表（此表无数据）</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_Toc24647 \h </w:instrText>
          </w:r>
          <w:r>
            <w:rPr>
              <w:rFonts w:hint="eastAsia" w:ascii="宋体" w:hAnsi="宋体" w:cs="宋体"/>
              <w:sz w:val="24"/>
              <w:szCs w:val="24"/>
            </w:rPr>
            <w:fldChar w:fldCharType="separate"/>
          </w:r>
          <w:r>
            <w:rPr>
              <w:rFonts w:hint="eastAsia" w:ascii="宋体" w:hAnsi="宋体" w:cs="宋体"/>
              <w:sz w:val="24"/>
              <w:szCs w:val="24"/>
            </w:rPr>
            <w:t>35</w:t>
          </w:r>
          <w:r>
            <w:rPr>
              <w:rFonts w:hint="eastAsia" w:ascii="宋体" w:hAnsi="宋体" w:cs="宋体"/>
              <w:sz w:val="24"/>
              <w:szCs w:val="24"/>
            </w:rPr>
            <w:fldChar w:fldCharType="end"/>
          </w:r>
          <w:r>
            <w:rPr>
              <w:rFonts w:hint="eastAsia" w:ascii="宋体" w:hAnsi="宋体" w:cs="宋体"/>
              <w:sz w:val="24"/>
              <w:szCs w:val="24"/>
            </w:rPr>
            <w:fldChar w:fldCharType="end"/>
          </w:r>
        </w:p>
        <w:p>
          <w:pPr>
            <w:pStyle w:val="32"/>
            <w:tabs>
              <w:tab w:val="right" w:leader="dot" w:pos="8306"/>
            </w:tabs>
            <w:ind w:left="420"/>
            <w:rPr>
              <w:rFonts w:ascii="宋体" w:hAnsi="宋体" w:cs="宋体"/>
              <w:sz w:val="24"/>
              <w:szCs w:val="24"/>
            </w:rPr>
          </w:pPr>
          <w:r>
            <w:fldChar w:fldCharType="begin"/>
          </w:r>
          <w:r>
            <w:instrText xml:space="preserve"> HYPERLINK \l "_Toc7956" </w:instrText>
          </w:r>
          <w:r>
            <w:fldChar w:fldCharType="separate"/>
          </w:r>
          <w:r>
            <w:rPr>
              <w:rFonts w:hint="eastAsia" w:ascii="宋体" w:hAnsi="宋体" w:cs="宋体"/>
              <w:sz w:val="24"/>
              <w:szCs w:val="24"/>
            </w:rPr>
            <w:t>十四、国有资本经营预算财政拨款支出决算表（此表无数据）</w:t>
          </w:r>
          <w:r>
            <w:rPr>
              <w:rFonts w:hint="eastAsia" w:ascii="宋体" w:hAnsi="宋体" w:cs="宋体"/>
              <w:sz w:val="24"/>
              <w:szCs w:val="24"/>
            </w:rPr>
            <w:tab/>
          </w:r>
          <w:r>
            <w:rPr>
              <w:rFonts w:hint="eastAsia" w:ascii="宋体" w:hAnsi="宋体" w:cs="宋体"/>
              <w:sz w:val="24"/>
              <w:szCs w:val="24"/>
            </w:rPr>
            <w:fldChar w:fldCharType="begin"/>
          </w:r>
          <w:r>
            <w:rPr>
              <w:rFonts w:hint="eastAsia" w:ascii="宋体" w:hAnsi="宋体" w:cs="宋体"/>
              <w:sz w:val="24"/>
              <w:szCs w:val="24"/>
            </w:rPr>
            <w:instrText xml:space="preserve"> PAGEREF _Toc7956 \h </w:instrText>
          </w:r>
          <w:r>
            <w:rPr>
              <w:rFonts w:hint="eastAsia" w:ascii="宋体" w:hAnsi="宋体" w:cs="宋体"/>
              <w:sz w:val="24"/>
              <w:szCs w:val="24"/>
            </w:rPr>
            <w:fldChar w:fldCharType="separate"/>
          </w:r>
          <w:r>
            <w:rPr>
              <w:rFonts w:hint="eastAsia" w:ascii="宋体" w:hAnsi="宋体" w:cs="宋体"/>
              <w:sz w:val="24"/>
              <w:szCs w:val="24"/>
            </w:rPr>
            <w:t>35</w:t>
          </w:r>
          <w:r>
            <w:rPr>
              <w:rFonts w:hint="eastAsia" w:ascii="宋体" w:hAnsi="宋体" w:cs="宋体"/>
              <w:sz w:val="24"/>
              <w:szCs w:val="24"/>
            </w:rPr>
            <w:fldChar w:fldCharType="end"/>
          </w:r>
          <w:r>
            <w:rPr>
              <w:rFonts w:hint="eastAsia" w:ascii="宋体" w:hAnsi="宋体" w:cs="宋体"/>
              <w:sz w:val="24"/>
              <w:szCs w:val="24"/>
            </w:rPr>
            <w:fldChar w:fldCharType="end"/>
          </w:r>
        </w:p>
        <w:p>
          <w:r>
            <w:rPr>
              <w:rFonts w:hint="eastAsia" w:ascii="宋体" w:hAnsi="宋体" w:cs="宋体"/>
              <w:sz w:val="24"/>
            </w:rPr>
            <w:fldChar w:fldCharType="end"/>
          </w:r>
        </w:p>
      </w:sdtContent>
    </w:sdt>
    <w:p>
      <w:pPr>
        <w:widowControl/>
        <w:spacing w:line="440" w:lineRule="exact"/>
        <w:jc w:val="left"/>
        <w:rPr>
          <w:rFonts w:ascii="仿宋" w:hAnsi="仿宋" w:eastAsia="仿宋"/>
          <w:bCs/>
          <w:kern w:val="44"/>
          <w:sz w:val="24"/>
        </w:rPr>
      </w:pPr>
      <w:bookmarkStart w:id="14" w:name="_Toc15396599"/>
      <w:bookmarkStart w:id="15" w:name="_Toc15377196"/>
      <w:r>
        <w:rPr>
          <w:rFonts w:ascii="仿宋" w:hAnsi="仿宋" w:eastAsia="仿宋"/>
          <w:b/>
          <w:sz w:val="24"/>
        </w:rPr>
        <w:br w:type="page"/>
      </w:r>
    </w:p>
    <w:p>
      <w:pPr>
        <w:pStyle w:val="3"/>
        <w:jc w:val="center"/>
      </w:pPr>
      <w:bookmarkStart w:id="16" w:name="_Toc31261"/>
      <w:r>
        <w:rPr>
          <w:rFonts w:hint="eastAsia"/>
        </w:rPr>
        <w:t>第一部分 部门概况</w:t>
      </w:r>
      <w:bookmarkEnd w:id="14"/>
      <w:bookmarkEnd w:id="15"/>
      <w:bookmarkEnd w:id="16"/>
    </w:p>
    <w:p>
      <w:pPr>
        <w:widowControl/>
        <w:jc w:val="left"/>
        <w:rPr>
          <w:rFonts w:ascii="黑体" w:eastAsia="黑体"/>
          <w:sz w:val="32"/>
          <w:szCs w:val="32"/>
        </w:rPr>
      </w:pPr>
    </w:p>
    <w:p>
      <w:pPr>
        <w:pStyle w:val="4"/>
        <w:ind w:firstLine="640" w:firstLineChars="200"/>
        <w:rPr>
          <w:rStyle w:val="26"/>
          <w:rFonts w:ascii="仿宋" w:hAnsi="仿宋" w:eastAsia="仿宋"/>
          <w:b w:val="0"/>
          <w:bCs w:val="0"/>
        </w:rPr>
      </w:pPr>
      <w:bookmarkStart w:id="17" w:name="_Toc15396600"/>
      <w:bookmarkStart w:id="18" w:name="_Toc24585"/>
      <w:bookmarkStart w:id="19" w:name="_Toc15377197"/>
      <w:r>
        <w:rPr>
          <w:rFonts w:hint="eastAsia" w:ascii="黑体" w:hAnsi="黑体" w:eastAsia="黑体"/>
          <w:b w:val="0"/>
        </w:rPr>
        <w:t>一、基</w:t>
      </w:r>
      <w:r>
        <w:rPr>
          <w:rStyle w:val="26"/>
          <w:rFonts w:hint="eastAsia" w:ascii="黑体" w:hAnsi="黑体" w:eastAsia="黑体"/>
          <w:b w:val="0"/>
          <w:bCs w:val="0"/>
        </w:rPr>
        <w:t>本职能及主要工作</w:t>
      </w:r>
      <w:bookmarkEnd w:id="17"/>
      <w:bookmarkEnd w:id="18"/>
      <w:bookmarkEnd w:id="19"/>
    </w:p>
    <w:p>
      <w:pPr>
        <w:pStyle w:val="2"/>
        <w:adjustRightInd w:val="0"/>
        <w:snapToGrid w:val="0"/>
        <w:spacing w:before="93" w:line="600" w:lineRule="exact"/>
        <w:ind w:firstLine="672" w:firstLineChars="210"/>
        <w:outlineLvl w:val="2"/>
        <w:rPr>
          <w:rFonts w:ascii="仿宋" w:hAnsi="仿宋" w:eastAsia="仿宋"/>
          <w:bCs/>
          <w:sz w:val="32"/>
          <w:szCs w:val="32"/>
        </w:rPr>
      </w:pPr>
      <w:bookmarkStart w:id="20" w:name="_Toc15378445"/>
      <w:bookmarkStart w:id="21" w:name="_Toc15377198"/>
      <w:r>
        <w:rPr>
          <w:rFonts w:hint="eastAsia" w:ascii="仿宋" w:hAnsi="仿宋" w:eastAsia="仿宋"/>
          <w:bCs/>
          <w:sz w:val="32"/>
          <w:szCs w:val="32"/>
        </w:rPr>
        <w:t>（一）主要职能。</w:t>
      </w:r>
      <w:bookmarkEnd w:id="20"/>
      <w:bookmarkEnd w:id="21"/>
      <w:bookmarkStart w:id="22" w:name="_Toc15378446"/>
      <w:bookmarkStart w:id="23" w:name="_Toc15377199"/>
    </w:p>
    <w:p>
      <w:pPr>
        <w:pStyle w:val="2"/>
        <w:adjustRightInd w:val="0"/>
        <w:snapToGrid w:val="0"/>
        <w:spacing w:before="93" w:line="600" w:lineRule="exact"/>
        <w:ind w:firstLine="672" w:firstLineChars="210"/>
        <w:outlineLvl w:val="2"/>
        <w:rPr>
          <w:rFonts w:hAnsi="仿宋_GB2312" w:cs="仿宋_GB2312"/>
          <w:bCs/>
          <w:color w:val="000000"/>
          <w:sz w:val="32"/>
          <w:szCs w:val="32"/>
        </w:rPr>
      </w:pPr>
      <w:r>
        <w:rPr>
          <w:rFonts w:hint="eastAsia" w:hAnsi="仿宋_GB2312" w:cs="仿宋_GB2312"/>
          <w:bCs/>
          <w:color w:val="000000"/>
          <w:sz w:val="32"/>
          <w:szCs w:val="32"/>
        </w:rPr>
        <w:t>1、遵循以人为本、科学戒毒、综合矫治、关怀救助的原则,教育和挽救吸毒成瘾人员。</w:t>
      </w:r>
    </w:p>
    <w:p>
      <w:pPr>
        <w:pStyle w:val="2"/>
        <w:adjustRightInd w:val="0"/>
        <w:snapToGrid w:val="0"/>
        <w:spacing w:before="93" w:line="600" w:lineRule="exact"/>
        <w:ind w:firstLine="672" w:firstLineChars="210"/>
        <w:outlineLvl w:val="2"/>
        <w:rPr>
          <w:rFonts w:hAnsi="仿宋_GB2312" w:cs="仿宋_GB2312"/>
          <w:bCs/>
          <w:color w:val="000000"/>
          <w:sz w:val="32"/>
          <w:szCs w:val="32"/>
        </w:rPr>
      </w:pPr>
      <w:r>
        <w:rPr>
          <w:rFonts w:hint="eastAsia" w:hAnsi="仿宋_GB2312" w:cs="仿宋_GB2312"/>
          <w:bCs/>
          <w:color w:val="000000"/>
          <w:sz w:val="32"/>
          <w:szCs w:val="32"/>
        </w:rPr>
        <w:t>2、依法收治和管理强制隔离戒毒人员。</w:t>
      </w:r>
    </w:p>
    <w:p>
      <w:pPr>
        <w:pStyle w:val="2"/>
        <w:adjustRightInd w:val="0"/>
        <w:snapToGrid w:val="0"/>
        <w:spacing w:before="93" w:line="600" w:lineRule="exact"/>
        <w:ind w:firstLine="672" w:firstLineChars="210"/>
        <w:outlineLvl w:val="2"/>
        <w:rPr>
          <w:rFonts w:hAnsi="仿宋_GB2312" w:cs="仿宋_GB2312"/>
          <w:bCs/>
          <w:color w:val="000000"/>
          <w:sz w:val="32"/>
          <w:szCs w:val="32"/>
        </w:rPr>
      </w:pPr>
      <w:r>
        <w:rPr>
          <w:rFonts w:hint="eastAsia" w:hAnsi="仿宋_GB2312" w:cs="仿宋_GB2312"/>
          <w:bCs/>
          <w:color w:val="000000"/>
          <w:sz w:val="32"/>
          <w:szCs w:val="32"/>
        </w:rPr>
        <w:t>3、依法为强制隔离戒毒人员提供科学规范的戒毒治疗、心理治疗、身体康复训练和卫生、道德、法制教育，开展职业技能培训。</w:t>
      </w:r>
    </w:p>
    <w:p>
      <w:pPr>
        <w:pStyle w:val="2"/>
        <w:adjustRightInd w:val="0"/>
        <w:snapToGrid w:val="0"/>
        <w:spacing w:before="93" w:line="600" w:lineRule="exact"/>
        <w:ind w:firstLine="672" w:firstLineChars="210"/>
        <w:outlineLvl w:val="2"/>
        <w:rPr>
          <w:rFonts w:ascii="仿宋" w:hAnsi="仿宋" w:eastAsia="仿宋"/>
          <w:bCs/>
          <w:sz w:val="32"/>
          <w:szCs w:val="32"/>
        </w:rPr>
      </w:pPr>
      <w:r>
        <w:rPr>
          <w:rFonts w:hint="eastAsia" w:ascii="仿宋" w:hAnsi="仿宋" w:eastAsia="仿宋"/>
          <w:bCs/>
          <w:sz w:val="32"/>
          <w:szCs w:val="32"/>
        </w:rPr>
        <w:t>（二）</w:t>
      </w:r>
      <w:r>
        <w:rPr>
          <w:rFonts w:ascii="仿宋" w:hAnsi="仿宋" w:eastAsia="仿宋"/>
          <w:bCs/>
          <w:sz w:val="32"/>
          <w:szCs w:val="32"/>
        </w:rPr>
        <w:t>20</w:t>
      </w:r>
      <w:r>
        <w:rPr>
          <w:rFonts w:hint="eastAsia" w:ascii="仿宋" w:hAnsi="仿宋" w:eastAsia="仿宋"/>
          <w:bCs/>
          <w:sz w:val="32"/>
          <w:szCs w:val="32"/>
        </w:rPr>
        <w:t>21年重点工作完成情况。</w:t>
      </w:r>
      <w:bookmarkEnd w:id="22"/>
      <w:bookmarkEnd w:id="23"/>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1、强化政治引领，扎实开展专项活动。</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是扎实开展党史学习教育。坚持高站位谋划。成立党史学习教育领导小组，发挥党史学习教育牵头抓总、抓重作用。所领导班子通过党委理论学习中心集中学，开展党史学习教育四个专题学习和交流研讨，以上率下为党史学习教育树立起标杆。坚持实效果部署。制定党史学习教育实施方案、学习计划表，将党史学习教育贯穿始终。聚焦关键少数，强化带头学、形成示范作用、头雁效应；聚焦关键重要节点，紧扣习近平总书记“七一”重要讲话精神，开展“一把手”上党课和支部书记层层宣讲。坚持创新推动。充分利用本地红色资源，重走红色之旅，开展党史学习教育体验学；充分利用学习强国、微信公众号等平台开展每日一学；组织民警开展观影活动，选派民警参加省厅组织的征文、演讲、知识竞赛活动。广泛开展“我为群众办实事”活动，动员组织全所民警职工向驻村书记所在村的2名患重病村民捐款7000余元；组织社区戒毒（康复）指导站民警到小区开展集中禁毒宣传教育；组织民警职工在驻地沙沟社区和新所建设工地开展森林草原防灭火知识及禁毒戒毒法律知识宣传；组织青年理论学习小组、团支部民警到盐边县渔门镇龙胜村开展“为民办实事”系列活动；组织民警到市图书馆开展禁毒宣传等活动，切实将党史学习教育成果转化为为民办实事的具体行动。</w:t>
      </w:r>
    </w:p>
    <w:p>
      <w:pPr>
        <w:widowControl/>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是统筹推进政法队伍教育整顿。扎实开展学习教育。按照政法队伍教育整顿部署，市司法局、市强制隔离戒毒所一体推进队伍教育整顿。紧紧围绕筑牢政治忠诚第一位任务，结合党史学习教育，组织民警学习习近平法治思想、习近平总书记关于加强政法队伍建设的重要指示和训词精神25场次，参加司法局举办的各类学习15场次。开展专题党日活动，充分利用本土红色资源，分批组织干警开展红色之旅110人次，参加警示教育和英模事迹报告会9场次，不断强化学习教育的典型感染力。扎实开展查纠整改。突出自查自纠深入性，坚持“自查从宽、被查从严”政策导向，开展典型案例教育12场次，谈心谈话103人次，提醒谈话73人次，谈话提醒4人次，93名民警职工参与完成三轮4次填报《个人自查事项报告表》372份。扎实开展顽瘴痼疾整治。坚持“查改治建”一体推进，紧紧围绕“六大顽瘴痼疾”，抓实开展重点领域和重点人员排查，对个人填报的 26 个顽瘴痼疾、3 个戒毒系统突出问题、100 个执行不规范问题，建立问题台账并落实整改措施，取得实实在在的效果。</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2、锚定阵地基础，加速推进项目建设。</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是建设项目有序推进。新所建设项目完成民警综合业务用房、民警备勤用房、民警食堂主体结构施工及内部施工，进入到装饰装修阶段。康复训练用房基础施工及主体结构施工。6月底，顺利交付二期用地，启动二期场平及边坡支护挡墙施工。全年累计完成投资约7000万元，圆满完成年度投资计划目标任务。</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是建设手续不断完善。积极协调相关部门，对用地土地性质为林地的项目二期用地，办理使用林地相关手续，取得林业采伐许可证并正式交付项目总承包单位开展二期建设。取得项目概算批复，完成工程量清单编制并报市财评中心财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是配套建设更加科学。解决了新所生活用水接入问题，积极对接市水务集团公司、市公安局，编制供水系统改造方案，并启动了片区供水系统改造工作。解决了新所排污市政接入，经与市、区住房城乡建设局积极沟通争取，将新所建设项目污水排放市政接入工程纳入全市污水处理PPP项目组织实施。</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四是部门合力逐渐加强。</w:t>
      </w:r>
      <w:r>
        <w:rPr>
          <w:rFonts w:hint="eastAsia" w:ascii="仿宋_GB2312" w:hAnsi="仿宋_GB2312" w:eastAsia="仿宋_GB2312" w:cs="仿宋_GB2312"/>
          <w:color w:val="000000"/>
          <w:kern w:val="0"/>
          <w:sz w:val="32"/>
          <w:szCs w:val="32"/>
          <w:lang w:bidi="ar"/>
        </w:rPr>
        <w:t>积极向市政府汇报了项目用地权属情况，并与市自然资源和规划局、市住房和城项目、市国投公司对接解决项目用地产权问题。进一步规范项目建设，</w:t>
      </w:r>
      <w:r>
        <w:rPr>
          <w:rFonts w:hint="eastAsia" w:ascii="仿宋_GB2312" w:hAnsi="仿宋_GB2312" w:eastAsia="仿宋_GB2312" w:cs="仿宋_GB2312"/>
          <w:sz w:val="32"/>
          <w:szCs w:val="32"/>
        </w:rPr>
        <w:t>3月-5月，配合市审计局开展专项审计。</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3、围绕中心大局，全力彰显担当作为。</w:t>
      </w:r>
    </w:p>
    <w:p>
      <w:pPr>
        <w:spacing w:line="560" w:lineRule="exact"/>
        <w:ind w:firstLine="662"/>
        <w:rPr>
          <w:rFonts w:ascii="仿宋_GB2312" w:hAnsi="仿宋_GB2312" w:eastAsia="仿宋_GB2312" w:cs="仿宋_GB2312"/>
          <w:sz w:val="32"/>
          <w:szCs w:val="32"/>
        </w:rPr>
      </w:pPr>
      <w:r>
        <w:rPr>
          <w:rFonts w:hint="eastAsia" w:ascii="仿宋_GB2312" w:hAnsi="仿宋_GB2312" w:eastAsia="仿宋_GB2312" w:cs="仿宋_GB2312"/>
          <w:sz w:val="32"/>
          <w:szCs w:val="32"/>
        </w:rPr>
        <w:t>一是打造共治样板。深化司法行政、公安跨部门合作工作模式，打造跨部门合作共治社会治理新样板。持续选派20名司法行政戒毒民警参与公安戒毒管理，一体开展戒毒人员监管，实现警力集约、管理聚焦、制度互鉴、工作融合、效能提升。将司法行政管理模式“思想研判+心理疏导”“课堂化教学+生产劳动”带入公安戒毒监管工作，实现对重点人员的精准管控、所内技能培训全面提升。深化司法行政戒毒民警参与社区矫正管理模式，打造所地合作执法样板。选派5名民警参与社区矫正管理工作，有效提升了对社区矫正人员的约束力、震慑力。</w:t>
      </w:r>
    </w:p>
    <w:p>
      <w:pPr>
        <w:spacing w:line="560" w:lineRule="exact"/>
        <w:ind w:firstLine="662"/>
        <w:rPr>
          <w:rFonts w:ascii="仿宋_GB2312" w:hAnsi="仿宋_GB2312" w:eastAsia="仿宋_GB2312" w:cs="仿宋_GB2312"/>
          <w:sz w:val="32"/>
          <w:szCs w:val="32"/>
        </w:rPr>
      </w:pPr>
      <w:r>
        <w:rPr>
          <w:rFonts w:hint="eastAsia" w:ascii="仿宋_GB2312" w:hAnsi="仿宋_GB2312" w:eastAsia="仿宋_GB2312" w:cs="仿宋_GB2312"/>
          <w:sz w:val="32"/>
          <w:szCs w:val="32"/>
        </w:rPr>
        <w:t>二是深化共建机制。立足戒毒职能，打造前端普法、中端矫治、末端帮扶各环节相扣紧密，各项工作相互延伸的禁毒戒毒工作闭环链条，深化所地共建机制。强化禁毒防艾宣传教育，开展线下禁毒防艾宣传10场次，发放宣传品4300余份，覆盖1500余名学生及近千名群众；线上宣传17次，受众人数近3400人。强化所地联动，与仁和区禁毒委、前进镇共同打造一个社区戒毒（康复）指导站，进一步探索“前期宣传+后期管照”禁毒戒毒工作新路径。</w:t>
      </w:r>
    </w:p>
    <w:p>
      <w:pPr>
        <w:spacing w:line="560" w:lineRule="exact"/>
        <w:ind w:firstLine="662"/>
        <w:rPr>
          <w:rFonts w:ascii="仿宋_GB2312" w:hAnsi="仿宋_GB2312" w:eastAsia="仿宋_GB2312" w:cs="仿宋_GB2312"/>
          <w:sz w:val="32"/>
          <w:szCs w:val="32"/>
        </w:rPr>
      </w:pPr>
      <w:r>
        <w:rPr>
          <w:rFonts w:hint="eastAsia" w:ascii="仿宋_GB2312" w:hAnsi="仿宋_GB2312" w:eastAsia="仿宋_GB2312" w:cs="仿宋_GB2312"/>
          <w:sz w:val="32"/>
          <w:szCs w:val="32"/>
        </w:rPr>
        <w:t>三是助力法治保障。紧扣司法行政“1+4”职能职责，积极参与司法行政系统扫黑除恶、社区矫正、行政监督、戒毒指导、律师工作等业务工作和党办、办公室、财务、人事等司法行政机关工作，为法律服务和法治保障提供强大警力支持。选派民警参与政法队伍教育整顿、党史学习教育等专项活动，一体统筹推进专项活动。</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是推进三个融入。紧扣全省司法行政戒毒工作“三个融入”要求，选派民警参加乡村振兴、扫黑除恶等工作。在2名驻村第一书记圆满完成脱贫攻坚工作后，持续选派民警担任盐边县渔门镇龙胜村驻村工作队员，实现助力脱贫攻坚和乡村振兴民警选派无缝衔接。参加全市扫黑除恶工作民警，将戒毒工作经验带到新岗位，实现工作交流和合作的系统集成。</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4、锻造四化铁军，持续推动班子队伍建设和党风廉政建设</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是加力班子队伍建设。进一步优化班子年龄、知识、能力、专业结构，调整正县级领导职务1名，新调任副县级领导1名；充分发挥职级晋升的政策效应，择优选升一批任职时间较长、工作实绩突出的高级警长，晋升二级警务专员1人、二级高级警长1人、三级高级警长1人、四级高级警长7人。始终坚持严管厚爱，建立健全队伍纪律管理机制，专门研究制定《民警职工八小时以外监督管理办法（试行）》，有效加强民警职工的思想动态掌控。着力加强人才培养，充分利用48名民警到省戒毒局、市委组织部、市委政法委、市（县、区）司法局、市公安强戒所等机关借调和跟班学习之机，不断加强政治历练和实践锻炼。大力培树先进典型，集中选树一批长期坚守基层一线，忠诚履职、默默奉献的“老黄牛”式优秀基层民警。今年，有2名民警获得攀枝花市扫黑除恶专项斗争先进个人表彰，1名民警荣获攀枝花市第二届“十佳花城卫士”称号，1名民警入选省局《身边的榜样》光荣册，1名民警受到省局通报表扬。</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是加力党风廉政建设。把严的主基调一以贯之，压紧压实党委主体责任、党委书记第一责任、领导干部“一岗双责”、纪委监察监督责任，强化专项整治，坚决把党风廉政建设和反腐败工作融入到疫情防控、新所建设、森林草原防灭火等工作中，同部署、同落实、同检查、同考核。开展场所三级廉政风险点排查，共排查出风险点284个、表现形式316种、提出防控措施396条，在公车维修、项目建设、公务接待、“一岗双责”落实等方面提出了“一二三四”的防控措施，发放党风廉政“一岗双责”告知书、家庭助廉倡议书、签订家庭助廉承诺书、廉洁从政承诺书共计376份，一体推进不敢腐、不能腐、不想腐。强化日常监督与重点监督，紧盯重点岗位、重大项目、重点时段等监督检查，加强党风廉政建设、重点工作、疫情防控、评先评优和职级晋升等工作的日常监督检查，坚持每月警务督察，推动场所党风廉政建设和反腐败工作走深走实。</w:t>
      </w:r>
    </w:p>
    <w:p>
      <w:pPr>
        <w:pStyle w:val="4"/>
        <w:rPr>
          <w:rFonts w:ascii="黑体" w:eastAsia="黑体"/>
          <w:b w:val="0"/>
        </w:rPr>
      </w:pPr>
      <w:bookmarkStart w:id="24" w:name="_Toc15396601"/>
      <w:bookmarkStart w:id="25" w:name="_Toc15377200"/>
    </w:p>
    <w:p>
      <w:pPr>
        <w:pStyle w:val="4"/>
        <w:ind w:firstLine="640" w:firstLineChars="200"/>
        <w:rPr>
          <w:rStyle w:val="26"/>
          <w:b w:val="0"/>
          <w:bCs w:val="0"/>
        </w:rPr>
      </w:pPr>
      <w:bookmarkStart w:id="26" w:name="_Toc9003"/>
      <w:r>
        <w:rPr>
          <w:rFonts w:hint="eastAsia" w:ascii="黑体" w:eastAsia="黑体"/>
          <w:b w:val="0"/>
        </w:rPr>
        <w:t>二、</w:t>
      </w:r>
      <w:r>
        <w:rPr>
          <w:rFonts w:hint="eastAsia" w:ascii="黑体" w:hAnsi="黑体" w:eastAsia="黑体"/>
          <w:b w:val="0"/>
        </w:rPr>
        <w:t>机</w:t>
      </w:r>
      <w:r>
        <w:rPr>
          <w:rStyle w:val="26"/>
          <w:rFonts w:hint="eastAsia" w:ascii="黑体" w:hAnsi="黑体" w:eastAsia="黑体"/>
          <w:b w:val="0"/>
          <w:bCs w:val="0"/>
        </w:rPr>
        <w:t>构设置</w:t>
      </w:r>
      <w:bookmarkEnd w:id="24"/>
      <w:bookmarkEnd w:id="25"/>
      <w:bookmarkEnd w:id="26"/>
    </w:p>
    <w:p>
      <w:pPr>
        <w:ind w:firstLine="640" w:firstLineChars="200"/>
        <w:rPr>
          <w:rFonts w:eastAsia="仿宋"/>
          <w:sz w:val="32"/>
          <w:szCs w:val="32"/>
        </w:rPr>
      </w:pPr>
      <w:r>
        <w:rPr>
          <w:rFonts w:eastAsia="仿宋"/>
          <w:sz w:val="32"/>
          <w:szCs w:val="32"/>
        </w:rPr>
        <w:t>攀枝花市强制隔离戒毒所下属二级单位0个，其中行政单位0个，参照公务员法管理的事业单位</w:t>
      </w:r>
      <w:r>
        <w:rPr>
          <w:rFonts w:eastAsia="仿宋"/>
          <w:bCs/>
          <w:sz w:val="32"/>
          <w:szCs w:val="32"/>
        </w:rPr>
        <w:t>0</w:t>
      </w:r>
      <w:r>
        <w:rPr>
          <w:rFonts w:eastAsia="仿宋"/>
          <w:sz w:val="32"/>
          <w:szCs w:val="32"/>
        </w:rPr>
        <w:t>个，其他事业单位0个。</w:t>
      </w:r>
    </w:p>
    <w:p>
      <w:pPr>
        <w:pStyle w:val="2"/>
        <w:adjustRightInd w:val="0"/>
        <w:snapToGrid w:val="0"/>
        <w:spacing w:before="93" w:line="600" w:lineRule="exact"/>
        <w:ind w:firstLine="672" w:firstLineChars="210"/>
        <w:rPr>
          <w:rFonts w:ascii="Times New Roman" w:eastAsia="仿宋"/>
          <w:color w:val="000000"/>
          <w:sz w:val="32"/>
          <w:szCs w:val="32"/>
        </w:rPr>
      </w:pPr>
      <w:r>
        <w:rPr>
          <w:rFonts w:ascii="Times New Roman" w:eastAsia="仿宋"/>
          <w:color w:val="000000"/>
          <w:sz w:val="32"/>
          <w:szCs w:val="32"/>
        </w:rPr>
        <w:t>纳入</w:t>
      </w:r>
      <w:r>
        <w:rPr>
          <w:rFonts w:ascii="Times New Roman" w:eastAsia="仿宋"/>
          <w:sz w:val="32"/>
          <w:szCs w:val="32"/>
        </w:rPr>
        <w:t>攀枝花市强制隔离戒毒所</w:t>
      </w:r>
      <w:r>
        <w:rPr>
          <w:rFonts w:ascii="Times New Roman" w:eastAsia="仿宋"/>
          <w:color w:val="000000"/>
          <w:sz w:val="32"/>
          <w:szCs w:val="32"/>
        </w:rPr>
        <w:t>2020年度部门决算编制范围的二级预算单位包括：无</w:t>
      </w:r>
      <w:r>
        <w:rPr>
          <w:rFonts w:hint="eastAsia" w:ascii="Times New Roman" w:eastAsia="仿宋"/>
          <w:color w:val="000000"/>
          <w:sz w:val="32"/>
          <w:szCs w:val="32"/>
        </w:rPr>
        <w:t>。</w:t>
      </w:r>
    </w:p>
    <w:p>
      <w:pPr>
        <w:pStyle w:val="2"/>
        <w:adjustRightInd w:val="0"/>
        <w:snapToGrid w:val="0"/>
        <w:spacing w:before="93" w:line="600" w:lineRule="exact"/>
        <w:ind w:firstLine="1120" w:firstLineChars="350"/>
        <w:rPr>
          <w:rFonts w:ascii="仿宋" w:hAnsi="仿宋" w:eastAsia="仿宋"/>
          <w:sz w:val="32"/>
          <w:szCs w:val="32"/>
        </w:rPr>
      </w:pPr>
    </w:p>
    <w:p>
      <w:pPr>
        <w:widowControl/>
        <w:jc w:val="left"/>
        <w:rPr>
          <w:rFonts w:ascii="仿宋" w:hAnsi="仿宋" w:eastAsia="仿宋"/>
          <w:kern w:val="0"/>
          <w:sz w:val="32"/>
          <w:szCs w:val="32"/>
        </w:rPr>
      </w:pPr>
      <w:r>
        <w:rPr>
          <w:rFonts w:ascii="仿宋" w:hAnsi="仿宋" w:eastAsia="仿宋"/>
          <w:sz w:val="32"/>
          <w:szCs w:val="32"/>
        </w:rPr>
        <w:br w:type="page"/>
      </w:r>
    </w:p>
    <w:p>
      <w:pPr>
        <w:pStyle w:val="3"/>
        <w:jc w:val="center"/>
      </w:pPr>
      <w:bookmarkStart w:id="27" w:name="_Toc15396602"/>
      <w:bookmarkStart w:id="28" w:name="_Toc10186"/>
      <w:bookmarkStart w:id="29" w:name="_Toc15377204"/>
      <w:r>
        <w:rPr>
          <w:rFonts w:hint="eastAsia"/>
        </w:rPr>
        <w:t>第二部分 2021年度部门决算情况说明</w:t>
      </w:r>
      <w:bookmarkEnd w:id="27"/>
      <w:bookmarkEnd w:id="28"/>
      <w:bookmarkEnd w:id="29"/>
    </w:p>
    <w:p/>
    <w:p>
      <w:pPr>
        <w:pStyle w:val="24"/>
        <w:numPr>
          <w:ilvl w:val="0"/>
          <w:numId w:val="1"/>
        </w:numPr>
        <w:spacing w:line="600" w:lineRule="exact"/>
        <w:ind w:firstLineChars="0"/>
        <w:outlineLvl w:val="1"/>
        <w:rPr>
          <w:rStyle w:val="26"/>
          <w:rFonts w:ascii="黑体" w:hAnsi="黑体" w:eastAsia="黑体"/>
          <w:b w:val="0"/>
        </w:rPr>
      </w:pPr>
      <w:bookmarkStart w:id="30" w:name="_Toc27081"/>
      <w:bookmarkStart w:id="31" w:name="_Toc15396603"/>
      <w:bookmarkStart w:id="32" w:name="_Toc15377205"/>
      <w:r>
        <w:rPr>
          <w:rFonts w:hint="eastAsia" w:ascii="黑体" w:hAnsi="黑体" w:eastAsia="黑体"/>
          <w:sz w:val="32"/>
          <w:szCs w:val="32"/>
        </w:rPr>
        <w:t>收</w:t>
      </w:r>
      <w:r>
        <w:rPr>
          <w:rStyle w:val="26"/>
          <w:rFonts w:hint="eastAsia" w:ascii="黑体" w:hAnsi="黑体" w:eastAsia="黑体"/>
          <w:b w:val="0"/>
        </w:rPr>
        <w:t>入支出决算总体情况说明</w:t>
      </w:r>
      <w:bookmarkEnd w:id="30"/>
      <w:bookmarkEnd w:id="31"/>
      <w:bookmarkEnd w:id="32"/>
    </w:p>
    <w:p>
      <w:pPr>
        <w:spacing w:line="600" w:lineRule="exact"/>
        <w:ind w:firstLine="640" w:firstLineChars="200"/>
        <w:rPr>
          <w:rFonts w:ascii="仿宋" w:hAnsi="仿宋" w:eastAsia="仿宋"/>
          <w:sz w:val="32"/>
          <w:szCs w:val="32"/>
        </w:rPr>
      </w:pPr>
      <w:r>
        <w:rPr>
          <w:rFonts w:hint="eastAsia" w:ascii="仿宋" w:hAnsi="仿宋" w:eastAsia="仿宋"/>
          <w:sz w:val="32"/>
          <w:szCs w:val="32"/>
        </w:rPr>
        <w:t>2021年度收、支总计35</w:t>
      </w:r>
      <w:r>
        <w:rPr>
          <w:rFonts w:hint="eastAsia" w:ascii="仿宋" w:hAnsi="仿宋" w:eastAsia="仿宋"/>
          <w:sz w:val="32"/>
          <w:szCs w:val="32"/>
          <w:lang w:val="en-US" w:eastAsia="zh-CN"/>
        </w:rPr>
        <w:t>26.64</w:t>
      </w:r>
      <w:r>
        <w:rPr>
          <w:rFonts w:hint="eastAsia" w:ascii="仿宋" w:hAnsi="仿宋" w:eastAsia="仿宋"/>
          <w:sz w:val="32"/>
          <w:szCs w:val="32"/>
        </w:rPr>
        <w:t>万元。与2020年相比，收、支总计各减少505.</w:t>
      </w:r>
      <w:r>
        <w:rPr>
          <w:rFonts w:hint="eastAsia" w:ascii="仿宋" w:hAnsi="仿宋" w:eastAsia="仿宋"/>
          <w:sz w:val="32"/>
          <w:szCs w:val="32"/>
          <w:lang w:val="en-US" w:eastAsia="zh-CN"/>
        </w:rPr>
        <w:t>45</w:t>
      </w:r>
      <w:r>
        <w:rPr>
          <w:rFonts w:hint="eastAsia" w:ascii="仿宋" w:hAnsi="仿宋" w:eastAsia="仿宋"/>
          <w:sz w:val="32"/>
          <w:szCs w:val="32"/>
        </w:rPr>
        <w:t>万元，下降12.</w:t>
      </w:r>
      <w:r>
        <w:rPr>
          <w:rFonts w:hint="eastAsia" w:ascii="仿宋" w:hAnsi="仿宋" w:eastAsia="仿宋"/>
          <w:sz w:val="32"/>
          <w:szCs w:val="32"/>
          <w:lang w:val="en-US" w:eastAsia="zh-CN"/>
        </w:rPr>
        <w:t>54</w:t>
      </w:r>
      <w:r>
        <w:rPr>
          <w:rFonts w:ascii="仿宋" w:hAnsi="仿宋" w:eastAsia="仿宋"/>
          <w:sz w:val="32"/>
          <w:szCs w:val="32"/>
        </w:rPr>
        <w:t>%</w:t>
      </w:r>
      <w:r>
        <w:rPr>
          <w:rFonts w:hint="eastAsia" w:ascii="仿宋" w:hAnsi="仿宋" w:eastAsia="仿宋"/>
          <w:sz w:val="32"/>
          <w:szCs w:val="32"/>
        </w:rPr>
        <w:t>。主要变动原因是攀枝花市强制隔离戒毒所建设项目2021年建设资金划拨较2020年有所减少。</w:t>
      </w:r>
    </w:p>
    <w:p>
      <w:pPr>
        <w:pStyle w:val="2"/>
        <w:spacing w:before="93"/>
        <w:jc w:val="center"/>
        <w:rPr>
          <w:rFonts w:hint="eastAsia" w:eastAsia="仿宋"/>
          <w:sz w:val="32"/>
          <w:szCs w:val="32"/>
          <w:lang w:eastAsia="zh-CN"/>
        </w:rPr>
      </w:pPr>
      <w:r>
        <w:rPr>
          <w:rFonts w:hint="eastAsia" w:eastAsia="仿宋"/>
          <w:sz w:val="32"/>
          <w:szCs w:val="32"/>
          <w:lang w:eastAsia="zh-CN"/>
        </w:rPr>
        <w:drawing>
          <wp:inline distT="0" distB="0" distL="114300" distR="114300">
            <wp:extent cx="5080000" cy="3134995"/>
            <wp:effectExtent l="4445" t="4445" r="20955" b="2286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spacing w:line="600" w:lineRule="exact"/>
        <w:ind w:firstLine="640" w:firstLineChars="200"/>
        <w:jc w:val="center"/>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w:t>
      </w:r>
    </w:p>
    <w:p>
      <w:pPr>
        <w:spacing w:line="600" w:lineRule="exact"/>
        <w:ind w:firstLine="640" w:firstLineChars="200"/>
        <w:jc w:val="left"/>
        <w:rPr>
          <w:rFonts w:ascii="仿宋_GB2312" w:eastAsia="仿宋_GB2312"/>
          <w:sz w:val="32"/>
          <w:szCs w:val="32"/>
        </w:rPr>
      </w:pPr>
    </w:p>
    <w:p>
      <w:pPr>
        <w:pStyle w:val="24"/>
        <w:numPr>
          <w:ilvl w:val="0"/>
          <w:numId w:val="1"/>
        </w:numPr>
        <w:spacing w:line="600" w:lineRule="exact"/>
        <w:ind w:firstLineChars="0"/>
        <w:outlineLvl w:val="1"/>
        <w:rPr>
          <w:rStyle w:val="26"/>
          <w:rFonts w:ascii="黑体" w:hAnsi="黑体" w:eastAsia="黑体"/>
          <w:b w:val="0"/>
        </w:rPr>
      </w:pPr>
      <w:bookmarkStart w:id="33" w:name="_Toc15377206"/>
      <w:bookmarkStart w:id="34" w:name="_Toc18016"/>
      <w:bookmarkStart w:id="35" w:name="_Toc15396604"/>
      <w:r>
        <w:rPr>
          <w:rFonts w:hint="eastAsia" w:ascii="黑体" w:hAnsi="黑体" w:eastAsia="黑体"/>
          <w:sz w:val="32"/>
          <w:szCs w:val="32"/>
        </w:rPr>
        <w:t>收</w:t>
      </w:r>
      <w:r>
        <w:rPr>
          <w:rStyle w:val="26"/>
          <w:rFonts w:hint="eastAsia" w:ascii="黑体" w:hAnsi="黑体" w:eastAsia="黑体"/>
          <w:b w:val="0"/>
        </w:rPr>
        <w:t>入决算情况说明</w:t>
      </w:r>
      <w:bookmarkEnd w:id="33"/>
      <w:bookmarkEnd w:id="34"/>
      <w:bookmarkEnd w:id="35"/>
    </w:p>
    <w:p>
      <w:pPr>
        <w:spacing w:line="600" w:lineRule="exact"/>
        <w:ind w:firstLine="640" w:firstLineChars="200"/>
        <w:outlineLvl w:val="1"/>
        <w:rPr>
          <w:rFonts w:ascii="仿宋" w:hAnsi="仿宋" w:eastAsia="仿宋"/>
          <w:sz w:val="32"/>
          <w:szCs w:val="32"/>
        </w:rPr>
      </w:pPr>
      <w:bookmarkStart w:id="36" w:name="_Toc21073"/>
      <w:r>
        <w:rPr>
          <w:rFonts w:ascii="仿宋" w:hAnsi="仿宋" w:eastAsia="仿宋"/>
          <w:sz w:val="32"/>
          <w:szCs w:val="32"/>
        </w:rPr>
        <w:t>20</w:t>
      </w:r>
      <w:r>
        <w:rPr>
          <w:rFonts w:hint="eastAsia" w:ascii="仿宋" w:hAnsi="仿宋" w:eastAsia="仿宋"/>
          <w:sz w:val="32"/>
          <w:szCs w:val="32"/>
        </w:rPr>
        <w:t>21年本年收入合计3526.65万元，其中：一般公共预算财政拨款收入3526.44万元，占99.99</w:t>
      </w:r>
      <w:r>
        <w:rPr>
          <w:rFonts w:ascii="仿宋" w:hAnsi="仿宋" w:eastAsia="仿宋"/>
          <w:sz w:val="32"/>
          <w:szCs w:val="32"/>
        </w:rPr>
        <w:t>%</w:t>
      </w:r>
      <w:r>
        <w:rPr>
          <w:rFonts w:hint="eastAsia" w:ascii="仿宋" w:hAnsi="仿宋" w:eastAsia="仿宋"/>
          <w:sz w:val="32"/>
          <w:szCs w:val="32"/>
        </w:rPr>
        <w:t>；其他收入0.22万元，占0.01</w:t>
      </w:r>
      <w:r>
        <w:rPr>
          <w:rFonts w:ascii="仿宋" w:hAnsi="仿宋" w:eastAsia="仿宋"/>
          <w:sz w:val="32"/>
          <w:szCs w:val="32"/>
        </w:rPr>
        <w:t>%</w:t>
      </w:r>
      <w:r>
        <w:rPr>
          <w:rFonts w:hint="eastAsia" w:ascii="仿宋" w:hAnsi="仿宋" w:eastAsia="仿宋"/>
          <w:sz w:val="32"/>
          <w:szCs w:val="32"/>
        </w:rPr>
        <w:t>。</w:t>
      </w:r>
      <w:bookmarkEnd w:id="36"/>
    </w:p>
    <w:p>
      <w:pPr>
        <w:spacing w:line="600" w:lineRule="exact"/>
        <w:ind w:firstLine="640" w:firstLineChars="200"/>
        <w:rPr>
          <w:rFonts w:ascii="仿宋" w:hAnsi="仿宋" w:eastAsia="仿宋"/>
          <w:sz w:val="32"/>
          <w:szCs w:val="32"/>
        </w:rPr>
      </w:pPr>
    </w:p>
    <w:p>
      <w:pPr>
        <w:pStyle w:val="2"/>
        <w:spacing w:before="93"/>
        <w:jc w:val="center"/>
      </w:pPr>
      <w:r>
        <w:rPr>
          <w:rFonts w:eastAsia="仿宋"/>
          <w:color w:val="000000"/>
          <w:sz w:val="32"/>
          <w:szCs w:val="32"/>
        </w:rPr>
        <w:object>
          <v:shape id="_x0000_i1026" o:spt="75" type="#_x0000_t75" style="height:230.25pt;width:334.5pt;" o:ole="t" filled="f" o:preferrelative="t" stroked="f" coordsize="21600,21600">
            <v:path/>
            <v:fill on="f" focussize="0,0"/>
            <v:stroke on="f" joinstyle="miter"/>
            <v:imagedata r:id="rId8" o:title=""/>
            <o:lock v:ext="edit" aspectratio="t"/>
            <w10:wrap type="none"/>
            <w10:anchorlock/>
          </v:shape>
          <o:OLEObject Type="Embed" ProgID="Excel.Sheet.8" ShapeID="_x0000_i1026" DrawAspect="Content" ObjectID="_1468075725" r:id="rId7">
            <o:LockedField>false</o:LockedField>
          </o:OLEObject>
        </w:object>
      </w:r>
    </w:p>
    <w:p>
      <w:pPr>
        <w:spacing w:line="600" w:lineRule="exact"/>
        <w:ind w:firstLine="640" w:firstLineChars="200"/>
        <w:jc w:val="center"/>
        <w:rPr>
          <w:rFonts w:ascii="仿宋" w:hAnsi="仿宋" w:eastAsia="仿宋"/>
          <w:sz w:val="32"/>
          <w:szCs w:val="32"/>
        </w:rPr>
      </w:pPr>
      <w:r>
        <w:rPr>
          <w:rFonts w:hint="eastAsia" w:ascii="仿宋" w:hAnsi="仿宋" w:eastAsia="仿宋"/>
          <w:sz w:val="32"/>
          <w:szCs w:val="32"/>
        </w:rPr>
        <w:t>（图2：收入决算结构图）</w:t>
      </w:r>
    </w:p>
    <w:p>
      <w:pPr>
        <w:spacing w:line="600" w:lineRule="exact"/>
        <w:ind w:firstLine="640" w:firstLineChars="200"/>
        <w:rPr>
          <w:rFonts w:ascii="仿宋_GB2312" w:eastAsia="仿宋_GB2312"/>
          <w:sz w:val="32"/>
          <w:szCs w:val="32"/>
        </w:rPr>
      </w:pPr>
    </w:p>
    <w:p>
      <w:pPr>
        <w:pStyle w:val="24"/>
        <w:numPr>
          <w:ilvl w:val="0"/>
          <w:numId w:val="1"/>
        </w:numPr>
        <w:spacing w:line="600" w:lineRule="exact"/>
        <w:ind w:firstLineChars="0"/>
        <w:outlineLvl w:val="1"/>
        <w:rPr>
          <w:rStyle w:val="26"/>
          <w:rFonts w:ascii="黑体" w:hAnsi="黑体" w:eastAsia="黑体"/>
          <w:b w:val="0"/>
        </w:rPr>
      </w:pPr>
      <w:bookmarkStart w:id="37" w:name="_Toc15396605"/>
      <w:bookmarkStart w:id="38" w:name="_Toc15377207"/>
      <w:bookmarkStart w:id="39" w:name="_Toc27919"/>
      <w:r>
        <w:rPr>
          <w:rFonts w:hint="eastAsia" w:ascii="黑体" w:hAnsi="黑体" w:eastAsia="黑体"/>
          <w:sz w:val="32"/>
          <w:szCs w:val="32"/>
        </w:rPr>
        <w:t>支</w:t>
      </w:r>
      <w:r>
        <w:rPr>
          <w:rStyle w:val="26"/>
          <w:rFonts w:hint="eastAsia" w:ascii="黑体" w:hAnsi="黑体" w:eastAsia="黑体"/>
          <w:b w:val="0"/>
        </w:rPr>
        <w:t>出决算情况说明</w:t>
      </w:r>
      <w:bookmarkEnd w:id="37"/>
      <w:bookmarkEnd w:id="38"/>
      <w:bookmarkEnd w:id="39"/>
    </w:p>
    <w:p>
      <w:pPr>
        <w:spacing w:line="600" w:lineRule="exact"/>
        <w:ind w:firstLine="640" w:firstLineChars="200"/>
        <w:outlineLvl w:val="1"/>
        <w:rPr>
          <w:rFonts w:ascii="仿宋" w:hAnsi="仿宋" w:eastAsia="仿宋"/>
          <w:sz w:val="32"/>
          <w:szCs w:val="32"/>
        </w:rPr>
      </w:pPr>
      <w:bookmarkStart w:id="40" w:name="_Toc13845"/>
      <w:r>
        <w:rPr>
          <w:rFonts w:ascii="仿宋" w:hAnsi="仿宋" w:eastAsia="仿宋"/>
          <w:sz w:val="32"/>
          <w:szCs w:val="32"/>
        </w:rPr>
        <w:t>20</w:t>
      </w:r>
      <w:r>
        <w:rPr>
          <w:rFonts w:hint="eastAsia" w:ascii="仿宋" w:hAnsi="仿宋" w:eastAsia="仿宋"/>
          <w:sz w:val="32"/>
          <w:szCs w:val="32"/>
        </w:rPr>
        <w:t>21年本年支出合计3526.64万元，其中：基本支出2374.24万元，占67.32</w:t>
      </w:r>
      <w:r>
        <w:rPr>
          <w:rFonts w:ascii="仿宋" w:hAnsi="仿宋" w:eastAsia="仿宋"/>
          <w:sz w:val="32"/>
          <w:szCs w:val="32"/>
        </w:rPr>
        <w:t>%</w:t>
      </w:r>
      <w:r>
        <w:rPr>
          <w:rFonts w:hint="eastAsia" w:ascii="仿宋" w:hAnsi="仿宋" w:eastAsia="仿宋"/>
          <w:sz w:val="32"/>
          <w:szCs w:val="32"/>
        </w:rPr>
        <w:t>；项目支出1152.4万元，占32.68</w:t>
      </w:r>
      <w:r>
        <w:rPr>
          <w:rFonts w:ascii="仿宋" w:hAnsi="仿宋" w:eastAsia="仿宋"/>
          <w:sz w:val="32"/>
          <w:szCs w:val="32"/>
        </w:rPr>
        <w:t>%</w:t>
      </w:r>
      <w:r>
        <w:rPr>
          <w:rFonts w:hint="eastAsia" w:ascii="仿宋" w:hAnsi="仿宋" w:eastAsia="仿宋"/>
          <w:sz w:val="32"/>
          <w:szCs w:val="32"/>
        </w:rPr>
        <w:t>。</w:t>
      </w:r>
      <w:bookmarkEnd w:id="40"/>
    </w:p>
    <w:p>
      <w:pPr>
        <w:pStyle w:val="2"/>
        <w:spacing w:before="93"/>
        <w:jc w:val="center"/>
        <w:rPr>
          <w:rFonts w:ascii="仿宋" w:hAnsi="仿宋" w:eastAsia="仿宋"/>
          <w:sz w:val="32"/>
          <w:szCs w:val="32"/>
          <w:shd w:val="pct10" w:color="auto" w:fill="FFFFFF"/>
        </w:rPr>
      </w:pPr>
      <w:r>
        <w:rPr>
          <w:rFonts w:hint="eastAsia" w:eastAsia="仿宋"/>
          <w:color w:val="000000"/>
          <w:sz w:val="32"/>
          <w:szCs w:val="32"/>
          <w:shd w:val="pct10" w:color="auto" w:fill="FFFFFF"/>
        </w:rPr>
        <w:object>
          <v:shape id="_x0000_i1027" o:spt="75" type="#_x0000_t75" style="height:237.75pt;width:297.75pt;" o:ole="t" filled="f" o:preferrelative="t" stroked="f" coordsize="21600,21600">
            <v:path/>
            <v:fill on="f" focussize="0,0"/>
            <v:stroke on="f" joinstyle="miter"/>
            <v:imagedata r:id="rId10" o:title=""/>
            <o:lock v:ext="edit" aspectratio="t"/>
            <w10:wrap type="none"/>
            <w10:anchorlock/>
          </v:shape>
          <o:OLEObject Type="Embed" ProgID="Excel.Sheet.8" ShapeID="_x0000_i1027" DrawAspect="Content" ObjectID="_1468075726" r:id="rId9">
            <o:LockedField>false</o:LockedField>
          </o:OLEObject>
        </w:object>
      </w:r>
    </w:p>
    <w:p>
      <w:pPr>
        <w:spacing w:line="600" w:lineRule="exact"/>
        <w:ind w:firstLine="640" w:firstLineChars="200"/>
        <w:jc w:val="center"/>
        <w:rPr>
          <w:rFonts w:ascii="仿宋" w:hAnsi="仿宋" w:eastAsia="仿宋"/>
          <w:sz w:val="32"/>
          <w:szCs w:val="32"/>
        </w:rPr>
      </w:pPr>
      <w:r>
        <w:rPr>
          <w:rFonts w:hint="eastAsia" w:ascii="仿宋" w:hAnsi="仿宋" w:eastAsia="仿宋"/>
          <w:sz w:val="32"/>
          <w:szCs w:val="32"/>
        </w:rPr>
        <w:t>（图3：支出决算结构图）</w:t>
      </w:r>
    </w:p>
    <w:p>
      <w:pPr>
        <w:spacing w:line="600" w:lineRule="exact"/>
        <w:ind w:firstLine="640" w:firstLineChars="200"/>
        <w:rPr>
          <w:rFonts w:ascii="仿宋_GB2312" w:eastAsia="仿宋_GB2312"/>
          <w:sz w:val="32"/>
          <w:szCs w:val="32"/>
        </w:rPr>
      </w:pPr>
    </w:p>
    <w:p>
      <w:pPr>
        <w:spacing w:line="600" w:lineRule="exact"/>
        <w:ind w:firstLine="640" w:firstLineChars="200"/>
        <w:outlineLvl w:val="1"/>
        <w:rPr>
          <w:rStyle w:val="26"/>
          <w:rFonts w:ascii="黑体" w:hAnsi="黑体" w:eastAsia="黑体"/>
          <w:b w:val="0"/>
        </w:rPr>
      </w:pPr>
      <w:bookmarkStart w:id="41" w:name="_Toc15377208"/>
      <w:bookmarkStart w:id="42" w:name="_Toc15396606"/>
      <w:bookmarkStart w:id="43" w:name="_Toc20597"/>
      <w:r>
        <w:rPr>
          <w:rFonts w:hint="eastAsia" w:ascii="黑体" w:hAnsi="黑体" w:eastAsia="黑体"/>
          <w:sz w:val="32"/>
          <w:szCs w:val="32"/>
        </w:rPr>
        <w:t>四、财</w:t>
      </w:r>
      <w:r>
        <w:rPr>
          <w:rStyle w:val="26"/>
          <w:rFonts w:hint="eastAsia" w:ascii="黑体" w:hAnsi="黑体" w:eastAsia="黑体"/>
          <w:b w:val="0"/>
        </w:rPr>
        <w:t>政拨款收入支出决算总体情况说明</w:t>
      </w:r>
      <w:bookmarkEnd w:id="41"/>
      <w:bookmarkEnd w:id="42"/>
      <w:bookmarkEnd w:id="43"/>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21年财政拨款收、支总计3526.44万元。与</w:t>
      </w:r>
      <w:r>
        <w:rPr>
          <w:rFonts w:ascii="仿宋" w:hAnsi="仿宋" w:eastAsia="仿宋"/>
          <w:sz w:val="32"/>
          <w:szCs w:val="32"/>
        </w:rPr>
        <w:t>20</w:t>
      </w:r>
      <w:r>
        <w:rPr>
          <w:rFonts w:hint="eastAsia" w:ascii="仿宋" w:hAnsi="仿宋" w:eastAsia="仿宋"/>
          <w:sz w:val="32"/>
          <w:szCs w:val="32"/>
        </w:rPr>
        <w:t>20年相比，财政拨款收、支总计各减少547.13万元，下降13.43</w:t>
      </w:r>
      <w:r>
        <w:rPr>
          <w:rFonts w:ascii="仿宋" w:hAnsi="仿宋" w:eastAsia="仿宋"/>
          <w:sz w:val="32"/>
          <w:szCs w:val="32"/>
        </w:rPr>
        <w:t>%</w:t>
      </w:r>
      <w:r>
        <w:rPr>
          <w:rFonts w:hint="eastAsia" w:ascii="仿宋" w:hAnsi="仿宋" w:eastAsia="仿宋"/>
          <w:sz w:val="32"/>
          <w:szCs w:val="32"/>
        </w:rPr>
        <w:t>。主要变动原因是攀枝花市强制隔离戒毒所建设项目2021年建设资金划拨较2020年有所减少。</w:t>
      </w:r>
    </w:p>
    <w:p>
      <w:pPr>
        <w:pStyle w:val="2"/>
        <w:spacing w:before="93"/>
        <w:jc w:val="center"/>
        <w:rPr>
          <w:rFonts w:ascii="仿宋" w:hAnsi="仿宋" w:eastAsia="仿宋"/>
          <w:b/>
          <w:sz w:val="32"/>
          <w:szCs w:val="32"/>
        </w:rPr>
      </w:pPr>
      <w:r>
        <w:rPr>
          <w:rFonts w:eastAsia="仿宋"/>
          <w:sz w:val="32"/>
          <w:szCs w:val="32"/>
        </w:rPr>
        <w:object>
          <v:shape id="_x0000_i1028" o:spt="75" type="#_x0000_t75" style="height:233.25pt;width:366pt;" o:ole="t" filled="f" o:preferrelative="t" stroked="f" coordsize="21600,21600">
            <v:path/>
            <v:fill on="f" focussize="0,0"/>
            <v:stroke on="f" joinstyle="miter"/>
            <v:imagedata r:id="rId12" o:title=""/>
            <o:lock v:ext="edit" aspectratio="t"/>
            <w10:wrap type="none"/>
            <w10:anchorlock/>
          </v:shape>
          <o:OLEObject Type="Embed" ProgID="Excel.Sheet.8" ShapeID="_x0000_i1028" DrawAspect="Content" ObjectID="_1468075727" r:id="rId11">
            <o:LockedField>false</o:LockedField>
          </o:OLEObject>
        </w:object>
      </w:r>
    </w:p>
    <w:p>
      <w:pPr>
        <w:spacing w:line="600" w:lineRule="exact"/>
        <w:ind w:firstLine="640" w:firstLineChars="200"/>
        <w:jc w:val="center"/>
        <w:rPr>
          <w:rFonts w:ascii="仿宋" w:hAnsi="仿宋" w:eastAsia="仿宋"/>
          <w:sz w:val="32"/>
          <w:szCs w:val="32"/>
        </w:rPr>
      </w:pPr>
      <w:r>
        <w:rPr>
          <w:rFonts w:hint="eastAsia" w:ascii="仿宋" w:hAnsi="仿宋" w:eastAsia="仿宋"/>
          <w:sz w:val="32"/>
          <w:szCs w:val="32"/>
        </w:rPr>
        <w:t>（图4：财政拨款收、支决算总计变动情况）</w:t>
      </w:r>
    </w:p>
    <w:p>
      <w:pPr>
        <w:spacing w:line="600" w:lineRule="exact"/>
        <w:ind w:firstLine="640"/>
        <w:rPr>
          <w:rFonts w:ascii="仿宋" w:hAnsi="仿宋" w:eastAsia="仿宋"/>
          <w:b/>
          <w:sz w:val="32"/>
          <w:szCs w:val="32"/>
        </w:rPr>
      </w:pPr>
    </w:p>
    <w:p>
      <w:pPr>
        <w:spacing w:line="600" w:lineRule="exact"/>
        <w:ind w:firstLine="640" w:firstLineChars="200"/>
        <w:outlineLvl w:val="1"/>
        <w:rPr>
          <w:rStyle w:val="26"/>
          <w:rFonts w:ascii="黑体" w:hAnsi="黑体" w:eastAsia="黑体"/>
          <w:b w:val="0"/>
        </w:rPr>
      </w:pPr>
      <w:bookmarkStart w:id="44" w:name="_Toc15377209"/>
      <w:bookmarkStart w:id="45" w:name="_Toc7528"/>
      <w:bookmarkStart w:id="46" w:name="_Toc15396607"/>
      <w:r>
        <w:rPr>
          <w:rFonts w:hint="eastAsia" w:ascii="黑体" w:hAnsi="黑体" w:eastAsia="黑体"/>
          <w:sz w:val="32"/>
          <w:szCs w:val="32"/>
        </w:rPr>
        <w:t>五、</w:t>
      </w:r>
      <w:r>
        <w:rPr>
          <w:rFonts w:hint="eastAsia" w:ascii="黑体" w:hAnsi="黑体" w:eastAsia="黑体"/>
          <w:b/>
          <w:sz w:val="32"/>
          <w:szCs w:val="32"/>
        </w:rPr>
        <w:t>一</w:t>
      </w:r>
      <w:r>
        <w:rPr>
          <w:rStyle w:val="26"/>
          <w:rFonts w:hint="eastAsia" w:ascii="黑体" w:hAnsi="黑体" w:eastAsia="黑体"/>
          <w:b w:val="0"/>
        </w:rPr>
        <w:t>般公共预算财政拨款支出决算情况说明</w:t>
      </w:r>
      <w:bookmarkEnd w:id="44"/>
      <w:bookmarkEnd w:id="45"/>
      <w:bookmarkEnd w:id="46"/>
    </w:p>
    <w:p>
      <w:pPr>
        <w:spacing w:line="600" w:lineRule="exact"/>
        <w:ind w:firstLine="640" w:firstLineChars="200"/>
        <w:outlineLvl w:val="2"/>
        <w:rPr>
          <w:rFonts w:ascii="仿宋" w:hAnsi="仿宋" w:eastAsia="仿宋"/>
          <w:b/>
          <w:sz w:val="32"/>
          <w:szCs w:val="32"/>
        </w:rPr>
      </w:pPr>
      <w:bookmarkStart w:id="47" w:name="_Toc15377210"/>
      <w:r>
        <w:rPr>
          <w:rFonts w:hint="eastAsia" w:ascii="仿宋" w:hAnsi="仿宋" w:eastAsia="仿宋"/>
          <w:b/>
          <w:sz w:val="32"/>
          <w:szCs w:val="32"/>
        </w:rPr>
        <w:t>（一）一般公共预算财政拨款支出决算总体情况</w:t>
      </w:r>
      <w:bookmarkEnd w:id="47"/>
    </w:p>
    <w:p>
      <w:pPr>
        <w:spacing w:line="600" w:lineRule="exact"/>
        <w:ind w:firstLine="640" w:firstLineChars="20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21年一般公共预算财政拨款支出3526.44万元，占本年支出合计的99.99</w:t>
      </w:r>
      <w:r>
        <w:rPr>
          <w:rFonts w:ascii="仿宋" w:hAnsi="仿宋" w:eastAsia="仿宋"/>
          <w:sz w:val="32"/>
          <w:szCs w:val="32"/>
        </w:rPr>
        <w:t>%</w:t>
      </w:r>
      <w:r>
        <w:rPr>
          <w:rFonts w:hint="eastAsia" w:ascii="仿宋" w:hAnsi="仿宋" w:eastAsia="仿宋"/>
          <w:sz w:val="32"/>
          <w:szCs w:val="32"/>
        </w:rPr>
        <w:t>。与</w:t>
      </w:r>
      <w:r>
        <w:rPr>
          <w:rFonts w:ascii="仿宋" w:hAnsi="仿宋" w:eastAsia="仿宋"/>
          <w:sz w:val="32"/>
          <w:szCs w:val="32"/>
        </w:rPr>
        <w:t>20</w:t>
      </w:r>
      <w:r>
        <w:rPr>
          <w:rFonts w:hint="eastAsia" w:ascii="仿宋" w:hAnsi="仿宋" w:eastAsia="仿宋"/>
          <w:sz w:val="32"/>
          <w:szCs w:val="32"/>
        </w:rPr>
        <w:t>20年相比，一般公共预算财政拨款支出减少335.46万元，下降8.69</w:t>
      </w:r>
      <w:r>
        <w:rPr>
          <w:rFonts w:ascii="仿宋" w:hAnsi="仿宋" w:eastAsia="仿宋"/>
          <w:sz w:val="32"/>
          <w:szCs w:val="32"/>
        </w:rPr>
        <w:t>%</w:t>
      </w:r>
      <w:r>
        <w:rPr>
          <w:rFonts w:hint="eastAsia" w:ascii="仿宋" w:hAnsi="仿宋" w:eastAsia="仿宋"/>
          <w:sz w:val="32"/>
          <w:szCs w:val="32"/>
        </w:rPr>
        <w:t>。主要变动原因是攀枝花市强制隔离戒毒所建设项目2021年建设资金划拨较2020年有所减少。</w:t>
      </w:r>
    </w:p>
    <w:p>
      <w:pPr>
        <w:pStyle w:val="2"/>
        <w:spacing w:before="93"/>
        <w:jc w:val="center"/>
        <w:rPr>
          <w:rFonts w:ascii="仿宋" w:hAnsi="仿宋" w:eastAsia="仿宋"/>
          <w:sz w:val="32"/>
          <w:szCs w:val="32"/>
        </w:rPr>
      </w:pPr>
      <w:r>
        <w:rPr>
          <w:rFonts w:eastAsia="仿宋"/>
          <w:sz w:val="32"/>
          <w:szCs w:val="32"/>
        </w:rPr>
        <w:object>
          <v:shape id="_x0000_i1029" o:spt="75" type="#_x0000_t75" style="height:233.25pt;width:366pt;" o:ole="t" filled="f" o:preferrelative="t" stroked="f" coordsize="21600,21600">
            <v:path/>
            <v:fill on="f" focussize="0,0"/>
            <v:stroke on="f" joinstyle="miter"/>
            <v:imagedata r:id="rId14" o:title=""/>
            <o:lock v:ext="edit" aspectratio="t"/>
            <w10:wrap type="none"/>
            <w10:anchorlock/>
          </v:shape>
          <o:OLEObject Type="Embed" ProgID="Excel.Sheet.8" ShapeID="_x0000_i1029" DrawAspect="Content" ObjectID="_1468075728" r:id="rId13">
            <o:LockedField>false</o:LockedField>
          </o:OLEObject>
        </w:objec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（图5：一般公共预算财政拨款支出决算变动情况）</w:t>
      </w:r>
    </w:p>
    <w:p>
      <w:pPr>
        <w:spacing w:line="600" w:lineRule="exact"/>
        <w:ind w:firstLine="640" w:firstLineChars="200"/>
        <w:rPr>
          <w:rFonts w:ascii="仿宋" w:hAnsi="仿宋" w:eastAsia="仿宋"/>
          <w:sz w:val="32"/>
          <w:szCs w:val="32"/>
        </w:rPr>
      </w:pPr>
    </w:p>
    <w:p>
      <w:pPr>
        <w:spacing w:line="600" w:lineRule="exact"/>
        <w:ind w:firstLine="640" w:firstLineChars="200"/>
        <w:outlineLvl w:val="2"/>
        <w:rPr>
          <w:rFonts w:ascii="仿宋" w:hAnsi="仿宋" w:eastAsia="仿宋"/>
          <w:b/>
          <w:sz w:val="32"/>
          <w:szCs w:val="32"/>
        </w:rPr>
      </w:pPr>
      <w:bookmarkStart w:id="48" w:name="_Toc15377211"/>
      <w:r>
        <w:rPr>
          <w:rFonts w:hint="eastAsia" w:ascii="仿宋" w:hAnsi="仿宋" w:eastAsia="仿宋"/>
          <w:b/>
          <w:sz w:val="32"/>
          <w:szCs w:val="32"/>
        </w:rPr>
        <w:t>（二）一般公共预算财政拨款支出决算结构情况</w:t>
      </w:r>
      <w:bookmarkEnd w:id="48"/>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21年一般公共预算财政拨款支出3526.44万元，主要用于以下方面</w:t>
      </w:r>
      <w:r>
        <w:rPr>
          <w:rFonts w:ascii="仿宋" w:hAnsi="仿宋" w:eastAsia="仿宋"/>
          <w:sz w:val="32"/>
          <w:szCs w:val="32"/>
        </w:rPr>
        <w:t>:</w:t>
      </w:r>
      <w:r>
        <w:rPr>
          <w:rFonts w:hint="eastAsia" w:ascii="仿宋" w:hAnsi="仿宋" w:eastAsia="仿宋"/>
          <w:b/>
          <w:sz w:val="32"/>
          <w:szCs w:val="32"/>
        </w:rPr>
        <w:t>公共安全支出</w:t>
      </w:r>
      <w:r>
        <w:rPr>
          <w:rFonts w:hint="eastAsia" w:ascii="仿宋" w:hAnsi="仿宋" w:eastAsia="仿宋"/>
          <w:sz w:val="32"/>
          <w:szCs w:val="32"/>
        </w:rPr>
        <w:t>1968.39万元，占55.82</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社会保障和就业（类）</w:t>
      </w:r>
      <w:r>
        <w:rPr>
          <w:rFonts w:hint="eastAsia" w:ascii="仿宋" w:hAnsi="仿宋" w:eastAsia="仿宋"/>
          <w:sz w:val="32"/>
          <w:szCs w:val="32"/>
        </w:rPr>
        <w:t>支出256.57万元，占7.28</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城乡社区支出</w:t>
      </w:r>
      <w:r>
        <w:rPr>
          <w:rFonts w:hint="eastAsia" w:ascii="仿宋" w:hAnsi="仿宋" w:eastAsia="仿宋"/>
          <w:sz w:val="32"/>
          <w:szCs w:val="32"/>
        </w:rPr>
        <w:t>1150万元，占32.61</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住房保障支出</w:t>
      </w:r>
      <w:r>
        <w:rPr>
          <w:rFonts w:hint="eastAsia" w:ascii="仿宋" w:hAnsi="仿宋" w:eastAsia="仿宋"/>
          <w:sz w:val="32"/>
          <w:szCs w:val="32"/>
        </w:rPr>
        <w:t>151.48万元，占4.30</w:t>
      </w:r>
      <w:r>
        <w:rPr>
          <w:rFonts w:ascii="仿宋" w:hAnsi="仿宋" w:eastAsia="仿宋"/>
          <w:sz w:val="32"/>
          <w:szCs w:val="32"/>
        </w:rPr>
        <w:t>%</w:t>
      </w:r>
      <w:r>
        <w:rPr>
          <w:rFonts w:hint="eastAsia" w:ascii="仿宋" w:hAnsi="仿宋" w:eastAsia="仿宋"/>
          <w:sz w:val="32"/>
          <w:szCs w:val="32"/>
        </w:rPr>
        <w:t>。</w:t>
      </w:r>
    </w:p>
    <w:p>
      <w:pPr>
        <w:pStyle w:val="2"/>
        <w:spacing w:before="93"/>
        <w:jc w:val="center"/>
      </w:pPr>
      <w:r>
        <w:rPr>
          <w:rFonts w:hint="eastAsia" w:eastAsia="仿宋"/>
          <w:color w:val="000000"/>
          <w:sz w:val="32"/>
          <w:szCs w:val="32"/>
        </w:rPr>
        <w:object>
          <v:shape id="_x0000_i1030" o:spt="75" type="#_x0000_t75" style="height:212.25pt;width:332.25pt;" o:ole="t" filled="f" o:preferrelative="t" stroked="f" coordsize="21600,21600">
            <v:path/>
            <v:fill on="f" focussize="0,0"/>
            <v:stroke on="f" joinstyle="miter"/>
            <v:imagedata r:id="rId16" o:title=""/>
            <o:lock v:ext="edit" aspectratio="t"/>
            <w10:wrap type="none"/>
            <w10:anchorlock/>
          </v:shape>
          <o:OLEObject Type="Embed" ProgID="Excel.Sheet.8" ShapeID="_x0000_i1030" DrawAspect="Content" ObjectID="_1468075729" r:id="rId15">
            <o:LockedField>false</o:LockedField>
          </o:OLEObject>
        </w:objec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（图6：一般公共预算财政拨款支出决算结构）</w:t>
      </w:r>
    </w:p>
    <w:p>
      <w:pPr>
        <w:spacing w:line="600" w:lineRule="exact"/>
        <w:ind w:firstLine="640" w:firstLineChars="200"/>
        <w:rPr>
          <w:rFonts w:ascii="仿宋" w:hAnsi="仿宋" w:eastAsia="仿宋"/>
          <w:sz w:val="32"/>
          <w:szCs w:val="32"/>
        </w:rPr>
      </w:pPr>
    </w:p>
    <w:p>
      <w:pPr>
        <w:spacing w:line="600" w:lineRule="exact"/>
        <w:ind w:firstLine="640" w:firstLineChars="200"/>
        <w:outlineLvl w:val="2"/>
        <w:rPr>
          <w:rFonts w:ascii="仿宋" w:hAnsi="仿宋" w:eastAsia="仿宋"/>
          <w:b/>
          <w:sz w:val="32"/>
          <w:szCs w:val="32"/>
        </w:rPr>
      </w:pPr>
      <w:bookmarkStart w:id="49" w:name="_Toc15377212"/>
      <w:r>
        <w:rPr>
          <w:rFonts w:hint="eastAsia" w:ascii="仿宋" w:hAnsi="仿宋" w:eastAsia="仿宋"/>
          <w:b/>
          <w:sz w:val="32"/>
          <w:szCs w:val="32"/>
        </w:rPr>
        <w:t>（三）一般公共预算财政拨款支出决算具体情况</w:t>
      </w:r>
      <w:bookmarkEnd w:id="49"/>
    </w:p>
    <w:p>
      <w:pPr>
        <w:spacing w:line="600" w:lineRule="exact"/>
        <w:ind w:firstLine="640" w:firstLineChars="200"/>
        <w:outlineLvl w:val="2"/>
        <w:rPr>
          <w:rFonts w:ascii="仿宋" w:hAnsi="仿宋" w:eastAsia="仿宋"/>
          <w:sz w:val="32"/>
          <w:szCs w:val="32"/>
        </w:rPr>
      </w:pPr>
      <w:bookmarkStart w:id="50" w:name="_Toc15377444"/>
      <w:bookmarkStart w:id="51" w:name="_Toc15377213"/>
      <w:bookmarkStart w:id="52" w:name="_Toc15378460"/>
      <w:r>
        <w:rPr>
          <w:rFonts w:hint="eastAsia" w:ascii="仿宋" w:hAnsi="仿宋" w:eastAsia="仿宋"/>
          <w:b/>
          <w:sz w:val="32"/>
          <w:szCs w:val="32"/>
        </w:rPr>
        <w:t>2021年一般公共预算支出决算数为3526.44</w:t>
      </w:r>
      <w:r>
        <w:rPr>
          <w:rFonts w:hint="eastAsia" w:ascii="仿宋" w:hAnsi="仿宋" w:eastAsia="仿宋"/>
          <w:sz w:val="32"/>
          <w:szCs w:val="32"/>
        </w:rPr>
        <w:t>，</w:t>
      </w:r>
      <w:r>
        <w:rPr>
          <w:rStyle w:val="15"/>
          <w:rFonts w:hint="eastAsia" w:ascii="仿宋" w:hAnsi="仿宋" w:eastAsia="仿宋"/>
          <w:bCs/>
          <w:sz w:val="32"/>
          <w:szCs w:val="32"/>
        </w:rPr>
        <w:t>完成预算100</w:t>
      </w:r>
      <w:r>
        <w:rPr>
          <w:rStyle w:val="15"/>
          <w:rFonts w:ascii="仿宋" w:hAnsi="仿宋" w:eastAsia="仿宋"/>
          <w:bCs/>
          <w:sz w:val="32"/>
          <w:szCs w:val="32"/>
        </w:rPr>
        <w:t>%</w:t>
      </w:r>
      <w:r>
        <w:rPr>
          <w:rStyle w:val="15"/>
          <w:rFonts w:hint="eastAsia" w:ascii="仿宋" w:hAnsi="仿宋" w:eastAsia="仿宋"/>
          <w:bCs/>
          <w:sz w:val="32"/>
          <w:szCs w:val="32"/>
        </w:rPr>
        <w:t>。其中：</w:t>
      </w:r>
      <w:bookmarkEnd w:id="50"/>
      <w:bookmarkEnd w:id="51"/>
      <w:bookmarkEnd w:id="52"/>
    </w:p>
    <w:p>
      <w:pPr>
        <w:spacing w:line="600" w:lineRule="exact"/>
        <w:ind w:firstLine="640" w:firstLineChars="200"/>
        <w:rPr>
          <w:rStyle w:val="15"/>
          <w:rFonts w:eastAsia="仿宋"/>
          <w:b w:val="0"/>
          <w:bCs/>
          <w:color w:val="000000"/>
          <w:sz w:val="32"/>
          <w:szCs w:val="32"/>
        </w:rPr>
      </w:pPr>
      <w:r>
        <w:rPr>
          <w:rStyle w:val="15"/>
          <w:rFonts w:eastAsia="仿宋"/>
          <w:bCs/>
          <w:color w:val="000000"/>
          <w:sz w:val="32"/>
          <w:szCs w:val="32"/>
        </w:rPr>
        <w:t>3.公共安全支出（类）强制隔离戒毒（款）行政运行（项）:</w:t>
      </w:r>
      <w:r>
        <w:rPr>
          <w:rStyle w:val="15"/>
          <w:rFonts w:eastAsia="仿宋"/>
          <w:b w:val="0"/>
          <w:bCs/>
          <w:color w:val="000000"/>
          <w:sz w:val="32"/>
          <w:szCs w:val="32"/>
        </w:rPr>
        <w:t xml:space="preserve"> 支出决算为</w:t>
      </w:r>
      <w:r>
        <w:rPr>
          <w:rStyle w:val="15"/>
          <w:rFonts w:hint="eastAsia" w:eastAsia="仿宋"/>
          <w:b w:val="0"/>
          <w:bCs/>
          <w:color w:val="000000"/>
          <w:sz w:val="32"/>
          <w:szCs w:val="32"/>
        </w:rPr>
        <w:t>1965.99</w:t>
      </w:r>
      <w:r>
        <w:rPr>
          <w:rStyle w:val="15"/>
          <w:rFonts w:eastAsia="仿宋"/>
          <w:b w:val="0"/>
          <w:bCs/>
          <w:color w:val="000000"/>
          <w:sz w:val="32"/>
          <w:szCs w:val="32"/>
        </w:rPr>
        <w:t>万元，完成预算100%。</w:t>
      </w:r>
    </w:p>
    <w:p>
      <w:pPr>
        <w:spacing w:line="600" w:lineRule="exact"/>
        <w:ind w:firstLine="640" w:firstLineChars="200"/>
        <w:rPr>
          <w:rStyle w:val="15"/>
          <w:rFonts w:eastAsia="仿宋"/>
          <w:b w:val="0"/>
          <w:bCs/>
          <w:color w:val="000000"/>
          <w:sz w:val="32"/>
          <w:szCs w:val="32"/>
        </w:rPr>
      </w:pPr>
      <w:r>
        <w:rPr>
          <w:rStyle w:val="15"/>
          <w:rFonts w:eastAsia="仿宋"/>
          <w:bCs/>
          <w:color w:val="000000"/>
          <w:sz w:val="32"/>
          <w:szCs w:val="32"/>
        </w:rPr>
        <w:t>4.公共安全支出（类）强制隔离戒毒（款）一般行政管理事务（项）:</w:t>
      </w:r>
      <w:r>
        <w:rPr>
          <w:rStyle w:val="15"/>
          <w:rFonts w:eastAsia="仿宋"/>
          <w:b w:val="0"/>
          <w:bCs/>
          <w:color w:val="000000"/>
          <w:sz w:val="32"/>
          <w:szCs w:val="32"/>
        </w:rPr>
        <w:t xml:space="preserve"> 支出决算为</w:t>
      </w:r>
      <w:r>
        <w:rPr>
          <w:rStyle w:val="15"/>
          <w:rFonts w:hint="eastAsia" w:eastAsia="仿宋"/>
          <w:b w:val="0"/>
          <w:bCs/>
          <w:color w:val="000000"/>
          <w:sz w:val="32"/>
          <w:szCs w:val="32"/>
        </w:rPr>
        <w:t>2.4</w:t>
      </w:r>
      <w:r>
        <w:rPr>
          <w:rStyle w:val="15"/>
          <w:rFonts w:eastAsia="仿宋"/>
          <w:b w:val="0"/>
          <w:bCs/>
          <w:color w:val="000000"/>
          <w:sz w:val="32"/>
          <w:szCs w:val="32"/>
        </w:rPr>
        <w:t>万元，完成预算100%。</w:t>
      </w:r>
    </w:p>
    <w:p>
      <w:pPr>
        <w:spacing w:line="600" w:lineRule="exact"/>
        <w:ind w:firstLine="640" w:firstLineChars="200"/>
        <w:rPr>
          <w:rStyle w:val="15"/>
          <w:rFonts w:eastAsia="仿宋"/>
          <w:b w:val="0"/>
          <w:bCs/>
          <w:color w:val="000000"/>
          <w:sz w:val="32"/>
          <w:szCs w:val="32"/>
        </w:rPr>
      </w:pPr>
      <w:r>
        <w:rPr>
          <w:rStyle w:val="15"/>
          <w:rFonts w:eastAsia="仿宋"/>
          <w:bCs/>
          <w:color w:val="000000"/>
          <w:sz w:val="32"/>
          <w:szCs w:val="32"/>
        </w:rPr>
        <w:t>8.社会保障和就业（类）行政事业单位养老支出（款）行政单位离退休（项）:</w:t>
      </w:r>
      <w:r>
        <w:rPr>
          <w:rStyle w:val="15"/>
          <w:rFonts w:eastAsia="仿宋"/>
          <w:b w:val="0"/>
          <w:bCs/>
          <w:color w:val="000000"/>
          <w:sz w:val="32"/>
          <w:szCs w:val="32"/>
        </w:rPr>
        <w:t xml:space="preserve"> 支出决算为</w:t>
      </w:r>
      <w:r>
        <w:rPr>
          <w:rStyle w:val="15"/>
          <w:rFonts w:hint="eastAsia" w:eastAsia="仿宋"/>
          <w:b w:val="0"/>
          <w:bCs/>
          <w:color w:val="000000"/>
          <w:sz w:val="32"/>
          <w:szCs w:val="32"/>
        </w:rPr>
        <w:t>115.01</w:t>
      </w:r>
      <w:r>
        <w:rPr>
          <w:rStyle w:val="15"/>
          <w:rFonts w:eastAsia="仿宋"/>
          <w:b w:val="0"/>
          <w:bCs/>
          <w:color w:val="000000"/>
          <w:sz w:val="32"/>
          <w:szCs w:val="32"/>
        </w:rPr>
        <w:t>万元，完成预算100%。</w:t>
      </w:r>
    </w:p>
    <w:p>
      <w:pPr>
        <w:spacing w:line="600" w:lineRule="exact"/>
        <w:ind w:firstLine="640" w:firstLineChars="200"/>
        <w:rPr>
          <w:rStyle w:val="15"/>
          <w:rFonts w:eastAsia="仿宋"/>
          <w:b w:val="0"/>
          <w:bCs/>
          <w:color w:val="000000"/>
          <w:sz w:val="32"/>
          <w:szCs w:val="32"/>
        </w:rPr>
      </w:pPr>
      <w:r>
        <w:rPr>
          <w:rStyle w:val="15"/>
          <w:rFonts w:eastAsia="仿宋"/>
          <w:bCs/>
          <w:color w:val="000000"/>
          <w:sz w:val="32"/>
          <w:szCs w:val="32"/>
        </w:rPr>
        <w:t>9.社会保障和就业（类）行政事业单位养老支出（款）机关事业单位基本养老保险缴费支出（项）:</w:t>
      </w:r>
      <w:r>
        <w:rPr>
          <w:rStyle w:val="15"/>
          <w:rFonts w:eastAsia="仿宋"/>
          <w:b w:val="0"/>
          <w:bCs/>
          <w:color w:val="000000"/>
          <w:sz w:val="32"/>
          <w:szCs w:val="32"/>
        </w:rPr>
        <w:t xml:space="preserve"> 支出决算为</w:t>
      </w:r>
      <w:r>
        <w:rPr>
          <w:rStyle w:val="15"/>
          <w:rFonts w:hint="eastAsia" w:eastAsia="仿宋"/>
          <w:b w:val="0"/>
          <w:bCs/>
          <w:color w:val="000000"/>
          <w:sz w:val="32"/>
          <w:szCs w:val="32"/>
        </w:rPr>
        <w:t>141.56</w:t>
      </w:r>
      <w:r>
        <w:rPr>
          <w:rStyle w:val="15"/>
          <w:rFonts w:eastAsia="仿宋"/>
          <w:b w:val="0"/>
          <w:bCs/>
          <w:color w:val="000000"/>
          <w:sz w:val="32"/>
          <w:szCs w:val="32"/>
        </w:rPr>
        <w:t>万元，完成预算100%。</w:t>
      </w:r>
    </w:p>
    <w:p>
      <w:pPr>
        <w:spacing w:line="600" w:lineRule="exact"/>
        <w:ind w:firstLine="640" w:firstLineChars="200"/>
        <w:rPr>
          <w:rStyle w:val="15"/>
          <w:rFonts w:eastAsia="仿宋"/>
          <w:b w:val="0"/>
          <w:bCs/>
          <w:color w:val="000000"/>
          <w:sz w:val="32"/>
          <w:szCs w:val="32"/>
        </w:rPr>
      </w:pPr>
      <w:r>
        <w:rPr>
          <w:rStyle w:val="15"/>
          <w:rFonts w:eastAsia="仿宋"/>
          <w:bCs/>
          <w:color w:val="000000"/>
          <w:sz w:val="32"/>
          <w:szCs w:val="32"/>
        </w:rPr>
        <w:t>10.</w:t>
      </w:r>
      <w:r>
        <w:rPr>
          <w:rStyle w:val="15"/>
          <w:rFonts w:hint="eastAsia" w:eastAsia="仿宋"/>
          <w:bCs/>
          <w:color w:val="000000"/>
          <w:sz w:val="32"/>
          <w:szCs w:val="32"/>
        </w:rPr>
        <w:t>城乡社区支出</w:t>
      </w:r>
      <w:r>
        <w:rPr>
          <w:rStyle w:val="15"/>
          <w:rFonts w:eastAsia="仿宋"/>
          <w:bCs/>
          <w:color w:val="000000"/>
          <w:sz w:val="32"/>
          <w:szCs w:val="32"/>
        </w:rPr>
        <w:t>（类）</w:t>
      </w:r>
      <w:r>
        <w:rPr>
          <w:rStyle w:val="15"/>
          <w:rFonts w:hint="eastAsia" w:eastAsia="仿宋"/>
          <w:bCs/>
          <w:color w:val="000000"/>
          <w:sz w:val="32"/>
          <w:szCs w:val="32"/>
        </w:rPr>
        <w:t>城乡社区公共设施</w:t>
      </w:r>
      <w:r>
        <w:rPr>
          <w:rStyle w:val="15"/>
          <w:rFonts w:eastAsia="仿宋"/>
          <w:bCs/>
          <w:color w:val="000000"/>
          <w:sz w:val="32"/>
          <w:szCs w:val="32"/>
        </w:rPr>
        <w:t>（款）</w:t>
      </w:r>
      <w:r>
        <w:rPr>
          <w:rStyle w:val="15"/>
          <w:rFonts w:hint="eastAsia" w:eastAsia="仿宋"/>
          <w:bCs/>
          <w:color w:val="000000"/>
          <w:sz w:val="32"/>
          <w:szCs w:val="32"/>
        </w:rPr>
        <w:t>其他城乡社区公共设施支出</w:t>
      </w:r>
      <w:r>
        <w:rPr>
          <w:rStyle w:val="15"/>
          <w:rFonts w:eastAsia="仿宋"/>
          <w:bCs/>
          <w:color w:val="000000"/>
          <w:sz w:val="32"/>
          <w:szCs w:val="32"/>
        </w:rPr>
        <w:t>（项）:</w:t>
      </w:r>
      <w:r>
        <w:rPr>
          <w:rStyle w:val="15"/>
          <w:rFonts w:eastAsia="仿宋"/>
          <w:b w:val="0"/>
          <w:bCs/>
          <w:color w:val="000000"/>
          <w:sz w:val="32"/>
          <w:szCs w:val="32"/>
        </w:rPr>
        <w:t xml:space="preserve"> 支出决算为</w:t>
      </w:r>
      <w:r>
        <w:rPr>
          <w:rStyle w:val="15"/>
          <w:rFonts w:hint="eastAsia" w:eastAsia="仿宋"/>
          <w:b w:val="0"/>
          <w:bCs/>
          <w:color w:val="000000"/>
          <w:sz w:val="32"/>
          <w:szCs w:val="32"/>
        </w:rPr>
        <w:t>1150</w:t>
      </w:r>
      <w:r>
        <w:rPr>
          <w:rStyle w:val="15"/>
          <w:rFonts w:eastAsia="仿宋"/>
          <w:b w:val="0"/>
          <w:bCs/>
          <w:color w:val="000000"/>
          <w:sz w:val="32"/>
          <w:szCs w:val="32"/>
        </w:rPr>
        <w:t>万元，完成预算100%。</w:t>
      </w:r>
    </w:p>
    <w:p>
      <w:pPr>
        <w:spacing w:line="600" w:lineRule="exact"/>
        <w:ind w:firstLine="640" w:firstLineChars="200"/>
        <w:rPr>
          <w:rFonts w:eastAsia="仿宋"/>
          <w:b/>
          <w:color w:val="000000"/>
          <w:sz w:val="32"/>
          <w:szCs w:val="32"/>
        </w:rPr>
      </w:pPr>
      <w:r>
        <w:rPr>
          <w:rStyle w:val="15"/>
          <w:rFonts w:eastAsia="仿宋"/>
          <w:bCs/>
          <w:color w:val="000000"/>
          <w:sz w:val="32"/>
          <w:szCs w:val="32"/>
        </w:rPr>
        <w:t>11.住房保障支出（类）住房改革支出（款）住房公积金（项）:</w:t>
      </w:r>
      <w:r>
        <w:rPr>
          <w:rStyle w:val="15"/>
          <w:rFonts w:eastAsia="仿宋"/>
          <w:b w:val="0"/>
          <w:bCs/>
          <w:color w:val="000000"/>
          <w:sz w:val="32"/>
          <w:szCs w:val="32"/>
        </w:rPr>
        <w:t xml:space="preserve"> 支出决算为</w:t>
      </w:r>
      <w:r>
        <w:rPr>
          <w:rStyle w:val="15"/>
          <w:rFonts w:hint="eastAsia" w:eastAsia="仿宋"/>
          <w:b w:val="0"/>
          <w:bCs/>
          <w:color w:val="000000"/>
          <w:sz w:val="32"/>
          <w:szCs w:val="32"/>
        </w:rPr>
        <w:t>151.48</w:t>
      </w:r>
      <w:r>
        <w:rPr>
          <w:rStyle w:val="15"/>
          <w:rFonts w:eastAsia="仿宋"/>
          <w:b w:val="0"/>
          <w:bCs/>
          <w:color w:val="000000"/>
          <w:sz w:val="32"/>
          <w:szCs w:val="32"/>
        </w:rPr>
        <w:t>万元，完成预算100%。</w:t>
      </w:r>
    </w:p>
    <w:p>
      <w:pPr>
        <w:spacing w:line="600" w:lineRule="exact"/>
        <w:ind w:firstLine="640"/>
        <w:rPr>
          <w:rFonts w:ascii="仿宋" w:hAnsi="仿宋" w:eastAsia="仿宋"/>
          <w:b/>
          <w:sz w:val="32"/>
          <w:szCs w:val="32"/>
        </w:rPr>
      </w:pPr>
    </w:p>
    <w:p>
      <w:pPr>
        <w:tabs>
          <w:tab w:val="right" w:pos="8306"/>
        </w:tabs>
        <w:spacing w:line="600" w:lineRule="exact"/>
        <w:ind w:firstLine="640"/>
        <w:outlineLvl w:val="1"/>
        <w:rPr>
          <w:rStyle w:val="26"/>
        </w:rPr>
      </w:pPr>
      <w:bookmarkStart w:id="53" w:name="_Toc15377214"/>
      <w:bookmarkStart w:id="54" w:name="_Toc15396608"/>
      <w:bookmarkStart w:id="55" w:name="_Toc11528"/>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6"/>
          <w:rFonts w:hint="eastAsia" w:ascii="黑体" w:hAnsi="黑体" w:eastAsia="黑体"/>
          <w:b w:val="0"/>
        </w:rPr>
        <w:t>般公共预算财政拨款基本支出决算情况说明</w:t>
      </w:r>
      <w:bookmarkEnd w:id="53"/>
      <w:bookmarkEnd w:id="54"/>
      <w:bookmarkEnd w:id="55"/>
      <w:r>
        <w:rPr>
          <w:rStyle w:val="26"/>
          <w:rFonts w:ascii="黑体" w:hAnsi="黑体" w:eastAsia="黑体"/>
          <w:b w:val="0"/>
        </w:rPr>
        <w:tab/>
      </w:r>
    </w:p>
    <w:p>
      <w:pPr>
        <w:spacing w:line="600" w:lineRule="exact"/>
        <w:ind w:firstLine="645"/>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21年一般公共预算财政拨款基本支出3526.44万元，其中：</w:t>
      </w:r>
    </w:p>
    <w:p>
      <w:pPr>
        <w:spacing w:line="600" w:lineRule="exact"/>
        <w:ind w:firstLine="645"/>
        <w:rPr>
          <w:rFonts w:ascii="仿宋" w:hAnsi="仿宋" w:eastAsia="仿宋"/>
          <w:sz w:val="32"/>
          <w:szCs w:val="32"/>
        </w:rPr>
      </w:pPr>
      <w:r>
        <w:rPr>
          <w:rFonts w:hint="eastAsia" w:ascii="仿宋" w:hAnsi="仿宋" w:eastAsia="仿宋"/>
          <w:sz w:val="32"/>
          <w:szCs w:val="32"/>
        </w:rPr>
        <w:t>人员经费2180.9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公用经费193.14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pPr>
        <w:spacing w:line="600" w:lineRule="exact"/>
        <w:ind w:firstLine="640"/>
        <w:rPr>
          <w:rFonts w:ascii="仿宋" w:hAnsi="仿宋" w:eastAsia="仿宋"/>
          <w:b/>
          <w:sz w:val="32"/>
          <w:szCs w:val="32"/>
        </w:rPr>
      </w:pPr>
    </w:p>
    <w:p>
      <w:pPr>
        <w:spacing w:line="600" w:lineRule="exact"/>
        <w:ind w:firstLine="640"/>
        <w:outlineLvl w:val="1"/>
        <w:rPr>
          <w:rStyle w:val="26"/>
          <w:rFonts w:ascii="黑体" w:hAnsi="黑体" w:eastAsia="黑体"/>
          <w:b w:val="0"/>
        </w:rPr>
      </w:pPr>
      <w:bookmarkStart w:id="56" w:name="_Toc15377215"/>
      <w:bookmarkStart w:id="57" w:name="_Toc31410"/>
      <w:bookmarkStart w:id="58" w:name="_Toc15396609"/>
      <w:r>
        <w:rPr>
          <w:rFonts w:hint="eastAsia" w:ascii="黑体" w:eastAsia="黑体"/>
          <w:sz w:val="32"/>
          <w:szCs w:val="32"/>
        </w:rPr>
        <w:t>七、</w:t>
      </w:r>
      <w:r>
        <w:rPr>
          <w:rStyle w:val="26"/>
          <w:rFonts w:hint="eastAsia" w:ascii="黑体" w:hAnsi="黑体" w:eastAsia="黑体"/>
        </w:rPr>
        <w:t>“</w:t>
      </w:r>
      <w:r>
        <w:rPr>
          <w:rStyle w:val="26"/>
          <w:rFonts w:hint="eastAsia" w:ascii="黑体" w:hAnsi="黑体" w:eastAsia="黑体"/>
          <w:b w:val="0"/>
        </w:rPr>
        <w:t>三公”经费财政拨款支出决算情况说明</w:t>
      </w:r>
      <w:bookmarkEnd w:id="56"/>
      <w:bookmarkEnd w:id="57"/>
      <w:bookmarkEnd w:id="58"/>
    </w:p>
    <w:p>
      <w:pPr>
        <w:spacing w:line="600" w:lineRule="exact"/>
        <w:ind w:firstLine="640"/>
        <w:outlineLvl w:val="2"/>
        <w:rPr>
          <w:rFonts w:ascii="仿宋" w:hAnsi="仿宋" w:eastAsia="仿宋"/>
          <w:b/>
          <w:sz w:val="32"/>
          <w:szCs w:val="32"/>
        </w:rPr>
      </w:pPr>
      <w:bookmarkStart w:id="59" w:name="_Toc15377216"/>
      <w:r>
        <w:rPr>
          <w:rFonts w:hint="eastAsia" w:ascii="仿宋" w:hAnsi="仿宋" w:eastAsia="仿宋"/>
          <w:b/>
          <w:sz w:val="32"/>
          <w:szCs w:val="32"/>
        </w:rPr>
        <w:t>（一）“三公”经费财政拨款支出决算总体情况说明</w:t>
      </w:r>
      <w:bookmarkEnd w:id="59"/>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21年“三公”经费财政拨款支出决算为4.95万元，完成预算100</w:t>
      </w:r>
      <w:r>
        <w:rPr>
          <w:rFonts w:ascii="仿宋" w:hAnsi="仿宋" w:eastAsia="仿宋"/>
          <w:sz w:val="32"/>
          <w:szCs w:val="32"/>
        </w:rPr>
        <w:t>%</w:t>
      </w:r>
      <w:r>
        <w:rPr>
          <w:rFonts w:hint="eastAsia" w:ascii="仿宋" w:hAnsi="仿宋" w:eastAsia="仿宋"/>
          <w:sz w:val="32"/>
          <w:szCs w:val="32"/>
        </w:rPr>
        <w:t>，决算数与预算数持平的主要原因是</w:t>
      </w:r>
      <w:r>
        <w:rPr>
          <w:rFonts w:eastAsia="仿宋"/>
          <w:color w:val="000000"/>
          <w:sz w:val="32"/>
          <w:szCs w:val="32"/>
        </w:rPr>
        <w:t>继续贯彻落实“中央八项规定”和省委省政府“十项规定”、以及司法部“十二项规定”精神和厉行节约要求，进一步规范因公出国（境）、公务接待、公务用车运行管理，从严控制“三公”经费开支</w:t>
      </w:r>
      <w:r>
        <w:rPr>
          <w:rFonts w:hint="eastAsia" w:ascii="仿宋" w:hAnsi="仿宋" w:eastAsia="仿宋"/>
          <w:sz w:val="32"/>
          <w:szCs w:val="32"/>
        </w:rPr>
        <w:t>。</w:t>
      </w:r>
    </w:p>
    <w:p>
      <w:pPr>
        <w:spacing w:line="600" w:lineRule="exact"/>
        <w:ind w:firstLine="640"/>
        <w:outlineLvl w:val="2"/>
        <w:rPr>
          <w:rFonts w:ascii="仿宋" w:hAnsi="仿宋" w:eastAsia="仿宋"/>
          <w:b/>
          <w:sz w:val="32"/>
          <w:szCs w:val="32"/>
        </w:rPr>
      </w:pPr>
      <w:bookmarkStart w:id="60" w:name="_Toc15377217"/>
      <w:r>
        <w:rPr>
          <w:rFonts w:hint="eastAsia" w:ascii="仿宋" w:hAnsi="仿宋" w:eastAsia="仿宋"/>
          <w:b/>
          <w:sz w:val="32"/>
          <w:szCs w:val="32"/>
        </w:rPr>
        <w:t>（二）“三公”经费财政拨款支出决算具体情况说明</w:t>
      </w:r>
      <w:bookmarkEnd w:id="60"/>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21年“三公”经费财政拨款支出决算中，因公出国（境）费支出决算0万元，占0</w:t>
      </w:r>
      <w:r>
        <w:rPr>
          <w:rFonts w:ascii="仿宋" w:hAnsi="仿宋" w:eastAsia="仿宋"/>
          <w:sz w:val="32"/>
          <w:szCs w:val="32"/>
        </w:rPr>
        <w:t>%</w:t>
      </w:r>
      <w:r>
        <w:rPr>
          <w:rFonts w:hint="eastAsia" w:ascii="仿宋" w:hAnsi="仿宋" w:eastAsia="仿宋"/>
          <w:sz w:val="32"/>
          <w:szCs w:val="32"/>
        </w:rPr>
        <w:t>；公务用车购置及运行维护费支出决算4.63万元，占93.54</w:t>
      </w:r>
      <w:r>
        <w:rPr>
          <w:rFonts w:ascii="仿宋" w:hAnsi="仿宋" w:eastAsia="仿宋"/>
          <w:sz w:val="32"/>
          <w:szCs w:val="32"/>
        </w:rPr>
        <w:t>%</w:t>
      </w:r>
      <w:r>
        <w:rPr>
          <w:rFonts w:hint="eastAsia" w:ascii="仿宋" w:hAnsi="仿宋" w:eastAsia="仿宋"/>
          <w:sz w:val="32"/>
          <w:szCs w:val="32"/>
        </w:rPr>
        <w:t>；公务接待费支出决算0.32万元，占6.46</w:t>
      </w:r>
      <w:r>
        <w:rPr>
          <w:rFonts w:ascii="仿宋" w:hAnsi="仿宋" w:eastAsia="仿宋"/>
          <w:sz w:val="32"/>
          <w:szCs w:val="32"/>
        </w:rPr>
        <w:t>%</w:t>
      </w:r>
      <w:r>
        <w:rPr>
          <w:rFonts w:hint="eastAsia" w:ascii="仿宋" w:hAnsi="仿宋" w:eastAsia="仿宋"/>
          <w:sz w:val="32"/>
          <w:szCs w:val="32"/>
        </w:rPr>
        <w:t>。具体情况如下：</w:t>
      </w:r>
    </w:p>
    <w:p>
      <w:pPr>
        <w:pStyle w:val="2"/>
        <w:spacing w:before="93"/>
        <w:jc w:val="center"/>
        <w:rPr>
          <w:rFonts w:ascii="仿宋" w:hAnsi="仿宋" w:eastAsia="仿宋"/>
          <w:sz w:val="32"/>
          <w:szCs w:val="32"/>
        </w:rPr>
      </w:pPr>
      <w:r>
        <w:rPr>
          <w:rFonts w:hint="eastAsia" w:eastAsia="仿宋"/>
          <w:color w:val="000000"/>
          <w:sz w:val="32"/>
          <w:szCs w:val="32"/>
        </w:rPr>
        <w:object>
          <v:shape id="_x0000_i1031" o:spt="75" type="#_x0000_t75" style="height:233.25pt;width:312pt;" o:ole="t" filled="f" o:preferrelative="t" stroked="f" coordsize="21600,21600">
            <v:path/>
            <v:fill on="f" focussize="0,0"/>
            <v:stroke on="f" joinstyle="miter"/>
            <v:imagedata r:id="rId18" o:title=""/>
            <o:lock v:ext="edit" aspectratio="t"/>
            <w10:wrap type="none"/>
            <w10:anchorlock/>
          </v:shape>
          <o:OLEObject Type="Embed" ProgID="Excel.Sheet.8" ShapeID="_x0000_i1031" DrawAspect="Content" ObjectID="_1468075730" r:id="rId17">
            <o:LockedField>false</o:LockedField>
          </o:OLEObject>
        </w:object>
      </w:r>
    </w:p>
    <w:p>
      <w:pPr>
        <w:spacing w:line="600" w:lineRule="exact"/>
        <w:ind w:firstLine="640"/>
        <w:jc w:val="center"/>
        <w:rPr>
          <w:rFonts w:ascii="仿宋" w:hAnsi="仿宋" w:eastAsia="仿宋"/>
          <w:sz w:val="32"/>
          <w:szCs w:val="32"/>
        </w:rPr>
      </w:pPr>
      <w:r>
        <w:rPr>
          <w:rFonts w:hint="eastAsia" w:ascii="仿宋" w:hAnsi="仿宋" w:eastAsia="仿宋"/>
          <w:sz w:val="32"/>
          <w:szCs w:val="32"/>
        </w:rPr>
        <w:t>（图7：“三公”经费财政拨款支出结构）</w:t>
      </w:r>
    </w:p>
    <w:p>
      <w:pPr>
        <w:spacing w:line="600" w:lineRule="exact"/>
        <w:ind w:firstLine="640"/>
        <w:rPr>
          <w:rFonts w:ascii="仿宋_GB2312" w:eastAsia="仿宋_GB2312"/>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rFonts w:hint="eastAsia" w:ascii="仿宋_GB2312" w:eastAsia="仿宋_GB2312"/>
          <w:sz w:val="32"/>
          <w:szCs w:val="32"/>
        </w:rPr>
        <w:t>0万元，</w:t>
      </w:r>
      <w:r>
        <w:rPr>
          <w:rStyle w:val="15"/>
          <w:rFonts w:hint="eastAsia" w:ascii="仿宋" w:hAnsi="仿宋" w:eastAsia="仿宋"/>
          <w:b w:val="0"/>
          <w:bCs/>
          <w:sz w:val="32"/>
          <w:szCs w:val="32"/>
        </w:rPr>
        <w:t>完成预算0</w:t>
      </w:r>
      <w:r>
        <w:rPr>
          <w:rStyle w:val="15"/>
          <w:rFonts w:ascii="仿宋" w:hAnsi="仿宋" w:eastAsia="仿宋"/>
          <w:b w:val="0"/>
          <w:bCs/>
          <w:sz w:val="32"/>
          <w:szCs w:val="32"/>
        </w:rPr>
        <w:t>%</w:t>
      </w:r>
      <w:r>
        <w:rPr>
          <w:rStyle w:val="15"/>
          <w:rFonts w:hint="eastAsia" w:ascii="仿宋" w:hAnsi="仿宋" w:eastAsia="仿宋"/>
          <w:b w:val="0"/>
          <w:bCs/>
          <w:sz w:val="32"/>
          <w:szCs w:val="32"/>
        </w:rPr>
        <w:t>。</w:t>
      </w:r>
      <w:r>
        <w:rPr>
          <w:rFonts w:hint="eastAsia" w:ascii="仿宋_GB2312" w:eastAsia="仿宋_GB2312"/>
          <w:sz w:val="32"/>
          <w:szCs w:val="32"/>
        </w:rPr>
        <w:t>全年安排因公出国（境）团组0次，出国（境）0人。</w:t>
      </w:r>
    </w:p>
    <w:p>
      <w:pPr>
        <w:spacing w:line="600" w:lineRule="exact"/>
        <w:ind w:firstLine="640"/>
        <w:rPr>
          <w:rFonts w:eastAsia="仿宋_GB2312"/>
          <w:b/>
          <w:color w:val="000000"/>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hint="eastAsia" w:ascii="仿宋_GB2312" w:eastAsia="仿宋_GB2312"/>
          <w:sz w:val="32"/>
          <w:szCs w:val="32"/>
        </w:rPr>
        <w:t>4.63万元,</w:t>
      </w:r>
      <w:r>
        <w:rPr>
          <w:rStyle w:val="15"/>
          <w:rFonts w:hint="eastAsia" w:ascii="仿宋" w:hAnsi="仿宋" w:eastAsia="仿宋"/>
          <w:b w:val="0"/>
          <w:bCs/>
          <w:sz w:val="32"/>
          <w:szCs w:val="32"/>
        </w:rPr>
        <w:t>完成预算100</w:t>
      </w:r>
      <w:r>
        <w:rPr>
          <w:rStyle w:val="15"/>
          <w:rFonts w:ascii="仿宋" w:hAnsi="仿宋" w:eastAsia="仿宋"/>
          <w:b w:val="0"/>
          <w:bCs/>
          <w:sz w:val="32"/>
          <w:szCs w:val="32"/>
        </w:rPr>
        <w:t>%</w:t>
      </w:r>
      <w:r>
        <w:rPr>
          <w:rStyle w:val="15"/>
          <w:rFonts w:hint="eastAsia" w:ascii="仿宋" w:hAnsi="仿宋" w:eastAsia="仿宋"/>
          <w:b w:val="0"/>
          <w:bCs/>
          <w:sz w:val="32"/>
          <w:szCs w:val="32"/>
        </w:rPr>
        <w:t>。</w:t>
      </w:r>
      <w:r>
        <w:rPr>
          <w:rFonts w:hint="eastAsia" w:ascii="仿宋_GB2312" w:eastAsia="仿宋_GB2312"/>
          <w:sz w:val="32"/>
          <w:szCs w:val="32"/>
        </w:rPr>
        <w:t>公务用车购置及运行维护费支出决算比</w:t>
      </w:r>
      <w:r>
        <w:rPr>
          <w:rFonts w:ascii="仿宋_GB2312" w:eastAsia="仿宋_GB2312"/>
          <w:sz w:val="32"/>
          <w:szCs w:val="32"/>
        </w:rPr>
        <w:t>20</w:t>
      </w:r>
      <w:r>
        <w:rPr>
          <w:rFonts w:hint="eastAsia" w:ascii="仿宋_GB2312" w:eastAsia="仿宋_GB2312"/>
          <w:sz w:val="32"/>
          <w:szCs w:val="32"/>
        </w:rPr>
        <w:t>20年减少0.15万元，下降3.14</w:t>
      </w:r>
      <w:r>
        <w:rPr>
          <w:rFonts w:ascii="仿宋_GB2312" w:eastAsia="仿宋_GB2312"/>
          <w:sz w:val="32"/>
          <w:szCs w:val="32"/>
        </w:rPr>
        <w:t>%</w:t>
      </w:r>
      <w:r>
        <w:rPr>
          <w:rFonts w:hint="eastAsia" w:ascii="仿宋_GB2312" w:eastAsia="仿宋_GB2312"/>
          <w:sz w:val="32"/>
          <w:szCs w:val="32"/>
        </w:rPr>
        <w:t>。主要原因是</w:t>
      </w:r>
      <w:r>
        <w:rPr>
          <w:rFonts w:eastAsia="仿宋_GB2312"/>
          <w:color w:val="000000"/>
          <w:sz w:val="32"/>
          <w:szCs w:val="32"/>
        </w:rPr>
        <w:t>加强了执法执勤车辆管理，严格规范用车手续，加强车辆的日常保养及维护，有效地降低了车辆运行维护费用。</w:t>
      </w:r>
    </w:p>
    <w:p>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hint="eastAsia" w:ascii="仿宋_GB2312" w:eastAsia="仿宋_GB2312"/>
          <w:sz w:val="32"/>
          <w:szCs w:val="32"/>
        </w:rPr>
        <w:t>0万元。全年按规定更新购置公务用车0辆。截至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月底，</w:t>
      </w:r>
      <w:r>
        <w:rPr>
          <w:rFonts w:eastAsia="仿宋_GB2312"/>
          <w:color w:val="000000"/>
          <w:sz w:val="32"/>
          <w:szCs w:val="32"/>
        </w:rPr>
        <w:t>单位共有公务用车4辆，其中：轿车2辆、越野车1辆、载客汽车1辆</w:t>
      </w:r>
      <w:r>
        <w:rPr>
          <w:rFonts w:hint="eastAsia" w:ascii="仿宋_GB2312" w:eastAsia="仿宋_GB2312"/>
          <w:sz w:val="32"/>
          <w:szCs w:val="32"/>
        </w:rPr>
        <w:t>。</w:t>
      </w:r>
    </w:p>
    <w:p>
      <w:pPr>
        <w:spacing w:line="600" w:lineRule="exact"/>
        <w:ind w:firstLine="640"/>
        <w:rPr>
          <w:rFonts w:ascii="仿宋_GB2312" w:eastAsia="仿宋_GB2312"/>
          <w:sz w:val="32"/>
          <w:szCs w:val="32"/>
        </w:rPr>
      </w:pPr>
      <w:r>
        <w:rPr>
          <w:rFonts w:hint="eastAsia" w:ascii="仿宋_GB2312" w:eastAsia="仿宋_GB2312"/>
          <w:b/>
          <w:sz w:val="32"/>
          <w:szCs w:val="32"/>
        </w:rPr>
        <w:t>公务用车运行维护费支出</w:t>
      </w:r>
      <w:r>
        <w:rPr>
          <w:rFonts w:hint="eastAsia" w:ascii="仿宋_GB2312" w:eastAsia="仿宋_GB2312"/>
          <w:sz w:val="32"/>
          <w:szCs w:val="32"/>
        </w:rPr>
        <w:t>4.63万元。主要用于</w:t>
      </w:r>
      <w:r>
        <w:rPr>
          <w:rFonts w:eastAsia="仿宋_GB2312"/>
          <w:color w:val="000000"/>
          <w:sz w:val="32"/>
          <w:szCs w:val="32"/>
        </w:rPr>
        <w:t>单位执行公务活动、普法禁毒戒毒宣传、对口帮扶慰问</w:t>
      </w:r>
      <w:r>
        <w:rPr>
          <w:rFonts w:hint="eastAsia" w:eastAsia="仿宋_GB2312"/>
          <w:color w:val="000000"/>
          <w:sz w:val="32"/>
          <w:szCs w:val="32"/>
        </w:rPr>
        <w:t>、森林防火督导</w:t>
      </w:r>
      <w:r>
        <w:rPr>
          <w:rFonts w:eastAsia="仿宋_GB2312"/>
          <w:color w:val="000000"/>
          <w:sz w:val="32"/>
          <w:szCs w:val="32"/>
        </w:rPr>
        <w:t>等所需的公务用车燃料费、维修费、过路过桥费、保险费等支出</w:t>
      </w:r>
      <w:r>
        <w:rPr>
          <w:rFonts w:hint="eastAsia" w:ascii="仿宋_GB2312" w:eastAsia="仿宋_GB2312"/>
          <w:sz w:val="32"/>
          <w:szCs w:val="32"/>
        </w:rPr>
        <w:t>。</w:t>
      </w:r>
    </w:p>
    <w:p>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_GB2312" w:eastAsia="仿宋_GB2312"/>
          <w:sz w:val="32"/>
          <w:szCs w:val="32"/>
        </w:rPr>
        <w:t>0.32万元，</w:t>
      </w:r>
      <w:r>
        <w:rPr>
          <w:rStyle w:val="15"/>
          <w:rFonts w:hint="eastAsia" w:ascii="仿宋" w:hAnsi="仿宋" w:eastAsia="仿宋"/>
          <w:b w:val="0"/>
          <w:bCs/>
          <w:sz w:val="32"/>
          <w:szCs w:val="32"/>
        </w:rPr>
        <w:t>完成预算100</w:t>
      </w:r>
      <w:r>
        <w:rPr>
          <w:rStyle w:val="15"/>
          <w:rFonts w:ascii="仿宋" w:hAnsi="仿宋" w:eastAsia="仿宋"/>
          <w:b w:val="0"/>
          <w:bCs/>
          <w:sz w:val="32"/>
          <w:szCs w:val="32"/>
        </w:rPr>
        <w:t>%</w:t>
      </w:r>
      <w:r>
        <w:rPr>
          <w:rStyle w:val="15"/>
          <w:rFonts w:hint="eastAsia" w:ascii="仿宋" w:hAnsi="仿宋" w:eastAsia="仿宋"/>
          <w:b w:val="0"/>
          <w:bCs/>
          <w:sz w:val="32"/>
          <w:szCs w:val="32"/>
        </w:rPr>
        <w:t>。</w:t>
      </w:r>
      <w:r>
        <w:rPr>
          <w:rFonts w:hint="eastAsia" w:ascii="仿宋_GB2312" w:eastAsia="仿宋_GB2312"/>
          <w:sz w:val="32"/>
          <w:szCs w:val="32"/>
        </w:rPr>
        <w:t>公务接待费支出决算比</w:t>
      </w:r>
      <w:r>
        <w:rPr>
          <w:rFonts w:ascii="仿宋_GB2312" w:eastAsia="仿宋_GB2312"/>
          <w:sz w:val="32"/>
          <w:szCs w:val="32"/>
        </w:rPr>
        <w:t>20</w:t>
      </w:r>
      <w:r>
        <w:rPr>
          <w:rFonts w:hint="eastAsia" w:ascii="仿宋_GB2312" w:eastAsia="仿宋_GB2312"/>
          <w:sz w:val="32"/>
          <w:szCs w:val="32"/>
        </w:rPr>
        <w:t>20年增加0.14万元，增长77.78</w:t>
      </w:r>
      <w:r>
        <w:rPr>
          <w:rFonts w:ascii="仿宋_GB2312" w:eastAsia="仿宋_GB2312"/>
          <w:sz w:val="32"/>
          <w:szCs w:val="32"/>
        </w:rPr>
        <w:t>%</w:t>
      </w:r>
      <w:r>
        <w:rPr>
          <w:rFonts w:hint="eastAsia" w:ascii="仿宋_GB2312" w:eastAsia="仿宋_GB2312"/>
          <w:sz w:val="32"/>
          <w:szCs w:val="32"/>
        </w:rPr>
        <w:t>。主要原因是2021年上级主管部门来攀专项督察次数较2020年有所增加，致使公务接待费有所增加。其中：</w:t>
      </w:r>
    </w:p>
    <w:p>
      <w:pPr>
        <w:spacing w:line="600" w:lineRule="exact"/>
        <w:ind w:firstLine="640"/>
        <w:rPr>
          <w:rFonts w:eastAsia="仿宋_GB2312"/>
          <w:sz w:val="32"/>
          <w:szCs w:val="32"/>
        </w:rPr>
      </w:pPr>
      <w:bookmarkStart w:id="61" w:name="_Toc15396610"/>
      <w:bookmarkStart w:id="62" w:name="_Toc15377218"/>
      <w:r>
        <w:rPr>
          <w:rFonts w:eastAsia="仿宋"/>
          <w:b/>
          <w:sz w:val="32"/>
          <w:szCs w:val="32"/>
        </w:rPr>
        <w:t>国内公务接待支出</w:t>
      </w:r>
      <w:r>
        <w:rPr>
          <w:rFonts w:hint="eastAsia" w:eastAsia="仿宋"/>
          <w:sz w:val="32"/>
          <w:szCs w:val="32"/>
        </w:rPr>
        <w:t>0.32</w:t>
      </w:r>
      <w:r>
        <w:rPr>
          <w:rFonts w:eastAsia="仿宋_GB2312"/>
          <w:sz w:val="32"/>
          <w:szCs w:val="32"/>
        </w:rPr>
        <w:t>万元，主要用于执行公务、开展业务活动开支的交通费、住宿费、用餐费等。国内公务接待</w:t>
      </w:r>
      <w:r>
        <w:rPr>
          <w:rFonts w:hint="eastAsia" w:eastAsia="仿宋_GB2312"/>
          <w:sz w:val="32"/>
          <w:szCs w:val="32"/>
        </w:rPr>
        <w:t>4</w:t>
      </w:r>
      <w:r>
        <w:rPr>
          <w:rFonts w:eastAsia="仿宋_GB2312"/>
          <w:sz w:val="32"/>
          <w:szCs w:val="32"/>
        </w:rPr>
        <w:t>批次，</w:t>
      </w:r>
      <w:r>
        <w:rPr>
          <w:rFonts w:hint="eastAsia" w:eastAsia="仿宋_GB2312"/>
          <w:sz w:val="32"/>
          <w:szCs w:val="32"/>
        </w:rPr>
        <w:t>15</w:t>
      </w:r>
      <w:r>
        <w:rPr>
          <w:rFonts w:eastAsia="仿宋_GB2312"/>
          <w:sz w:val="32"/>
          <w:szCs w:val="32"/>
        </w:rPr>
        <w:t>人次（不包括陪同人员），共计支出0.</w:t>
      </w:r>
      <w:r>
        <w:rPr>
          <w:rFonts w:hint="eastAsia" w:eastAsia="仿宋_GB2312"/>
          <w:sz w:val="32"/>
          <w:szCs w:val="32"/>
        </w:rPr>
        <w:t>32</w:t>
      </w:r>
      <w:r>
        <w:rPr>
          <w:rFonts w:eastAsia="仿宋_GB2312"/>
          <w:sz w:val="32"/>
          <w:szCs w:val="32"/>
        </w:rPr>
        <w:t>万元，具体内容包括：</w:t>
      </w:r>
    </w:p>
    <w:p>
      <w:pPr>
        <w:spacing w:line="600" w:lineRule="exact"/>
        <w:ind w:firstLine="640"/>
        <w:rPr>
          <w:rFonts w:eastAsia="仿宋_GB2312"/>
          <w:sz w:val="32"/>
          <w:szCs w:val="32"/>
        </w:rPr>
      </w:pPr>
      <w:r>
        <w:rPr>
          <w:rFonts w:eastAsia="仿宋_GB2312"/>
          <w:sz w:val="32"/>
          <w:szCs w:val="32"/>
        </w:rPr>
        <w:t>（1）接待省戒毒管理局领导一行8人来所开展工作调研，用餐费0.18万元。</w:t>
      </w:r>
    </w:p>
    <w:p>
      <w:pPr>
        <w:spacing w:line="600" w:lineRule="exact"/>
        <w:ind w:firstLine="640"/>
        <w:rPr>
          <w:rFonts w:eastAsia="仿宋_GB2312"/>
          <w:sz w:val="32"/>
          <w:szCs w:val="32"/>
        </w:rPr>
      </w:pPr>
      <w:r>
        <w:rPr>
          <w:rFonts w:eastAsia="仿宋_GB2312"/>
          <w:sz w:val="32"/>
          <w:szCs w:val="32"/>
        </w:rPr>
        <w:t>（2）接待省戒毒管理局领导一行2人来所检查调研队伍教育整顿，用餐费0.06万元。</w:t>
      </w:r>
    </w:p>
    <w:p>
      <w:pPr>
        <w:pStyle w:val="2"/>
        <w:spacing w:before="93"/>
        <w:ind w:firstLine="640" w:firstLineChars="200"/>
        <w:rPr>
          <w:rFonts w:ascii="Times New Roman"/>
          <w:sz w:val="32"/>
          <w:szCs w:val="32"/>
        </w:rPr>
      </w:pPr>
      <w:r>
        <w:rPr>
          <w:rFonts w:ascii="Times New Roman"/>
          <w:sz w:val="32"/>
          <w:szCs w:val="32"/>
        </w:rPr>
        <w:t>（3）接待省司法厅第八定点联系组一行2人来所检查调研教育整顿工作，用餐费0.03万元。</w:t>
      </w:r>
    </w:p>
    <w:p>
      <w:pPr>
        <w:pStyle w:val="2"/>
        <w:spacing w:before="93"/>
        <w:ind w:firstLine="640" w:firstLineChars="200"/>
        <w:rPr>
          <w:color w:val="FF0000"/>
          <w:sz w:val="32"/>
          <w:szCs w:val="32"/>
        </w:rPr>
      </w:pPr>
      <w:r>
        <w:rPr>
          <w:rFonts w:ascii="Times New Roman"/>
          <w:sz w:val="32"/>
          <w:szCs w:val="32"/>
        </w:rPr>
        <w:t>（4）接待省司法厅第三检查组一行3人来所开展公务枪弹检查，用餐费0.05万元。</w:t>
      </w:r>
    </w:p>
    <w:p>
      <w:pPr>
        <w:spacing w:line="600" w:lineRule="exact"/>
        <w:ind w:firstLine="640" w:firstLineChars="200"/>
        <w:rPr>
          <w:rFonts w:eastAsia="仿宋_GB2312"/>
          <w:sz w:val="32"/>
          <w:szCs w:val="32"/>
        </w:rPr>
      </w:pPr>
      <w:r>
        <w:rPr>
          <w:rFonts w:eastAsia="仿宋"/>
          <w:b/>
          <w:sz w:val="32"/>
          <w:szCs w:val="32"/>
        </w:rPr>
        <w:t>外事接待支出</w:t>
      </w:r>
      <w:r>
        <w:rPr>
          <w:rFonts w:eastAsia="仿宋"/>
          <w:sz w:val="32"/>
          <w:szCs w:val="32"/>
        </w:rPr>
        <w:t>0</w:t>
      </w:r>
      <w:r>
        <w:rPr>
          <w:rFonts w:eastAsia="仿宋_GB2312"/>
          <w:sz w:val="32"/>
          <w:szCs w:val="32"/>
        </w:rPr>
        <w:t>万元，外事接待0批次，0人，共计支出0万元。</w:t>
      </w:r>
    </w:p>
    <w:p>
      <w:pPr>
        <w:spacing w:line="600" w:lineRule="exact"/>
        <w:ind w:firstLine="640"/>
        <w:rPr>
          <w:rFonts w:ascii="黑体" w:eastAsia="黑体"/>
          <w:sz w:val="32"/>
          <w:szCs w:val="32"/>
        </w:rPr>
      </w:pPr>
    </w:p>
    <w:p>
      <w:pPr>
        <w:spacing w:line="600" w:lineRule="exact"/>
        <w:ind w:firstLine="640"/>
        <w:outlineLvl w:val="1"/>
        <w:rPr>
          <w:rStyle w:val="26"/>
          <w:rFonts w:ascii="黑体" w:hAnsi="黑体" w:eastAsia="黑体"/>
        </w:rPr>
      </w:pPr>
      <w:bookmarkStart w:id="63" w:name="_Toc15429"/>
      <w:r>
        <w:rPr>
          <w:rFonts w:hint="eastAsia" w:ascii="黑体" w:eastAsia="黑体"/>
          <w:sz w:val="32"/>
          <w:szCs w:val="32"/>
        </w:rPr>
        <w:t>八、</w:t>
      </w:r>
      <w:r>
        <w:rPr>
          <w:rStyle w:val="26"/>
          <w:rFonts w:hint="eastAsia" w:ascii="黑体" w:hAnsi="黑体" w:eastAsia="黑体"/>
          <w:b w:val="0"/>
        </w:rPr>
        <w:t>政府性基金预算支出决算情况说明</w:t>
      </w:r>
      <w:bookmarkEnd w:id="61"/>
      <w:bookmarkEnd w:id="62"/>
      <w:bookmarkEnd w:id="63"/>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21年政府性基金预算财政拨款支出0万元。</w:t>
      </w:r>
    </w:p>
    <w:p>
      <w:pPr>
        <w:spacing w:line="600" w:lineRule="exact"/>
        <w:ind w:firstLine="640"/>
        <w:rPr>
          <w:rFonts w:ascii="仿宋_GB2312" w:eastAsia="仿宋_GB2312"/>
          <w:sz w:val="32"/>
          <w:szCs w:val="32"/>
        </w:rPr>
      </w:pPr>
    </w:p>
    <w:p>
      <w:pPr>
        <w:numPr>
          <w:ilvl w:val="0"/>
          <w:numId w:val="2"/>
        </w:numPr>
        <w:spacing w:line="600" w:lineRule="exact"/>
        <w:ind w:firstLine="640"/>
        <w:outlineLvl w:val="1"/>
        <w:rPr>
          <w:rStyle w:val="26"/>
          <w:rFonts w:ascii="黑体" w:hAnsi="黑体" w:eastAsia="黑体"/>
          <w:b w:val="0"/>
        </w:rPr>
      </w:pPr>
      <w:bookmarkStart w:id="64" w:name="_Toc15377219"/>
      <w:bookmarkStart w:id="65" w:name="_Toc22343"/>
      <w:bookmarkStart w:id="66" w:name="_Toc15396611"/>
      <w:r>
        <w:rPr>
          <w:rStyle w:val="26"/>
          <w:rFonts w:hint="eastAsia" w:ascii="黑体" w:hAnsi="黑体" w:eastAsia="黑体"/>
          <w:b w:val="0"/>
        </w:rPr>
        <w:t>国有资本经营预算支出决算情况说明</w:t>
      </w:r>
      <w:bookmarkEnd w:id="64"/>
      <w:bookmarkEnd w:id="65"/>
      <w:bookmarkEnd w:id="66"/>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21年国有资本经营预算财政拨款支出0万元。</w:t>
      </w:r>
    </w:p>
    <w:p>
      <w:pPr>
        <w:spacing w:line="580" w:lineRule="exact"/>
        <w:jc w:val="center"/>
        <w:rPr>
          <w:rFonts w:ascii="方正小标宋简体" w:hAnsi="方正小标宋简体" w:eastAsia="方正小标宋简体" w:cs="方正小标宋简体"/>
          <w:sz w:val="44"/>
          <w:szCs w:val="44"/>
        </w:rPr>
      </w:pPr>
    </w:p>
    <w:p>
      <w:pPr>
        <w:numPr>
          <w:ilvl w:val="0"/>
          <w:numId w:val="2"/>
        </w:numPr>
        <w:spacing w:line="600" w:lineRule="exact"/>
        <w:ind w:firstLine="640"/>
        <w:outlineLvl w:val="1"/>
        <w:rPr>
          <w:rStyle w:val="26"/>
          <w:rFonts w:ascii="黑体" w:hAnsi="黑体" w:eastAsia="黑体"/>
          <w:b w:val="0"/>
        </w:rPr>
      </w:pPr>
      <w:bookmarkStart w:id="67" w:name="_Toc15396612"/>
      <w:bookmarkStart w:id="68" w:name="_Toc15377221"/>
      <w:bookmarkStart w:id="69" w:name="_Toc2235"/>
      <w:r>
        <w:rPr>
          <w:rStyle w:val="26"/>
          <w:rFonts w:hint="eastAsia" w:ascii="黑体" w:hAnsi="黑体" w:eastAsia="黑体"/>
          <w:b w:val="0"/>
        </w:rPr>
        <w:t>其他重要事项的情况说明</w:t>
      </w:r>
      <w:bookmarkEnd w:id="67"/>
      <w:bookmarkEnd w:id="68"/>
      <w:bookmarkEnd w:id="69"/>
    </w:p>
    <w:p>
      <w:pPr>
        <w:spacing w:line="600" w:lineRule="exact"/>
        <w:ind w:firstLine="640" w:firstLineChars="200"/>
        <w:outlineLvl w:val="2"/>
        <w:rPr>
          <w:rFonts w:ascii="仿宋" w:hAnsi="仿宋" w:eastAsia="仿宋"/>
          <w:sz w:val="32"/>
          <w:szCs w:val="32"/>
        </w:rPr>
      </w:pPr>
      <w:bookmarkStart w:id="70" w:name="_Toc15377222"/>
      <w:r>
        <w:rPr>
          <w:rFonts w:hint="eastAsia" w:ascii="仿宋" w:hAnsi="仿宋" w:eastAsia="仿宋"/>
          <w:b/>
          <w:sz w:val="32"/>
          <w:szCs w:val="32"/>
        </w:rPr>
        <w:t>（一）机关运行经费支出情况</w:t>
      </w:r>
      <w:bookmarkEnd w:id="70"/>
    </w:p>
    <w:p>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w:t>
      </w:r>
      <w:r>
        <w:rPr>
          <w:rFonts w:eastAsia="仿宋_GB2312"/>
          <w:sz w:val="32"/>
          <w:szCs w:val="32"/>
        </w:rPr>
        <w:t>攀枝花市强制隔离戒毒所</w:t>
      </w:r>
      <w:r>
        <w:rPr>
          <w:rFonts w:hint="eastAsia" w:ascii="仿宋_GB2312" w:eastAsia="仿宋_GB2312"/>
          <w:sz w:val="32"/>
          <w:szCs w:val="32"/>
        </w:rPr>
        <w:t>机关运行经费支出193.13万元，比</w:t>
      </w:r>
      <w:r>
        <w:rPr>
          <w:rFonts w:ascii="仿宋_GB2312" w:eastAsia="仿宋_GB2312"/>
          <w:sz w:val="32"/>
          <w:szCs w:val="32"/>
        </w:rPr>
        <w:t>20</w:t>
      </w:r>
      <w:r>
        <w:rPr>
          <w:rFonts w:hint="eastAsia" w:ascii="仿宋_GB2312" w:eastAsia="仿宋_GB2312"/>
          <w:sz w:val="32"/>
          <w:szCs w:val="32"/>
        </w:rPr>
        <w:t>20年增加29.86万元，增长18.28</w:t>
      </w:r>
      <w:r>
        <w:rPr>
          <w:rFonts w:ascii="仿宋_GB2312" w:eastAsia="仿宋_GB2312"/>
          <w:sz w:val="32"/>
          <w:szCs w:val="32"/>
        </w:rPr>
        <w:t>%</w:t>
      </w:r>
      <w:r>
        <w:rPr>
          <w:rFonts w:hint="eastAsia" w:ascii="仿宋_GB2312" w:eastAsia="仿宋_GB2312"/>
          <w:sz w:val="32"/>
          <w:szCs w:val="32"/>
        </w:rPr>
        <w:t>。主要原因是因业务工作需要增加了行政经费开支。</w:t>
      </w:r>
    </w:p>
    <w:p>
      <w:pPr>
        <w:autoSpaceDE w:val="0"/>
        <w:autoSpaceDN w:val="0"/>
        <w:adjustRightInd w:val="0"/>
        <w:spacing w:line="600" w:lineRule="exact"/>
        <w:ind w:firstLine="640" w:firstLineChars="200"/>
        <w:jc w:val="left"/>
        <w:outlineLvl w:val="2"/>
        <w:rPr>
          <w:rFonts w:ascii="仿宋" w:hAnsi="仿宋" w:eastAsia="仿宋"/>
          <w:b/>
          <w:sz w:val="32"/>
          <w:szCs w:val="32"/>
        </w:rPr>
      </w:pPr>
      <w:bookmarkStart w:id="71" w:name="_Toc15377223"/>
      <w:r>
        <w:rPr>
          <w:rFonts w:hint="eastAsia" w:ascii="仿宋" w:hAnsi="仿宋" w:eastAsia="仿宋"/>
          <w:b/>
          <w:sz w:val="32"/>
          <w:szCs w:val="32"/>
        </w:rPr>
        <w:t>（二）政府采购支出情况</w:t>
      </w:r>
      <w:bookmarkEnd w:id="71"/>
    </w:p>
    <w:p>
      <w:pPr>
        <w:spacing w:line="600" w:lineRule="exact"/>
        <w:ind w:firstLine="640" w:firstLineChars="200"/>
        <w:rPr>
          <w:rFonts w:eastAsia="仿宋_GB2312"/>
          <w:color w:val="000000"/>
          <w:sz w:val="32"/>
          <w:szCs w:val="32"/>
        </w:rPr>
      </w:pPr>
      <w:r>
        <w:rPr>
          <w:rFonts w:ascii="仿宋_GB2312" w:eastAsia="仿宋_GB2312"/>
          <w:sz w:val="32"/>
          <w:szCs w:val="32"/>
        </w:rPr>
        <w:t>20</w:t>
      </w:r>
      <w:r>
        <w:rPr>
          <w:rFonts w:hint="eastAsia" w:ascii="仿宋_GB2312" w:eastAsia="仿宋_GB2312"/>
          <w:sz w:val="32"/>
          <w:szCs w:val="32"/>
        </w:rPr>
        <w:t>21年，</w:t>
      </w:r>
      <w:r>
        <w:rPr>
          <w:rFonts w:eastAsia="仿宋_GB2312"/>
          <w:color w:val="000000"/>
          <w:sz w:val="32"/>
          <w:szCs w:val="32"/>
        </w:rPr>
        <w:t>攀枝花市强制隔离戒毒所政府采购支出总额0万元。</w:t>
      </w:r>
    </w:p>
    <w:p>
      <w:pPr>
        <w:autoSpaceDE w:val="0"/>
        <w:autoSpaceDN w:val="0"/>
        <w:adjustRightInd w:val="0"/>
        <w:spacing w:line="600" w:lineRule="exact"/>
        <w:ind w:firstLine="640" w:firstLineChars="200"/>
        <w:jc w:val="left"/>
        <w:outlineLvl w:val="2"/>
        <w:rPr>
          <w:rFonts w:ascii="仿宋" w:hAnsi="仿宋" w:eastAsia="仿宋"/>
          <w:b/>
          <w:sz w:val="32"/>
          <w:szCs w:val="32"/>
        </w:rPr>
      </w:pPr>
      <w:bookmarkStart w:id="72" w:name="_Toc15377224"/>
      <w:r>
        <w:rPr>
          <w:rFonts w:hint="eastAsia" w:ascii="仿宋" w:hAnsi="仿宋" w:eastAsia="仿宋"/>
          <w:b/>
          <w:sz w:val="32"/>
          <w:szCs w:val="32"/>
        </w:rPr>
        <w:t>（三）国有资产占有使用情况</w:t>
      </w:r>
      <w:bookmarkEnd w:id="72"/>
    </w:p>
    <w:p>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eastAsia="仿宋_GB2312"/>
          <w:color w:val="000000"/>
          <w:sz w:val="32"/>
          <w:szCs w:val="32"/>
        </w:rPr>
        <w:t>攀枝花市强制隔离戒毒所共有车辆4辆，其中：执法执勤用车3辆、一般特种专业技术用车1辆。单价50万元以上通用设备0台（套），单价100万元以上专用设备0台（套）。</w:t>
      </w:r>
    </w:p>
    <w:p>
      <w:pPr>
        <w:autoSpaceDE w:val="0"/>
        <w:autoSpaceDN w:val="0"/>
        <w:adjustRightInd w:val="0"/>
        <w:spacing w:line="600" w:lineRule="exact"/>
        <w:ind w:firstLine="640"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pPr>
        <w:spacing w:line="580" w:lineRule="exact"/>
        <w:ind w:firstLine="640" w:firstLineChars="200"/>
        <w:rPr>
          <w:rFonts w:ascii="仿宋_GB2312" w:hAnsi="仿宋_GB2312" w:eastAsia="仿宋_GB2312" w:cs="仿宋_GB2312"/>
          <w:sz w:val="32"/>
          <w:szCs w:val="32"/>
        </w:rPr>
      </w:pPr>
      <w:r>
        <w:rPr>
          <w:rFonts w:eastAsia="仿宋_GB2312"/>
          <w:sz w:val="32"/>
          <w:szCs w:val="32"/>
        </w:rPr>
        <w:t>根据预算绩效管理要求，本部门在</w:t>
      </w:r>
      <w:r>
        <w:rPr>
          <w:rFonts w:hint="eastAsia" w:eastAsia="仿宋_GB2312"/>
          <w:sz w:val="32"/>
          <w:szCs w:val="32"/>
        </w:rPr>
        <w:t>2021年度</w:t>
      </w:r>
      <w:r>
        <w:rPr>
          <w:rFonts w:eastAsia="仿宋_GB2312"/>
          <w:sz w:val="32"/>
          <w:szCs w:val="32"/>
        </w:rPr>
        <w:t>预算编制阶段，组织对“</w:t>
      </w:r>
      <w:r>
        <w:rPr>
          <w:rFonts w:hint="eastAsia" w:eastAsia="仿宋_GB2312"/>
          <w:sz w:val="32"/>
          <w:szCs w:val="32"/>
        </w:rPr>
        <w:t>攀枝花市强制隔离戒毒所建设项目</w:t>
      </w:r>
      <w:r>
        <w:rPr>
          <w:rFonts w:eastAsia="仿宋_GB2312"/>
          <w:sz w:val="32"/>
          <w:szCs w:val="32"/>
        </w:rPr>
        <w:t>”、“政法网络租赁费”2个项目开展了预算事前绩效评估，对2个项目编制了绩效目标，预算执行过程中，选取2个项目开展绩效监控，年终执行完毕后，对2个项目开展了绩效目标完成情况自评。</w:t>
      </w:r>
      <w:r>
        <w:rPr>
          <w:rFonts w:hint="eastAsia" w:ascii="仿宋_GB2312" w:hAnsi="仿宋_GB2312" w:eastAsia="仿宋_GB2312" w:cs="仿宋_GB2312"/>
          <w:sz w:val="32"/>
          <w:szCs w:val="32"/>
        </w:rPr>
        <w:t>同时，本部门对2021年部门整体开展绩效自评，《2021年</w:t>
      </w:r>
      <w:r>
        <w:rPr>
          <w:rFonts w:hint="eastAsia" w:eastAsia="仿宋_GB2312"/>
          <w:sz w:val="32"/>
          <w:szCs w:val="32"/>
        </w:rPr>
        <w:t>攀枝花市强制隔离戒毒所</w:t>
      </w:r>
      <w:r>
        <w:rPr>
          <w:rFonts w:hint="eastAsia" w:ascii="仿宋_GB2312" w:hAnsi="仿宋_GB2312" w:eastAsia="仿宋_GB2312" w:cs="仿宋_GB2312"/>
          <w:sz w:val="32"/>
          <w:szCs w:val="32"/>
        </w:rPr>
        <w:t>部门整体绩效评价报告》见附件（第四部分）。</w:t>
      </w:r>
    </w:p>
    <w:p>
      <w:pPr>
        <w:spacing w:line="580" w:lineRule="exact"/>
        <w:ind w:firstLine="640" w:firstLineChars="200"/>
        <w:rPr>
          <w:rFonts w:eastAsia="仿宋_GB2312"/>
          <w:sz w:val="32"/>
          <w:szCs w:val="32"/>
        </w:rPr>
      </w:pPr>
    </w:p>
    <w:p>
      <w:pPr>
        <w:pStyle w:val="2"/>
        <w:spacing w:before="93"/>
      </w:pPr>
    </w:p>
    <w:p>
      <w:pPr>
        <w:widowControl/>
        <w:jc w:val="left"/>
        <w:rPr>
          <w:rFonts w:ascii="仿宋_GB2312" w:eastAsia="仿宋_GB2312"/>
          <w:b/>
          <w:sz w:val="32"/>
          <w:szCs w:val="32"/>
        </w:rPr>
      </w:pPr>
      <w:r>
        <w:rPr>
          <w:rFonts w:ascii="仿宋_GB2312" w:eastAsia="仿宋_GB2312"/>
          <w:b/>
          <w:sz w:val="32"/>
          <w:szCs w:val="32"/>
        </w:rPr>
        <w:br w:type="page"/>
      </w:r>
    </w:p>
    <w:p>
      <w:pPr>
        <w:pStyle w:val="3"/>
        <w:numPr>
          <w:ilvl w:val="0"/>
          <w:numId w:val="3"/>
        </w:numPr>
        <w:jc w:val="center"/>
      </w:pPr>
      <w:bookmarkStart w:id="73" w:name="_Toc15377225"/>
      <w:bookmarkStart w:id="74" w:name="_Toc15396613"/>
      <w:bookmarkStart w:id="75" w:name="_Toc18401"/>
      <w:r>
        <w:rPr>
          <w:rFonts w:hint="eastAsia"/>
        </w:rPr>
        <w:t>名词解释</w:t>
      </w:r>
      <w:bookmarkEnd w:id="73"/>
      <w:bookmarkEnd w:id="74"/>
      <w:bookmarkEnd w:id="75"/>
    </w:p>
    <w:p>
      <w:pPr>
        <w:spacing w:line="600" w:lineRule="exact"/>
        <w:jc w:val="left"/>
        <w:rPr>
          <w:rFonts w:ascii="宋体"/>
          <w:b/>
          <w:sz w:val="44"/>
          <w:szCs w:val="44"/>
        </w:rPr>
      </w:pPr>
    </w:p>
    <w:p>
      <w:pPr>
        <w:pStyle w:val="23"/>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1.财政拨款收入：指单位从同级财政部门取得的财政预算资金。</w:t>
      </w:r>
    </w:p>
    <w:p>
      <w:pPr>
        <w:pStyle w:val="23"/>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2.其他收入：指单位取得的除“财政拨款收入”、“事业收入”、“经营收入”以外的各项收入。</w:t>
      </w:r>
    </w:p>
    <w:p>
      <w:pPr>
        <w:pStyle w:val="23"/>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3.年初结转和结余：指以前年度尚未完成、结转到本年按有关规定继续使用的资金。 </w:t>
      </w:r>
    </w:p>
    <w:p>
      <w:pPr>
        <w:pStyle w:val="23"/>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4.年末结转和结余：指单位按有关规定结转到下年或以后年度继续使用的资金。</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rPr>
        <w:t>5.</w:t>
      </w:r>
      <w:r>
        <w:rPr>
          <w:rFonts w:hint="eastAsia" w:ascii="仿宋_GB2312" w:hAnsi="仿宋_GB2312" w:eastAsia="仿宋_GB2312" w:cs="仿宋_GB2312"/>
          <w:color w:val="000000"/>
          <w:sz w:val="32"/>
          <w:szCs w:val="32"/>
        </w:rPr>
        <w:t>公共安全支出（类）</w:t>
      </w:r>
      <w:r>
        <w:rPr>
          <w:rFonts w:hint="eastAsia" w:ascii="仿宋_GB2312" w:hAnsi="仿宋_GB2312" w:eastAsia="仿宋_GB2312" w:cs="仿宋_GB2312"/>
          <w:sz w:val="32"/>
          <w:szCs w:val="32"/>
        </w:rPr>
        <w:t>强制隔离戒毒</w:t>
      </w:r>
      <w:r>
        <w:rPr>
          <w:rFonts w:hint="eastAsia" w:ascii="仿宋_GB2312" w:hAnsi="仿宋_GB2312" w:eastAsia="仿宋_GB2312" w:cs="仿宋_GB2312"/>
          <w:color w:val="000000"/>
          <w:sz w:val="32"/>
          <w:szCs w:val="32"/>
        </w:rPr>
        <w:t>（款）行政运行（项）：指反映行政单位（包括实行公务员管理的事业单位）的基本支出。</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6.公共安全支出（类）</w:t>
      </w:r>
      <w:r>
        <w:rPr>
          <w:rFonts w:hint="eastAsia" w:ascii="仿宋_GB2312" w:hAnsi="仿宋_GB2312" w:eastAsia="仿宋_GB2312" w:cs="仿宋_GB2312"/>
          <w:sz w:val="32"/>
          <w:szCs w:val="32"/>
        </w:rPr>
        <w:t>强制隔离戒毒</w:t>
      </w:r>
      <w:r>
        <w:rPr>
          <w:rFonts w:hint="eastAsia" w:ascii="仿宋_GB2312" w:hAnsi="仿宋_GB2312" w:eastAsia="仿宋_GB2312" w:cs="仿宋_GB2312"/>
          <w:color w:val="000000"/>
          <w:sz w:val="32"/>
          <w:szCs w:val="32"/>
        </w:rPr>
        <w:t>（款）一般行政管理事务（项）：指反映行政单位（包括实行公务员管理的事业单位）未单独设置项级科目的其他项目支出。</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7.社会保障和就业支出（类）行政事业单位离退休（款）行政单位离退休（项）：指反映行政单位（包括实行公务员管理的事业单位）开支的离退休经费。</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8.社会保障和就业支出（类）行政事业单位离退休（款）机关事业单位基本养老保险缴费支出（项）：指反映机关事业单位实施保险制度由单位缴纳的基本养老保险费支出。</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9.社会保障和就业支出（类）抚恤（款）死亡抚恤（项）：反映按规定用于烈士和牺牲、病故人员家属的一次性和定期抚恤金以及丧葬补助费。</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10.</w:t>
      </w:r>
      <w:r>
        <w:rPr>
          <w:rFonts w:hint="eastAsia" w:ascii="仿宋_GB2312" w:hAnsi="仿宋_GB2312" w:eastAsia="仿宋_GB2312" w:cs="仿宋_GB2312"/>
          <w:sz w:val="32"/>
          <w:szCs w:val="32"/>
        </w:rPr>
        <w:t>城乡社区支出（类）城乡社区公共设施（款） 其他城乡社区公共设施支出（项）：</w:t>
      </w:r>
      <w:r>
        <w:rPr>
          <w:rFonts w:hint="eastAsia" w:ascii="仿宋_GB2312" w:hAnsi="仿宋_GB2312" w:eastAsia="仿宋_GB2312" w:cs="仿宋_GB2312"/>
          <w:color w:val="000000"/>
          <w:sz w:val="32"/>
          <w:szCs w:val="32"/>
        </w:rPr>
        <w:t>反映除上述项目以外其他用于城乡社区管理事务方面的支出。</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11.住房保障支出（类）住房改革支出（款）住房公积金（项）：指反映行政事业单位按照人力资源和社会保障部、财政部规定的基本工资和津贴补贴以及规定比例为职工缴纳的住房公积金。</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12.基本支出：指为保障机构正常运转、完成日常工作任务而发生的人员支出和公用支出。</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13.项目支出：指在基本支出之外为完成特定行政任务和事业发展目标所发生的支出。</w:t>
      </w:r>
    </w:p>
    <w:p>
      <w:pPr>
        <w:pStyle w:val="23"/>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14.“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3"/>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15.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3"/>
        <w:jc w:val="center"/>
      </w:pPr>
      <w:bookmarkStart w:id="76" w:name="_Toc15377226"/>
      <w:r>
        <w:rPr>
          <w:rFonts w:hint="eastAsia"/>
        </w:rPr>
        <w:br w:type="page"/>
      </w:r>
      <w:bookmarkStart w:id="77" w:name="_Toc15396614"/>
      <w:bookmarkStart w:id="78" w:name="_Toc16153"/>
      <w:r>
        <w:rPr>
          <w:rFonts w:hint="eastAsia"/>
        </w:rPr>
        <w:t>第四部分 附件</w:t>
      </w:r>
      <w:bookmarkEnd w:id="77"/>
      <w:bookmarkEnd w:id="78"/>
    </w:p>
    <w:p>
      <w:pPr>
        <w:pStyle w:val="2"/>
        <w:spacing w:before="93"/>
      </w:pPr>
    </w:p>
    <w:p>
      <w:pPr>
        <w:spacing w:line="572" w:lineRule="exact"/>
        <w:jc w:val="left"/>
        <w:outlineLvl w:val="0"/>
        <w:rPr>
          <w:rFonts w:ascii="黑体" w:hAnsi="黑体" w:eastAsia="黑体" w:cs="黑体"/>
          <w:sz w:val="32"/>
          <w:szCs w:val="32"/>
        </w:rPr>
      </w:pPr>
      <w:bookmarkStart w:id="79" w:name="_Toc28132"/>
      <w:r>
        <w:rPr>
          <w:rFonts w:hint="eastAsia" w:ascii="黑体" w:hAnsi="黑体" w:eastAsia="黑体" w:cs="黑体"/>
          <w:sz w:val="32"/>
          <w:szCs w:val="32"/>
        </w:rPr>
        <w:t>附件1</w:t>
      </w:r>
      <w:bookmarkEnd w:id="79"/>
    </w:p>
    <w:p>
      <w:pPr>
        <w:spacing w:line="572" w:lineRule="exact"/>
        <w:jc w:val="center"/>
        <w:rPr>
          <w:rFonts w:ascii="方正小标宋简体" w:hAnsi="宋体" w:eastAsia="方正小标宋简体"/>
          <w:kern w:val="0"/>
          <w:sz w:val="40"/>
          <w:szCs w:val="44"/>
          <w:lang w:val="zh-CN"/>
        </w:rPr>
      </w:pPr>
      <w:r>
        <w:rPr>
          <w:rFonts w:hint="eastAsia" w:ascii="方正小标宋简体" w:hAnsi="宋体" w:eastAsia="方正小标宋简体"/>
          <w:kern w:val="0"/>
          <w:sz w:val="40"/>
          <w:szCs w:val="44"/>
        </w:rPr>
        <w:t>2021年攀枝花市强制隔离戒毒所部门整体绩效评价报告</w:t>
      </w:r>
    </w:p>
    <w:p>
      <w:pPr>
        <w:widowControl/>
        <w:adjustRightInd w:val="0"/>
        <w:snapToGrid w:val="0"/>
        <w:spacing w:line="572" w:lineRule="exact"/>
        <w:ind w:firstLine="480" w:firstLineChars="200"/>
        <w:contextualSpacing/>
        <w:jc w:val="left"/>
        <w:rPr>
          <w:rFonts w:ascii="黑体" w:hAnsi="宋体" w:eastAsia="黑体" w:cs="宋体"/>
          <w:kern w:val="0"/>
          <w:sz w:val="24"/>
          <w:szCs w:val="32"/>
          <w:shd w:val="clear" w:color="auto" w:fill="FFFFFF"/>
        </w:rPr>
      </w:pPr>
    </w:p>
    <w:p>
      <w:pPr>
        <w:widowControl/>
        <w:adjustRightInd w:val="0"/>
        <w:snapToGrid w:val="0"/>
        <w:spacing w:line="572" w:lineRule="exact"/>
        <w:ind w:firstLine="640" w:firstLineChars="200"/>
        <w:contextualSpacing/>
        <w:jc w:val="left"/>
        <w:rPr>
          <w:rFonts w:ascii="黑体" w:hAnsi="宋体" w:eastAsia="黑体" w:cs="宋体"/>
          <w:kern w:val="0"/>
          <w:sz w:val="32"/>
          <w:szCs w:val="32"/>
          <w:shd w:val="clear" w:color="auto" w:fill="FFFFFF"/>
          <w:lang w:val="zh-CN"/>
        </w:rPr>
      </w:pPr>
      <w:r>
        <w:rPr>
          <w:rFonts w:hint="eastAsia" w:ascii="黑体" w:hAnsi="宋体" w:eastAsia="黑体" w:cs="宋体"/>
          <w:kern w:val="0"/>
          <w:sz w:val="32"/>
          <w:szCs w:val="32"/>
          <w:shd w:val="clear" w:color="auto" w:fill="FFFFFF"/>
        </w:rPr>
        <w:t>一、</w:t>
      </w:r>
      <w:r>
        <w:rPr>
          <w:rFonts w:hint="eastAsia" w:ascii="黑体" w:hAnsi="宋体" w:eastAsia="黑体" w:cs="宋体"/>
          <w:kern w:val="0"/>
          <w:sz w:val="32"/>
          <w:szCs w:val="32"/>
          <w:shd w:val="clear" w:color="auto" w:fill="FFFFFF"/>
          <w:lang w:val="zh-CN"/>
        </w:rPr>
        <w:t>部门（单位）概况</w:t>
      </w:r>
    </w:p>
    <w:p>
      <w:pPr>
        <w:widowControl/>
        <w:adjustRightInd w:val="0"/>
        <w:snapToGrid w:val="0"/>
        <w:spacing w:line="580" w:lineRule="exact"/>
        <w:ind w:firstLine="640" w:firstLineChars="200"/>
        <w:contextualSpacing/>
        <w:jc w:val="left"/>
        <w:rPr>
          <w:rFonts w:hAnsi="Calibri" w:eastAsia="仿宋_GB2312"/>
          <w:color w:val="000000"/>
          <w:kern w:val="0"/>
          <w:sz w:val="32"/>
          <w:szCs w:val="32"/>
          <w:lang w:val="zh-CN"/>
        </w:rPr>
      </w:pPr>
      <w:r>
        <w:rPr>
          <w:rFonts w:hint="eastAsia" w:hAnsi="Calibri" w:eastAsia="仿宋_GB2312"/>
          <w:color w:val="000000"/>
          <w:kern w:val="0"/>
          <w:sz w:val="32"/>
          <w:szCs w:val="32"/>
          <w:lang w:val="zh-CN"/>
        </w:rPr>
        <w:t>（一）机构组成。</w:t>
      </w:r>
    </w:p>
    <w:p>
      <w:pPr>
        <w:widowControl/>
        <w:adjustRightInd w:val="0"/>
        <w:snapToGrid w:val="0"/>
        <w:spacing w:line="580" w:lineRule="exact"/>
        <w:ind w:firstLine="640" w:firstLineChars="200"/>
        <w:contextualSpacing/>
        <w:jc w:val="left"/>
        <w:rPr>
          <w:rFonts w:hAnsi="Calibri" w:eastAsia="仿宋_GB2312"/>
          <w:color w:val="000000"/>
          <w:kern w:val="0"/>
          <w:sz w:val="32"/>
          <w:szCs w:val="32"/>
          <w:lang w:val="zh-CN"/>
        </w:rPr>
      </w:pPr>
      <w:r>
        <w:rPr>
          <w:rFonts w:hAnsi="Calibri" w:eastAsia="仿宋_GB2312"/>
          <w:color w:val="000000"/>
          <w:kern w:val="0"/>
          <w:sz w:val="32"/>
          <w:szCs w:val="32"/>
        </w:rPr>
        <w:t>内设政治处、纪委（与审计监察科合署办公）、办公室、供销科、生产计划科、安全科、财务科、管理科、教育科、生活卫生科、护所队（警戒科）、卫生所、一大队、二大队、三大队、四大队、入出所教育大队、戒毒大队。</w:t>
      </w:r>
    </w:p>
    <w:p>
      <w:pPr>
        <w:widowControl/>
        <w:adjustRightInd w:val="0"/>
        <w:snapToGrid w:val="0"/>
        <w:spacing w:line="580" w:lineRule="exact"/>
        <w:ind w:firstLine="640" w:firstLineChars="200"/>
        <w:contextualSpacing/>
        <w:jc w:val="left"/>
        <w:rPr>
          <w:rFonts w:hAnsi="Calibri" w:eastAsia="仿宋_GB2312"/>
          <w:color w:val="000000"/>
          <w:kern w:val="0"/>
          <w:sz w:val="32"/>
          <w:szCs w:val="32"/>
          <w:lang w:val="zh-CN"/>
        </w:rPr>
      </w:pPr>
      <w:r>
        <w:rPr>
          <w:rFonts w:hint="eastAsia" w:hAnsi="Calibri" w:eastAsia="仿宋_GB2312"/>
          <w:color w:val="000000"/>
          <w:kern w:val="0"/>
          <w:sz w:val="32"/>
          <w:szCs w:val="32"/>
          <w:lang w:val="zh-CN"/>
        </w:rPr>
        <w:t>（二）机构职能。</w:t>
      </w:r>
    </w:p>
    <w:p>
      <w:pPr>
        <w:widowControl/>
        <w:adjustRightInd w:val="0"/>
        <w:snapToGrid w:val="0"/>
        <w:spacing w:line="580" w:lineRule="exact"/>
        <w:ind w:firstLine="640" w:firstLineChars="200"/>
        <w:contextualSpacing/>
        <w:jc w:val="left"/>
        <w:rPr>
          <w:rFonts w:hAnsi="Calibri" w:eastAsia="仿宋_GB2312"/>
          <w:color w:val="000000"/>
          <w:kern w:val="0"/>
          <w:sz w:val="32"/>
          <w:szCs w:val="32"/>
        </w:rPr>
      </w:pPr>
      <w:r>
        <w:rPr>
          <w:rFonts w:hAnsi="Calibri" w:eastAsia="仿宋_GB2312"/>
          <w:color w:val="000000"/>
          <w:kern w:val="0"/>
          <w:sz w:val="32"/>
          <w:szCs w:val="32"/>
        </w:rPr>
        <w:t>攀枝花市强制隔离戒毒所负责对我市强制隔离戒毒人员的收治及管理工作，负责对强制隔离戒毒人员开展道德、形势、法制、吸毒危害以及相关知识教育，负责对吸食、注射毒品成瘾人员进行生理脱毒、心理矫治、适度劳动、身体康复，完成上级交办的其他任务。</w:t>
      </w:r>
    </w:p>
    <w:p>
      <w:pPr>
        <w:widowControl/>
        <w:adjustRightInd w:val="0"/>
        <w:snapToGrid w:val="0"/>
        <w:spacing w:line="580" w:lineRule="exact"/>
        <w:ind w:firstLine="640" w:firstLineChars="200"/>
        <w:contextualSpacing/>
        <w:jc w:val="left"/>
        <w:rPr>
          <w:rFonts w:hAnsi="Calibri" w:eastAsia="仿宋_GB2312"/>
          <w:color w:val="000000"/>
          <w:kern w:val="0"/>
          <w:sz w:val="32"/>
          <w:szCs w:val="32"/>
          <w:lang w:val="zh-CN"/>
        </w:rPr>
      </w:pPr>
      <w:r>
        <w:rPr>
          <w:rFonts w:hint="eastAsia" w:hAnsi="Calibri" w:eastAsia="仿宋_GB2312"/>
          <w:color w:val="000000"/>
          <w:kern w:val="0"/>
          <w:sz w:val="32"/>
          <w:szCs w:val="32"/>
          <w:lang w:val="zh-CN"/>
        </w:rPr>
        <w:t>（三）人员概况。</w:t>
      </w:r>
    </w:p>
    <w:p>
      <w:pPr>
        <w:widowControl/>
        <w:adjustRightInd w:val="0"/>
        <w:snapToGrid w:val="0"/>
        <w:spacing w:line="580" w:lineRule="exact"/>
        <w:ind w:firstLine="640" w:firstLineChars="200"/>
        <w:contextualSpacing/>
        <w:jc w:val="left"/>
        <w:rPr>
          <w:rFonts w:hAnsi="Calibri" w:eastAsia="仿宋_GB2312"/>
          <w:color w:val="000000"/>
          <w:kern w:val="0"/>
          <w:sz w:val="32"/>
          <w:szCs w:val="32"/>
        </w:rPr>
      </w:pPr>
      <w:r>
        <w:rPr>
          <w:rFonts w:hAnsi="Calibri" w:eastAsia="仿宋_GB2312"/>
          <w:color w:val="000000"/>
          <w:kern w:val="0"/>
          <w:sz w:val="32"/>
          <w:szCs w:val="32"/>
        </w:rPr>
        <w:t>攀枝花市强制隔离戒毒所共有民警编制100人，机关工勤人员编制9人。截止202</w:t>
      </w:r>
      <w:r>
        <w:rPr>
          <w:rFonts w:hint="eastAsia" w:hAnsi="Calibri" w:eastAsia="仿宋_GB2312"/>
          <w:color w:val="000000"/>
          <w:kern w:val="0"/>
          <w:sz w:val="32"/>
          <w:szCs w:val="32"/>
        </w:rPr>
        <w:t>1</w:t>
      </w:r>
      <w:r>
        <w:rPr>
          <w:rFonts w:hAnsi="Calibri" w:eastAsia="仿宋_GB2312"/>
          <w:color w:val="000000"/>
          <w:kern w:val="0"/>
          <w:sz w:val="32"/>
          <w:szCs w:val="32"/>
        </w:rPr>
        <w:t>年12月31日，实有在职人员96人，其中民警</w:t>
      </w:r>
      <w:r>
        <w:rPr>
          <w:rFonts w:hint="eastAsia" w:hAnsi="Calibri" w:eastAsia="仿宋_GB2312"/>
          <w:color w:val="000000"/>
          <w:kern w:val="0"/>
          <w:sz w:val="32"/>
          <w:szCs w:val="32"/>
        </w:rPr>
        <w:t>90</w:t>
      </w:r>
      <w:r>
        <w:rPr>
          <w:rFonts w:hAnsi="Calibri" w:eastAsia="仿宋_GB2312"/>
          <w:color w:val="000000"/>
          <w:kern w:val="0"/>
          <w:sz w:val="32"/>
          <w:szCs w:val="32"/>
        </w:rPr>
        <w:t>人和机关工勤人员</w:t>
      </w:r>
      <w:r>
        <w:rPr>
          <w:rFonts w:hint="eastAsia" w:hAnsi="Calibri" w:eastAsia="仿宋_GB2312"/>
          <w:color w:val="000000"/>
          <w:kern w:val="0"/>
          <w:sz w:val="32"/>
          <w:szCs w:val="32"/>
        </w:rPr>
        <w:t>6</w:t>
      </w:r>
      <w:r>
        <w:rPr>
          <w:rFonts w:hAnsi="Calibri" w:eastAsia="仿宋_GB2312"/>
          <w:color w:val="000000"/>
          <w:kern w:val="0"/>
          <w:sz w:val="32"/>
          <w:szCs w:val="32"/>
        </w:rPr>
        <w:t>人。退休人员6</w:t>
      </w:r>
      <w:r>
        <w:rPr>
          <w:rFonts w:hint="eastAsia" w:hAnsi="Calibri" w:eastAsia="仿宋_GB2312"/>
          <w:color w:val="000000"/>
          <w:kern w:val="0"/>
          <w:sz w:val="32"/>
          <w:szCs w:val="32"/>
        </w:rPr>
        <w:t>5</w:t>
      </w:r>
      <w:r>
        <w:rPr>
          <w:rFonts w:hAnsi="Calibri" w:eastAsia="仿宋_GB2312"/>
          <w:color w:val="000000"/>
          <w:kern w:val="0"/>
          <w:sz w:val="32"/>
          <w:szCs w:val="32"/>
        </w:rPr>
        <w:t>人。</w:t>
      </w:r>
    </w:p>
    <w:p>
      <w:pPr>
        <w:widowControl/>
        <w:adjustRightInd w:val="0"/>
        <w:snapToGrid w:val="0"/>
        <w:spacing w:line="572" w:lineRule="exact"/>
        <w:ind w:firstLine="640" w:firstLineChars="200"/>
        <w:contextualSpacing/>
        <w:jc w:val="left"/>
        <w:rPr>
          <w:rFonts w:ascii="黑体" w:hAnsi="宋体" w:eastAsia="黑体" w:cs="宋体"/>
          <w:kern w:val="0"/>
          <w:sz w:val="32"/>
          <w:szCs w:val="32"/>
          <w:shd w:val="clear" w:color="auto" w:fill="FFFFFF"/>
        </w:rPr>
      </w:pPr>
      <w:r>
        <w:rPr>
          <w:rFonts w:hint="eastAsia" w:ascii="黑体" w:hAnsi="宋体" w:eastAsia="黑体" w:cs="宋体"/>
          <w:kern w:val="0"/>
          <w:sz w:val="32"/>
          <w:szCs w:val="32"/>
          <w:shd w:val="clear" w:color="auto" w:fill="FFFFFF"/>
        </w:rPr>
        <w:t>二、部门财政资金收支情况</w:t>
      </w:r>
    </w:p>
    <w:p>
      <w:pPr>
        <w:widowControl/>
        <w:adjustRightInd w:val="0"/>
        <w:snapToGrid w:val="0"/>
        <w:spacing w:line="580" w:lineRule="exact"/>
        <w:ind w:firstLine="640" w:firstLineChars="200"/>
        <w:contextualSpacing/>
        <w:jc w:val="left"/>
        <w:rPr>
          <w:rFonts w:eastAsia="仿宋_GB2312"/>
          <w:color w:val="000000"/>
          <w:kern w:val="0"/>
          <w:sz w:val="32"/>
          <w:szCs w:val="32"/>
          <w:shd w:val="clear" w:color="auto" w:fill="FFFFFF"/>
          <w:lang w:val="zh-CN"/>
        </w:rPr>
      </w:pPr>
      <w:r>
        <w:rPr>
          <w:rFonts w:eastAsia="仿宋_GB2312"/>
          <w:color w:val="000000"/>
          <w:kern w:val="0"/>
          <w:sz w:val="32"/>
          <w:szCs w:val="32"/>
          <w:shd w:val="clear" w:color="auto" w:fill="FFFFFF"/>
          <w:lang w:val="zh-CN"/>
        </w:rPr>
        <w:t>（一）部门财政资金收入情况。</w:t>
      </w:r>
    </w:p>
    <w:p>
      <w:pPr>
        <w:widowControl/>
        <w:adjustRightInd w:val="0"/>
        <w:snapToGrid w:val="0"/>
        <w:spacing w:line="580" w:lineRule="exact"/>
        <w:ind w:firstLine="640" w:firstLineChars="200"/>
        <w:contextualSpacing/>
        <w:jc w:val="left"/>
        <w:rPr>
          <w:rFonts w:eastAsia="仿宋_GB2312"/>
          <w:color w:val="000000"/>
          <w:kern w:val="0"/>
          <w:sz w:val="32"/>
          <w:szCs w:val="32"/>
          <w:shd w:val="clear" w:color="auto" w:fill="FFFFFF"/>
        </w:rPr>
      </w:pPr>
      <w:r>
        <w:rPr>
          <w:rFonts w:eastAsia="仿宋_GB2312"/>
          <w:color w:val="000000"/>
          <w:kern w:val="0"/>
          <w:sz w:val="32"/>
          <w:szCs w:val="32"/>
          <w:shd w:val="clear" w:color="auto" w:fill="FFFFFF"/>
        </w:rPr>
        <w:t>202</w:t>
      </w:r>
      <w:r>
        <w:rPr>
          <w:rFonts w:hint="eastAsia" w:eastAsia="仿宋_GB2312"/>
          <w:color w:val="000000"/>
          <w:kern w:val="0"/>
          <w:sz w:val="32"/>
          <w:szCs w:val="32"/>
          <w:shd w:val="clear" w:color="auto" w:fill="FFFFFF"/>
        </w:rPr>
        <w:t>1</w:t>
      </w:r>
      <w:r>
        <w:rPr>
          <w:rFonts w:eastAsia="仿宋_GB2312"/>
          <w:color w:val="000000"/>
          <w:kern w:val="0"/>
          <w:sz w:val="32"/>
          <w:szCs w:val="32"/>
          <w:shd w:val="clear" w:color="auto" w:fill="FFFFFF"/>
        </w:rPr>
        <w:t>年财政拨款收入</w:t>
      </w:r>
      <w:r>
        <w:rPr>
          <w:rFonts w:hint="eastAsia" w:eastAsia="仿宋_GB2312"/>
          <w:color w:val="000000"/>
          <w:kern w:val="0"/>
          <w:sz w:val="32"/>
          <w:szCs w:val="32"/>
          <w:shd w:val="clear" w:color="auto" w:fill="FFFFFF"/>
        </w:rPr>
        <w:t>3526.44</w:t>
      </w:r>
      <w:r>
        <w:rPr>
          <w:rFonts w:eastAsia="仿宋_GB2312"/>
          <w:color w:val="000000"/>
          <w:kern w:val="0"/>
          <w:sz w:val="32"/>
          <w:szCs w:val="32"/>
          <w:shd w:val="clear" w:color="auto" w:fill="FFFFFF"/>
        </w:rPr>
        <w:t>万元，其中一般公共预算财政拨款</w:t>
      </w:r>
      <w:r>
        <w:rPr>
          <w:rFonts w:hint="eastAsia" w:eastAsia="仿宋_GB2312"/>
          <w:color w:val="000000"/>
          <w:kern w:val="0"/>
          <w:sz w:val="32"/>
          <w:szCs w:val="32"/>
          <w:shd w:val="clear" w:color="auto" w:fill="FFFFFF"/>
        </w:rPr>
        <w:t>3526.44</w:t>
      </w:r>
      <w:r>
        <w:rPr>
          <w:rFonts w:eastAsia="仿宋_GB2312"/>
          <w:color w:val="000000"/>
          <w:kern w:val="0"/>
          <w:sz w:val="32"/>
          <w:szCs w:val="32"/>
          <w:shd w:val="clear" w:color="auto" w:fill="FFFFFF"/>
        </w:rPr>
        <w:t>万元，年初财政拨款结转和结余</w:t>
      </w:r>
      <w:r>
        <w:rPr>
          <w:rFonts w:hint="eastAsia" w:eastAsia="仿宋_GB2312"/>
          <w:color w:val="000000"/>
          <w:kern w:val="0"/>
          <w:sz w:val="32"/>
          <w:szCs w:val="32"/>
          <w:shd w:val="clear" w:color="auto" w:fill="FFFFFF"/>
        </w:rPr>
        <w:t>41.42</w:t>
      </w:r>
      <w:r>
        <w:rPr>
          <w:rFonts w:eastAsia="仿宋_GB2312"/>
          <w:color w:val="000000"/>
          <w:kern w:val="0"/>
          <w:sz w:val="32"/>
          <w:szCs w:val="32"/>
          <w:shd w:val="clear" w:color="auto" w:fill="FFFFFF"/>
        </w:rPr>
        <w:t>万元。</w:t>
      </w:r>
    </w:p>
    <w:p>
      <w:pPr>
        <w:widowControl/>
        <w:adjustRightInd w:val="0"/>
        <w:snapToGrid w:val="0"/>
        <w:spacing w:line="580" w:lineRule="exact"/>
        <w:ind w:firstLine="640" w:firstLineChars="200"/>
        <w:contextualSpacing/>
        <w:jc w:val="left"/>
        <w:rPr>
          <w:rFonts w:eastAsia="仿宋_GB2312"/>
          <w:color w:val="000000"/>
          <w:kern w:val="0"/>
          <w:sz w:val="32"/>
          <w:szCs w:val="32"/>
          <w:shd w:val="clear" w:color="auto" w:fill="FFFFFF"/>
          <w:lang w:val="zh-CN"/>
        </w:rPr>
      </w:pPr>
      <w:r>
        <w:rPr>
          <w:rFonts w:eastAsia="仿宋_GB2312"/>
          <w:color w:val="000000"/>
          <w:kern w:val="0"/>
          <w:sz w:val="32"/>
          <w:szCs w:val="32"/>
          <w:shd w:val="clear" w:color="auto" w:fill="FFFFFF"/>
          <w:lang w:val="zh-CN"/>
        </w:rPr>
        <w:t>（二）部门财政资金支出情况。</w:t>
      </w:r>
    </w:p>
    <w:p>
      <w:pPr>
        <w:widowControl/>
        <w:adjustRightInd w:val="0"/>
        <w:snapToGrid w:val="0"/>
        <w:spacing w:line="580" w:lineRule="exact"/>
        <w:ind w:firstLine="640" w:firstLineChars="200"/>
        <w:contextualSpacing/>
        <w:jc w:val="left"/>
        <w:rPr>
          <w:rFonts w:eastAsia="仿宋_GB2312"/>
          <w:color w:val="000000"/>
          <w:kern w:val="0"/>
          <w:sz w:val="32"/>
          <w:szCs w:val="32"/>
          <w:shd w:val="clear" w:color="auto" w:fill="FFFFFF"/>
        </w:rPr>
      </w:pPr>
      <w:r>
        <w:rPr>
          <w:rFonts w:eastAsia="仿宋_GB2312"/>
          <w:color w:val="000000"/>
          <w:kern w:val="0"/>
          <w:sz w:val="32"/>
          <w:szCs w:val="32"/>
          <w:shd w:val="clear" w:color="auto" w:fill="FFFFFF"/>
        </w:rPr>
        <w:t>202</w:t>
      </w:r>
      <w:r>
        <w:rPr>
          <w:rFonts w:hint="eastAsia" w:eastAsia="仿宋_GB2312"/>
          <w:color w:val="000000"/>
          <w:kern w:val="0"/>
          <w:sz w:val="32"/>
          <w:szCs w:val="32"/>
          <w:shd w:val="clear" w:color="auto" w:fill="FFFFFF"/>
        </w:rPr>
        <w:t>1</w:t>
      </w:r>
      <w:r>
        <w:rPr>
          <w:rFonts w:eastAsia="仿宋_GB2312"/>
          <w:color w:val="000000"/>
          <w:kern w:val="0"/>
          <w:sz w:val="32"/>
          <w:szCs w:val="32"/>
          <w:shd w:val="clear" w:color="auto" w:fill="FFFFFF"/>
        </w:rPr>
        <w:t>年财政资金支出</w:t>
      </w:r>
      <w:r>
        <w:rPr>
          <w:rFonts w:hint="eastAsia" w:eastAsia="仿宋_GB2312"/>
          <w:color w:val="000000"/>
          <w:kern w:val="0"/>
          <w:sz w:val="32"/>
          <w:szCs w:val="32"/>
          <w:shd w:val="clear" w:color="auto" w:fill="FFFFFF"/>
        </w:rPr>
        <w:t>3526.44</w:t>
      </w:r>
      <w:r>
        <w:rPr>
          <w:rFonts w:eastAsia="仿宋_GB2312"/>
          <w:color w:val="000000"/>
          <w:kern w:val="0"/>
          <w:sz w:val="32"/>
          <w:szCs w:val="32"/>
          <w:shd w:val="clear" w:color="auto" w:fill="FFFFFF"/>
        </w:rPr>
        <w:t>万元，其中基本支出</w:t>
      </w:r>
      <w:r>
        <w:rPr>
          <w:rFonts w:hint="eastAsia" w:eastAsia="仿宋_GB2312"/>
          <w:color w:val="000000"/>
          <w:kern w:val="0"/>
          <w:sz w:val="32"/>
          <w:szCs w:val="32"/>
          <w:shd w:val="clear" w:color="auto" w:fill="FFFFFF"/>
        </w:rPr>
        <w:t>2374.04</w:t>
      </w:r>
      <w:r>
        <w:rPr>
          <w:rFonts w:eastAsia="仿宋_GB2312"/>
          <w:color w:val="000000"/>
          <w:kern w:val="0"/>
          <w:sz w:val="32"/>
          <w:szCs w:val="32"/>
          <w:shd w:val="clear" w:color="auto" w:fill="FFFFFF"/>
        </w:rPr>
        <w:t>万元，项目支出</w:t>
      </w:r>
      <w:r>
        <w:rPr>
          <w:rFonts w:hint="eastAsia" w:eastAsia="仿宋_GB2312"/>
          <w:color w:val="000000"/>
          <w:kern w:val="0"/>
          <w:sz w:val="32"/>
          <w:szCs w:val="32"/>
          <w:shd w:val="clear" w:color="auto" w:fill="FFFFFF"/>
        </w:rPr>
        <w:t>1152.4</w:t>
      </w:r>
      <w:r>
        <w:rPr>
          <w:rFonts w:eastAsia="仿宋_GB2312"/>
          <w:color w:val="000000"/>
          <w:kern w:val="0"/>
          <w:sz w:val="32"/>
          <w:szCs w:val="32"/>
          <w:shd w:val="clear" w:color="auto" w:fill="FFFFFF"/>
        </w:rPr>
        <w:t>万元。</w:t>
      </w:r>
    </w:p>
    <w:p>
      <w:pPr>
        <w:widowControl/>
        <w:adjustRightInd w:val="0"/>
        <w:snapToGrid w:val="0"/>
        <w:spacing w:line="572" w:lineRule="exact"/>
        <w:ind w:firstLine="640" w:firstLineChars="200"/>
        <w:contextualSpacing/>
        <w:jc w:val="left"/>
        <w:rPr>
          <w:rFonts w:ascii="黑体" w:hAnsi="宋体" w:eastAsia="黑体" w:cs="宋体"/>
          <w:kern w:val="0"/>
          <w:sz w:val="32"/>
          <w:szCs w:val="32"/>
          <w:shd w:val="clear" w:color="auto" w:fill="FFFFFF"/>
        </w:rPr>
      </w:pPr>
      <w:r>
        <w:rPr>
          <w:rFonts w:hint="eastAsia" w:ascii="黑体" w:hAnsi="宋体" w:eastAsia="黑体" w:cs="宋体"/>
          <w:kern w:val="0"/>
          <w:sz w:val="32"/>
          <w:szCs w:val="32"/>
          <w:shd w:val="clear" w:color="auto" w:fill="FFFFFF"/>
        </w:rPr>
        <w:t>三、部门整体预算绩效管理情况</w:t>
      </w:r>
    </w:p>
    <w:p>
      <w:pPr>
        <w:widowControl/>
        <w:adjustRightInd w:val="0"/>
        <w:snapToGrid w:val="0"/>
        <w:spacing w:line="580" w:lineRule="exact"/>
        <w:ind w:firstLine="640" w:firstLineChars="200"/>
        <w:contextualSpacing/>
        <w:jc w:val="left"/>
        <w:rPr>
          <w:rFonts w:eastAsia="仿宋_GB2312"/>
          <w:color w:val="000000"/>
          <w:kern w:val="0"/>
          <w:sz w:val="32"/>
          <w:szCs w:val="32"/>
          <w:shd w:val="clear" w:color="auto" w:fill="FFFFFF"/>
          <w:lang w:val="zh-CN"/>
        </w:rPr>
      </w:pPr>
      <w:r>
        <w:rPr>
          <w:rFonts w:eastAsia="仿宋_GB2312"/>
          <w:color w:val="000000"/>
          <w:kern w:val="0"/>
          <w:sz w:val="32"/>
          <w:szCs w:val="32"/>
          <w:shd w:val="clear" w:color="auto" w:fill="FFFFFF"/>
          <w:lang w:val="zh-CN"/>
        </w:rPr>
        <w:t>（一）部门预算</w:t>
      </w:r>
      <w:r>
        <w:rPr>
          <w:rFonts w:hint="eastAsia" w:eastAsia="仿宋_GB2312"/>
          <w:color w:val="000000"/>
          <w:kern w:val="0"/>
          <w:sz w:val="32"/>
          <w:szCs w:val="32"/>
          <w:shd w:val="clear" w:color="auto" w:fill="FFFFFF"/>
        </w:rPr>
        <w:t>项目绩效</w:t>
      </w:r>
      <w:r>
        <w:rPr>
          <w:rFonts w:eastAsia="仿宋_GB2312"/>
          <w:color w:val="000000"/>
          <w:kern w:val="0"/>
          <w:sz w:val="32"/>
          <w:szCs w:val="32"/>
          <w:shd w:val="clear" w:color="auto" w:fill="FFFFFF"/>
          <w:lang w:val="zh-CN"/>
        </w:rPr>
        <w:t>管理。</w:t>
      </w:r>
    </w:p>
    <w:p>
      <w:pPr>
        <w:widowControl/>
        <w:shd w:val="clear" w:color="auto" w:fill="FFFFFF"/>
        <w:ind w:firstLine="630"/>
        <w:jc w:val="left"/>
        <w:rPr>
          <w:rFonts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攀枝花市强制隔离戒毒所在2021年部门预算编制工作中，根据本单位实际情况，分别按照人员类保障工资、津贴补贴、社保、公积金按期足额发放；运转类保障资金持续到位满足业务运转需要；特定目标类确保资金使用效率最大化，达成既定年度目标分类制定了绩效目标，在数量、质量、成本、时效、效益等方面进行了具体量化。在预算执行过程中，根据绩效管理相关规定，开展预算执行动态监控、中期评估、绩效跟踪监控管理工作，有效把握预算项目的实施进度、预算执行情况以及项目绩效完成情况，及时纠正项目绩效运行与预期绩效目标的偏差，促进绩效目标的实现。在预算执行结束后，及时对预算资金的产出和结果进行绩效评价，重点评价产出和结果的经济性、效率性和效益性，认真分析研究评价结果所反映的问题，努力查找资金使用和管理中的薄弱环节，制定改进和提高资金效率的措施。</w:t>
      </w:r>
    </w:p>
    <w:p>
      <w:pPr>
        <w:widowControl/>
        <w:adjustRightInd w:val="0"/>
        <w:snapToGrid w:val="0"/>
        <w:spacing w:line="580" w:lineRule="exact"/>
        <w:ind w:firstLine="640" w:firstLineChars="200"/>
        <w:contextualSpacing/>
        <w:jc w:val="left"/>
        <w:rPr>
          <w:rFonts w:ascii="仿宋_GB2312" w:hAnsi="仿宋_GB2312" w:eastAsia="仿宋_GB2312" w:cs="仿宋_GB2312"/>
          <w:color w:val="000000"/>
          <w:kern w:val="0"/>
          <w:sz w:val="32"/>
          <w:szCs w:val="32"/>
          <w:shd w:val="clear" w:color="auto" w:fill="FFFFFF"/>
          <w:lang w:val="zh-CN"/>
        </w:rPr>
      </w:pPr>
      <w:r>
        <w:rPr>
          <w:rFonts w:hint="eastAsia" w:ascii="仿宋_GB2312" w:hAnsi="仿宋_GB2312" w:eastAsia="仿宋_GB2312" w:cs="仿宋_GB2312"/>
          <w:color w:val="000000"/>
          <w:kern w:val="0"/>
          <w:sz w:val="32"/>
          <w:szCs w:val="32"/>
          <w:shd w:val="clear" w:color="auto" w:fill="FFFFFF"/>
          <w:lang w:val="zh-CN"/>
        </w:rPr>
        <w:t>（二）结果应用情况。</w:t>
      </w:r>
    </w:p>
    <w:p>
      <w:pPr>
        <w:pStyle w:val="2"/>
        <w:spacing w:before="93"/>
        <w:ind w:firstLine="640"/>
        <w:rPr>
          <w:rFonts w:hAnsi="仿宋_GB2312" w:cs="仿宋_GB2312"/>
          <w:bCs/>
          <w:color w:val="000000"/>
          <w:sz w:val="32"/>
          <w:szCs w:val="32"/>
        </w:rPr>
      </w:pPr>
      <w:r>
        <w:rPr>
          <w:rFonts w:hint="eastAsia" w:hAnsi="仿宋_GB2312" w:cs="仿宋_GB2312"/>
          <w:bCs/>
          <w:color w:val="000000"/>
          <w:sz w:val="32"/>
          <w:szCs w:val="32"/>
        </w:rPr>
        <w:t>通过预算支出绩效评价，及时将绩效评价结果反馈给预算单位，要求其根据绩效评价结果，进一步完善管理制度，改进管理措施，提高管理水平，降低支出成本，增强支出责任。进一步优化资源配置，将绩效评价结果作为安排以后年度预算的重要依据之一。逐步提高绩效评价结果的透明度，将评价结果依法在适当范围内公开，接受监督。</w:t>
      </w:r>
    </w:p>
    <w:p>
      <w:pPr>
        <w:widowControl/>
        <w:adjustRightInd w:val="0"/>
        <w:snapToGrid w:val="0"/>
        <w:spacing w:line="580" w:lineRule="exact"/>
        <w:ind w:firstLine="640" w:firstLineChars="200"/>
        <w:contextualSpacing/>
        <w:jc w:val="left"/>
        <w:rPr>
          <w:rFonts w:ascii="仿宋_GB2312" w:hAnsi="仿宋_GB2312" w:eastAsia="仿宋_GB2312" w:cs="仿宋_GB2312"/>
          <w:color w:val="000000"/>
          <w:kern w:val="0"/>
          <w:sz w:val="32"/>
          <w:szCs w:val="32"/>
          <w:shd w:val="clear" w:color="auto" w:fill="FFFFFF"/>
          <w:lang w:val="zh-CN"/>
        </w:rPr>
      </w:pPr>
      <w:r>
        <w:rPr>
          <w:rFonts w:hint="eastAsia" w:ascii="仿宋_GB2312" w:hAnsi="仿宋_GB2312" w:eastAsia="仿宋_GB2312" w:cs="仿宋_GB2312"/>
          <w:color w:val="000000"/>
          <w:kern w:val="0"/>
          <w:sz w:val="32"/>
          <w:szCs w:val="32"/>
          <w:shd w:val="clear" w:color="auto" w:fill="FFFFFF"/>
          <w:lang w:val="zh-CN"/>
        </w:rPr>
        <w:t>（</w:t>
      </w:r>
      <w:r>
        <w:rPr>
          <w:rFonts w:hint="eastAsia" w:ascii="仿宋_GB2312" w:hAnsi="仿宋_GB2312" w:eastAsia="仿宋_GB2312" w:cs="仿宋_GB2312"/>
          <w:color w:val="000000"/>
          <w:kern w:val="0"/>
          <w:sz w:val="32"/>
          <w:szCs w:val="32"/>
          <w:shd w:val="clear" w:color="auto" w:fill="FFFFFF"/>
        </w:rPr>
        <w:t>三</w:t>
      </w:r>
      <w:r>
        <w:rPr>
          <w:rFonts w:hint="eastAsia" w:ascii="仿宋_GB2312" w:hAnsi="仿宋_GB2312" w:eastAsia="仿宋_GB2312" w:cs="仿宋_GB2312"/>
          <w:color w:val="000000"/>
          <w:kern w:val="0"/>
          <w:sz w:val="32"/>
          <w:szCs w:val="32"/>
          <w:shd w:val="clear" w:color="auto" w:fill="FFFFFF"/>
          <w:lang w:val="zh-CN"/>
        </w:rPr>
        <w:t>）</w:t>
      </w:r>
      <w:r>
        <w:rPr>
          <w:rFonts w:hint="eastAsia" w:ascii="仿宋_GB2312" w:hAnsi="仿宋_GB2312" w:eastAsia="仿宋_GB2312" w:cs="仿宋_GB2312"/>
          <w:color w:val="000000"/>
          <w:kern w:val="0"/>
          <w:sz w:val="32"/>
          <w:szCs w:val="32"/>
          <w:shd w:val="clear" w:color="auto" w:fill="FFFFFF"/>
        </w:rPr>
        <w:t>自评质量</w:t>
      </w:r>
      <w:r>
        <w:rPr>
          <w:rFonts w:hint="eastAsia" w:ascii="仿宋_GB2312" w:hAnsi="仿宋_GB2312" w:eastAsia="仿宋_GB2312" w:cs="仿宋_GB2312"/>
          <w:color w:val="000000"/>
          <w:kern w:val="0"/>
          <w:sz w:val="32"/>
          <w:szCs w:val="32"/>
          <w:shd w:val="clear" w:color="auto" w:fill="FFFFFF"/>
          <w:lang w:val="zh-CN"/>
        </w:rPr>
        <w:t>。</w:t>
      </w:r>
    </w:p>
    <w:p>
      <w:pPr>
        <w:pStyle w:val="2"/>
        <w:spacing w:before="93"/>
        <w:ind w:firstLine="640"/>
        <w:rPr>
          <w:rFonts w:hAnsi="仿宋_GB2312" w:cs="仿宋_GB2312"/>
          <w:bCs/>
          <w:color w:val="000000"/>
          <w:sz w:val="32"/>
          <w:szCs w:val="32"/>
        </w:rPr>
      </w:pPr>
      <w:r>
        <w:rPr>
          <w:rFonts w:hint="eastAsia" w:hAnsi="仿宋_GB2312" w:cs="仿宋_GB2312"/>
          <w:bCs/>
          <w:color w:val="000000"/>
          <w:sz w:val="32"/>
          <w:szCs w:val="32"/>
        </w:rPr>
        <w:t>在所党委的高度重视下，攀枝花市强制隔离戒毒所组织成立了以主要领导牵头、财务、审计部门及各业务部门共同参与的预算项目绩效评价小组，提前拟定了评价方案，对2021年本单位预算整体支出和项目绩效开展了自评工作。总体来说，我单位对各项目制定了量化科学、指向明晰的绩效指标，从各项目实际完成情况及各项指标的完成情况来看，项目推进有序、项目管理严格、资金使用规范、绩效目标完成良好。</w:t>
      </w:r>
    </w:p>
    <w:p>
      <w:pPr>
        <w:widowControl/>
        <w:adjustRightInd w:val="0"/>
        <w:snapToGrid w:val="0"/>
        <w:spacing w:line="576" w:lineRule="exact"/>
        <w:ind w:firstLine="640" w:firstLineChars="200"/>
        <w:contextualSpacing/>
        <w:jc w:val="left"/>
        <w:rPr>
          <w:rFonts w:ascii="黑体" w:hAnsi="宋体" w:eastAsia="黑体" w:cs="宋体"/>
          <w:kern w:val="0"/>
          <w:sz w:val="32"/>
          <w:szCs w:val="32"/>
          <w:shd w:val="clear" w:color="auto" w:fill="FFFFFF"/>
        </w:rPr>
      </w:pPr>
      <w:r>
        <w:rPr>
          <w:rFonts w:hint="eastAsia" w:ascii="黑体" w:hAnsi="宋体" w:eastAsia="黑体" w:cs="宋体"/>
          <w:kern w:val="0"/>
          <w:sz w:val="32"/>
          <w:szCs w:val="32"/>
          <w:shd w:val="clear" w:color="auto" w:fill="FFFFFF"/>
        </w:rPr>
        <w:t>四、评价结论及建议</w:t>
      </w:r>
    </w:p>
    <w:p>
      <w:pPr>
        <w:widowControl/>
        <w:adjustRightInd w:val="0"/>
        <w:snapToGrid w:val="0"/>
        <w:spacing w:line="580" w:lineRule="exact"/>
        <w:ind w:firstLine="640" w:firstLineChars="200"/>
        <w:contextualSpacing/>
        <w:jc w:val="left"/>
        <w:rPr>
          <w:rFonts w:eastAsia="仿宋_GB2312"/>
          <w:color w:val="000000"/>
          <w:kern w:val="0"/>
          <w:sz w:val="32"/>
          <w:szCs w:val="32"/>
          <w:shd w:val="clear" w:color="auto" w:fill="FFFFFF"/>
          <w:lang w:val="zh-CN"/>
        </w:rPr>
      </w:pPr>
      <w:r>
        <w:rPr>
          <w:rFonts w:eastAsia="仿宋_GB2312"/>
          <w:color w:val="000000"/>
          <w:kern w:val="0"/>
          <w:sz w:val="32"/>
          <w:szCs w:val="32"/>
          <w:shd w:val="clear" w:color="auto" w:fill="FFFFFF"/>
          <w:lang w:val="zh-CN"/>
        </w:rPr>
        <w:t>（一）评价结论。</w:t>
      </w:r>
    </w:p>
    <w:p>
      <w:pPr>
        <w:spacing w:line="580" w:lineRule="exact"/>
        <w:ind w:firstLine="640" w:firstLineChars="200"/>
        <w:rPr>
          <w:rFonts w:ascii="仿宋_GB2312" w:hAnsi="仿宋_GB2312" w:eastAsia="仿宋_GB2312" w:cs="仿宋_GB2312"/>
          <w:color w:val="000000"/>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bidi="ar"/>
        </w:rPr>
        <w:t>根据部门整体支出绩效评价指标规定的内容，经我单位认真自评。按照市级部门预算编制相关要求，按时完成报送工作。部门整体绩效目标编制完整、合理，项目绩效目标编制明确。按要求严格预算执行管理。及时将非税收入缴入财政国库。严格执行“三公经费”预算。按要求及时公开预算、决算、绩效等信息。按要求及时、准确、全面开展资产清查工作，上报国有资产报表数据真实、准确、全面。</w:t>
      </w:r>
    </w:p>
    <w:p>
      <w:pPr>
        <w:widowControl/>
        <w:adjustRightInd w:val="0"/>
        <w:snapToGrid w:val="0"/>
        <w:spacing w:line="580" w:lineRule="exact"/>
        <w:ind w:left="420" w:leftChars="200"/>
        <w:contextualSpacing/>
        <w:jc w:val="left"/>
        <w:rPr>
          <w:rFonts w:ascii="仿宋_GB2312" w:hAnsi="仿宋_GB2312" w:eastAsia="仿宋_GB2312" w:cs="仿宋_GB2312"/>
          <w:color w:val="000000"/>
          <w:kern w:val="0"/>
          <w:sz w:val="32"/>
          <w:szCs w:val="32"/>
          <w:shd w:val="clear" w:color="auto" w:fill="FFFFFF"/>
          <w:lang w:val="zh-CN"/>
        </w:rPr>
      </w:pPr>
      <w:r>
        <w:rPr>
          <w:rFonts w:hint="eastAsia" w:ascii="仿宋_GB2312" w:hAnsi="仿宋_GB2312" w:eastAsia="仿宋_GB2312" w:cs="仿宋_GB2312"/>
          <w:color w:val="000000"/>
          <w:kern w:val="0"/>
          <w:sz w:val="32"/>
          <w:szCs w:val="32"/>
          <w:shd w:val="clear" w:color="auto" w:fill="FFFFFF"/>
          <w:lang w:val="zh-CN"/>
        </w:rPr>
        <w:t>（二）存在问题。</w:t>
      </w:r>
    </w:p>
    <w:p>
      <w:pPr>
        <w:pStyle w:val="12"/>
        <w:widowControl/>
        <w:shd w:val="clear" w:color="auto" w:fill="FFFFFF"/>
        <w:spacing w:before="0" w:beforeAutospacing="0" w:after="0" w:afterAutospacing="0" w:line="80" w:lineRule="atLeast"/>
        <w:ind w:firstLine="640" w:firstLineChars="200"/>
        <w:jc w:val="both"/>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1.预算编制、执行和使用有待进一步加强。</w:t>
      </w:r>
    </w:p>
    <w:p>
      <w:pPr>
        <w:pStyle w:val="12"/>
        <w:widowControl/>
        <w:shd w:val="clear" w:color="auto" w:fill="FFFFFF"/>
        <w:spacing w:before="0" w:beforeAutospacing="0" w:after="0" w:afterAutospacing="0" w:line="80" w:lineRule="atLeast"/>
        <w:ind w:firstLine="640" w:firstLineChars="200"/>
        <w:jc w:val="both"/>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2.内部控制有待进一步加强。</w:t>
      </w:r>
    </w:p>
    <w:p>
      <w:pPr>
        <w:pStyle w:val="12"/>
        <w:widowControl/>
        <w:shd w:val="clear" w:color="auto" w:fill="FFFFFF"/>
        <w:spacing w:before="0" w:beforeAutospacing="0" w:after="0" w:afterAutospacing="0" w:line="80" w:lineRule="atLeast"/>
        <w:ind w:firstLine="640" w:firstLineChars="200"/>
        <w:jc w:val="both"/>
        <w:rPr>
          <w:rFonts w:ascii="仿宋_GB2312" w:hAnsi="仿宋_GB2312" w:eastAsia="仿宋_GB2312" w:cs="仿宋_GB2312"/>
          <w:color w:val="000000"/>
          <w:sz w:val="32"/>
          <w:szCs w:val="32"/>
          <w:shd w:val="clear" w:color="auto" w:fill="FFFFFF"/>
          <w:lang w:val="zh-CN"/>
        </w:rPr>
      </w:pPr>
      <w:r>
        <w:rPr>
          <w:rFonts w:hint="eastAsia" w:ascii="仿宋_GB2312" w:hAnsi="仿宋_GB2312" w:eastAsia="仿宋_GB2312" w:cs="仿宋_GB2312"/>
          <w:color w:val="333333"/>
          <w:sz w:val="32"/>
          <w:szCs w:val="32"/>
          <w:shd w:val="clear" w:color="auto" w:fill="FFFFFF"/>
        </w:rPr>
        <w:t>3.人员素质及业务水平有待提升。</w:t>
      </w:r>
    </w:p>
    <w:p>
      <w:pPr>
        <w:widowControl/>
        <w:adjustRightInd w:val="0"/>
        <w:snapToGrid w:val="0"/>
        <w:spacing w:line="580" w:lineRule="exact"/>
        <w:ind w:firstLine="640" w:firstLineChars="200"/>
        <w:contextualSpacing/>
        <w:jc w:val="left"/>
        <w:rPr>
          <w:rFonts w:ascii="仿宋_GB2312" w:hAnsi="仿宋_GB2312" w:eastAsia="仿宋_GB2312" w:cs="仿宋_GB2312"/>
          <w:color w:val="000000"/>
          <w:kern w:val="0"/>
          <w:sz w:val="32"/>
          <w:szCs w:val="32"/>
          <w:shd w:val="clear" w:color="auto" w:fill="FFFFFF"/>
          <w:lang w:val="zh-CN"/>
        </w:rPr>
      </w:pPr>
      <w:r>
        <w:rPr>
          <w:rFonts w:hint="eastAsia" w:ascii="仿宋_GB2312" w:hAnsi="仿宋_GB2312" w:eastAsia="仿宋_GB2312" w:cs="仿宋_GB2312"/>
          <w:color w:val="000000"/>
          <w:kern w:val="0"/>
          <w:sz w:val="32"/>
          <w:szCs w:val="32"/>
          <w:shd w:val="clear" w:color="auto" w:fill="FFFFFF"/>
          <w:lang w:val="zh-CN"/>
        </w:rPr>
        <w:t>（三）改进建议。</w:t>
      </w:r>
    </w:p>
    <w:p>
      <w:pPr>
        <w:pStyle w:val="12"/>
        <w:widowControl/>
        <w:shd w:val="clear" w:color="auto" w:fill="FFFFFF"/>
        <w:spacing w:before="0" w:beforeAutospacing="0" w:after="0" w:afterAutospacing="0" w:line="80" w:lineRule="atLeast"/>
        <w:ind w:firstLine="640" w:firstLineChars="200"/>
        <w:jc w:val="both"/>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sz w:val="32"/>
          <w:szCs w:val="32"/>
          <w:shd w:val="clear" w:color="auto" w:fill="FFFFFF"/>
          <w:lang w:bidi="ar"/>
        </w:rPr>
        <w:t>1.</w:t>
      </w:r>
      <w:r>
        <w:rPr>
          <w:rFonts w:hint="eastAsia" w:ascii="仿宋_GB2312" w:hAnsi="仿宋_GB2312" w:eastAsia="仿宋_GB2312" w:cs="仿宋_GB2312"/>
          <w:color w:val="333333"/>
          <w:sz w:val="32"/>
          <w:szCs w:val="32"/>
          <w:shd w:val="clear" w:color="auto" w:fill="FFFFFF"/>
        </w:rPr>
        <w:t>加强预算管理，提高资金使用效益。一是科学编制预算，根据单位的年度工作重点和项目专项工作规划，本着“勤俭节约、保障运转”的原则进行预算的编制，进一步提高预算编制的科学性、合理性、严谨性和可控性。二是加强预算绩效管理，加快项目实施进度的推进，加强项目开展进度的跟踪，开展项目绩效评价，确保项目绩效目标的完成，发挥资金的使用效益。</w:t>
      </w:r>
    </w:p>
    <w:p>
      <w:pPr>
        <w:pStyle w:val="12"/>
        <w:widowControl/>
        <w:shd w:val="clear" w:color="auto" w:fill="FFFFFF"/>
        <w:spacing w:before="0" w:beforeAutospacing="0" w:after="0" w:afterAutospacing="0" w:line="80" w:lineRule="atLeast"/>
        <w:ind w:firstLine="640" w:firstLineChars="200"/>
        <w:jc w:val="both"/>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2. 加强内部控制，提高管理水平。一是加强内部控制建设，完善内控制度，强化执行。二是加强多部门协同，促进内部控制落实到位。三是加强内控事前、事中、事后监督和评价。</w:t>
      </w:r>
    </w:p>
    <w:p>
      <w:pPr>
        <w:pStyle w:val="12"/>
        <w:widowControl/>
        <w:shd w:val="clear" w:color="auto" w:fill="FFFFFF"/>
        <w:spacing w:before="0" w:beforeAutospacing="0" w:after="0" w:afterAutospacing="0" w:line="80" w:lineRule="atLeas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color w:val="333333"/>
          <w:sz w:val="32"/>
          <w:szCs w:val="32"/>
          <w:shd w:val="clear" w:color="auto" w:fill="FFFFFF"/>
        </w:rPr>
        <w:t>3.加强队伍建设，提高人员素质。</w:t>
      </w:r>
      <w:r>
        <w:rPr>
          <w:rFonts w:hint="eastAsia" w:ascii="仿宋_GB2312" w:hAnsi="仿宋_GB2312" w:eastAsia="仿宋_GB2312" w:cs="仿宋_GB2312"/>
          <w:sz w:val="32"/>
          <w:szCs w:val="32"/>
          <w:shd w:val="clear" w:color="auto" w:fill="FFFFFF"/>
          <w:lang w:bidi="ar"/>
        </w:rPr>
        <w:t>行政事业单位的财务制度、财政支付方式、预算管理模式、内控制度等不断更新完善，财务人员及其他部门人员均应积极学习新的财务知识、财经法规及内控制度等，以适应当前行政事业单位财务管理的需要。</w:t>
      </w:r>
    </w:p>
    <w:p>
      <w:pPr>
        <w:pStyle w:val="2"/>
        <w:spacing w:before="93"/>
        <w:rPr>
          <w:rFonts w:hAnsi="仿宋_GB2312" w:cs="仿宋_GB2312"/>
          <w:sz w:val="32"/>
          <w:szCs w:val="32"/>
          <w:shd w:val="clear" w:color="auto" w:fill="FFFFFF"/>
          <w:lang w:val="zh-CN"/>
        </w:rPr>
      </w:pPr>
    </w:p>
    <w:p>
      <w:pPr>
        <w:pStyle w:val="2"/>
        <w:spacing w:before="93"/>
        <w:rPr>
          <w:rFonts w:hAnsi="宋体" w:cs="宋体"/>
          <w:sz w:val="32"/>
          <w:szCs w:val="32"/>
          <w:shd w:val="clear" w:color="auto" w:fill="FFFFFF"/>
          <w:lang w:val="zh-CN"/>
        </w:rPr>
      </w:pPr>
    </w:p>
    <w:p>
      <w:pPr>
        <w:pStyle w:val="2"/>
        <w:spacing w:before="93"/>
        <w:rPr>
          <w:rFonts w:hAnsi="宋体" w:cs="宋体"/>
          <w:sz w:val="32"/>
          <w:szCs w:val="32"/>
          <w:shd w:val="clear" w:color="auto" w:fill="FFFFFF"/>
          <w:lang w:val="zh-CN"/>
        </w:rPr>
      </w:pPr>
    </w:p>
    <w:p>
      <w:pPr>
        <w:pStyle w:val="2"/>
        <w:spacing w:before="93"/>
        <w:rPr>
          <w:rFonts w:hAnsi="宋体" w:cs="宋体"/>
          <w:sz w:val="32"/>
          <w:szCs w:val="32"/>
          <w:shd w:val="clear" w:color="auto" w:fill="FFFFFF"/>
          <w:lang w:val="zh-CN"/>
        </w:rPr>
      </w:pPr>
    </w:p>
    <w:p>
      <w:pPr>
        <w:pStyle w:val="2"/>
        <w:spacing w:before="93"/>
        <w:rPr>
          <w:rFonts w:hAnsi="宋体" w:cs="宋体"/>
          <w:sz w:val="32"/>
          <w:szCs w:val="32"/>
          <w:shd w:val="clear" w:color="auto" w:fill="FFFFFF"/>
          <w:lang w:val="zh-CN"/>
        </w:rPr>
      </w:pPr>
    </w:p>
    <w:p>
      <w:pPr>
        <w:pStyle w:val="2"/>
        <w:spacing w:before="93"/>
        <w:rPr>
          <w:rFonts w:hAnsi="宋体" w:cs="宋体"/>
          <w:sz w:val="32"/>
          <w:szCs w:val="32"/>
          <w:shd w:val="clear" w:color="auto" w:fill="FFFFFF"/>
          <w:lang w:val="zh-CN"/>
        </w:rPr>
      </w:pPr>
    </w:p>
    <w:p>
      <w:pPr>
        <w:pStyle w:val="2"/>
        <w:spacing w:before="93"/>
        <w:rPr>
          <w:rFonts w:hAnsi="宋体" w:cs="宋体"/>
          <w:sz w:val="32"/>
          <w:szCs w:val="32"/>
          <w:shd w:val="clear" w:color="auto" w:fill="FFFFFF"/>
          <w:lang w:val="zh-CN"/>
        </w:rPr>
      </w:pPr>
    </w:p>
    <w:p>
      <w:pPr>
        <w:pStyle w:val="2"/>
        <w:spacing w:before="93"/>
        <w:rPr>
          <w:rFonts w:hAnsi="宋体" w:cs="宋体"/>
          <w:sz w:val="32"/>
          <w:szCs w:val="32"/>
          <w:shd w:val="clear" w:color="auto" w:fill="FFFFFF"/>
          <w:lang w:val="zh-CN"/>
        </w:rPr>
      </w:pPr>
    </w:p>
    <w:p>
      <w:pPr>
        <w:pStyle w:val="2"/>
        <w:spacing w:before="93"/>
        <w:rPr>
          <w:rFonts w:hAnsi="宋体" w:cs="宋体"/>
          <w:sz w:val="32"/>
          <w:szCs w:val="32"/>
          <w:shd w:val="clear" w:color="auto" w:fill="FFFFFF"/>
          <w:lang w:val="zh-CN"/>
        </w:rPr>
      </w:pPr>
    </w:p>
    <w:p>
      <w:pPr>
        <w:pStyle w:val="2"/>
        <w:spacing w:before="93"/>
        <w:rPr>
          <w:rFonts w:hAnsi="宋体" w:cs="宋体"/>
          <w:sz w:val="32"/>
          <w:szCs w:val="32"/>
          <w:shd w:val="clear" w:color="auto" w:fill="FFFFFF"/>
          <w:lang w:val="zh-CN"/>
        </w:rPr>
      </w:pPr>
    </w:p>
    <w:p>
      <w:pPr>
        <w:pStyle w:val="2"/>
        <w:spacing w:before="93"/>
        <w:rPr>
          <w:rFonts w:hAnsi="宋体" w:cs="宋体"/>
          <w:sz w:val="32"/>
          <w:szCs w:val="32"/>
          <w:shd w:val="clear" w:color="auto" w:fill="FFFFFF"/>
          <w:lang w:val="zh-CN"/>
        </w:rPr>
      </w:pPr>
    </w:p>
    <w:p>
      <w:pPr>
        <w:pStyle w:val="2"/>
        <w:spacing w:before="93"/>
        <w:rPr>
          <w:rFonts w:hAnsi="宋体" w:cs="宋体"/>
          <w:sz w:val="32"/>
          <w:szCs w:val="32"/>
          <w:shd w:val="clear" w:color="auto" w:fill="FFFFFF"/>
          <w:lang w:val="zh-CN"/>
        </w:rPr>
      </w:pPr>
    </w:p>
    <w:p>
      <w:pPr>
        <w:pStyle w:val="2"/>
        <w:spacing w:before="93"/>
        <w:rPr>
          <w:rFonts w:hAnsi="宋体" w:cs="宋体"/>
          <w:sz w:val="32"/>
          <w:szCs w:val="32"/>
          <w:shd w:val="clear" w:color="auto" w:fill="FFFFFF"/>
          <w:lang w:val="zh-CN"/>
        </w:rPr>
      </w:pPr>
    </w:p>
    <w:p>
      <w:pPr>
        <w:pStyle w:val="2"/>
        <w:spacing w:before="93"/>
        <w:rPr>
          <w:rFonts w:hAnsi="宋体" w:cs="宋体"/>
          <w:sz w:val="32"/>
          <w:szCs w:val="32"/>
          <w:shd w:val="clear" w:color="auto" w:fill="FFFFFF"/>
          <w:lang w:val="zh-CN"/>
        </w:rPr>
      </w:pPr>
    </w:p>
    <w:p>
      <w:pPr>
        <w:pStyle w:val="2"/>
        <w:spacing w:before="93"/>
        <w:rPr>
          <w:rFonts w:hAnsi="宋体" w:cs="宋体"/>
          <w:sz w:val="32"/>
          <w:szCs w:val="32"/>
          <w:shd w:val="clear" w:color="auto" w:fill="FFFFFF"/>
          <w:lang w:val="zh-CN"/>
        </w:rPr>
      </w:pPr>
    </w:p>
    <w:p>
      <w:pPr>
        <w:pStyle w:val="2"/>
        <w:spacing w:before="93"/>
        <w:rPr>
          <w:rFonts w:hAnsi="宋体" w:cs="宋体"/>
          <w:sz w:val="32"/>
          <w:szCs w:val="32"/>
          <w:shd w:val="clear" w:color="auto" w:fill="FFFFFF"/>
          <w:lang w:val="zh-CN"/>
        </w:rPr>
      </w:pPr>
    </w:p>
    <w:p>
      <w:pPr>
        <w:pStyle w:val="2"/>
        <w:spacing w:before="93"/>
      </w:pPr>
      <w:r>
        <w:rPr>
          <w:rFonts w:hint="eastAsia"/>
          <w:lang w:val="zh-CN"/>
        </w:rPr>
        <w:t>附件</w:t>
      </w:r>
      <w:r>
        <w:rPr>
          <w:rFonts w:hint="eastAsia"/>
        </w:rPr>
        <w:t>2</w:t>
      </w:r>
    </w:p>
    <w:p>
      <w:pPr>
        <w:spacing w:line="600" w:lineRule="exact"/>
        <w:jc w:val="center"/>
        <w:rPr>
          <w:rFonts w:ascii="方正小标宋简体" w:hAnsi="方正小标宋简体" w:eastAsia="方正小标宋简体" w:cs="方正小标宋简体"/>
          <w:sz w:val="40"/>
          <w:szCs w:val="40"/>
          <w:lang w:val="zh-CN"/>
        </w:rPr>
      </w:pPr>
      <w:r>
        <w:rPr>
          <w:rFonts w:hint="eastAsia" w:ascii="方正小标宋简体" w:hAnsi="方正小标宋简体" w:eastAsia="方正小标宋简体" w:cs="方正小标宋简体"/>
          <w:sz w:val="40"/>
          <w:szCs w:val="40"/>
        </w:rPr>
        <w:t>2021年攀枝花市强制隔离戒毒所建设项目</w:t>
      </w:r>
      <w:r>
        <w:rPr>
          <w:rFonts w:hint="eastAsia" w:ascii="方正小标宋简体" w:hAnsi="方正小标宋简体" w:eastAsia="方正小标宋简体" w:cs="方正小标宋简体"/>
          <w:sz w:val="40"/>
          <w:szCs w:val="40"/>
          <w:lang w:val="zh-CN"/>
        </w:rPr>
        <w:t>支出绩效自评报告</w:t>
      </w:r>
    </w:p>
    <w:p>
      <w:pPr>
        <w:spacing w:line="600" w:lineRule="exact"/>
        <w:ind w:firstLine="640"/>
        <w:jc w:val="center"/>
        <w:rPr>
          <w:rFonts w:ascii="宋体" w:hAnsi="宋体"/>
          <w:sz w:val="32"/>
          <w:szCs w:val="32"/>
          <w:lang w:val="zh-CN"/>
        </w:rPr>
      </w:pPr>
    </w:p>
    <w:p>
      <w:pPr>
        <w:adjustRightInd w:val="0"/>
        <w:snapToGrid w:val="0"/>
        <w:spacing w:line="600" w:lineRule="exact"/>
        <w:ind w:firstLine="720"/>
        <w:rPr>
          <w:rFonts w:ascii="黑体" w:hAnsi="宋体" w:eastAsia="黑体"/>
          <w:sz w:val="32"/>
          <w:szCs w:val="32"/>
          <w:lang w:val="zh-CN"/>
        </w:rPr>
      </w:pPr>
      <w:r>
        <w:rPr>
          <w:rFonts w:hint="eastAsia" w:ascii="黑体" w:hAnsi="宋体" w:eastAsia="黑体"/>
          <w:sz w:val="32"/>
          <w:szCs w:val="32"/>
        </w:rPr>
        <w:t>一、</w:t>
      </w:r>
      <w:r>
        <w:rPr>
          <w:rFonts w:hint="eastAsia" w:ascii="黑体" w:hAnsi="宋体" w:eastAsia="黑体"/>
          <w:sz w:val="32"/>
          <w:szCs w:val="32"/>
          <w:lang w:val="zh-CN"/>
        </w:rPr>
        <w:t>项目概况</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（一）项目基本情况。</w:t>
      </w:r>
    </w:p>
    <w:p>
      <w:pPr>
        <w:pStyle w:val="2"/>
        <w:spacing w:before="93" w:line="600" w:lineRule="exact"/>
        <w:ind w:firstLine="640" w:firstLineChars="200"/>
        <w:rPr>
          <w:rFonts w:hAnsi="仿宋_GB2312" w:cs="仿宋_GB2312"/>
          <w:sz w:val="32"/>
          <w:szCs w:val="32"/>
        </w:rPr>
      </w:pPr>
      <w:r>
        <w:rPr>
          <w:rFonts w:hint="eastAsia" w:hAnsi="仿宋_GB2312" w:cs="仿宋_GB2312"/>
          <w:sz w:val="32"/>
          <w:szCs w:val="32"/>
        </w:rPr>
        <w:t>攀枝花强制隔离戒毒所建设项目是为支持攀枝花市火车南站及其站前基础设施建设，按照市委、市政府的要求进行的监管场所整体迁建项目，也是“十三五”地方政法基础设施建设项目。该项目于2018年2月6日，经市发展改革委批复立项，项目业主攀枝花市强制隔离戒毒所，总建筑面积32150㎡，项目估算总投资17349.43万元，不含征地拆迁费。项目资金来源“十三五”政法基础设施建设项目中央预算内资金和省、市地方配套资金，以及市强戒所原场所征地拆迁补偿资金。截止2020年12月已筹措到位建设资金20163万元（其中“十三五”中央预算内资金及省财政配套资金6987万元，原场所征地拆迁资金13176万元）。该项目按照政府投资项目相关规定实施代建制，并采用EPC施工总承包建设模式，已于2020年12月正式开工建设，计划2022年12月完工，工期2年。</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（二）项目绩效目标。</w:t>
      </w:r>
    </w:p>
    <w:p>
      <w:pPr>
        <w:autoSpaceDE w:val="0"/>
        <w:autoSpaceDN w:val="0"/>
        <w:adjustRightInd w:val="0"/>
        <w:spacing w:line="600" w:lineRule="exact"/>
        <w:ind w:firstLine="640" w:firstLineChars="200"/>
        <w:jc w:val="left"/>
        <w:rPr>
          <w:rFonts w:eastAsia="楷体_GB2312"/>
          <w:kern w:val="0"/>
          <w:sz w:val="32"/>
          <w:szCs w:val="32"/>
        </w:rPr>
      </w:pPr>
      <w:r>
        <w:rPr>
          <w:rFonts w:eastAsia="仿宋_GB2312"/>
          <w:sz w:val="32"/>
          <w:szCs w:val="32"/>
        </w:rPr>
        <w:t>2021年</w:t>
      </w:r>
      <w:r>
        <w:rPr>
          <w:rFonts w:hint="eastAsia" w:eastAsia="仿宋_GB2312"/>
          <w:sz w:val="32"/>
          <w:szCs w:val="32"/>
        </w:rPr>
        <w:t>，项目被列为市级</w:t>
      </w:r>
      <w:r>
        <w:rPr>
          <w:rFonts w:eastAsia="仿宋_GB2312"/>
          <w:sz w:val="32"/>
          <w:szCs w:val="32"/>
        </w:rPr>
        <w:t>重点推进续建项目</w:t>
      </w:r>
      <w:r>
        <w:rPr>
          <w:rFonts w:hint="eastAsia" w:eastAsia="仿宋_GB2312"/>
          <w:sz w:val="32"/>
          <w:szCs w:val="32"/>
        </w:rPr>
        <w:t>，全年目标任务是完成一期工程1号楼、2号楼、3号楼、4号楼主体建设以及部分场平、边坡挡墙等施工，实现投资7000万元。</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（三）项目自评步骤及方法。</w:t>
      </w:r>
    </w:p>
    <w:p>
      <w:pPr>
        <w:adjustRightInd w:val="0"/>
        <w:snapToGrid w:val="0"/>
        <w:spacing w:line="600" w:lineRule="exact"/>
        <w:ind w:firstLine="720"/>
        <w:rPr>
          <w:rFonts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我单位组织成立了以主要领导牵头、财务、审计部门及各业务部门共同参与的预算项目绩效评价小组，并提前拟定了评价方案。自评小组依据专项资金绩效考评指标体系，对项目开展综合评分，全面考量项目实施程序的规范性、财务管理的合规性，以及项目执行率和目标绩效完成情况。</w:t>
      </w:r>
    </w:p>
    <w:p>
      <w:pPr>
        <w:adjustRightInd w:val="0"/>
        <w:snapToGrid w:val="0"/>
        <w:spacing w:line="600" w:lineRule="exact"/>
        <w:ind w:firstLine="720"/>
        <w:rPr>
          <w:rFonts w:ascii="黑体" w:hAnsi="宋体" w:eastAsia="黑体"/>
          <w:sz w:val="32"/>
          <w:szCs w:val="32"/>
        </w:rPr>
      </w:pPr>
      <w:r>
        <w:rPr>
          <w:rFonts w:hint="eastAsia" w:ascii="黑体" w:hAnsi="宋体" w:eastAsia="黑体"/>
          <w:sz w:val="32"/>
          <w:szCs w:val="32"/>
        </w:rPr>
        <w:t>二、项目资金申报及使用情况</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（一）项目资金申报及批复情况。</w:t>
      </w:r>
    </w:p>
    <w:p>
      <w:pPr>
        <w:autoSpaceDE w:val="0"/>
        <w:autoSpaceDN w:val="0"/>
        <w:adjustRightInd w:val="0"/>
        <w:spacing w:line="600" w:lineRule="exact"/>
        <w:ind w:firstLine="640" w:firstLineChars="200"/>
        <w:jc w:val="left"/>
        <w:rPr>
          <w:rFonts w:ascii="仿宋_GB2312" w:hAnsi="宋体" w:eastAsia="仿宋_GB2312"/>
          <w:sz w:val="32"/>
          <w:szCs w:val="32"/>
          <w:lang w:val="zh-CN"/>
        </w:rPr>
      </w:pPr>
      <w:r>
        <w:rPr>
          <w:rFonts w:hint="eastAsia" w:ascii="仿宋_GB2312" w:hAnsi="仿宋_GB2312" w:eastAsia="仿宋_GB2312" w:cs="仿宋_GB2312"/>
          <w:kern w:val="0"/>
          <w:sz w:val="32"/>
          <w:szCs w:val="32"/>
        </w:rPr>
        <w:t>2021年</w:t>
      </w:r>
      <w:r>
        <w:rPr>
          <w:rFonts w:hint="eastAsia" w:ascii="仿宋_GB2312" w:hAnsi="仿宋_GB2312" w:eastAsia="仿宋_GB2312" w:cs="仿宋_GB2312"/>
          <w:sz w:val="32"/>
          <w:szCs w:val="32"/>
        </w:rPr>
        <w:t>攀枝花强制隔离戒毒所建设项目</w:t>
      </w:r>
      <w:r>
        <w:rPr>
          <w:rFonts w:hint="eastAsia" w:ascii="仿宋_GB2312" w:hAnsi="仿宋_GB2312" w:eastAsia="仿宋_GB2312" w:cs="仿宋_GB2312"/>
          <w:kern w:val="0"/>
          <w:sz w:val="32"/>
          <w:szCs w:val="32"/>
        </w:rPr>
        <w:t>申报预算7000万元，市财政批复下达预算指标5331万元。</w:t>
      </w:r>
    </w:p>
    <w:p>
      <w:pPr>
        <w:adjustRightInd w:val="0"/>
        <w:snapToGrid w:val="0"/>
        <w:spacing w:line="600" w:lineRule="exact"/>
        <w:ind w:firstLine="720"/>
        <w:rPr>
          <w:rFonts w:ascii="仿宋_GB2312" w:hAnsi="宋体" w:eastAsia="仿宋_GB2312"/>
          <w:sz w:val="32"/>
          <w:szCs w:val="32"/>
          <w:lang w:val="zh-CN"/>
        </w:rPr>
      </w:pPr>
      <w:r>
        <w:rPr>
          <w:rFonts w:hint="eastAsia" w:ascii="楷体_GB2312" w:hAnsi="宋体" w:eastAsia="楷体_GB2312"/>
          <w:b/>
          <w:sz w:val="32"/>
          <w:szCs w:val="32"/>
          <w:lang w:val="zh-CN"/>
        </w:rPr>
        <w:t>（二）资金计划、到位及使用情况。</w:t>
      </w:r>
    </w:p>
    <w:p>
      <w:pPr>
        <w:autoSpaceDE w:val="0"/>
        <w:autoSpaceDN w:val="0"/>
        <w:adjustRightInd w:val="0"/>
        <w:spacing w:line="60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2021年</w:t>
      </w:r>
      <w:r>
        <w:rPr>
          <w:rFonts w:hint="eastAsia" w:ascii="仿宋_GB2312" w:hAnsi="仿宋_GB2312" w:eastAsia="仿宋_GB2312" w:cs="仿宋_GB2312"/>
          <w:sz w:val="32"/>
          <w:szCs w:val="32"/>
        </w:rPr>
        <w:t>攀枝花强制隔离戒毒所建设项目实际</w:t>
      </w:r>
      <w:r>
        <w:rPr>
          <w:rFonts w:hint="eastAsia" w:ascii="仿宋_GB2312" w:hAnsi="仿宋_GB2312" w:eastAsia="仿宋_GB2312" w:cs="仿宋_GB2312"/>
          <w:kern w:val="0"/>
          <w:sz w:val="32"/>
          <w:szCs w:val="32"/>
        </w:rPr>
        <w:t>到位资金1150万元，已于当年按施工进度及EPC合同约定全部用于工程进度款和农民工工资开支。</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（三）项目财务管理情况。</w:t>
      </w:r>
    </w:p>
    <w:p>
      <w:pPr>
        <w:autoSpaceDE w:val="0"/>
        <w:autoSpaceDN w:val="0"/>
        <w:adjustRightInd w:val="0"/>
        <w:spacing w:line="600" w:lineRule="exact"/>
        <w:ind w:firstLine="640" w:firstLineChars="200"/>
        <w:jc w:val="left"/>
        <w:rPr>
          <w:rFonts w:eastAsia="仿宋_GB2312"/>
          <w:kern w:val="0"/>
          <w:sz w:val="32"/>
          <w:szCs w:val="32"/>
        </w:rPr>
      </w:pPr>
      <w:r>
        <w:rPr>
          <w:rFonts w:hint="eastAsia" w:eastAsia="仿宋_GB2312"/>
          <w:kern w:val="0"/>
          <w:sz w:val="32"/>
          <w:szCs w:val="32"/>
        </w:rPr>
        <w:t>我单位在项目预算资金管理上，严格落实财经纪律，执行财务管理相关制度，做到规范使用项目预算资金。按照我市政府投资项目管理相关规定，</w:t>
      </w:r>
      <w:r>
        <w:rPr>
          <w:rFonts w:eastAsia="仿宋_GB2312"/>
          <w:kern w:val="0"/>
          <w:sz w:val="32"/>
          <w:szCs w:val="32"/>
        </w:rPr>
        <w:t>攀枝花强制隔离戒毒所建设项目</w:t>
      </w:r>
      <w:r>
        <w:rPr>
          <w:rFonts w:hint="eastAsia" w:eastAsia="仿宋_GB2312"/>
          <w:kern w:val="0"/>
          <w:sz w:val="32"/>
          <w:szCs w:val="32"/>
        </w:rPr>
        <w:t>实行代建制，并按照</w:t>
      </w:r>
      <w:r>
        <w:rPr>
          <w:rFonts w:eastAsia="仿宋_GB2312"/>
          <w:kern w:val="0"/>
          <w:sz w:val="32"/>
          <w:szCs w:val="32"/>
        </w:rPr>
        <w:t>《攀枝花市市级政府投资项目代建制资金管理暂行办法》相关规定，</w:t>
      </w:r>
      <w:r>
        <w:rPr>
          <w:rFonts w:hint="eastAsia" w:eastAsia="仿宋_GB2312"/>
          <w:kern w:val="0"/>
          <w:sz w:val="32"/>
          <w:szCs w:val="32"/>
        </w:rPr>
        <w:t>由代建单位开设代建专户，实行专项资金专户管理，独立实行账务处理和会计核算。市强戒所严格按照预算使用专项资金，履行建设</w:t>
      </w:r>
      <w:r>
        <w:rPr>
          <w:rFonts w:eastAsia="仿宋_GB2312"/>
          <w:kern w:val="0"/>
          <w:sz w:val="32"/>
          <w:szCs w:val="32"/>
        </w:rPr>
        <w:t>资金管理</w:t>
      </w:r>
      <w:r>
        <w:rPr>
          <w:rFonts w:hint="eastAsia" w:eastAsia="仿宋_GB2312"/>
          <w:kern w:val="0"/>
          <w:sz w:val="32"/>
          <w:szCs w:val="32"/>
        </w:rPr>
        <w:t>和监督责任</w:t>
      </w:r>
      <w:r>
        <w:rPr>
          <w:rFonts w:eastAsia="仿宋_GB2312"/>
          <w:kern w:val="0"/>
          <w:sz w:val="32"/>
          <w:szCs w:val="32"/>
        </w:rPr>
        <w:t>，</w:t>
      </w:r>
      <w:r>
        <w:rPr>
          <w:rFonts w:hint="eastAsia" w:eastAsia="仿宋_GB2312"/>
          <w:kern w:val="0"/>
          <w:sz w:val="32"/>
          <w:szCs w:val="32"/>
        </w:rPr>
        <w:t>坚决</w:t>
      </w:r>
      <w:r>
        <w:rPr>
          <w:rFonts w:eastAsia="仿宋_GB2312"/>
          <w:kern w:val="0"/>
          <w:sz w:val="32"/>
          <w:szCs w:val="32"/>
        </w:rPr>
        <w:t>做到专款专用，</w:t>
      </w:r>
      <w:r>
        <w:rPr>
          <w:rFonts w:hint="eastAsia" w:eastAsia="仿宋_GB2312"/>
          <w:kern w:val="0"/>
          <w:sz w:val="32"/>
          <w:szCs w:val="32"/>
        </w:rPr>
        <w:t>自觉</w:t>
      </w:r>
      <w:r>
        <w:rPr>
          <w:rFonts w:eastAsia="仿宋_GB2312"/>
          <w:kern w:val="0"/>
          <w:sz w:val="32"/>
          <w:szCs w:val="32"/>
        </w:rPr>
        <w:t>接受财政和审计等部门的监督检查。</w:t>
      </w:r>
    </w:p>
    <w:p>
      <w:pPr>
        <w:adjustRightInd w:val="0"/>
        <w:snapToGrid w:val="0"/>
        <w:spacing w:line="600" w:lineRule="exact"/>
        <w:ind w:firstLine="720"/>
        <w:rPr>
          <w:rFonts w:ascii="黑体" w:hAnsi="宋体" w:eastAsia="黑体"/>
          <w:sz w:val="32"/>
          <w:szCs w:val="32"/>
        </w:rPr>
      </w:pPr>
      <w:r>
        <w:rPr>
          <w:rFonts w:hint="eastAsia" w:ascii="黑体" w:hAnsi="宋体" w:eastAsia="黑体"/>
          <w:sz w:val="32"/>
          <w:szCs w:val="32"/>
        </w:rPr>
        <w:t>三、项目实施及管理情况</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（一）项目组织架构及实施流程。</w:t>
      </w:r>
    </w:p>
    <w:p>
      <w:pPr>
        <w:pStyle w:val="2"/>
        <w:spacing w:before="93"/>
        <w:ind w:firstLine="640" w:firstLineChars="200"/>
        <w:rPr>
          <w:lang w:val="zh-CN"/>
        </w:rPr>
      </w:pPr>
      <w:r>
        <w:rPr>
          <w:rFonts w:hint="eastAsia" w:ascii="Times New Roman"/>
          <w:sz w:val="32"/>
          <w:szCs w:val="32"/>
        </w:rPr>
        <w:t>按照市委、市政府</w:t>
      </w:r>
      <w:r>
        <w:rPr>
          <w:rFonts w:hint="eastAsia"/>
          <w:sz w:val="32"/>
          <w:szCs w:val="32"/>
        </w:rPr>
        <w:t>以及项目行业主管部门的批复要求</w:t>
      </w:r>
      <w:r>
        <w:rPr>
          <w:rFonts w:hint="eastAsia" w:ascii="Times New Roman"/>
          <w:sz w:val="32"/>
          <w:szCs w:val="32"/>
        </w:rPr>
        <w:t>，</w:t>
      </w:r>
      <w:r>
        <w:rPr>
          <w:rFonts w:ascii="Times New Roman"/>
          <w:sz w:val="32"/>
          <w:szCs w:val="32"/>
        </w:rPr>
        <w:t>攀枝花强制隔离戒毒所建设项目</w:t>
      </w:r>
      <w:r>
        <w:rPr>
          <w:rFonts w:hint="eastAsia"/>
          <w:sz w:val="32"/>
          <w:szCs w:val="32"/>
        </w:rPr>
        <w:t>实行代建制度，按照设计施工总承包建设方式（EPC）开展建设。项目按照政府投资基建项目相关法律法规开展招投标工作确定代建单位、总包单位和监理单位，并招标引入过程控制单位把控工程造价控制建设成本。</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（二）项目管理情况。</w:t>
      </w:r>
    </w:p>
    <w:p>
      <w:pPr>
        <w:pStyle w:val="2"/>
        <w:spacing w:before="93"/>
        <w:ind w:firstLine="640" w:firstLineChars="200"/>
        <w:rPr>
          <w:lang w:val="zh-CN"/>
        </w:rPr>
      </w:pPr>
      <w:r>
        <w:rPr>
          <w:rFonts w:hint="eastAsia"/>
          <w:sz w:val="32"/>
          <w:szCs w:val="32"/>
        </w:rPr>
        <w:t>项目自开工建设以来，严格按照施工进度计划</w:t>
      </w:r>
      <w:r>
        <w:rPr>
          <w:rFonts w:hint="eastAsia" w:ascii="Times New Roman"/>
          <w:sz w:val="32"/>
          <w:szCs w:val="32"/>
        </w:rPr>
        <w:t>挂图作战</w:t>
      </w:r>
      <w:r>
        <w:rPr>
          <w:rFonts w:hint="eastAsia"/>
          <w:sz w:val="32"/>
          <w:szCs w:val="32"/>
        </w:rPr>
        <w:t>有序</w:t>
      </w:r>
      <w:r>
        <w:rPr>
          <w:rFonts w:hint="eastAsia" w:ascii="Times New Roman"/>
          <w:sz w:val="32"/>
          <w:szCs w:val="32"/>
        </w:rPr>
        <w:t>推进。按照工程进度及EPC合同约定，</w:t>
      </w:r>
      <w:r>
        <w:rPr>
          <w:rFonts w:hint="eastAsia"/>
          <w:sz w:val="32"/>
          <w:szCs w:val="32"/>
        </w:rPr>
        <w:t>我单位依据工程进度结算签证审核代建专户，</w:t>
      </w:r>
      <w:r>
        <w:rPr>
          <w:rFonts w:hint="eastAsia" w:ascii="Times New Roman"/>
          <w:sz w:val="32"/>
          <w:szCs w:val="32"/>
        </w:rPr>
        <w:t>每月按期足额支付工程农民工工资，每季度结算工程进度款、设计费、过程控制服务费、监理服务费等费用。</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（三）项目监管情况。</w:t>
      </w:r>
    </w:p>
    <w:p>
      <w:pPr>
        <w:autoSpaceDE w:val="0"/>
        <w:autoSpaceDN w:val="0"/>
        <w:adjustRightInd w:val="0"/>
        <w:spacing w:line="600" w:lineRule="exact"/>
        <w:ind w:firstLine="640" w:firstLineChars="200"/>
        <w:jc w:val="left"/>
        <w:rPr>
          <w:rFonts w:eastAsia="仿宋_GB2312"/>
          <w:kern w:val="0"/>
          <w:sz w:val="32"/>
          <w:szCs w:val="32"/>
        </w:rPr>
      </w:pPr>
      <w:r>
        <w:rPr>
          <w:rFonts w:hint="eastAsia" w:eastAsia="仿宋_GB2312"/>
          <w:kern w:val="0"/>
          <w:sz w:val="32"/>
          <w:szCs w:val="32"/>
        </w:rPr>
        <w:t>我单位严格按照我市代建管理办法切实落实主体责任，不断强化项目工程建设监管，确保项目按进度计划有序推进，强化代建专户建设资金审核，确保农民工工资按期足额结算和发放。项目已多次接受省、市审计部门开展的过程审计和重点项目专项审计。</w:t>
      </w:r>
    </w:p>
    <w:p>
      <w:pPr>
        <w:adjustRightInd w:val="0"/>
        <w:snapToGrid w:val="0"/>
        <w:spacing w:line="600" w:lineRule="exact"/>
        <w:ind w:firstLine="720"/>
        <w:rPr>
          <w:rFonts w:ascii="仿宋_GB2312" w:hAnsi="宋体" w:eastAsia="仿宋_GB2312"/>
          <w:sz w:val="32"/>
          <w:szCs w:val="32"/>
          <w:lang w:val="zh-CN"/>
        </w:rPr>
      </w:pPr>
      <w:r>
        <w:rPr>
          <w:rFonts w:hint="eastAsia" w:ascii="黑体" w:hAnsi="宋体" w:eastAsia="黑体"/>
          <w:sz w:val="32"/>
          <w:szCs w:val="32"/>
        </w:rPr>
        <w:t>四、项目绩效情况</w:t>
      </w:r>
      <w:r>
        <w:rPr>
          <w:rFonts w:hint="eastAsia" w:ascii="仿宋_GB2312" w:hAnsi="宋体" w:eastAsia="仿宋_GB2312"/>
          <w:sz w:val="32"/>
          <w:szCs w:val="32"/>
          <w:lang w:val="zh-CN"/>
        </w:rPr>
        <w:tab/>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（一）项目完成情况。</w:t>
      </w:r>
    </w:p>
    <w:p>
      <w:pPr>
        <w:autoSpaceDE w:val="0"/>
        <w:autoSpaceDN w:val="0"/>
        <w:adjustRightInd w:val="0"/>
        <w:spacing w:line="600" w:lineRule="exact"/>
        <w:ind w:firstLine="640" w:firstLineChars="200"/>
        <w:jc w:val="left"/>
        <w:rPr>
          <w:rFonts w:eastAsia="仿宋_GB2312"/>
          <w:kern w:val="0"/>
          <w:sz w:val="32"/>
          <w:szCs w:val="32"/>
        </w:rPr>
      </w:pPr>
      <w:r>
        <w:rPr>
          <w:rFonts w:hint="eastAsia" w:eastAsia="仿宋_GB2312"/>
          <w:kern w:val="0"/>
          <w:sz w:val="32"/>
          <w:szCs w:val="32"/>
        </w:rPr>
        <w:t>2021年项目工程形象进度已完成1号楼、2号楼、3号楼、4号楼主体结构施工，进入到装饰装修阶段，5号楼正在基础施工，场平土石方开挖达47万方，边坡支护及挡墙工程完成总量的60%。全年完成工程建设投资7180万元，圆满完成项目年度目标任务。按照合同项目</w:t>
      </w:r>
      <w:r>
        <w:rPr>
          <w:rFonts w:eastAsia="仿宋_GB2312"/>
          <w:sz w:val="32"/>
          <w:szCs w:val="32"/>
        </w:rPr>
        <w:t>应支付工程</w:t>
      </w:r>
      <w:r>
        <w:rPr>
          <w:rFonts w:hint="eastAsia" w:eastAsia="仿宋_GB2312"/>
          <w:sz w:val="32"/>
          <w:szCs w:val="32"/>
        </w:rPr>
        <w:t>各</w:t>
      </w:r>
      <w:r>
        <w:rPr>
          <w:rFonts w:eastAsia="仿宋_GB2312"/>
          <w:sz w:val="32"/>
          <w:szCs w:val="32"/>
        </w:rPr>
        <w:t>进度款</w:t>
      </w:r>
      <w:r>
        <w:rPr>
          <w:rFonts w:hint="eastAsia" w:eastAsia="仿宋_GB2312"/>
          <w:sz w:val="32"/>
          <w:szCs w:val="32"/>
        </w:rPr>
        <w:t>项</w:t>
      </w:r>
      <w:r>
        <w:rPr>
          <w:rFonts w:eastAsia="仿宋_GB2312"/>
          <w:sz w:val="32"/>
          <w:szCs w:val="32"/>
        </w:rPr>
        <w:t>共计4635</w:t>
      </w:r>
      <w:r>
        <w:rPr>
          <w:rFonts w:hint="eastAsia" w:eastAsia="仿宋_GB2312"/>
          <w:sz w:val="32"/>
          <w:szCs w:val="32"/>
        </w:rPr>
        <w:t>.</w:t>
      </w:r>
      <w:r>
        <w:rPr>
          <w:rFonts w:eastAsia="仿宋_GB2312"/>
          <w:sz w:val="32"/>
          <w:szCs w:val="32"/>
        </w:rPr>
        <w:t>3</w:t>
      </w:r>
      <w:r>
        <w:rPr>
          <w:rFonts w:hint="eastAsia" w:eastAsia="仿宋_GB2312"/>
          <w:sz w:val="32"/>
          <w:szCs w:val="32"/>
        </w:rPr>
        <w:t>9</w:t>
      </w:r>
      <w:r>
        <w:rPr>
          <w:rFonts w:eastAsia="仿宋_GB2312"/>
          <w:sz w:val="32"/>
          <w:szCs w:val="32"/>
        </w:rPr>
        <w:t>元，</w:t>
      </w:r>
      <w:r>
        <w:rPr>
          <w:rFonts w:hint="eastAsia" w:eastAsia="仿宋_GB2312"/>
          <w:kern w:val="0"/>
          <w:sz w:val="32"/>
          <w:szCs w:val="32"/>
        </w:rPr>
        <w:t>当年市财政局实际下达并拨付的建设资金1150万元，累计拨付建设资金2805.54万元，工程进度资金拨付率为60.52%。</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（二）项目效益情况。</w:t>
      </w:r>
    </w:p>
    <w:p>
      <w:pPr>
        <w:autoSpaceDE w:val="0"/>
        <w:autoSpaceDN w:val="0"/>
        <w:adjustRightInd w:val="0"/>
        <w:spacing w:line="600" w:lineRule="exact"/>
        <w:ind w:firstLine="640" w:firstLineChars="200"/>
        <w:jc w:val="left"/>
        <w:rPr>
          <w:rFonts w:eastAsia="仿宋_GB2312"/>
          <w:kern w:val="0"/>
          <w:sz w:val="32"/>
          <w:szCs w:val="32"/>
        </w:rPr>
      </w:pPr>
      <w:r>
        <w:rPr>
          <w:rFonts w:hint="eastAsia" w:eastAsia="仿宋_GB2312"/>
          <w:kern w:val="0"/>
          <w:sz w:val="32"/>
          <w:szCs w:val="32"/>
        </w:rPr>
        <w:t>全年严格落实国家相关规定足额保障农民工工资按月发放，有效地维护了社会正常秩序和稳定，社会效益符合预期；工程施工工艺及设备、建材满足国家节能环保要求，生态效益符合预期；可持续性效益主要体现在工程进度款支付保障上，全年工程进度款支付率为60.52%，需进一步加大保障力度。</w:t>
      </w:r>
    </w:p>
    <w:p>
      <w:pPr>
        <w:adjustRightInd w:val="0"/>
        <w:snapToGrid w:val="0"/>
        <w:spacing w:line="600" w:lineRule="exact"/>
        <w:ind w:firstLine="720"/>
        <w:rPr>
          <w:rFonts w:ascii="黑体" w:hAnsi="宋体" w:eastAsia="黑体"/>
          <w:sz w:val="32"/>
          <w:szCs w:val="32"/>
        </w:rPr>
      </w:pPr>
      <w:r>
        <w:rPr>
          <w:rFonts w:hint="eastAsia" w:ascii="黑体" w:hAnsi="宋体" w:eastAsia="黑体"/>
          <w:sz w:val="32"/>
          <w:szCs w:val="32"/>
        </w:rPr>
        <w:t>五、评价结论及建议</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（一）评价结论。</w:t>
      </w:r>
    </w:p>
    <w:p>
      <w:pPr>
        <w:autoSpaceDE w:val="0"/>
        <w:autoSpaceDN w:val="0"/>
        <w:adjustRightInd w:val="0"/>
        <w:spacing w:line="600" w:lineRule="exact"/>
        <w:ind w:firstLine="640" w:firstLineChars="200"/>
        <w:jc w:val="left"/>
        <w:rPr>
          <w:rFonts w:eastAsia="仿宋_GB2312"/>
          <w:kern w:val="0"/>
          <w:sz w:val="32"/>
          <w:szCs w:val="32"/>
        </w:rPr>
      </w:pPr>
      <w:r>
        <w:rPr>
          <w:rFonts w:hint="eastAsia" w:eastAsia="仿宋_GB2312"/>
          <w:kern w:val="0"/>
          <w:sz w:val="32"/>
          <w:szCs w:val="32"/>
        </w:rPr>
        <w:t>我单位2021年较好地完成了攀枝花市强制隔离戒毒所建设项目年度预算的申报和开支工作，圆满完成了项目的既定目标任务，各项绩效指标完成较好。</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（二）存在的问题。</w:t>
      </w:r>
    </w:p>
    <w:p>
      <w:pPr>
        <w:adjustRightInd w:val="0"/>
        <w:snapToGrid w:val="0"/>
        <w:spacing w:line="600" w:lineRule="exact"/>
        <w:ind w:firstLine="640" w:firstLineChars="200"/>
        <w:rPr>
          <w:rFonts w:ascii="仿宋_GB2312" w:hAnsi="宋体" w:eastAsia="仿宋_GB2312"/>
          <w:sz w:val="32"/>
          <w:szCs w:val="32"/>
          <w:lang w:val="zh-CN"/>
        </w:rPr>
      </w:pPr>
      <w:r>
        <w:rPr>
          <w:rFonts w:hint="eastAsia" w:ascii="仿宋_GB2312" w:hAnsi="仿宋_GB2312" w:eastAsia="仿宋_GB2312" w:cs="仿宋_GB2312"/>
          <w:sz w:val="32"/>
          <w:szCs w:val="32"/>
        </w:rPr>
        <w:t>攀枝花市强制隔离戒毒所建设项目工程进度资金未能严格按照合同约定按期足额支付，存在较大合同违约风险</w:t>
      </w:r>
      <w:r>
        <w:rPr>
          <w:rFonts w:eastAsia="仿宋_GB2312"/>
          <w:kern w:val="0"/>
          <w:sz w:val="32"/>
          <w:szCs w:val="32"/>
        </w:rPr>
        <w:t>。</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（三）相关建议。</w:t>
      </w:r>
    </w:p>
    <w:p>
      <w:pPr>
        <w:autoSpaceDE w:val="0"/>
        <w:autoSpaceDN w:val="0"/>
        <w:adjustRightInd w:val="0"/>
        <w:spacing w:line="600" w:lineRule="exact"/>
        <w:ind w:firstLine="640" w:firstLineChars="200"/>
        <w:jc w:val="left"/>
      </w:pPr>
      <w:r>
        <w:rPr>
          <w:rFonts w:hint="eastAsia" w:eastAsia="仿宋_GB2312"/>
          <w:kern w:val="0"/>
          <w:sz w:val="32"/>
          <w:szCs w:val="32"/>
        </w:rPr>
        <w:t>建议市级财政进一步加大项目建设资金的保障力度，并按照工程进度需要及时安排上级专项资金和市级配套资金</w:t>
      </w:r>
      <w:r>
        <w:rPr>
          <w:rFonts w:eastAsia="仿宋_GB2312"/>
          <w:kern w:val="0"/>
          <w:sz w:val="32"/>
          <w:szCs w:val="32"/>
        </w:rPr>
        <w:t>。</w:t>
      </w:r>
    </w:p>
    <w:p>
      <w:pPr>
        <w:pStyle w:val="2"/>
        <w:spacing w:before="93"/>
        <w:rPr>
          <w:lang w:val="zh-CN"/>
        </w:rPr>
      </w:pPr>
    </w:p>
    <w:p>
      <w:pPr>
        <w:rPr>
          <w:sz w:val="32"/>
          <w:szCs w:val="32"/>
          <w:lang w:val="zh-CN"/>
        </w:rPr>
      </w:pPr>
      <w:r>
        <w:rPr>
          <w:rFonts w:hint="eastAsia"/>
          <w:sz w:val="32"/>
          <w:szCs w:val="32"/>
          <w:lang w:val="zh-CN"/>
        </w:rPr>
        <w:t>附表：</w:t>
      </w:r>
    </w:p>
    <w:tbl>
      <w:tblPr>
        <w:tblStyle w:val="13"/>
        <w:tblpPr w:leftFromText="180" w:rightFromText="180" w:vertAnchor="text" w:horzAnchor="page" w:tblpXSpec="center" w:tblpY="660"/>
        <w:tblOverlap w:val="never"/>
        <w:tblW w:w="9575" w:type="dxa"/>
        <w:jc w:val="center"/>
        <w:tblInd w:w="0" w:type="dxa"/>
        <w:tblLayout w:type="fixed"/>
        <w:tblCellMar>
          <w:top w:w="0" w:type="dxa"/>
          <w:left w:w="108" w:type="dxa"/>
          <w:bottom w:w="0" w:type="dxa"/>
          <w:right w:w="108" w:type="dxa"/>
        </w:tblCellMar>
      </w:tblPr>
      <w:tblGrid>
        <w:gridCol w:w="1408"/>
        <w:gridCol w:w="1050"/>
        <w:gridCol w:w="1600"/>
        <w:gridCol w:w="1450"/>
        <w:gridCol w:w="1658"/>
        <w:gridCol w:w="2409"/>
      </w:tblGrid>
      <w:tr>
        <w:tblPrEx>
          <w:tblLayout w:type="fixed"/>
          <w:tblCellMar>
            <w:top w:w="0" w:type="dxa"/>
            <w:left w:w="108" w:type="dxa"/>
            <w:bottom w:w="0" w:type="dxa"/>
            <w:right w:w="108" w:type="dxa"/>
          </w:tblCellMar>
        </w:tblPrEx>
        <w:trPr>
          <w:trHeight w:val="675" w:hRule="atLeast"/>
          <w:jc w:val="center"/>
        </w:trPr>
        <w:tc>
          <w:tcPr>
            <w:tcW w:w="9575" w:type="dxa"/>
            <w:gridSpan w:val="6"/>
            <w:tcBorders>
              <w:top w:val="nil"/>
              <w:left w:val="nil"/>
              <w:bottom w:val="nil"/>
              <w:right w:val="nil"/>
            </w:tcBorders>
            <w:shd w:val="clear" w:color="auto" w:fill="auto"/>
            <w:vAlign w:val="center"/>
          </w:tcPr>
          <w:p>
            <w:pPr>
              <w:widowControl/>
              <w:jc w:val="center"/>
              <w:textAlignment w:val="center"/>
              <w:rPr>
                <w:rFonts w:ascii="宋体" w:hAnsi="宋体" w:cs="宋体"/>
                <w:b/>
                <w:kern w:val="0"/>
                <w:sz w:val="32"/>
                <w:szCs w:val="32"/>
                <w:lang w:bidi="ar"/>
              </w:rPr>
            </w:pPr>
            <w:r>
              <w:rPr>
                <w:rFonts w:hint="eastAsia" w:ascii="宋体" w:hAnsi="宋体" w:cs="宋体"/>
                <w:b/>
                <w:sz w:val="32"/>
                <w:szCs w:val="32"/>
              </w:rPr>
              <w:t>2021年攀枝花市强制隔离戒毒所建设项目绩效目标自评</w:t>
            </w:r>
          </w:p>
        </w:tc>
      </w:tr>
      <w:tr>
        <w:tblPrEx>
          <w:tblLayout w:type="fixed"/>
          <w:tblCellMar>
            <w:top w:w="0" w:type="dxa"/>
            <w:left w:w="108" w:type="dxa"/>
            <w:bottom w:w="0" w:type="dxa"/>
            <w:right w:w="108" w:type="dxa"/>
          </w:tblCellMar>
        </w:tblPrEx>
        <w:trPr>
          <w:trHeight w:val="254" w:hRule="atLeast"/>
          <w:jc w:val="center"/>
        </w:trPr>
        <w:tc>
          <w:tcPr>
            <w:tcW w:w="24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lang w:bidi="ar"/>
              </w:rPr>
              <w:t>主管部门及代码</w:t>
            </w:r>
          </w:p>
        </w:tc>
        <w:tc>
          <w:tcPr>
            <w:tcW w:w="30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4"/>
              </w:rPr>
            </w:pPr>
            <w:r>
              <w:rPr>
                <w:rFonts w:hint="eastAsia" w:ascii="仿宋_GB2312" w:hAnsi="仿宋_GB2312" w:eastAsia="仿宋_GB2312" w:cs="仿宋_GB2312"/>
                <w:sz w:val="24"/>
              </w:rPr>
              <w:t>140001</w:t>
            </w: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lang w:bidi="ar"/>
              </w:rPr>
              <w:t>实施单位</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4"/>
              </w:rPr>
            </w:pPr>
            <w:r>
              <w:rPr>
                <w:rFonts w:hint="eastAsia" w:ascii="仿宋_GB2312" w:hAnsi="仿宋_GB2312" w:eastAsia="仿宋_GB2312" w:cs="仿宋_GB2312"/>
                <w:sz w:val="24"/>
              </w:rPr>
              <w:t>攀枝花市强制隔离戒毒所</w:t>
            </w:r>
          </w:p>
        </w:tc>
      </w:tr>
      <w:tr>
        <w:tblPrEx>
          <w:tblLayout w:type="fixed"/>
          <w:tblCellMar>
            <w:top w:w="0" w:type="dxa"/>
            <w:left w:w="108" w:type="dxa"/>
            <w:bottom w:w="0" w:type="dxa"/>
            <w:right w:w="108" w:type="dxa"/>
          </w:tblCellMar>
        </w:tblPrEx>
        <w:trPr>
          <w:trHeight w:val="341" w:hRule="atLeast"/>
          <w:jc w:val="center"/>
        </w:trPr>
        <w:tc>
          <w:tcPr>
            <w:tcW w:w="245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项目预算</w:t>
            </w:r>
          </w:p>
          <w:p>
            <w:pPr>
              <w:widowControl/>
              <w:spacing w:line="320" w:lineRule="exact"/>
              <w:jc w:val="center"/>
              <w:textAlignment w:val="center"/>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执行情况</w:t>
            </w:r>
          </w:p>
          <w:p>
            <w:pPr>
              <w:widowControl/>
              <w:spacing w:line="320" w:lineRule="exact"/>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lang w:bidi="ar"/>
              </w:rPr>
              <w:t>（万元）</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lang w:bidi="ar"/>
              </w:rPr>
              <w:t>预算数：</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4"/>
              </w:rPr>
            </w:pPr>
            <w:r>
              <w:rPr>
                <w:rFonts w:hint="eastAsia" w:ascii="仿宋_GB2312" w:hAnsi="仿宋_GB2312" w:eastAsia="仿宋_GB2312" w:cs="仿宋_GB2312"/>
                <w:sz w:val="24"/>
              </w:rPr>
              <w:t>1150</w:t>
            </w: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lang w:bidi="ar"/>
              </w:rPr>
              <w:t>执行数：</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4"/>
              </w:rPr>
            </w:pPr>
            <w:r>
              <w:rPr>
                <w:rFonts w:hint="eastAsia" w:ascii="仿宋_GB2312" w:hAnsi="仿宋_GB2312" w:eastAsia="仿宋_GB2312" w:cs="仿宋_GB2312"/>
                <w:sz w:val="24"/>
              </w:rPr>
              <w:t>1150</w:t>
            </w:r>
          </w:p>
        </w:tc>
      </w:tr>
      <w:tr>
        <w:tblPrEx>
          <w:tblLayout w:type="fixed"/>
          <w:tblCellMar>
            <w:top w:w="0" w:type="dxa"/>
            <w:left w:w="108" w:type="dxa"/>
            <w:bottom w:w="0" w:type="dxa"/>
            <w:right w:w="108" w:type="dxa"/>
          </w:tblCellMar>
        </w:tblPrEx>
        <w:trPr>
          <w:trHeight w:val="555" w:hRule="atLeast"/>
          <w:jc w:val="center"/>
        </w:trPr>
        <w:tc>
          <w:tcPr>
            <w:tcW w:w="245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4"/>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其中：</w:t>
            </w:r>
          </w:p>
          <w:p>
            <w:pPr>
              <w:widowControl/>
              <w:spacing w:line="320" w:lineRule="exact"/>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lang w:bidi="ar"/>
              </w:rPr>
              <w:t>财政拨款</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4"/>
              </w:rPr>
            </w:pPr>
            <w:r>
              <w:rPr>
                <w:rFonts w:hint="eastAsia" w:ascii="仿宋_GB2312" w:hAnsi="仿宋_GB2312" w:eastAsia="仿宋_GB2312" w:cs="仿宋_GB2312"/>
                <w:sz w:val="24"/>
              </w:rPr>
              <w:t>1150</w:t>
            </w: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其中：</w:t>
            </w:r>
          </w:p>
          <w:p>
            <w:pPr>
              <w:widowControl/>
              <w:spacing w:line="320" w:lineRule="exact"/>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lang w:bidi="ar"/>
              </w:rPr>
              <w:t>财政拨款</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4"/>
              </w:rPr>
            </w:pPr>
            <w:r>
              <w:rPr>
                <w:rFonts w:hint="eastAsia" w:ascii="仿宋_GB2312" w:hAnsi="仿宋_GB2312" w:eastAsia="仿宋_GB2312" w:cs="仿宋_GB2312"/>
                <w:sz w:val="24"/>
              </w:rPr>
              <w:t>1150</w:t>
            </w:r>
          </w:p>
        </w:tc>
      </w:tr>
      <w:tr>
        <w:tblPrEx>
          <w:tblLayout w:type="fixed"/>
          <w:tblCellMar>
            <w:top w:w="0" w:type="dxa"/>
            <w:left w:w="108" w:type="dxa"/>
            <w:bottom w:w="0" w:type="dxa"/>
            <w:right w:w="108" w:type="dxa"/>
          </w:tblCellMar>
        </w:tblPrEx>
        <w:trPr>
          <w:trHeight w:val="341" w:hRule="atLeast"/>
          <w:jc w:val="center"/>
        </w:trPr>
        <w:tc>
          <w:tcPr>
            <w:tcW w:w="245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4"/>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lang w:bidi="ar"/>
              </w:rPr>
              <w:t>其他资金</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4"/>
              </w:rPr>
            </w:pP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lang w:bidi="ar"/>
              </w:rPr>
              <w:t>其他资金</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4"/>
              </w:rPr>
            </w:pPr>
          </w:p>
        </w:tc>
      </w:tr>
      <w:tr>
        <w:tblPrEx>
          <w:tblLayout w:type="fixed"/>
          <w:tblCellMar>
            <w:top w:w="0" w:type="dxa"/>
            <w:left w:w="108" w:type="dxa"/>
            <w:bottom w:w="0" w:type="dxa"/>
            <w:right w:w="108" w:type="dxa"/>
          </w:tblCellMar>
        </w:tblPrEx>
        <w:trPr>
          <w:trHeight w:val="217" w:hRule="atLeast"/>
          <w:jc w:val="center"/>
        </w:trPr>
        <w:tc>
          <w:tcPr>
            <w:tcW w:w="14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lang w:bidi="ar"/>
              </w:rPr>
              <w:t>年度总体目标完成情况</w:t>
            </w:r>
          </w:p>
        </w:tc>
        <w:tc>
          <w:tcPr>
            <w:tcW w:w="410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lang w:bidi="ar"/>
              </w:rPr>
              <w:t>预期目标</w:t>
            </w:r>
          </w:p>
        </w:tc>
        <w:tc>
          <w:tcPr>
            <w:tcW w:w="40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lang w:bidi="ar"/>
              </w:rPr>
              <w:t>目标实际完成情况</w:t>
            </w:r>
          </w:p>
        </w:tc>
      </w:tr>
      <w:tr>
        <w:tblPrEx>
          <w:tblLayout w:type="fixed"/>
          <w:tblCellMar>
            <w:top w:w="0" w:type="dxa"/>
            <w:left w:w="108" w:type="dxa"/>
            <w:bottom w:w="0" w:type="dxa"/>
            <w:right w:w="108" w:type="dxa"/>
          </w:tblCellMar>
        </w:tblPrEx>
        <w:trPr>
          <w:trHeight w:val="797" w:hRule="atLeast"/>
          <w:jc w:val="center"/>
        </w:trPr>
        <w:tc>
          <w:tcPr>
            <w:tcW w:w="14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4"/>
              </w:rPr>
            </w:pPr>
          </w:p>
        </w:tc>
        <w:tc>
          <w:tcPr>
            <w:tcW w:w="410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top"/>
              <w:rPr>
                <w:rFonts w:ascii="仿宋_GB2312" w:hAnsi="仿宋_GB2312" w:eastAsia="仿宋_GB2312" w:cs="仿宋_GB2312"/>
                <w:sz w:val="24"/>
              </w:rPr>
            </w:pPr>
            <w:r>
              <w:rPr>
                <w:rFonts w:hint="eastAsia" w:ascii="仿宋_GB2312" w:hAnsi="仿宋_GB2312" w:eastAsia="仿宋_GB2312" w:cs="仿宋_GB2312"/>
                <w:sz w:val="24"/>
              </w:rPr>
              <w:t>2021年计划完成项目部分边坡支护和总平土建、一期工程主体工程，项目投资实现7000万元。</w:t>
            </w:r>
          </w:p>
        </w:tc>
        <w:tc>
          <w:tcPr>
            <w:tcW w:w="40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top"/>
              <w:rPr>
                <w:rFonts w:ascii="仿宋_GB2312" w:hAnsi="仿宋_GB2312" w:eastAsia="仿宋_GB2312" w:cs="仿宋_GB2312"/>
                <w:sz w:val="24"/>
              </w:rPr>
            </w:pPr>
            <w:r>
              <w:rPr>
                <w:rFonts w:hint="eastAsia" w:ascii="仿宋_GB2312" w:hAnsi="仿宋_GB2312" w:eastAsia="仿宋_GB2312" w:cs="仿宋_GB2312"/>
                <w:sz w:val="24"/>
              </w:rPr>
              <w:t>截止2021年12月31日，项目工程形象进度已完成1号楼、2号楼、3号楼、4号楼主体结构施工，进入到装饰装修阶段，5号楼正在基础施工，场平土石方开挖达47万方，边坡支护及挡墙工程完成总量的60%。2021年全年已完成工程建设投资7180万元。</w:t>
            </w:r>
          </w:p>
        </w:tc>
      </w:tr>
      <w:tr>
        <w:tblPrEx>
          <w:tblLayout w:type="fixed"/>
          <w:tblCellMar>
            <w:top w:w="0" w:type="dxa"/>
            <w:left w:w="108" w:type="dxa"/>
            <w:bottom w:w="0" w:type="dxa"/>
            <w:right w:w="108" w:type="dxa"/>
          </w:tblCellMar>
        </w:tblPrEx>
        <w:trPr>
          <w:trHeight w:val="693" w:hRule="atLeast"/>
          <w:jc w:val="center"/>
        </w:trPr>
        <w:tc>
          <w:tcPr>
            <w:tcW w:w="1408"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lang w:bidi="ar"/>
              </w:rPr>
              <w:t>年度绩效指标完成情况</w:t>
            </w:r>
          </w:p>
        </w:tc>
        <w:tc>
          <w:tcPr>
            <w:tcW w:w="1050"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一级</w:t>
            </w:r>
          </w:p>
          <w:p>
            <w:pPr>
              <w:widowControl/>
              <w:spacing w:line="320" w:lineRule="exact"/>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lang w:bidi="ar"/>
              </w:rPr>
              <w:t>指标</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二级</w:t>
            </w:r>
          </w:p>
          <w:p>
            <w:pPr>
              <w:widowControl/>
              <w:spacing w:line="320" w:lineRule="exact"/>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lang w:bidi="ar"/>
              </w:rPr>
              <w:t>指标</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三级</w:t>
            </w:r>
          </w:p>
          <w:p>
            <w:pPr>
              <w:widowControl/>
              <w:spacing w:line="320" w:lineRule="exact"/>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lang w:bidi="ar"/>
              </w:rPr>
              <w:t>指标</w:t>
            </w: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lang w:bidi="ar"/>
              </w:rPr>
              <w:t>预期指标值</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lang w:bidi="ar"/>
              </w:rPr>
              <w:t>实际完成指标值</w:t>
            </w:r>
          </w:p>
        </w:tc>
      </w:tr>
      <w:tr>
        <w:tblPrEx>
          <w:tblLayout w:type="fixed"/>
          <w:tblCellMar>
            <w:top w:w="0" w:type="dxa"/>
            <w:left w:w="108" w:type="dxa"/>
            <w:bottom w:w="0" w:type="dxa"/>
            <w:right w:w="108" w:type="dxa"/>
          </w:tblCellMar>
        </w:tblPrEx>
        <w:trPr>
          <w:trHeight w:val="415" w:hRule="atLeast"/>
          <w:jc w:val="center"/>
        </w:trPr>
        <w:tc>
          <w:tcPr>
            <w:tcW w:w="1408"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4"/>
              </w:rPr>
            </w:pPr>
          </w:p>
        </w:tc>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完成</w:t>
            </w:r>
          </w:p>
          <w:p>
            <w:pPr>
              <w:widowControl/>
              <w:spacing w:line="320" w:lineRule="exact"/>
              <w:jc w:val="center"/>
              <w:textAlignment w:val="bottom"/>
              <w:rPr>
                <w:rFonts w:ascii="仿宋_GB2312" w:hAnsi="仿宋_GB2312" w:eastAsia="仿宋_GB2312" w:cs="仿宋_GB2312"/>
                <w:sz w:val="24"/>
              </w:rPr>
            </w:pPr>
            <w:r>
              <w:rPr>
                <w:rFonts w:hint="eastAsia" w:ascii="仿宋_GB2312" w:hAnsi="仿宋_GB2312" w:eastAsia="仿宋_GB2312" w:cs="仿宋_GB2312"/>
                <w:kern w:val="0"/>
                <w:sz w:val="24"/>
                <w:lang w:bidi="ar"/>
              </w:rPr>
              <w:t>指标</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4"/>
              </w:rPr>
            </w:pPr>
            <w:r>
              <w:rPr>
                <w:rFonts w:hint="eastAsia" w:ascii="仿宋_GB2312" w:hAnsi="仿宋_GB2312" w:eastAsia="仿宋_GB2312" w:cs="仿宋_GB2312"/>
                <w:kern w:val="0"/>
                <w:sz w:val="24"/>
                <w:lang w:bidi="ar"/>
              </w:rPr>
              <w:t>数量指标</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4"/>
              </w:rPr>
            </w:pPr>
            <w:r>
              <w:rPr>
                <w:rFonts w:hint="eastAsia" w:ascii="仿宋_GB2312" w:hAnsi="仿宋_GB2312" w:eastAsia="仿宋_GB2312" w:cs="仿宋_GB2312"/>
                <w:sz w:val="24"/>
              </w:rPr>
              <w:t>工程形象进度</w:t>
            </w: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4"/>
              </w:rPr>
            </w:pPr>
            <w:r>
              <w:rPr>
                <w:rFonts w:hint="eastAsia" w:ascii="仿宋_GB2312" w:hAnsi="仿宋_GB2312" w:eastAsia="仿宋_GB2312" w:cs="仿宋_GB2312"/>
                <w:sz w:val="24"/>
              </w:rPr>
              <w:t>工程完成一期主体施工及部分场平、边坡支护</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4"/>
              </w:rPr>
            </w:pPr>
            <w:r>
              <w:rPr>
                <w:rFonts w:hint="eastAsia" w:ascii="仿宋_GB2312" w:hAnsi="仿宋_GB2312" w:eastAsia="仿宋_GB2312" w:cs="仿宋_GB2312"/>
                <w:sz w:val="24"/>
              </w:rPr>
              <w:t>已完成一期1号楼、2号楼、3号楼、4号楼主体结构施工，进入到装饰装修阶段，5号楼正在基础施工，场平土石方开挖达47万方，边坡支护及挡墙工程完成总量的60%。</w:t>
            </w:r>
          </w:p>
        </w:tc>
      </w:tr>
      <w:tr>
        <w:tblPrEx>
          <w:tblLayout w:type="fixed"/>
          <w:tblCellMar>
            <w:top w:w="0" w:type="dxa"/>
            <w:left w:w="108" w:type="dxa"/>
            <w:bottom w:w="0" w:type="dxa"/>
            <w:right w:w="108" w:type="dxa"/>
          </w:tblCellMar>
        </w:tblPrEx>
        <w:trPr>
          <w:trHeight w:val="415" w:hRule="atLeast"/>
          <w:jc w:val="center"/>
        </w:trPr>
        <w:tc>
          <w:tcPr>
            <w:tcW w:w="1408"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4"/>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4"/>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4"/>
              </w:rPr>
            </w:pPr>
            <w:r>
              <w:rPr>
                <w:rFonts w:hint="eastAsia" w:ascii="仿宋_GB2312" w:hAnsi="仿宋_GB2312" w:eastAsia="仿宋_GB2312" w:cs="仿宋_GB2312"/>
                <w:kern w:val="0"/>
                <w:sz w:val="24"/>
                <w:lang w:bidi="ar"/>
              </w:rPr>
              <w:t>质量指标</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4"/>
              </w:rPr>
            </w:pPr>
            <w:r>
              <w:rPr>
                <w:rFonts w:hint="eastAsia" w:ascii="仿宋_GB2312" w:hAnsi="仿宋_GB2312" w:eastAsia="仿宋_GB2312" w:cs="仿宋_GB2312"/>
                <w:sz w:val="24"/>
              </w:rPr>
              <w:t>施工质量</w:t>
            </w: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4"/>
              </w:rPr>
            </w:pPr>
            <w:r>
              <w:rPr>
                <w:rFonts w:hint="eastAsia" w:ascii="仿宋_GB2312" w:hAnsi="仿宋_GB2312" w:eastAsia="仿宋_GB2312" w:cs="仿宋_GB2312"/>
                <w:sz w:val="24"/>
              </w:rPr>
              <w:t>工程质量合格达标</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4"/>
              </w:rPr>
            </w:pPr>
            <w:r>
              <w:rPr>
                <w:rFonts w:hint="eastAsia" w:ascii="仿宋_GB2312" w:hAnsi="仿宋_GB2312" w:eastAsia="仿宋_GB2312" w:cs="仿宋_GB2312"/>
                <w:sz w:val="24"/>
              </w:rPr>
              <w:t>工程施工质量达合格标准</w:t>
            </w:r>
          </w:p>
        </w:tc>
      </w:tr>
      <w:tr>
        <w:tblPrEx>
          <w:tblLayout w:type="fixed"/>
          <w:tblCellMar>
            <w:top w:w="0" w:type="dxa"/>
            <w:left w:w="108" w:type="dxa"/>
            <w:bottom w:w="0" w:type="dxa"/>
            <w:right w:w="108" w:type="dxa"/>
          </w:tblCellMar>
        </w:tblPrEx>
        <w:trPr>
          <w:trHeight w:val="415" w:hRule="atLeast"/>
          <w:jc w:val="center"/>
        </w:trPr>
        <w:tc>
          <w:tcPr>
            <w:tcW w:w="1408"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4"/>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4"/>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4"/>
              </w:rPr>
            </w:pPr>
            <w:r>
              <w:rPr>
                <w:rFonts w:hint="eastAsia" w:ascii="仿宋_GB2312" w:hAnsi="仿宋_GB2312" w:eastAsia="仿宋_GB2312" w:cs="仿宋_GB2312"/>
                <w:kern w:val="0"/>
                <w:sz w:val="24"/>
                <w:lang w:bidi="ar"/>
              </w:rPr>
              <w:t>时效指标</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abs>
                <w:tab w:val="left" w:pos="200"/>
              </w:tabs>
              <w:spacing w:line="320" w:lineRule="exact"/>
              <w:jc w:val="center"/>
              <w:textAlignment w:val="bottom"/>
              <w:rPr>
                <w:rFonts w:ascii="仿宋_GB2312" w:hAnsi="仿宋_GB2312" w:eastAsia="仿宋_GB2312" w:cs="仿宋_GB2312"/>
                <w:sz w:val="24"/>
              </w:rPr>
            </w:pPr>
            <w:r>
              <w:rPr>
                <w:rFonts w:hint="eastAsia" w:ascii="仿宋_GB2312" w:hAnsi="仿宋_GB2312" w:eastAsia="仿宋_GB2312" w:cs="仿宋_GB2312"/>
                <w:sz w:val="24"/>
              </w:rPr>
              <w:t>施工进度计划执行</w:t>
            </w: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4"/>
              </w:rPr>
            </w:pPr>
            <w:r>
              <w:rPr>
                <w:rFonts w:hint="eastAsia" w:ascii="仿宋_GB2312" w:hAnsi="仿宋_GB2312" w:eastAsia="仿宋_GB2312" w:cs="仿宋_GB2312"/>
                <w:sz w:val="24"/>
              </w:rPr>
              <w:t>工程严格按照计划施工</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4"/>
              </w:rPr>
            </w:pPr>
            <w:r>
              <w:rPr>
                <w:rFonts w:hint="eastAsia" w:ascii="仿宋_GB2312" w:hAnsi="仿宋_GB2312" w:eastAsia="仿宋_GB2312" w:cs="仿宋_GB2312"/>
                <w:sz w:val="24"/>
              </w:rPr>
              <w:t>按计划施工完成当年建设任务</w:t>
            </w:r>
          </w:p>
        </w:tc>
      </w:tr>
      <w:tr>
        <w:tblPrEx>
          <w:tblLayout w:type="fixed"/>
          <w:tblCellMar>
            <w:top w:w="0" w:type="dxa"/>
            <w:left w:w="108" w:type="dxa"/>
            <w:bottom w:w="0" w:type="dxa"/>
            <w:right w:w="108" w:type="dxa"/>
          </w:tblCellMar>
        </w:tblPrEx>
        <w:trPr>
          <w:trHeight w:val="480" w:hRule="atLeast"/>
          <w:jc w:val="center"/>
        </w:trPr>
        <w:tc>
          <w:tcPr>
            <w:tcW w:w="1408"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4"/>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4"/>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4"/>
              </w:rPr>
            </w:pPr>
            <w:r>
              <w:rPr>
                <w:rFonts w:hint="eastAsia" w:ascii="仿宋_GB2312" w:hAnsi="仿宋_GB2312" w:eastAsia="仿宋_GB2312" w:cs="仿宋_GB2312"/>
                <w:kern w:val="0"/>
                <w:sz w:val="24"/>
                <w:lang w:bidi="ar"/>
              </w:rPr>
              <w:t>成本指标</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4"/>
              </w:rPr>
            </w:pPr>
            <w:r>
              <w:rPr>
                <w:rFonts w:hint="eastAsia" w:ascii="仿宋_GB2312" w:hAnsi="仿宋_GB2312" w:eastAsia="仿宋_GB2312" w:cs="仿宋_GB2312"/>
                <w:sz w:val="24"/>
              </w:rPr>
              <w:t>投资不超概算</w:t>
            </w: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4"/>
              </w:rPr>
            </w:pPr>
            <w:r>
              <w:rPr>
                <w:rFonts w:hint="eastAsia" w:ascii="仿宋_GB2312" w:hAnsi="仿宋_GB2312" w:eastAsia="仿宋_GB2312" w:cs="仿宋_GB2312"/>
                <w:sz w:val="24"/>
              </w:rPr>
              <w:t>不超概算17349万元</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4"/>
              </w:rPr>
            </w:pPr>
            <w:r>
              <w:rPr>
                <w:rFonts w:hint="eastAsia" w:ascii="仿宋_GB2312" w:hAnsi="仿宋_GB2312" w:eastAsia="仿宋_GB2312" w:cs="仿宋_GB2312"/>
                <w:sz w:val="24"/>
              </w:rPr>
              <w:t>完成投资7180万元</w:t>
            </w:r>
          </w:p>
        </w:tc>
      </w:tr>
      <w:tr>
        <w:tblPrEx>
          <w:tblLayout w:type="fixed"/>
          <w:tblCellMar>
            <w:top w:w="0" w:type="dxa"/>
            <w:left w:w="108" w:type="dxa"/>
            <w:bottom w:w="0" w:type="dxa"/>
            <w:right w:w="108" w:type="dxa"/>
          </w:tblCellMar>
        </w:tblPrEx>
        <w:trPr>
          <w:trHeight w:val="980" w:hRule="atLeast"/>
          <w:jc w:val="center"/>
        </w:trPr>
        <w:tc>
          <w:tcPr>
            <w:tcW w:w="1408"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4"/>
              </w:rPr>
            </w:pPr>
          </w:p>
        </w:tc>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效益</w:t>
            </w:r>
          </w:p>
          <w:p>
            <w:pPr>
              <w:widowControl/>
              <w:spacing w:line="320" w:lineRule="exact"/>
              <w:jc w:val="center"/>
              <w:textAlignment w:val="bottom"/>
              <w:rPr>
                <w:rFonts w:ascii="仿宋_GB2312" w:hAnsi="仿宋_GB2312" w:eastAsia="仿宋_GB2312" w:cs="仿宋_GB2312"/>
                <w:sz w:val="24"/>
              </w:rPr>
            </w:pPr>
            <w:r>
              <w:rPr>
                <w:rFonts w:hint="eastAsia" w:ascii="仿宋_GB2312" w:hAnsi="仿宋_GB2312" w:eastAsia="仿宋_GB2312" w:cs="仿宋_GB2312"/>
                <w:kern w:val="0"/>
                <w:sz w:val="24"/>
                <w:lang w:bidi="ar"/>
              </w:rPr>
              <w:t>指标</w:t>
            </w:r>
          </w:p>
        </w:tc>
        <w:tc>
          <w:tcPr>
            <w:tcW w:w="1600" w:type="dxa"/>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4"/>
              </w:rPr>
            </w:pPr>
            <w:r>
              <w:rPr>
                <w:rFonts w:hint="eastAsia" w:ascii="仿宋_GB2312" w:hAnsi="仿宋_GB2312" w:eastAsia="仿宋_GB2312" w:cs="仿宋_GB2312"/>
                <w:kern w:val="0"/>
                <w:sz w:val="24"/>
                <w:lang w:bidi="ar"/>
              </w:rPr>
              <w:t>社会效益  指标</w:t>
            </w:r>
          </w:p>
        </w:tc>
        <w:tc>
          <w:tcPr>
            <w:tcW w:w="1450" w:type="dxa"/>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4"/>
              </w:rPr>
            </w:pPr>
            <w:r>
              <w:rPr>
                <w:rFonts w:hint="eastAsia" w:ascii="仿宋_GB2312" w:hAnsi="仿宋_GB2312" w:eastAsia="仿宋_GB2312" w:cs="仿宋_GB2312"/>
                <w:sz w:val="24"/>
              </w:rPr>
              <w:t>工程农民工工资保障</w:t>
            </w:r>
          </w:p>
        </w:tc>
        <w:tc>
          <w:tcPr>
            <w:tcW w:w="1658" w:type="dxa"/>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4"/>
              </w:rPr>
            </w:pPr>
            <w:r>
              <w:rPr>
                <w:rFonts w:hint="eastAsia" w:ascii="仿宋_GB2312" w:hAnsi="仿宋_GB2312" w:eastAsia="仿宋_GB2312" w:cs="仿宋_GB2312"/>
                <w:sz w:val="24"/>
              </w:rPr>
              <w:t>保障农民工工资按期全额发放，维护社会安全稳定</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4"/>
              </w:rPr>
            </w:pPr>
            <w:r>
              <w:rPr>
                <w:rFonts w:hint="eastAsia" w:ascii="仿宋_GB2312" w:hAnsi="仿宋_GB2312" w:eastAsia="仿宋_GB2312" w:cs="仿宋_GB2312"/>
                <w:sz w:val="24"/>
              </w:rPr>
              <w:t>工程农民工工资按月发放，保障到位</w:t>
            </w:r>
          </w:p>
        </w:tc>
      </w:tr>
      <w:tr>
        <w:tblPrEx>
          <w:tblLayout w:type="fixed"/>
          <w:tblCellMar>
            <w:top w:w="0" w:type="dxa"/>
            <w:left w:w="108" w:type="dxa"/>
            <w:bottom w:w="0" w:type="dxa"/>
            <w:right w:w="108" w:type="dxa"/>
          </w:tblCellMar>
        </w:tblPrEx>
        <w:trPr>
          <w:trHeight w:val="577" w:hRule="atLeast"/>
          <w:jc w:val="center"/>
        </w:trPr>
        <w:tc>
          <w:tcPr>
            <w:tcW w:w="1408"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4"/>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4"/>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ind w:left="423" w:leftChars="87" w:hanging="240" w:hangingChars="100"/>
              <w:jc w:val="center"/>
              <w:textAlignment w:val="bottom"/>
              <w:rPr>
                <w:rFonts w:ascii="仿宋_GB2312" w:hAnsi="仿宋_GB2312" w:eastAsia="仿宋_GB2312" w:cs="仿宋_GB2312"/>
                <w:sz w:val="24"/>
              </w:rPr>
            </w:pPr>
            <w:r>
              <w:rPr>
                <w:rFonts w:hint="eastAsia" w:ascii="仿宋_GB2312" w:hAnsi="仿宋_GB2312" w:eastAsia="仿宋_GB2312" w:cs="仿宋_GB2312"/>
                <w:kern w:val="0"/>
                <w:sz w:val="24"/>
                <w:lang w:bidi="ar"/>
              </w:rPr>
              <w:t>生态效益  指标</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4"/>
              </w:rPr>
            </w:pPr>
            <w:r>
              <w:rPr>
                <w:rFonts w:hint="eastAsia" w:ascii="仿宋_GB2312" w:hAnsi="仿宋_GB2312" w:eastAsia="仿宋_GB2312" w:cs="仿宋_GB2312"/>
                <w:sz w:val="24"/>
              </w:rPr>
              <w:t>符合节能环保要求</w:t>
            </w: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4"/>
              </w:rPr>
            </w:pPr>
            <w:r>
              <w:rPr>
                <w:rFonts w:hint="eastAsia" w:ascii="仿宋_GB2312" w:hAnsi="仿宋_GB2312" w:eastAsia="仿宋_GB2312" w:cs="仿宋_GB2312"/>
                <w:sz w:val="24"/>
              </w:rPr>
              <w:t>施工工艺及设备、建材满足国家节能环保要求</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4"/>
              </w:rPr>
            </w:pPr>
            <w:r>
              <w:rPr>
                <w:rFonts w:hint="eastAsia" w:ascii="仿宋_GB2312" w:hAnsi="仿宋_GB2312" w:eastAsia="仿宋_GB2312" w:cs="仿宋_GB2312"/>
                <w:sz w:val="24"/>
              </w:rPr>
              <w:t>施工工艺及设备、建材符合国家规定的建筑节能环保要求</w:t>
            </w:r>
          </w:p>
        </w:tc>
      </w:tr>
      <w:tr>
        <w:tblPrEx>
          <w:tblLayout w:type="fixed"/>
          <w:tblCellMar>
            <w:top w:w="0" w:type="dxa"/>
            <w:left w:w="108" w:type="dxa"/>
            <w:bottom w:w="0" w:type="dxa"/>
            <w:right w:w="108" w:type="dxa"/>
          </w:tblCellMar>
        </w:tblPrEx>
        <w:trPr>
          <w:trHeight w:val="480" w:hRule="atLeast"/>
          <w:jc w:val="center"/>
        </w:trPr>
        <w:tc>
          <w:tcPr>
            <w:tcW w:w="1408"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4"/>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4"/>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4"/>
              </w:rPr>
            </w:pPr>
            <w:r>
              <w:rPr>
                <w:rFonts w:hint="eastAsia" w:ascii="仿宋_GB2312" w:hAnsi="仿宋_GB2312" w:eastAsia="仿宋_GB2312" w:cs="仿宋_GB2312"/>
                <w:kern w:val="0"/>
                <w:sz w:val="24"/>
                <w:lang w:bidi="ar"/>
              </w:rPr>
              <w:t>可持续影响 指标</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abs>
                <w:tab w:val="left" w:pos="450"/>
              </w:tabs>
              <w:spacing w:line="320" w:lineRule="exact"/>
              <w:jc w:val="center"/>
              <w:textAlignment w:val="bottom"/>
              <w:rPr>
                <w:rFonts w:ascii="仿宋_GB2312" w:hAnsi="仿宋_GB2312" w:eastAsia="仿宋_GB2312" w:cs="仿宋_GB2312"/>
                <w:sz w:val="24"/>
              </w:rPr>
            </w:pPr>
            <w:r>
              <w:rPr>
                <w:rFonts w:hint="eastAsia" w:ascii="仿宋_GB2312" w:hAnsi="仿宋_GB2312" w:eastAsia="仿宋_GB2312" w:cs="仿宋_GB2312"/>
                <w:sz w:val="24"/>
              </w:rPr>
              <w:t>进度资金保障</w:t>
            </w: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4"/>
              </w:rPr>
            </w:pPr>
            <w:r>
              <w:rPr>
                <w:rFonts w:hint="eastAsia" w:ascii="仿宋_GB2312" w:hAnsi="仿宋_GB2312" w:eastAsia="仿宋_GB2312" w:cs="仿宋_GB2312"/>
                <w:sz w:val="24"/>
              </w:rPr>
              <w:t>按照施工进度保障建设资金</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4"/>
              </w:rPr>
            </w:pPr>
            <w:r>
              <w:rPr>
                <w:rFonts w:hint="eastAsia" w:ascii="仿宋_GB2312" w:hAnsi="仿宋_GB2312" w:eastAsia="仿宋_GB2312" w:cs="仿宋_GB2312"/>
                <w:sz w:val="24"/>
              </w:rPr>
              <w:t>截至2021年12月底，市强戒所建设项目已完成投资7180万元，应支付工程各进度款项共计4635.39万元，实际资金到位支付2805.54万元，资金拨付率60.52%</w:t>
            </w:r>
          </w:p>
        </w:tc>
      </w:tr>
      <w:tr>
        <w:tblPrEx>
          <w:tblLayout w:type="fixed"/>
          <w:tblCellMar>
            <w:top w:w="0" w:type="dxa"/>
            <w:left w:w="108" w:type="dxa"/>
            <w:bottom w:w="0" w:type="dxa"/>
            <w:right w:w="108" w:type="dxa"/>
          </w:tblCellMar>
        </w:tblPrEx>
        <w:trPr>
          <w:trHeight w:val="530" w:hRule="atLeast"/>
          <w:jc w:val="center"/>
        </w:trPr>
        <w:tc>
          <w:tcPr>
            <w:tcW w:w="1408"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4"/>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满意</w:t>
            </w:r>
          </w:p>
          <w:p>
            <w:pPr>
              <w:widowControl/>
              <w:spacing w:line="320" w:lineRule="exact"/>
              <w:jc w:val="center"/>
              <w:textAlignment w:val="bottom"/>
              <w:rPr>
                <w:rFonts w:ascii="仿宋_GB2312" w:hAnsi="仿宋_GB2312" w:eastAsia="仿宋_GB2312" w:cs="仿宋_GB2312"/>
                <w:sz w:val="24"/>
              </w:rPr>
            </w:pPr>
            <w:r>
              <w:rPr>
                <w:rFonts w:hint="eastAsia" w:ascii="仿宋_GB2312" w:hAnsi="仿宋_GB2312" w:eastAsia="仿宋_GB2312" w:cs="仿宋_GB2312"/>
                <w:kern w:val="0"/>
                <w:sz w:val="24"/>
                <w:lang w:bidi="ar"/>
              </w:rPr>
              <w:t>度指标</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满意度</w:t>
            </w:r>
          </w:p>
          <w:p>
            <w:pPr>
              <w:widowControl/>
              <w:spacing w:line="320" w:lineRule="exact"/>
              <w:jc w:val="center"/>
              <w:textAlignment w:val="bottom"/>
              <w:rPr>
                <w:rFonts w:ascii="仿宋_GB2312" w:hAnsi="仿宋_GB2312" w:eastAsia="仿宋_GB2312" w:cs="仿宋_GB2312"/>
                <w:sz w:val="24"/>
              </w:rPr>
            </w:pPr>
            <w:r>
              <w:rPr>
                <w:rFonts w:hint="eastAsia" w:ascii="仿宋_GB2312" w:hAnsi="仿宋_GB2312" w:eastAsia="仿宋_GB2312" w:cs="仿宋_GB2312"/>
                <w:kern w:val="0"/>
                <w:sz w:val="24"/>
                <w:lang w:bidi="ar"/>
              </w:rPr>
              <w:t>指标</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4"/>
              </w:rPr>
            </w:pPr>
            <w:r>
              <w:rPr>
                <w:rFonts w:hint="eastAsia" w:ascii="仿宋_GB2312" w:hAnsi="仿宋_GB2312" w:eastAsia="仿宋_GB2312" w:cs="仿宋_GB2312"/>
                <w:sz w:val="24"/>
              </w:rPr>
              <w:t>上级主管部门满意度</w:t>
            </w: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4"/>
              </w:rPr>
            </w:pPr>
            <w:r>
              <w:rPr>
                <w:rFonts w:hint="eastAsia" w:ascii="仿宋_GB2312" w:hAnsi="仿宋_GB2312" w:eastAsia="仿宋_GB2312" w:cs="仿宋_GB2312"/>
                <w:sz w:val="24"/>
              </w:rPr>
              <w:t>上级主管部门满意度≧90%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4"/>
              </w:rPr>
            </w:pPr>
            <w:r>
              <w:rPr>
                <w:rFonts w:hint="eastAsia" w:ascii="仿宋_GB2312" w:hAnsi="仿宋_GB2312" w:eastAsia="仿宋_GB2312" w:cs="仿宋_GB2312"/>
                <w:sz w:val="24"/>
              </w:rPr>
              <w:t>工程进度符合预期，上级主管部门满意度≧90%</w:t>
            </w:r>
          </w:p>
        </w:tc>
      </w:tr>
    </w:tbl>
    <w:p>
      <w:pPr>
        <w:spacing w:line="580" w:lineRule="exact"/>
        <w:rPr>
          <w:rStyle w:val="25"/>
          <w:rFonts w:ascii="黑体" w:hAnsi="黑体" w:eastAsia="黑体"/>
          <w:b w:val="0"/>
        </w:rPr>
      </w:pPr>
    </w:p>
    <w:p>
      <w:pPr>
        <w:widowControl/>
        <w:jc w:val="left"/>
        <w:rPr>
          <w:rStyle w:val="25"/>
          <w:rFonts w:ascii="黑体" w:hAnsi="黑体" w:eastAsia="黑体"/>
          <w:b w:val="0"/>
        </w:rPr>
      </w:pPr>
      <w:r>
        <w:rPr>
          <w:rStyle w:val="25"/>
          <w:rFonts w:ascii="黑体" w:hAnsi="黑体" w:eastAsia="黑体"/>
          <w:b w:val="0"/>
        </w:rPr>
        <w:br w:type="page"/>
      </w:r>
    </w:p>
    <w:p>
      <w:pPr>
        <w:pStyle w:val="3"/>
        <w:jc w:val="center"/>
      </w:pPr>
      <w:bookmarkStart w:id="80" w:name="_Toc19676"/>
      <w:bookmarkStart w:id="81" w:name="_Toc15396618"/>
      <w:r>
        <w:rPr>
          <w:rFonts w:hint="eastAsia"/>
        </w:rPr>
        <w:t>第五部分 附表</w:t>
      </w:r>
      <w:bookmarkEnd w:id="76"/>
      <w:bookmarkEnd w:id="80"/>
      <w:bookmarkEnd w:id="81"/>
      <w:bookmarkStart w:id="82" w:name="_Toc15396619"/>
    </w:p>
    <w:p>
      <w:pPr>
        <w:pStyle w:val="4"/>
        <w:spacing w:before="0" w:after="0" w:line="240" w:lineRule="auto"/>
        <w:rPr>
          <w:rFonts w:ascii="仿宋" w:hAnsi="仿宋" w:eastAsia="仿宋"/>
        </w:rPr>
      </w:pPr>
      <w:bookmarkStart w:id="83" w:name="_Toc13276"/>
      <w:r>
        <w:rPr>
          <w:rFonts w:hint="eastAsia" w:ascii="仿宋" w:hAnsi="仿宋" w:eastAsia="仿宋"/>
          <w:b w:val="0"/>
        </w:rPr>
        <w:t>一、收</w:t>
      </w:r>
      <w:r>
        <w:rPr>
          <w:rStyle w:val="26"/>
          <w:rFonts w:hint="eastAsia" w:ascii="仿宋" w:hAnsi="仿宋" w:eastAsia="仿宋"/>
          <w:b w:val="0"/>
          <w:bCs w:val="0"/>
        </w:rPr>
        <w:t>入支出决算总表</w:t>
      </w:r>
      <w:bookmarkEnd w:id="82"/>
      <w:bookmarkEnd w:id="83"/>
    </w:p>
    <w:p>
      <w:pPr>
        <w:pStyle w:val="4"/>
        <w:rPr>
          <w:rFonts w:ascii="仿宋" w:hAnsi="仿宋" w:eastAsia="仿宋"/>
        </w:rPr>
      </w:pPr>
      <w:bookmarkStart w:id="84" w:name="_Toc24922"/>
      <w:bookmarkStart w:id="85" w:name="_Toc15396620"/>
      <w:r>
        <w:rPr>
          <w:rFonts w:hint="eastAsia" w:ascii="仿宋" w:hAnsi="仿宋" w:eastAsia="仿宋"/>
          <w:b w:val="0"/>
        </w:rPr>
        <w:t>二、收</w:t>
      </w:r>
      <w:r>
        <w:rPr>
          <w:rStyle w:val="26"/>
          <w:rFonts w:hint="eastAsia" w:ascii="仿宋" w:hAnsi="仿宋" w:eastAsia="仿宋"/>
          <w:b w:val="0"/>
          <w:bCs w:val="0"/>
        </w:rPr>
        <w:t>入决算表</w:t>
      </w:r>
      <w:bookmarkEnd w:id="84"/>
      <w:bookmarkEnd w:id="85"/>
    </w:p>
    <w:p>
      <w:pPr>
        <w:pStyle w:val="4"/>
        <w:rPr>
          <w:rFonts w:ascii="仿宋" w:hAnsi="仿宋" w:eastAsia="仿宋"/>
        </w:rPr>
      </w:pPr>
      <w:bookmarkStart w:id="86" w:name="_Toc15396621"/>
      <w:bookmarkStart w:id="87" w:name="_Toc9938"/>
      <w:r>
        <w:rPr>
          <w:rStyle w:val="26"/>
          <w:rFonts w:hint="eastAsia" w:ascii="仿宋" w:hAnsi="仿宋" w:eastAsia="仿宋"/>
          <w:b w:val="0"/>
          <w:bCs w:val="0"/>
        </w:rPr>
        <w:t>三、</w:t>
      </w:r>
      <w:r>
        <w:rPr>
          <w:rFonts w:hint="eastAsia" w:ascii="仿宋" w:hAnsi="仿宋" w:eastAsia="仿宋"/>
          <w:b w:val="0"/>
        </w:rPr>
        <w:t>支</w:t>
      </w:r>
      <w:r>
        <w:rPr>
          <w:rStyle w:val="26"/>
          <w:rFonts w:hint="eastAsia" w:ascii="仿宋" w:hAnsi="仿宋" w:eastAsia="仿宋"/>
          <w:b w:val="0"/>
          <w:bCs w:val="0"/>
        </w:rPr>
        <w:t>出决算表</w:t>
      </w:r>
      <w:bookmarkEnd w:id="86"/>
      <w:bookmarkEnd w:id="87"/>
    </w:p>
    <w:p>
      <w:pPr>
        <w:pStyle w:val="4"/>
        <w:rPr>
          <w:rFonts w:ascii="仿宋" w:hAnsi="仿宋" w:eastAsia="仿宋"/>
          <w:b w:val="0"/>
        </w:rPr>
      </w:pPr>
      <w:bookmarkStart w:id="88" w:name="_Toc15396622"/>
      <w:bookmarkStart w:id="89" w:name="_Toc19518"/>
      <w:r>
        <w:rPr>
          <w:rStyle w:val="26"/>
          <w:rFonts w:hint="eastAsia" w:ascii="仿宋" w:hAnsi="仿宋" w:eastAsia="仿宋"/>
          <w:b w:val="0"/>
          <w:bCs w:val="0"/>
        </w:rPr>
        <w:t>四、</w:t>
      </w:r>
      <w:r>
        <w:rPr>
          <w:rFonts w:hint="eastAsia" w:ascii="仿宋" w:hAnsi="仿宋" w:eastAsia="仿宋"/>
          <w:b w:val="0"/>
        </w:rPr>
        <w:t>财</w:t>
      </w:r>
      <w:r>
        <w:rPr>
          <w:rStyle w:val="26"/>
          <w:rFonts w:hint="eastAsia" w:ascii="仿宋" w:hAnsi="仿宋" w:eastAsia="仿宋"/>
          <w:b w:val="0"/>
          <w:bCs w:val="0"/>
        </w:rPr>
        <w:t>政拨款收入支出决算总表</w:t>
      </w:r>
      <w:bookmarkEnd w:id="88"/>
      <w:bookmarkEnd w:id="89"/>
    </w:p>
    <w:p>
      <w:pPr>
        <w:pStyle w:val="4"/>
        <w:rPr>
          <w:rStyle w:val="26"/>
          <w:rFonts w:ascii="仿宋" w:hAnsi="仿宋" w:eastAsia="仿宋"/>
          <w:b w:val="0"/>
          <w:bCs w:val="0"/>
        </w:rPr>
      </w:pPr>
      <w:bookmarkStart w:id="90" w:name="_Toc7025"/>
      <w:bookmarkStart w:id="91" w:name="_Toc15396623"/>
      <w:r>
        <w:rPr>
          <w:rStyle w:val="26"/>
          <w:rFonts w:hint="eastAsia" w:ascii="仿宋" w:hAnsi="仿宋" w:eastAsia="仿宋"/>
          <w:b w:val="0"/>
          <w:bCs w:val="0"/>
        </w:rPr>
        <w:t>五、</w:t>
      </w:r>
      <w:r>
        <w:rPr>
          <w:rFonts w:hint="eastAsia" w:ascii="仿宋" w:hAnsi="仿宋" w:eastAsia="仿宋"/>
          <w:b w:val="0"/>
        </w:rPr>
        <w:t>财</w:t>
      </w:r>
      <w:r>
        <w:rPr>
          <w:rStyle w:val="26"/>
          <w:rFonts w:hint="eastAsia" w:ascii="仿宋" w:hAnsi="仿宋" w:eastAsia="仿宋"/>
          <w:b w:val="0"/>
          <w:bCs w:val="0"/>
        </w:rPr>
        <w:t>政拨款支出决算明细表</w:t>
      </w:r>
      <w:bookmarkEnd w:id="90"/>
      <w:bookmarkEnd w:id="91"/>
      <w:bookmarkStart w:id="92" w:name="_Toc15396624"/>
    </w:p>
    <w:p>
      <w:pPr>
        <w:pStyle w:val="4"/>
        <w:rPr>
          <w:rFonts w:ascii="仿宋" w:hAnsi="仿宋" w:eastAsia="仿宋"/>
        </w:rPr>
      </w:pPr>
      <w:bookmarkStart w:id="93" w:name="_Toc19622"/>
      <w:r>
        <w:rPr>
          <w:rStyle w:val="26"/>
          <w:rFonts w:hint="eastAsia" w:ascii="仿宋" w:hAnsi="仿宋" w:eastAsia="仿宋"/>
          <w:b w:val="0"/>
          <w:bCs w:val="0"/>
        </w:rPr>
        <w:t>六、</w:t>
      </w:r>
      <w:r>
        <w:rPr>
          <w:rFonts w:hint="eastAsia" w:ascii="仿宋" w:hAnsi="仿宋" w:eastAsia="仿宋"/>
          <w:b w:val="0"/>
        </w:rPr>
        <w:t>一</w:t>
      </w:r>
      <w:r>
        <w:rPr>
          <w:rStyle w:val="26"/>
          <w:rFonts w:hint="eastAsia" w:ascii="仿宋" w:hAnsi="仿宋" w:eastAsia="仿宋"/>
          <w:b w:val="0"/>
          <w:bCs w:val="0"/>
        </w:rPr>
        <w:t>般公共预算财政拨款支出决算表</w:t>
      </w:r>
      <w:bookmarkEnd w:id="92"/>
      <w:bookmarkEnd w:id="93"/>
    </w:p>
    <w:p>
      <w:pPr>
        <w:pStyle w:val="4"/>
        <w:rPr>
          <w:rFonts w:ascii="仿宋" w:hAnsi="仿宋" w:eastAsia="仿宋"/>
        </w:rPr>
      </w:pPr>
      <w:bookmarkStart w:id="94" w:name="_Toc15396625"/>
      <w:bookmarkStart w:id="95" w:name="_Toc1288"/>
      <w:r>
        <w:rPr>
          <w:rStyle w:val="26"/>
          <w:rFonts w:hint="eastAsia" w:ascii="仿宋" w:hAnsi="仿宋" w:eastAsia="仿宋"/>
          <w:b w:val="0"/>
          <w:bCs w:val="0"/>
        </w:rPr>
        <w:t>七、</w:t>
      </w:r>
      <w:r>
        <w:rPr>
          <w:rFonts w:hint="eastAsia" w:ascii="仿宋" w:hAnsi="仿宋" w:eastAsia="仿宋"/>
          <w:b w:val="0"/>
        </w:rPr>
        <w:t>一</w:t>
      </w:r>
      <w:r>
        <w:rPr>
          <w:rStyle w:val="26"/>
          <w:rFonts w:hint="eastAsia" w:ascii="仿宋" w:hAnsi="仿宋" w:eastAsia="仿宋"/>
          <w:b w:val="0"/>
          <w:bCs w:val="0"/>
        </w:rPr>
        <w:t>般公共预算财政拨款支出决算明细表</w:t>
      </w:r>
      <w:bookmarkEnd w:id="94"/>
      <w:bookmarkEnd w:id="95"/>
    </w:p>
    <w:p>
      <w:pPr>
        <w:pStyle w:val="4"/>
        <w:rPr>
          <w:rFonts w:ascii="仿宋" w:hAnsi="仿宋" w:eastAsia="仿宋"/>
        </w:rPr>
      </w:pPr>
      <w:bookmarkStart w:id="96" w:name="_Toc15396626"/>
      <w:bookmarkStart w:id="97" w:name="_Toc16013"/>
      <w:r>
        <w:rPr>
          <w:rStyle w:val="26"/>
          <w:rFonts w:hint="eastAsia" w:ascii="仿宋" w:hAnsi="仿宋" w:eastAsia="仿宋"/>
          <w:b w:val="0"/>
          <w:bCs w:val="0"/>
        </w:rPr>
        <w:t>八、</w:t>
      </w:r>
      <w:r>
        <w:rPr>
          <w:rFonts w:hint="eastAsia" w:ascii="仿宋" w:hAnsi="仿宋" w:eastAsia="仿宋"/>
          <w:b w:val="0"/>
        </w:rPr>
        <w:t>一</w:t>
      </w:r>
      <w:r>
        <w:rPr>
          <w:rStyle w:val="26"/>
          <w:rFonts w:hint="eastAsia" w:ascii="仿宋" w:hAnsi="仿宋" w:eastAsia="仿宋"/>
          <w:b w:val="0"/>
          <w:bCs w:val="0"/>
        </w:rPr>
        <w:t>般公共预算财政拨款基本支出决算表</w:t>
      </w:r>
      <w:bookmarkEnd w:id="96"/>
      <w:bookmarkEnd w:id="97"/>
    </w:p>
    <w:p>
      <w:pPr>
        <w:pStyle w:val="4"/>
        <w:rPr>
          <w:rFonts w:ascii="仿宋" w:hAnsi="仿宋" w:eastAsia="仿宋"/>
        </w:rPr>
      </w:pPr>
      <w:bookmarkStart w:id="98" w:name="_Toc15396627"/>
      <w:bookmarkStart w:id="99" w:name="_Toc22000"/>
      <w:r>
        <w:rPr>
          <w:rStyle w:val="26"/>
          <w:rFonts w:hint="eastAsia" w:ascii="仿宋" w:hAnsi="仿宋" w:eastAsia="仿宋"/>
          <w:b w:val="0"/>
          <w:bCs w:val="0"/>
        </w:rPr>
        <w:t>九、</w:t>
      </w:r>
      <w:r>
        <w:rPr>
          <w:rFonts w:hint="eastAsia" w:ascii="仿宋" w:hAnsi="仿宋" w:eastAsia="仿宋"/>
          <w:b w:val="0"/>
        </w:rPr>
        <w:t>一</w:t>
      </w:r>
      <w:r>
        <w:rPr>
          <w:rStyle w:val="26"/>
          <w:rFonts w:hint="eastAsia" w:ascii="仿宋" w:hAnsi="仿宋" w:eastAsia="仿宋"/>
          <w:b w:val="0"/>
          <w:bCs w:val="0"/>
        </w:rPr>
        <w:t>般公共预算财政拨款项目支出决算表</w:t>
      </w:r>
      <w:bookmarkEnd w:id="98"/>
      <w:bookmarkEnd w:id="99"/>
    </w:p>
    <w:p>
      <w:pPr>
        <w:pStyle w:val="4"/>
        <w:rPr>
          <w:rFonts w:ascii="仿宋" w:hAnsi="仿宋" w:eastAsia="仿宋"/>
        </w:rPr>
      </w:pPr>
      <w:bookmarkStart w:id="100" w:name="_Toc15396628"/>
      <w:bookmarkStart w:id="101" w:name="_Toc16419"/>
      <w:r>
        <w:rPr>
          <w:rStyle w:val="26"/>
          <w:rFonts w:hint="eastAsia" w:ascii="仿宋" w:hAnsi="仿宋" w:eastAsia="仿宋"/>
          <w:b w:val="0"/>
          <w:bCs w:val="0"/>
        </w:rPr>
        <w:t>十、</w:t>
      </w:r>
      <w:r>
        <w:rPr>
          <w:rFonts w:hint="eastAsia" w:ascii="仿宋" w:hAnsi="仿宋" w:eastAsia="仿宋"/>
          <w:b w:val="0"/>
        </w:rPr>
        <w:t>一</w:t>
      </w:r>
      <w:r>
        <w:rPr>
          <w:rStyle w:val="26"/>
          <w:rFonts w:hint="eastAsia" w:ascii="仿宋" w:hAnsi="仿宋" w:eastAsia="仿宋"/>
          <w:b w:val="0"/>
          <w:bCs w:val="0"/>
        </w:rPr>
        <w:t>般公共预算财政拨款“三公”经费支出决算表</w:t>
      </w:r>
      <w:bookmarkEnd w:id="100"/>
      <w:bookmarkEnd w:id="101"/>
    </w:p>
    <w:p>
      <w:pPr>
        <w:pStyle w:val="4"/>
        <w:rPr>
          <w:rFonts w:ascii="仿宋" w:hAnsi="仿宋" w:eastAsia="仿宋"/>
        </w:rPr>
      </w:pPr>
      <w:bookmarkStart w:id="102" w:name="_Toc15396629"/>
      <w:bookmarkStart w:id="103" w:name="_Toc15332"/>
      <w:r>
        <w:rPr>
          <w:rStyle w:val="26"/>
          <w:rFonts w:hint="eastAsia" w:ascii="仿宋" w:hAnsi="仿宋" w:eastAsia="仿宋"/>
          <w:b w:val="0"/>
          <w:bCs w:val="0"/>
        </w:rPr>
        <w:t>十一、</w:t>
      </w:r>
      <w:r>
        <w:rPr>
          <w:rFonts w:hint="eastAsia" w:ascii="仿宋" w:hAnsi="仿宋" w:eastAsia="仿宋"/>
          <w:b w:val="0"/>
        </w:rPr>
        <w:t>政</w:t>
      </w:r>
      <w:r>
        <w:rPr>
          <w:rStyle w:val="26"/>
          <w:rFonts w:hint="eastAsia" w:ascii="仿宋" w:hAnsi="仿宋" w:eastAsia="仿宋"/>
          <w:b w:val="0"/>
          <w:bCs w:val="0"/>
        </w:rPr>
        <w:t>府性基金预算财政拨款收入支出决算表</w:t>
      </w:r>
      <w:bookmarkEnd w:id="102"/>
      <w:r>
        <w:rPr>
          <w:rStyle w:val="26"/>
          <w:rFonts w:hint="eastAsia" w:ascii="仿宋" w:hAnsi="仿宋" w:eastAsia="仿宋"/>
          <w:b w:val="0"/>
          <w:bCs w:val="0"/>
        </w:rPr>
        <w:t>（此表无数据）</w:t>
      </w:r>
      <w:bookmarkEnd w:id="103"/>
    </w:p>
    <w:p>
      <w:pPr>
        <w:pStyle w:val="4"/>
        <w:rPr>
          <w:rFonts w:ascii="仿宋" w:hAnsi="仿宋" w:eastAsia="仿宋"/>
        </w:rPr>
      </w:pPr>
      <w:bookmarkStart w:id="104" w:name="_Toc15396630"/>
      <w:bookmarkStart w:id="105" w:name="_Toc30527"/>
      <w:r>
        <w:rPr>
          <w:rStyle w:val="26"/>
          <w:rFonts w:hint="eastAsia" w:ascii="仿宋" w:hAnsi="仿宋" w:eastAsia="仿宋"/>
          <w:b w:val="0"/>
          <w:bCs w:val="0"/>
        </w:rPr>
        <w:t>十二、</w:t>
      </w:r>
      <w:r>
        <w:rPr>
          <w:rFonts w:hint="eastAsia" w:ascii="仿宋" w:hAnsi="仿宋" w:eastAsia="仿宋"/>
          <w:b w:val="0"/>
        </w:rPr>
        <w:t>政</w:t>
      </w:r>
      <w:r>
        <w:rPr>
          <w:rStyle w:val="26"/>
          <w:rFonts w:hint="eastAsia" w:ascii="仿宋" w:hAnsi="仿宋" w:eastAsia="仿宋"/>
          <w:b w:val="0"/>
          <w:bCs w:val="0"/>
        </w:rPr>
        <w:t>府性基金预算财政拨款“三公”经费支出决算表</w:t>
      </w:r>
      <w:bookmarkEnd w:id="104"/>
      <w:r>
        <w:rPr>
          <w:rStyle w:val="26"/>
          <w:rFonts w:hint="eastAsia" w:ascii="仿宋" w:hAnsi="仿宋" w:eastAsia="仿宋"/>
          <w:b w:val="0"/>
          <w:bCs w:val="0"/>
        </w:rPr>
        <w:t>（此表无数据）</w:t>
      </w:r>
      <w:bookmarkEnd w:id="105"/>
    </w:p>
    <w:p>
      <w:pPr>
        <w:pStyle w:val="4"/>
        <w:rPr>
          <w:rFonts w:ascii="仿宋" w:hAnsi="仿宋" w:eastAsia="仿宋"/>
        </w:rPr>
      </w:pPr>
      <w:bookmarkStart w:id="106" w:name="_Toc15396631"/>
      <w:bookmarkStart w:id="107" w:name="_Toc24647"/>
      <w:r>
        <w:rPr>
          <w:rStyle w:val="26"/>
          <w:rFonts w:hint="eastAsia" w:ascii="仿宋" w:hAnsi="仿宋" w:eastAsia="仿宋"/>
          <w:b w:val="0"/>
          <w:bCs w:val="0"/>
        </w:rPr>
        <w:t>十三、</w:t>
      </w:r>
      <w:r>
        <w:rPr>
          <w:rFonts w:hint="eastAsia" w:ascii="仿宋" w:hAnsi="仿宋" w:eastAsia="仿宋"/>
          <w:b w:val="0"/>
        </w:rPr>
        <w:t>国</w:t>
      </w:r>
      <w:r>
        <w:rPr>
          <w:rStyle w:val="26"/>
          <w:rFonts w:hint="eastAsia" w:ascii="仿宋" w:hAnsi="仿宋" w:eastAsia="仿宋"/>
          <w:b w:val="0"/>
          <w:bCs w:val="0"/>
        </w:rPr>
        <w:t>有资本经营预算财政拨款收入支出决算表</w:t>
      </w:r>
      <w:bookmarkEnd w:id="106"/>
      <w:r>
        <w:rPr>
          <w:rStyle w:val="26"/>
          <w:rFonts w:hint="eastAsia" w:ascii="仿宋" w:hAnsi="仿宋" w:eastAsia="仿宋"/>
          <w:b w:val="0"/>
          <w:bCs w:val="0"/>
        </w:rPr>
        <w:t>（此表无数据）</w:t>
      </w:r>
      <w:bookmarkEnd w:id="107"/>
    </w:p>
    <w:p>
      <w:pPr>
        <w:pStyle w:val="4"/>
        <w:rPr>
          <w:rFonts w:eastAsia="仿宋"/>
        </w:rPr>
      </w:pPr>
      <w:bookmarkStart w:id="108" w:name="_Toc7956"/>
      <w:r>
        <w:rPr>
          <w:rStyle w:val="26"/>
          <w:rFonts w:hint="eastAsia" w:ascii="仿宋" w:hAnsi="仿宋" w:eastAsia="仿宋"/>
          <w:b w:val="0"/>
          <w:bCs w:val="0"/>
        </w:rPr>
        <w:t>十四、国有资本经营预算财政拨款支出决算表（此表无数据）</w:t>
      </w:r>
      <w:bookmarkEnd w:id="108"/>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仿宋">
    <w:altName w:val="Arial Unicode MS"/>
    <w:panose1 w:val="02010609060101010101"/>
    <w:charset w:val="86"/>
    <w:family w:val="modern"/>
    <w:pitch w:val="default"/>
    <w:sig w:usb0="00000000" w:usb1="00000000"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swiss"/>
    <w:pitch w:val="variable"/>
    <w:sig w:usb0="80000287" w:usb1="2A0F3C52" w:usb2="00000016" w:usb3="00000000" w:csb0="0004001F" w:csb1="00000000"/>
  </w:font>
  <w:font w:name="Arial">
    <w:panose1 w:val="020B0604020202020204"/>
    <w:charset w:val="00"/>
    <w:family w:val=""/>
    <w:pitch w:val="default"/>
    <w:sig w:usb0="00007A87" w:usb1="80000000" w:usb2="00000008" w:usb3="00000000" w:csb0="400001FF" w:csb1="FFFF0000"/>
  </w:font>
  <w:font w:name="Calibri Light">
    <w:altName w:val="Calibri"/>
    <w:panose1 w:val="00000000000000000000"/>
    <w:charset w:val="00"/>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8"/>
          <w:jc w:val="center"/>
        </w:pPr>
        <w:r>
          <w:fldChar w:fldCharType="begin"/>
        </w:r>
        <w:r>
          <w:instrText xml:space="preserve">PAGE   \* MERGEFORMAT</w:instrText>
        </w:r>
        <w:r>
          <w:fldChar w:fldCharType="separate"/>
        </w:r>
        <w:r>
          <w:rPr>
            <w:lang w:val="zh-CN"/>
          </w:rPr>
          <w:t>29</w:t>
        </w:r>
        <w:r>
          <w:fldChar w:fldCharType="end"/>
        </w:r>
      </w:p>
    </w:sdtContent>
  </w:sdt>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ZjOWVjOGQyMjgzZTI2NmVkNTY4MmYzZWY1NTZhZWYifQ=="/>
  </w:docVars>
  <w:rsids>
    <w:rsidRoot w:val="00F1361C"/>
    <w:rsid w:val="00016FFF"/>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3550C"/>
    <w:rsid w:val="007416B6"/>
    <w:rsid w:val="00746F48"/>
    <w:rsid w:val="0075404D"/>
    <w:rsid w:val="0076182A"/>
    <w:rsid w:val="00767B7E"/>
    <w:rsid w:val="007770C3"/>
    <w:rsid w:val="00784D24"/>
    <w:rsid w:val="00785FBA"/>
    <w:rsid w:val="00786E4A"/>
    <w:rsid w:val="007875EB"/>
    <w:rsid w:val="0078765A"/>
    <w:rsid w:val="007920E8"/>
    <w:rsid w:val="0079426B"/>
    <w:rsid w:val="007D1682"/>
    <w:rsid w:val="007D312A"/>
    <w:rsid w:val="007D3F19"/>
    <w:rsid w:val="007E23B0"/>
    <w:rsid w:val="007E23E5"/>
    <w:rsid w:val="007F1019"/>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338"/>
    <w:rsid w:val="00AD7C1B"/>
    <w:rsid w:val="00AE16BA"/>
    <w:rsid w:val="00AE1EBE"/>
    <w:rsid w:val="00AE3E37"/>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40E"/>
    <w:rsid w:val="00B77EA6"/>
    <w:rsid w:val="00B81598"/>
    <w:rsid w:val="00B841F1"/>
    <w:rsid w:val="00B944D6"/>
    <w:rsid w:val="00BA60E4"/>
    <w:rsid w:val="00BB4DF0"/>
    <w:rsid w:val="00BC289F"/>
    <w:rsid w:val="00BC2D50"/>
    <w:rsid w:val="00BC5361"/>
    <w:rsid w:val="00BC5460"/>
    <w:rsid w:val="00BC6B50"/>
    <w:rsid w:val="00BD0E25"/>
    <w:rsid w:val="00BE259A"/>
    <w:rsid w:val="00BF5BD6"/>
    <w:rsid w:val="00C03E31"/>
    <w:rsid w:val="00C33E72"/>
    <w:rsid w:val="00C354B2"/>
    <w:rsid w:val="00C35554"/>
    <w:rsid w:val="00C4133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A2658"/>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0D6029"/>
    <w:rsid w:val="03030BB2"/>
    <w:rsid w:val="03420B33"/>
    <w:rsid w:val="04F42E38"/>
    <w:rsid w:val="066E0107"/>
    <w:rsid w:val="073B5168"/>
    <w:rsid w:val="078D630A"/>
    <w:rsid w:val="07996F6E"/>
    <w:rsid w:val="0A2032A3"/>
    <w:rsid w:val="0B1A65E0"/>
    <w:rsid w:val="0E323572"/>
    <w:rsid w:val="101860EC"/>
    <w:rsid w:val="102A7A41"/>
    <w:rsid w:val="10C055FF"/>
    <w:rsid w:val="118107EC"/>
    <w:rsid w:val="13D50BC4"/>
    <w:rsid w:val="16BB723D"/>
    <w:rsid w:val="19277601"/>
    <w:rsid w:val="1BE8440E"/>
    <w:rsid w:val="1CB00C23"/>
    <w:rsid w:val="1D155CEE"/>
    <w:rsid w:val="1D6559C8"/>
    <w:rsid w:val="1E26616A"/>
    <w:rsid w:val="1F2667DB"/>
    <w:rsid w:val="20463428"/>
    <w:rsid w:val="21D83538"/>
    <w:rsid w:val="23860B96"/>
    <w:rsid w:val="23DA1943"/>
    <w:rsid w:val="240371BF"/>
    <w:rsid w:val="25875B73"/>
    <w:rsid w:val="25E12E4C"/>
    <w:rsid w:val="27C9228C"/>
    <w:rsid w:val="28CA2231"/>
    <w:rsid w:val="293B21A5"/>
    <w:rsid w:val="29FD04D3"/>
    <w:rsid w:val="2C8A61B5"/>
    <w:rsid w:val="2DF04E50"/>
    <w:rsid w:val="305C6E44"/>
    <w:rsid w:val="30FE24D2"/>
    <w:rsid w:val="319F7F4E"/>
    <w:rsid w:val="338B2BD6"/>
    <w:rsid w:val="349F1D3B"/>
    <w:rsid w:val="36AA5135"/>
    <w:rsid w:val="37E16F03"/>
    <w:rsid w:val="3CF96766"/>
    <w:rsid w:val="3D98207C"/>
    <w:rsid w:val="3E6125D5"/>
    <w:rsid w:val="3FD6525C"/>
    <w:rsid w:val="42E434BF"/>
    <w:rsid w:val="43377DE7"/>
    <w:rsid w:val="43F30379"/>
    <w:rsid w:val="44E268DA"/>
    <w:rsid w:val="454F7B26"/>
    <w:rsid w:val="46CA2915"/>
    <w:rsid w:val="474F09D8"/>
    <w:rsid w:val="49971F00"/>
    <w:rsid w:val="4A145EA1"/>
    <w:rsid w:val="4A627F82"/>
    <w:rsid w:val="4B4F25DA"/>
    <w:rsid w:val="4BE068DB"/>
    <w:rsid w:val="4D134DC8"/>
    <w:rsid w:val="4D3E3BA7"/>
    <w:rsid w:val="4D577224"/>
    <w:rsid w:val="4EAB630A"/>
    <w:rsid w:val="4ECE2238"/>
    <w:rsid w:val="5070232D"/>
    <w:rsid w:val="50DD5829"/>
    <w:rsid w:val="57717E9F"/>
    <w:rsid w:val="582C7697"/>
    <w:rsid w:val="5AF92295"/>
    <w:rsid w:val="5BD360FC"/>
    <w:rsid w:val="5CD71FC4"/>
    <w:rsid w:val="5F0054C7"/>
    <w:rsid w:val="5F4D6E91"/>
    <w:rsid w:val="5FA639F6"/>
    <w:rsid w:val="5FAF1DF7"/>
    <w:rsid w:val="60694EE1"/>
    <w:rsid w:val="60821F19"/>
    <w:rsid w:val="633874F3"/>
    <w:rsid w:val="65BB5C3B"/>
    <w:rsid w:val="67336243"/>
    <w:rsid w:val="69367247"/>
    <w:rsid w:val="6C4A05C8"/>
    <w:rsid w:val="6CDB70E6"/>
    <w:rsid w:val="6CEA4C47"/>
    <w:rsid w:val="6E7E3605"/>
    <w:rsid w:val="6FF5CC65"/>
    <w:rsid w:val="715C0E4B"/>
    <w:rsid w:val="72734D90"/>
    <w:rsid w:val="73AD73D5"/>
    <w:rsid w:val="73B6EB34"/>
    <w:rsid w:val="747E00D6"/>
    <w:rsid w:val="74F747C2"/>
    <w:rsid w:val="764B2113"/>
    <w:rsid w:val="768F1D98"/>
    <w:rsid w:val="79382508"/>
    <w:rsid w:val="79EE5BA4"/>
    <w:rsid w:val="7A894339"/>
    <w:rsid w:val="7E5F5080"/>
    <w:rsid w:val="7EBF7A96"/>
    <w:rsid w:val="7EEF11D3"/>
    <w:rsid w:val="7FA30C79"/>
    <w:rsid w:val="7FC96657"/>
    <w:rsid w:val="D8D6DB89"/>
    <w:rsid w:val="DB6F4CAB"/>
    <w:rsid w:val="DF6F978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9"/>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uiPriority w:val="1"/>
  </w:style>
  <w:style w:type="table" w:default="1" w:styleId="13">
    <w:name w:val="Normal Table"/>
    <w:semiHidden/>
    <w:unhideWhenUsed/>
    <w:uiPriority w:val="99"/>
    <w:tblPr>
      <w:tblLayout w:type="fixed"/>
      <w:tblCellMar>
        <w:top w:w="0" w:type="dxa"/>
        <w:left w:w="108" w:type="dxa"/>
        <w:bottom w:w="0" w:type="dxa"/>
        <w:right w:w="108" w:type="dxa"/>
      </w:tblCellMar>
    </w:tblPr>
  </w:style>
  <w:style w:type="paragraph" w:styleId="2">
    <w:name w:val="Body Text"/>
    <w:basedOn w:val="1"/>
    <w:link w:val="22"/>
    <w:qFormat/>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Balloon Text"/>
    <w:basedOn w:val="1"/>
    <w:link w:val="28"/>
    <w:semiHidden/>
    <w:unhideWhenUsed/>
    <w:qFormat/>
    <w:uiPriority w:val="99"/>
    <w:rPr>
      <w:sz w:val="18"/>
      <w:szCs w:val="18"/>
    </w:rPr>
  </w:style>
  <w:style w:type="paragraph" w:styleId="8">
    <w:name w:val="footer"/>
    <w:basedOn w:val="1"/>
    <w:link w:val="20"/>
    <w:qFormat/>
    <w:uiPriority w:val="99"/>
    <w:pPr>
      <w:tabs>
        <w:tab w:val="center" w:pos="4153"/>
        <w:tab w:val="right" w:pos="8306"/>
      </w:tabs>
      <w:snapToGrid w:val="0"/>
      <w:jc w:val="left"/>
    </w:pPr>
    <w:rPr>
      <w:rFonts w:ascii="Calibri" w:hAnsi="Calibri"/>
      <w:kern w:val="0"/>
      <w:sz w:val="18"/>
      <w:szCs w:val="18"/>
    </w:rPr>
  </w:style>
  <w:style w:type="paragraph" w:styleId="9">
    <w:name w:val="header"/>
    <w:basedOn w:val="1"/>
    <w:link w:val="18"/>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1">
    <w:name w:val="toc 2"/>
    <w:basedOn w:val="1"/>
    <w:next w:val="1"/>
    <w:unhideWhenUsed/>
    <w:qFormat/>
    <w:uiPriority w:val="39"/>
    <w:pPr>
      <w:tabs>
        <w:tab w:val="right" w:leader="dot" w:pos="8296"/>
      </w:tabs>
      <w:ind w:left="420" w:leftChars="200"/>
    </w:pPr>
  </w:style>
  <w:style w:type="paragraph" w:styleId="12">
    <w:name w:val="Normal (Web)"/>
    <w:basedOn w:val="1"/>
    <w:qFormat/>
    <w:uiPriority w:val="0"/>
    <w:pPr>
      <w:spacing w:before="100" w:beforeAutospacing="1" w:after="100" w:afterAutospacing="1"/>
      <w:jc w:val="left"/>
    </w:pPr>
    <w:rPr>
      <w:kern w:val="0"/>
      <w:sz w:val="24"/>
    </w:rPr>
  </w:style>
  <w:style w:type="character" w:styleId="15">
    <w:name w:val="Strong"/>
    <w:basedOn w:val="14"/>
    <w:qFormat/>
    <w:uiPriority w:val="99"/>
    <w:rPr>
      <w:b/>
    </w:rPr>
  </w:style>
  <w:style w:type="character" w:styleId="16">
    <w:name w:val="Hyperlink"/>
    <w:basedOn w:val="14"/>
    <w:unhideWhenUsed/>
    <w:qFormat/>
    <w:uiPriority w:val="99"/>
    <w:rPr>
      <w:color w:val="0000FF" w:themeColor="hyperlink"/>
      <w:u w:val="single"/>
      <w14:textFill>
        <w14:solidFill>
          <w14:schemeClr w14:val="hlink"/>
        </w14:solidFill>
      </w14:textFill>
    </w:rPr>
  </w:style>
  <w:style w:type="character" w:customStyle="1" w:styleId="17">
    <w:name w:val="Header Char"/>
    <w:basedOn w:val="14"/>
    <w:semiHidden/>
    <w:qFormat/>
    <w:uiPriority w:val="99"/>
    <w:rPr>
      <w:rFonts w:ascii="Times New Roman" w:hAnsi="Times New Roman"/>
      <w:sz w:val="18"/>
      <w:szCs w:val="18"/>
    </w:rPr>
  </w:style>
  <w:style w:type="character" w:customStyle="1" w:styleId="18">
    <w:name w:val="页眉 Char"/>
    <w:link w:val="9"/>
    <w:semiHidden/>
    <w:qFormat/>
    <w:locked/>
    <w:uiPriority w:val="99"/>
    <w:rPr>
      <w:sz w:val="18"/>
    </w:rPr>
  </w:style>
  <w:style w:type="character" w:customStyle="1" w:styleId="19">
    <w:name w:val="Footer Char"/>
    <w:basedOn w:val="14"/>
    <w:semiHidden/>
    <w:qFormat/>
    <w:uiPriority w:val="99"/>
    <w:rPr>
      <w:rFonts w:ascii="Times New Roman" w:hAnsi="Times New Roman"/>
      <w:sz w:val="18"/>
      <w:szCs w:val="18"/>
    </w:rPr>
  </w:style>
  <w:style w:type="character" w:customStyle="1" w:styleId="20">
    <w:name w:val="页脚 Char"/>
    <w:link w:val="8"/>
    <w:qFormat/>
    <w:locked/>
    <w:uiPriority w:val="99"/>
    <w:rPr>
      <w:sz w:val="18"/>
    </w:rPr>
  </w:style>
  <w:style w:type="character" w:customStyle="1" w:styleId="21">
    <w:name w:val="Body Text Char"/>
    <w:basedOn w:val="14"/>
    <w:semiHidden/>
    <w:qFormat/>
    <w:uiPriority w:val="99"/>
    <w:rPr>
      <w:rFonts w:ascii="Times New Roman" w:hAnsi="Times New Roman"/>
      <w:szCs w:val="24"/>
    </w:rPr>
  </w:style>
  <w:style w:type="character" w:customStyle="1" w:styleId="22">
    <w:name w:val="正文文本 Char"/>
    <w:link w:val="2"/>
    <w:qFormat/>
    <w:locked/>
    <w:uiPriority w:val="99"/>
    <w:rPr>
      <w:rFonts w:ascii="仿宋_GB2312" w:hAnsi="Times New Roman" w:eastAsia="仿宋_GB2312"/>
      <w:sz w:val="24"/>
    </w:rPr>
  </w:style>
  <w:style w:type="paragraph" w:customStyle="1" w:styleId="23">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4">
    <w:name w:val="List Paragraph"/>
    <w:basedOn w:val="1"/>
    <w:qFormat/>
    <w:uiPriority w:val="34"/>
    <w:pPr>
      <w:ind w:firstLine="420" w:firstLineChars="200"/>
    </w:pPr>
  </w:style>
  <w:style w:type="character" w:customStyle="1" w:styleId="25">
    <w:name w:val="标题 1 Char"/>
    <w:basedOn w:val="14"/>
    <w:link w:val="3"/>
    <w:qFormat/>
    <w:uiPriority w:val="9"/>
    <w:rPr>
      <w:rFonts w:ascii="Times New Roman" w:hAnsi="Times New Roman"/>
      <w:b/>
      <w:bCs/>
      <w:kern w:val="44"/>
      <w:sz w:val="44"/>
      <w:szCs w:val="44"/>
    </w:rPr>
  </w:style>
  <w:style w:type="character" w:customStyle="1" w:styleId="26">
    <w:name w:val="标题 2 Char"/>
    <w:basedOn w:val="14"/>
    <w:link w:val="4"/>
    <w:qFormat/>
    <w:uiPriority w:val="9"/>
    <w:rPr>
      <w:rFonts w:asciiTheme="majorHAnsi" w:hAnsiTheme="majorHAnsi" w:eastAsiaTheme="majorEastAsia" w:cstheme="majorBidi"/>
      <w:b/>
      <w:bCs/>
      <w:kern w:val="2"/>
      <w:sz w:val="32"/>
      <w:szCs w:val="32"/>
    </w:rPr>
  </w:style>
  <w:style w:type="paragraph" w:customStyle="1" w:styleId="27">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8">
    <w:name w:val="批注框文本 Char"/>
    <w:basedOn w:val="14"/>
    <w:link w:val="7"/>
    <w:semiHidden/>
    <w:qFormat/>
    <w:uiPriority w:val="99"/>
    <w:rPr>
      <w:rFonts w:ascii="Times New Roman" w:hAnsi="Times New Roman"/>
      <w:kern w:val="2"/>
      <w:sz w:val="18"/>
      <w:szCs w:val="18"/>
    </w:rPr>
  </w:style>
  <w:style w:type="character" w:customStyle="1" w:styleId="29">
    <w:name w:val="标题 3 Char"/>
    <w:basedOn w:val="14"/>
    <w:link w:val="5"/>
    <w:qFormat/>
    <w:uiPriority w:val="9"/>
    <w:rPr>
      <w:rFonts w:ascii="Times New Roman" w:hAnsi="Times New Roman"/>
      <w:b/>
      <w:bCs/>
      <w:kern w:val="2"/>
      <w:sz w:val="32"/>
      <w:szCs w:val="32"/>
    </w:rPr>
  </w:style>
  <w:style w:type="paragraph" w:customStyle="1" w:styleId="30">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1">
    <w:name w:val="WPSOffice手动目录 1"/>
    <w:uiPriority w:val="0"/>
    <w:rPr>
      <w:rFonts w:ascii="Times New Roman" w:hAnsi="Times New Roman" w:eastAsia="宋体" w:cs="Times New Roman"/>
      <w:lang w:val="en-US" w:eastAsia="zh-CN" w:bidi="ar-SA"/>
    </w:rPr>
  </w:style>
  <w:style w:type="paragraph" w:customStyle="1" w:styleId="32">
    <w:name w:val="WPSOffice手动目录 2"/>
    <w:qFormat/>
    <w:uiPriority w:val="0"/>
    <w:pPr>
      <w:ind w:left="200" w:leftChars="2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2.bin"/><Relationship Id="rId8" Type="http://schemas.openxmlformats.org/officeDocument/2006/relationships/image" Target="media/image1.emf"/><Relationship Id="rId7" Type="http://schemas.openxmlformats.org/officeDocument/2006/relationships/oleObject" Target="embeddings/oleObject1.bin"/><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6.emf"/><Relationship Id="rId17" Type="http://schemas.openxmlformats.org/officeDocument/2006/relationships/oleObject" Target="embeddings/oleObject6.bin"/><Relationship Id="rId16" Type="http://schemas.openxmlformats.org/officeDocument/2006/relationships/image" Target="media/image5.emf"/><Relationship Id="rId15" Type="http://schemas.openxmlformats.org/officeDocument/2006/relationships/oleObject" Target="embeddings/oleObject5.bin"/><Relationship Id="rId14" Type="http://schemas.openxmlformats.org/officeDocument/2006/relationships/image" Target="media/image4.emf"/><Relationship Id="rId13" Type="http://schemas.openxmlformats.org/officeDocument/2006/relationships/oleObject" Target="embeddings/oleObject4.bin"/><Relationship Id="rId12" Type="http://schemas.openxmlformats.org/officeDocument/2006/relationships/image" Target="media/image3.emf"/><Relationship Id="rId11" Type="http://schemas.openxmlformats.org/officeDocument/2006/relationships/oleObject" Target="embeddings/oleObject3.bin"/><Relationship Id="rId10" Type="http://schemas.openxmlformats.org/officeDocument/2006/relationships/image" Target="media/image2.emf"/><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系列 1</c:v>
                </c:pt>
              </c:strCache>
            </c:strRef>
          </c:tx>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2"/>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tx2">
                          <a:lumMod val="35000"/>
                          <a:lumOff val="65000"/>
                        </a:schemeClr>
                      </a:solidFill>
                    </a:ln>
                    <a:effectLst/>
                  </c:spPr>
                </c15:leaderLines>
              </c:ext>
            </c:extLst>
          </c:dLbls>
          <c:cat>
            <c:strRef>
              <c:f>Sheet1!$A$2:$A$3</c:f>
              <c:strCache>
                <c:ptCount val="2"/>
                <c:pt idx="0">
                  <c:v>2020年收支总计</c:v>
                </c:pt>
                <c:pt idx="1">
                  <c:v>2021年收支总计</c:v>
                </c:pt>
              </c:strCache>
            </c:strRef>
          </c:cat>
          <c:val>
            <c:numRef>
              <c:f>Sheet1!$B$2:$B$3</c:f>
              <c:numCache>
                <c:formatCode>General</c:formatCode>
                <c:ptCount val="2"/>
                <c:pt idx="0">
                  <c:v>4032.09</c:v>
                </c:pt>
                <c:pt idx="1">
                  <c:v>3526.64</c:v>
                </c:pt>
              </c:numCache>
            </c:numRef>
          </c:val>
        </c:ser>
        <c:ser>
          <c:idx val="1"/>
          <c:order val="1"/>
          <c:tx>
            <c:strRef>
              <c:f>Sheet1!#REF!</c:f>
              <c:strCache>
                <c:ptCount val="1"/>
                <c:pt idx="0">
                  <c:v/>
                </c:pt>
              </c:strCache>
            </c:strRef>
          </c:tx>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c:spPr>
          <c:invertIfNegative val="0"/>
          <c:dLbls>
            <c:delete val="1"/>
          </c:dLbls>
          <c:cat>
            <c:strRef>
              <c:f>Sheet1!$A$2:$A$3</c:f>
              <c:strCache>
                <c:ptCount val="2"/>
                <c:pt idx="0">
                  <c:v>2020年收支总计</c:v>
                </c:pt>
                <c:pt idx="1">
                  <c:v>2021年收支总计</c:v>
                </c:pt>
              </c:strCache>
            </c:strRef>
          </c:cat>
          <c:val>
            <c:numRef>
              <c:f>Sheet1!#REF!</c:f>
              <c:numCache>
                <c:formatCode>General</c:formatCode>
                <c:ptCount val="1"/>
                <c:pt idx="0">
                  <c:v>1</c:v>
                </c:pt>
              </c:numCache>
            </c:numRef>
          </c:val>
        </c:ser>
        <c:ser>
          <c:idx val="2"/>
          <c:order val="2"/>
          <c:tx>
            <c:strRef>
              <c:f>Sheet1!#REF!</c:f>
              <c:strCache>
                <c:ptCount val="1"/>
                <c:pt idx="0">
                  <c:v/>
                </c:pt>
              </c:strCache>
            </c:strRef>
          </c:tx>
          <c:spPr>
            <a:gradFill rotWithShape="1">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0"/>
            </a:gradFill>
            <a:ln>
              <a:noFill/>
            </a:ln>
            <a:effectLst>
              <a:outerShdw blurRad="40000" dist="23000" dir="5400000" rotWithShape="0">
                <a:srgbClr val="000000">
                  <a:alpha val="35000"/>
                </a:srgbClr>
              </a:outerShdw>
            </a:effectLst>
          </c:spPr>
          <c:invertIfNegative val="0"/>
          <c:dLbls>
            <c:delete val="1"/>
          </c:dLbls>
          <c:cat>
            <c:strRef>
              <c:f>Sheet1!$A$2:$A$3</c:f>
              <c:strCache>
                <c:ptCount val="2"/>
                <c:pt idx="0">
                  <c:v>2020年收支总计</c:v>
                </c:pt>
                <c:pt idx="1">
                  <c:v>2021年收支总计</c:v>
                </c:pt>
              </c:strCache>
            </c:strRef>
          </c:cat>
          <c:val>
            <c:numRef>
              <c:f>Sheet1!#REF!</c:f>
              <c:numCache>
                <c:formatCode>General</c:formatCode>
                <c:ptCount val="1"/>
                <c:pt idx="0">
                  <c:v>1</c:v>
                </c:pt>
              </c:numCache>
            </c:numRef>
          </c:val>
        </c:ser>
        <c:dLbls>
          <c:showLegendKey val="0"/>
          <c:showVal val="1"/>
          <c:showCatName val="0"/>
          <c:showSerName val="0"/>
          <c:showPercent val="0"/>
          <c:showBubbleSize val="0"/>
        </c:dLbls>
        <c:gapWidth val="100"/>
        <c:overlap val="-24"/>
        <c:axId val="49223562"/>
        <c:axId val="247467502"/>
      </c:barChart>
      <c:catAx>
        <c:axId val="49223562"/>
        <c:scaling>
          <c:orientation val="minMax"/>
        </c:scaling>
        <c:delete val="0"/>
        <c:axPos val="b"/>
        <c:majorTickMark val="none"/>
        <c:minorTickMark val="none"/>
        <c:tickLblPos val="nextTo"/>
        <c:spPr>
          <a:noFill/>
          <a:ln w="9525" cap="flat" cmpd="sng" algn="ctr">
            <a:solidFill>
              <a:schemeClr val="tx2">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2"/>
                </a:solidFill>
                <a:latin typeface="+mn-lt"/>
                <a:ea typeface="+mn-ea"/>
                <a:cs typeface="+mn-cs"/>
              </a:defRPr>
            </a:pPr>
          </a:p>
        </c:txPr>
        <c:crossAx val="247467502"/>
        <c:crosses val="autoZero"/>
        <c:auto val="1"/>
        <c:lblAlgn val="ctr"/>
        <c:lblOffset val="100"/>
        <c:noMultiLvlLbl val="0"/>
      </c:catAx>
      <c:valAx>
        <c:axId val="247467502"/>
        <c:scaling>
          <c:orientation val="minMax"/>
        </c:scaling>
        <c:delete val="0"/>
        <c:axPos val="l"/>
        <c:majorGridlines>
          <c:spPr>
            <a:ln w="9525" cap="flat" cmpd="sng" algn="ctr">
              <a:solidFill>
                <a:schemeClr val="tx2">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2"/>
                </a:solidFill>
                <a:latin typeface="+mn-lt"/>
                <a:ea typeface="+mn-ea"/>
                <a:cs typeface="+mn-cs"/>
              </a:defRPr>
            </a:pPr>
          </a:p>
        </c:txPr>
        <c:crossAx val="4922356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7">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lumOff val="2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35</Pages>
  <Words>2322</Words>
  <Characters>13239</Characters>
  <Lines>110</Lines>
  <Paragraphs>31</Paragraphs>
  <TotalTime>4</TotalTime>
  <ScaleCrop>false</ScaleCrop>
  <LinksUpToDate>false</LinksUpToDate>
  <CharactersWithSpaces>15530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2023-08-03T02:45:00Z</dcterms:created>
  <dc:creator>曹颖</dc:creator>
  <cp:lastModifiedBy>卢松翠</cp:lastModifiedBy>
  <cp:lastPrinted>2022-08-08T09:11:00Z</cp:lastPrinted>
  <dcterms:modified xsi:type="dcterms:W3CDTF">2023-10-13T02:34:10Z</dcterms:modified>
  <dc:title>四川省***</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E24FEF370398420F8CD7C5AFE3F1AC9E</vt:lpwstr>
  </property>
</Properties>
</file>