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EA0" w:rsidRDefault="006E0EA0">
      <w:pPr>
        <w:spacing w:line="600" w:lineRule="exact"/>
        <w:jc w:val="center"/>
        <w:rPr>
          <w:rFonts w:ascii="方正小标宋简体" w:eastAsia="方正小标宋简体" w:hAnsi="宋体" w:hint="eastAsia"/>
          <w:sz w:val="36"/>
          <w:szCs w:val="36"/>
        </w:rPr>
      </w:pPr>
      <w:r>
        <w:rPr>
          <w:rFonts w:ascii="方正小标宋简体" w:eastAsia="方正小标宋简体" w:hAnsi="宋体" w:hint="eastAsia"/>
          <w:sz w:val="36"/>
          <w:szCs w:val="36"/>
        </w:rPr>
        <w:t>攀枝花市人民政府驻北京联络处</w:t>
      </w:r>
    </w:p>
    <w:p w:rsidR="006E0EA0" w:rsidRDefault="006E0EA0">
      <w:pPr>
        <w:spacing w:line="600" w:lineRule="exact"/>
        <w:jc w:val="center"/>
        <w:rPr>
          <w:rFonts w:ascii="方正小标宋简体" w:eastAsia="方正小标宋简体" w:hAnsi="宋体" w:hint="eastAsia"/>
          <w:sz w:val="36"/>
          <w:szCs w:val="36"/>
        </w:rPr>
      </w:pPr>
      <w:r>
        <w:rPr>
          <w:rFonts w:ascii="方正小标宋简体" w:eastAsia="方正小标宋简体" w:hAnsi="宋体" w:hint="eastAsia"/>
          <w:sz w:val="36"/>
          <w:szCs w:val="36"/>
        </w:rPr>
        <w:t>2017年部门决算编制说明</w:t>
      </w:r>
    </w:p>
    <w:p w:rsidR="006E0EA0" w:rsidRDefault="006E0EA0">
      <w:pPr>
        <w:spacing w:line="600" w:lineRule="exact"/>
        <w:jc w:val="center"/>
        <w:rPr>
          <w:rFonts w:ascii="宋体" w:hAnsi="宋体" w:hint="eastAsia"/>
          <w:b/>
          <w:sz w:val="44"/>
          <w:szCs w:val="44"/>
        </w:rPr>
      </w:pPr>
    </w:p>
    <w:p w:rsidR="006E0EA0" w:rsidRDefault="006E0EA0">
      <w:pPr>
        <w:spacing w:line="600" w:lineRule="exact"/>
        <w:ind w:firstLineChars="200" w:firstLine="640"/>
        <w:rPr>
          <w:rFonts w:ascii="黑体" w:eastAsia="黑体" w:hint="eastAsia"/>
          <w:sz w:val="32"/>
          <w:szCs w:val="32"/>
        </w:rPr>
      </w:pPr>
      <w:r>
        <w:rPr>
          <w:rFonts w:ascii="黑体" w:eastAsia="黑体" w:hint="eastAsia"/>
          <w:sz w:val="32"/>
          <w:szCs w:val="32"/>
        </w:rPr>
        <w:t>一、基本职能及主要工作</w:t>
      </w:r>
    </w:p>
    <w:p w:rsidR="006E0EA0" w:rsidRDefault="006E0EA0">
      <w:pPr>
        <w:pStyle w:val="a6"/>
        <w:adjustRightInd w:val="0"/>
        <w:snapToGrid w:val="0"/>
        <w:spacing w:line="600" w:lineRule="exact"/>
        <w:ind w:firstLineChars="210" w:firstLine="672"/>
        <w:rPr>
          <w:rFonts w:hint="eastAsia"/>
          <w:bCs/>
          <w:sz w:val="32"/>
          <w:szCs w:val="32"/>
        </w:rPr>
      </w:pPr>
      <w:r>
        <w:rPr>
          <w:rFonts w:hint="eastAsia"/>
          <w:bCs/>
          <w:sz w:val="32"/>
          <w:szCs w:val="32"/>
        </w:rPr>
        <w:t>（一）主要职能。</w:t>
      </w:r>
    </w:p>
    <w:p w:rsidR="006E0EA0" w:rsidRDefault="006E0EA0">
      <w:pPr>
        <w:pStyle w:val="a6"/>
        <w:adjustRightInd w:val="0"/>
        <w:snapToGrid w:val="0"/>
        <w:spacing w:line="600" w:lineRule="exact"/>
        <w:ind w:firstLineChars="210" w:firstLine="693"/>
        <w:rPr>
          <w:rFonts w:hAnsi="仿宋_GB2312" w:cs="仿宋_GB2312" w:hint="eastAsia"/>
          <w:kern w:val="2"/>
          <w:sz w:val="33"/>
          <w:szCs w:val="33"/>
        </w:rPr>
      </w:pPr>
      <w:r>
        <w:rPr>
          <w:rFonts w:hAnsi="仿宋_GB2312" w:cs="仿宋_GB2312" w:hint="eastAsia"/>
          <w:kern w:val="2"/>
          <w:sz w:val="33"/>
          <w:szCs w:val="33"/>
        </w:rPr>
        <w:t>根据《攀枝花市人民政府办公室　关于印发攀枝花市人民政府驻北京联络处主要职责内设机构和人员编制规定的通知》（</w:t>
      </w:r>
      <w:proofErr w:type="gramStart"/>
      <w:r>
        <w:rPr>
          <w:rFonts w:hAnsi="仿宋_GB2312" w:cs="仿宋_GB2312" w:hint="eastAsia"/>
          <w:kern w:val="2"/>
          <w:sz w:val="33"/>
          <w:szCs w:val="33"/>
        </w:rPr>
        <w:t>攀办发</w:t>
      </w:r>
      <w:proofErr w:type="gramEnd"/>
      <w:r>
        <w:rPr>
          <w:rFonts w:hAnsi="仿宋_GB2312" w:cs="仿宋_GB2312" w:hint="eastAsia"/>
          <w:kern w:val="2"/>
          <w:sz w:val="33"/>
          <w:szCs w:val="33"/>
        </w:rPr>
        <w:t>﹝2011﹞46号），攀枝花市人民政府驻北京联络处主要职责为：（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rsidR="006E0EA0" w:rsidRDefault="006E0EA0">
      <w:pPr>
        <w:pStyle w:val="a6"/>
        <w:adjustRightInd w:val="0"/>
        <w:snapToGrid w:val="0"/>
        <w:spacing w:line="600" w:lineRule="exact"/>
        <w:ind w:firstLineChars="210" w:firstLine="672"/>
        <w:rPr>
          <w:rFonts w:hint="eastAsia"/>
          <w:bCs/>
          <w:sz w:val="32"/>
          <w:szCs w:val="32"/>
        </w:rPr>
      </w:pPr>
      <w:r>
        <w:rPr>
          <w:rFonts w:hint="eastAsia"/>
          <w:bCs/>
          <w:sz w:val="32"/>
          <w:szCs w:val="32"/>
        </w:rPr>
        <w:t>（二）2017年重点工作完成情况。</w:t>
      </w:r>
    </w:p>
    <w:p w:rsidR="006E0EA0" w:rsidRDefault="006E0EA0">
      <w:pPr>
        <w:spacing w:line="560" w:lineRule="exact"/>
        <w:ind w:firstLineChars="200" w:firstLine="66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2017年是我市加快转型发展的关键一年，在市委、市政府的坚强领导下，我办以党的十九大和省十一次党代会精神为指导，以《2017年市政府工作报告》为纲领，紧紧围绕发展、稳定两大核心任务，着力找准新时期驻京机构</w:t>
      </w:r>
      <w:r>
        <w:rPr>
          <w:rFonts w:ascii="仿宋_GB2312" w:eastAsia="仿宋_GB2312" w:hAnsi="仿宋_GB2312" w:cs="仿宋_GB2312" w:hint="eastAsia"/>
          <w:sz w:val="33"/>
          <w:szCs w:val="33"/>
        </w:rPr>
        <w:lastRenderedPageBreak/>
        <w:t>在认识、工作、素质、目标上的四个定位，圆满完成政务服务、信息外联、招商引资、信访处置等各项工作：</w:t>
      </w:r>
    </w:p>
    <w:p w:rsidR="006E0EA0" w:rsidRDefault="006E0EA0">
      <w:pPr>
        <w:spacing w:line="560" w:lineRule="exact"/>
        <w:ind w:firstLineChars="200" w:firstLine="660"/>
        <w:rPr>
          <w:rFonts w:ascii="黑体" w:eastAsia="黑体" w:hAnsi="黑体"/>
          <w:bCs/>
          <w:sz w:val="33"/>
          <w:szCs w:val="33"/>
        </w:rPr>
      </w:pPr>
      <w:r>
        <w:rPr>
          <w:rFonts w:ascii="黑体" w:eastAsia="黑体" w:hAnsi="黑体"/>
          <w:bCs/>
          <w:sz w:val="33"/>
          <w:szCs w:val="33"/>
        </w:rPr>
        <w:t xml:space="preserve"> </w:t>
      </w:r>
      <w:r>
        <w:rPr>
          <w:rFonts w:ascii="黑体" w:eastAsia="黑体" w:hAnsi="黑体" w:hint="eastAsia"/>
          <w:bCs/>
          <w:sz w:val="33"/>
          <w:szCs w:val="33"/>
        </w:rPr>
        <w:t>一、年度目标任务完成情况</w:t>
      </w:r>
    </w:p>
    <w:p w:rsidR="006E0EA0" w:rsidRDefault="006E0EA0">
      <w:pPr>
        <w:spacing w:line="560" w:lineRule="exact"/>
        <w:ind w:firstLineChars="200" w:firstLine="660"/>
        <w:rPr>
          <w:rFonts w:ascii="楷体_GB2312" w:eastAsia="楷体_GB2312" w:hAnsi="楷体_GB2312" w:cs="楷体_GB2312" w:hint="eastAsia"/>
          <w:sz w:val="33"/>
          <w:szCs w:val="33"/>
        </w:rPr>
      </w:pPr>
      <w:r>
        <w:rPr>
          <w:rFonts w:ascii="楷体_GB2312" w:eastAsia="楷体_GB2312" w:hAnsi="楷体_GB2312" w:cs="楷体_GB2312" w:hint="eastAsia"/>
          <w:sz w:val="33"/>
          <w:szCs w:val="33"/>
        </w:rPr>
        <w:t>（一）信息外联</w:t>
      </w:r>
    </w:p>
    <w:p w:rsidR="006E0EA0" w:rsidRDefault="006E0EA0">
      <w:pPr>
        <w:spacing w:line="560" w:lineRule="exact"/>
        <w:ind w:firstLineChars="200" w:firstLine="663"/>
        <w:rPr>
          <w:rFonts w:ascii="仿宋_GB2312" w:eastAsia="仿宋_GB2312" w:hAnsi="仿宋_GB2312" w:cs="仿宋_GB2312" w:hint="eastAsia"/>
          <w:sz w:val="33"/>
          <w:szCs w:val="33"/>
        </w:rPr>
      </w:pPr>
      <w:r>
        <w:rPr>
          <w:rFonts w:ascii="仿宋_GB2312" w:eastAsia="仿宋_GB2312" w:hAnsi="仿宋_GB2312" w:cs="仿宋_GB2312" w:hint="eastAsia"/>
          <w:b/>
          <w:sz w:val="33"/>
          <w:szCs w:val="33"/>
        </w:rPr>
        <w:t>一是</w:t>
      </w:r>
      <w:r>
        <w:rPr>
          <w:rFonts w:ascii="仿宋_GB2312" w:eastAsia="仿宋_GB2312" w:hAnsi="仿宋_GB2312" w:cs="仿宋_GB2312" w:hint="eastAsia"/>
          <w:sz w:val="33"/>
          <w:szCs w:val="33"/>
          <w:shd w:val="clear" w:color="auto" w:fill="FFFFFF"/>
        </w:rPr>
        <w:t>加强信息宣传。</w:t>
      </w:r>
      <w:r>
        <w:rPr>
          <w:rFonts w:ascii="仿宋_GB2312" w:eastAsia="仿宋_GB2312" w:hAnsi="仿宋_GB2312" w:cs="仿宋_GB2312" w:hint="eastAsia"/>
          <w:sz w:val="33"/>
          <w:szCs w:val="33"/>
        </w:rPr>
        <w:t>编发《北京信息参考》9期，上报信息900余条；组织相关部门、企业参加西城区承办的北京市国际服务贸易交易会—电子商务生活服务业展，打响我市农副产品在京品牌；以北</w:t>
      </w:r>
      <w:proofErr w:type="gramStart"/>
      <w:r>
        <w:rPr>
          <w:rFonts w:ascii="仿宋_GB2312" w:eastAsia="仿宋_GB2312" w:hAnsi="仿宋_GB2312" w:cs="仿宋_GB2312" w:hint="eastAsia"/>
          <w:sz w:val="33"/>
          <w:szCs w:val="33"/>
        </w:rPr>
        <w:t>京西城</w:t>
      </w:r>
      <w:proofErr w:type="gramEnd"/>
      <w:r>
        <w:rPr>
          <w:rFonts w:ascii="仿宋_GB2312" w:eastAsia="仿宋_GB2312" w:hAnsi="仿宋_GB2312" w:cs="仿宋_GB2312" w:hint="eastAsia"/>
          <w:sz w:val="33"/>
          <w:szCs w:val="33"/>
        </w:rPr>
        <w:t>报、各类产业博览及城市推介会为载体，多渠道广泛宣传我市产业和资源优势</w:t>
      </w:r>
      <w:r>
        <w:rPr>
          <w:rFonts w:ascii="仿宋_GB2312" w:eastAsia="仿宋_GB2312" w:hAnsi="仿宋_GB2312" w:cs="仿宋_GB2312" w:hint="eastAsia"/>
          <w:sz w:val="33"/>
          <w:szCs w:val="33"/>
          <w:shd w:val="clear" w:color="auto" w:fill="FFFFFF"/>
        </w:rPr>
        <w:t>，</w:t>
      </w:r>
      <w:r>
        <w:rPr>
          <w:rFonts w:ascii="仿宋_GB2312" w:eastAsia="仿宋_GB2312" w:hAnsi="仿宋_GB2312" w:cs="仿宋_GB2312" w:hint="eastAsia"/>
          <w:sz w:val="33"/>
          <w:szCs w:val="33"/>
        </w:rPr>
        <w:t>提升我市在首都地区的知名度和影响力。</w:t>
      </w:r>
    </w:p>
    <w:p w:rsidR="006E0EA0" w:rsidRDefault="006E0EA0">
      <w:pPr>
        <w:spacing w:line="560" w:lineRule="exact"/>
        <w:ind w:firstLineChars="200" w:firstLine="663"/>
        <w:rPr>
          <w:rFonts w:ascii="仿宋_GB2312" w:eastAsia="仿宋_GB2312" w:hAnsi="仿宋_GB2312" w:cs="仿宋_GB2312" w:hint="eastAsia"/>
          <w:sz w:val="33"/>
          <w:szCs w:val="33"/>
        </w:rPr>
      </w:pPr>
      <w:r>
        <w:rPr>
          <w:rFonts w:ascii="仿宋_GB2312" w:eastAsia="仿宋_GB2312" w:hAnsi="仿宋_GB2312" w:cs="仿宋_GB2312" w:hint="eastAsia"/>
          <w:b/>
          <w:sz w:val="33"/>
          <w:szCs w:val="33"/>
        </w:rPr>
        <w:t>二是</w:t>
      </w:r>
      <w:r>
        <w:rPr>
          <w:rFonts w:ascii="仿宋_GB2312" w:eastAsia="仿宋_GB2312" w:hAnsi="仿宋_GB2312" w:cs="仿宋_GB2312" w:hint="eastAsia"/>
          <w:sz w:val="33"/>
          <w:szCs w:val="33"/>
        </w:rPr>
        <w:t>深化友城合作。结合建设现代服务业发展聚集区的定位，积极帮助东区对接西城区金融街街道、金融街商会，促成东区与金融街</w:t>
      </w:r>
      <w:proofErr w:type="gramStart"/>
      <w:r>
        <w:rPr>
          <w:rFonts w:ascii="仿宋_GB2312" w:eastAsia="仿宋_GB2312" w:hAnsi="仿宋_GB2312" w:cs="仿宋_GB2312" w:hint="eastAsia"/>
          <w:sz w:val="33"/>
          <w:szCs w:val="33"/>
        </w:rPr>
        <w:t>街</w:t>
      </w:r>
      <w:proofErr w:type="gramEnd"/>
      <w:r>
        <w:rPr>
          <w:rFonts w:ascii="仿宋_GB2312" w:eastAsia="仿宋_GB2312" w:hAnsi="仿宋_GB2312" w:cs="仿宋_GB2312" w:hint="eastAsia"/>
          <w:sz w:val="33"/>
          <w:szCs w:val="33"/>
        </w:rPr>
        <w:t>办缔结友好并成功举办专题招商推介会；组织西城区人大代表、政协委员和金融街联组代表</w:t>
      </w:r>
      <w:proofErr w:type="gramStart"/>
      <w:r>
        <w:rPr>
          <w:rFonts w:ascii="仿宋_GB2312" w:eastAsia="仿宋_GB2312" w:hAnsi="仿宋_GB2312" w:cs="仿宋_GB2312" w:hint="eastAsia"/>
          <w:sz w:val="33"/>
          <w:szCs w:val="33"/>
        </w:rPr>
        <w:t>赴攀考察</w:t>
      </w:r>
      <w:proofErr w:type="gramEnd"/>
      <w:r>
        <w:rPr>
          <w:rFonts w:ascii="仿宋_GB2312" w:eastAsia="仿宋_GB2312" w:hAnsi="仿宋_GB2312" w:cs="仿宋_GB2312" w:hint="eastAsia"/>
          <w:sz w:val="33"/>
          <w:szCs w:val="33"/>
        </w:rPr>
        <w:t>城市管理、康养小镇等项目；邀请西城区党政代表团出席第三届</w:t>
      </w:r>
      <w:proofErr w:type="gramStart"/>
      <w:r>
        <w:rPr>
          <w:rFonts w:ascii="仿宋_GB2312" w:eastAsia="仿宋_GB2312" w:hAnsi="仿宋_GB2312" w:cs="仿宋_GB2312" w:hint="eastAsia"/>
          <w:sz w:val="33"/>
          <w:szCs w:val="33"/>
        </w:rPr>
        <w:t>阳光康养产业</w:t>
      </w:r>
      <w:proofErr w:type="gramEnd"/>
      <w:r>
        <w:rPr>
          <w:rFonts w:ascii="仿宋_GB2312" w:eastAsia="仿宋_GB2312" w:hAnsi="仿宋_GB2312" w:cs="仿宋_GB2312" w:hint="eastAsia"/>
          <w:sz w:val="33"/>
          <w:szCs w:val="33"/>
        </w:rPr>
        <w:t>发展论坛，并实地考察华方二期和米易城南新区开发项目；</w:t>
      </w:r>
      <w:r>
        <w:rPr>
          <w:rFonts w:ascii="仿宋_GB2312" w:eastAsia="仿宋_GB2312" w:hAnsi="仿宋_GB2312" w:cs="仿宋_GB2312" w:hint="eastAsia"/>
          <w:sz w:val="33"/>
          <w:szCs w:val="33"/>
          <w:shd w:val="clear" w:color="auto" w:fill="FFFFFF"/>
        </w:rPr>
        <w:t>为市工商联、市文广新局、文物局与西城区工商联、文化馆、图书馆进行深层次交流合作</w:t>
      </w:r>
      <w:r>
        <w:rPr>
          <w:rFonts w:ascii="仿宋_GB2312" w:eastAsia="仿宋_GB2312" w:hAnsi="仿宋_GB2312" w:cs="仿宋_GB2312" w:hint="eastAsia"/>
          <w:sz w:val="33"/>
          <w:szCs w:val="33"/>
        </w:rPr>
        <w:t>搭建平台；进一步深化细化与西城区的战略合作协议。</w:t>
      </w:r>
    </w:p>
    <w:p w:rsidR="006E0EA0" w:rsidRDefault="006E0EA0">
      <w:pPr>
        <w:spacing w:line="560" w:lineRule="exact"/>
        <w:ind w:firstLineChars="200" w:firstLine="663"/>
        <w:rPr>
          <w:rFonts w:ascii="方正仿宋_GBK" w:eastAsia="方正仿宋_GBK" w:hAnsi="方正仿宋_GBK"/>
          <w:sz w:val="33"/>
          <w:szCs w:val="33"/>
          <w:shd w:val="clear" w:color="auto" w:fill="FFFFFF"/>
        </w:rPr>
      </w:pPr>
      <w:r>
        <w:rPr>
          <w:rFonts w:ascii="仿宋_GB2312" w:eastAsia="仿宋_GB2312" w:hAnsi="仿宋_GB2312" w:cs="仿宋_GB2312" w:hint="eastAsia"/>
          <w:b/>
          <w:sz w:val="33"/>
          <w:szCs w:val="33"/>
          <w:shd w:val="clear" w:color="auto" w:fill="FFFFFF"/>
        </w:rPr>
        <w:t>三是</w:t>
      </w:r>
      <w:r>
        <w:rPr>
          <w:rFonts w:ascii="仿宋_GB2312" w:eastAsia="仿宋_GB2312" w:hAnsi="仿宋_GB2312" w:cs="仿宋_GB2312" w:hint="eastAsia"/>
          <w:sz w:val="33"/>
          <w:szCs w:val="33"/>
          <w:shd w:val="clear" w:color="auto" w:fill="FFFFFF"/>
        </w:rPr>
        <w:t>促进交流发展。加强与同仁医院、</w:t>
      </w:r>
      <w:r>
        <w:rPr>
          <w:rFonts w:ascii="仿宋_GB2312" w:eastAsia="仿宋_GB2312" w:hAnsi="仿宋_GB2312" w:cs="仿宋_GB2312" w:hint="eastAsia"/>
          <w:sz w:val="33"/>
          <w:szCs w:val="33"/>
        </w:rPr>
        <w:t>301</w:t>
      </w:r>
      <w:r>
        <w:rPr>
          <w:rFonts w:ascii="仿宋_GB2312" w:eastAsia="仿宋_GB2312" w:hAnsi="仿宋_GB2312" w:cs="仿宋_GB2312" w:hint="eastAsia"/>
          <w:sz w:val="33"/>
          <w:szCs w:val="33"/>
          <w:shd w:val="clear" w:color="auto" w:fill="FFFFFF"/>
        </w:rPr>
        <w:t>医院等医疗机构及北科大、北京大学石墨烯研究院、清华大学热能实验室等科研机构的对接，积极推动同仁医院与市中心医院，清华大学热能实验室与市钢</w:t>
      </w:r>
      <w:proofErr w:type="gramStart"/>
      <w:r>
        <w:rPr>
          <w:rFonts w:ascii="仿宋_GB2312" w:eastAsia="仿宋_GB2312" w:hAnsi="仿宋_GB2312" w:cs="仿宋_GB2312" w:hint="eastAsia"/>
          <w:sz w:val="33"/>
          <w:szCs w:val="33"/>
          <w:shd w:val="clear" w:color="auto" w:fill="FFFFFF"/>
        </w:rPr>
        <w:t>研</w:t>
      </w:r>
      <w:proofErr w:type="gramEnd"/>
      <w:r>
        <w:rPr>
          <w:rFonts w:ascii="仿宋_GB2312" w:eastAsia="仿宋_GB2312" w:hAnsi="仿宋_GB2312" w:cs="仿宋_GB2312" w:hint="eastAsia"/>
          <w:sz w:val="33"/>
          <w:szCs w:val="33"/>
          <w:shd w:val="clear" w:color="auto" w:fill="FFFFFF"/>
        </w:rPr>
        <w:t>院就人才培养、远程医疗协</w:t>
      </w:r>
      <w:r>
        <w:rPr>
          <w:rFonts w:ascii="仿宋_GB2312" w:eastAsia="仿宋_GB2312" w:hAnsi="仿宋_GB2312" w:cs="仿宋_GB2312" w:hint="eastAsia"/>
          <w:sz w:val="33"/>
          <w:szCs w:val="33"/>
          <w:shd w:val="clear" w:color="auto" w:fill="FFFFFF"/>
        </w:rPr>
        <w:lastRenderedPageBreak/>
        <w:t>作、科技创新等领域开展合作；邀请北京市人大代表</w:t>
      </w:r>
      <w:proofErr w:type="gramStart"/>
      <w:r>
        <w:rPr>
          <w:rFonts w:ascii="仿宋_GB2312" w:eastAsia="仿宋_GB2312" w:hAnsi="仿宋_GB2312" w:cs="仿宋_GB2312" w:hint="eastAsia"/>
          <w:sz w:val="33"/>
          <w:szCs w:val="33"/>
          <w:shd w:val="clear" w:color="auto" w:fill="FFFFFF"/>
        </w:rPr>
        <w:t>海淀团赴攀</w:t>
      </w:r>
      <w:proofErr w:type="gramEnd"/>
      <w:r>
        <w:rPr>
          <w:rFonts w:ascii="仿宋_GB2312" w:eastAsia="仿宋_GB2312" w:hAnsi="仿宋_GB2312" w:cs="仿宋_GB2312" w:hint="eastAsia"/>
          <w:sz w:val="33"/>
          <w:szCs w:val="33"/>
          <w:shd w:val="clear" w:color="auto" w:fill="FFFFFF"/>
        </w:rPr>
        <w:t>调研考察，促成新东方教育集团与盐边中学合作，清华启迪科技孵化园项目落户东区。</w:t>
      </w:r>
    </w:p>
    <w:p w:rsidR="006E0EA0" w:rsidRDefault="006E0EA0">
      <w:pPr>
        <w:spacing w:line="560" w:lineRule="exact"/>
        <w:ind w:firstLineChars="200" w:firstLine="660"/>
        <w:rPr>
          <w:rFonts w:ascii="楷体_GB2312" w:eastAsia="楷体_GB2312" w:hAnsi="楷体_GB2312" w:cs="楷体_GB2312" w:hint="eastAsia"/>
          <w:sz w:val="33"/>
          <w:szCs w:val="33"/>
        </w:rPr>
      </w:pPr>
      <w:r>
        <w:rPr>
          <w:rFonts w:ascii="楷体_GB2312" w:eastAsia="楷体_GB2312" w:hAnsi="楷体_GB2312" w:cs="楷体_GB2312" w:hint="eastAsia"/>
          <w:sz w:val="33"/>
          <w:szCs w:val="33"/>
          <w:shd w:val="clear" w:color="auto" w:fill="FFFFFF"/>
        </w:rPr>
        <w:t>（二）政务服务</w:t>
      </w:r>
    </w:p>
    <w:p w:rsidR="006E0EA0" w:rsidRDefault="006E0EA0">
      <w:pPr>
        <w:spacing w:line="560" w:lineRule="exact"/>
        <w:ind w:firstLineChars="200" w:firstLine="660"/>
        <w:rPr>
          <w:rFonts w:ascii="方正仿宋_GBK" w:eastAsia="方正仿宋_GBK" w:hAnsi="方正仿宋_GBK" w:cs="宋体"/>
          <w:sz w:val="33"/>
          <w:szCs w:val="33"/>
        </w:rPr>
      </w:pPr>
      <w:r>
        <w:rPr>
          <w:rFonts w:ascii="方正仿宋_GBK" w:eastAsia="方正仿宋_GBK" w:hAnsi="方正仿宋_GBK" w:cs="宋体" w:hint="eastAsia"/>
          <w:sz w:val="33"/>
          <w:szCs w:val="33"/>
        </w:rPr>
        <w:t>完成外联接待工作</w:t>
      </w:r>
      <w:r>
        <w:rPr>
          <w:rFonts w:eastAsia="方正仿宋_GBK" w:hint="eastAsia"/>
          <w:sz w:val="33"/>
          <w:szCs w:val="33"/>
        </w:rPr>
        <w:t>129</w:t>
      </w:r>
      <w:r>
        <w:rPr>
          <w:rFonts w:ascii="方正仿宋_GBK" w:eastAsia="方正仿宋_GBK" w:hAnsi="方正仿宋_GBK" w:cs="宋体" w:hint="eastAsia"/>
          <w:sz w:val="33"/>
          <w:szCs w:val="33"/>
        </w:rPr>
        <w:t>批次，提供运输保障</w:t>
      </w:r>
      <w:r>
        <w:rPr>
          <w:rFonts w:eastAsia="方正仿宋_GBK" w:hint="eastAsia"/>
          <w:sz w:val="33"/>
          <w:szCs w:val="33"/>
        </w:rPr>
        <w:t>705</w:t>
      </w:r>
      <w:r>
        <w:rPr>
          <w:rFonts w:ascii="方正仿宋_GBK" w:eastAsia="方正仿宋_GBK" w:hAnsi="方正仿宋_GBK" w:cs="宋体" w:hint="eastAsia"/>
          <w:sz w:val="33"/>
          <w:szCs w:val="33"/>
        </w:rPr>
        <w:t>次，服务</w:t>
      </w:r>
      <w:r>
        <w:rPr>
          <w:rFonts w:eastAsia="方正仿宋_GBK" w:hint="eastAsia"/>
          <w:sz w:val="33"/>
          <w:szCs w:val="33"/>
        </w:rPr>
        <w:t>1400</w:t>
      </w:r>
      <w:r>
        <w:rPr>
          <w:rFonts w:ascii="方正仿宋_GBK" w:eastAsia="方正仿宋_GBK" w:hAnsi="方正仿宋_GBK" w:cs="宋体" w:hint="eastAsia"/>
          <w:sz w:val="33"/>
          <w:szCs w:val="33"/>
        </w:rPr>
        <w:t>余人次。其中做好市领导在京津冀地区汇报工作、会议培训、学习考察、招商引资等服务</w:t>
      </w:r>
      <w:r>
        <w:rPr>
          <w:rFonts w:eastAsia="方正仿宋_GBK" w:hint="eastAsia"/>
          <w:sz w:val="33"/>
          <w:szCs w:val="33"/>
        </w:rPr>
        <w:t>43</w:t>
      </w:r>
      <w:r>
        <w:rPr>
          <w:rFonts w:ascii="方正仿宋_GBK" w:eastAsia="方正仿宋_GBK" w:hAnsi="方正仿宋_GBK" w:cs="宋体" w:hint="eastAsia"/>
          <w:sz w:val="33"/>
          <w:szCs w:val="33"/>
        </w:rPr>
        <w:t>次，帮助县（区）、部门在京开展政务及商务活动</w:t>
      </w:r>
      <w:r>
        <w:rPr>
          <w:rFonts w:eastAsia="方正仿宋_GBK" w:hint="eastAsia"/>
          <w:sz w:val="33"/>
          <w:szCs w:val="33"/>
        </w:rPr>
        <w:t>27</w:t>
      </w:r>
      <w:r>
        <w:rPr>
          <w:rFonts w:eastAsia="方正仿宋_GBK" w:hint="eastAsia"/>
          <w:sz w:val="33"/>
          <w:szCs w:val="33"/>
        </w:rPr>
        <w:t>次</w:t>
      </w:r>
      <w:r>
        <w:rPr>
          <w:rFonts w:ascii="方正仿宋_GBK" w:eastAsia="方正仿宋_GBK" w:hAnsi="方正仿宋_GBK" w:cs="宋体" w:hint="eastAsia"/>
          <w:sz w:val="33"/>
          <w:szCs w:val="33"/>
        </w:rPr>
        <w:t>，陪同重点企业和友城党政代表团</w:t>
      </w:r>
      <w:proofErr w:type="gramStart"/>
      <w:r>
        <w:rPr>
          <w:rFonts w:ascii="方正仿宋_GBK" w:eastAsia="方正仿宋_GBK" w:hAnsi="方正仿宋_GBK" w:cs="宋体" w:hint="eastAsia"/>
          <w:sz w:val="33"/>
          <w:szCs w:val="33"/>
        </w:rPr>
        <w:t>赴攀考察</w:t>
      </w:r>
      <w:proofErr w:type="gramEnd"/>
      <w:r>
        <w:rPr>
          <w:rFonts w:eastAsia="方正仿宋_GBK" w:hint="eastAsia"/>
          <w:sz w:val="33"/>
          <w:szCs w:val="33"/>
        </w:rPr>
        <w:t>13</w:t>
      </w:r>
      <w:r>
        <w:rPr>
          <w:rFonts w:ascii="方正仿宋_GBK" w:eastAsia="方正仿宋_GBK" w:hAnsi="方正仿宋_GBK" w:cs="宋体" w:hint="eastAsia"/>
          <w:sz w:val="33"/>
          <w:szCs w:val="33"/>
        </w:rPr>
        <w:t>次，完成投资促进协调服务</w:t>
      </w:r>
      <w:r>
        <w:rPr>
          <w:rFonts w:eastAsia="方正仿宋_GBK" w:hint="eastAsia"/>
          <w:sz w:val="33"/>
          <w:szCs w:val="33"/>
        </w:rPr>
        <w:t>46</w:t>
      </w:r>
      <w:r>
        <w:rPr>
          <w:rFonts w:ascii="方正仿宋_GBK" w:eastAsia="方正仿宋_GBK" w:hAnsi="方正仿宋_GBK" w:cs="宋体" w:hint="eastAsia"/>
          <w:sz w:val="33"/>
          <w:szCs w:val="33"/>
        </w:rPr>
        <w:t>次。</w:t>
      </w:r>
    </w:p>
    <w:p w:rsidR="006E0EA0" w:rsidRDefault="006E0EA0">
      <w:pPr>
        <w:spacing w:line="560" w:lineRule="exact"/>
        <w:ind w:firstLineChars="200" w:firstLine="660"/>
        <w:rPr>
          <w:rFonts w:ascii="楷体_GB2312" w:eastAsia="楷体_GB2312" w:hAnsi="楷体_GB2312" w:cs="楷体_GB2312" w:hint="eastAsia"/>
          <w:sz w:val="33"/>
          <w:szCs w:val="33"/>
        </w:rPr>
      </w:pPr>
      <w:r>
        <w:rPr>
          <w:rFonts w:ascii="楷体_GB2312" w:eastAsia="楷体_GB2312" w:hAnsi="楷体_GB2312" w:cs="楷体_GB2312" w:hint="eastAsia"/>
          <w:sz w:val="33"/>
          <w:szCs w:val="33"/>
        </w:rPr>
        <w:t>（三）招商引资</w:t>
      </w:r>
    </w:p>
    <w:p w:rsidR="006E0EA0" w:rsidRDefault="006E0EA0">
      <w:pPr>
        <w:spacing w:line="560" w:lineRule="exact"/>
        <w:ind w:firstLineChars="200" w:firstLine="66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对接了中船重工、中粮集团等38家“三个500强”和行业龙头企业；拜访了中国金属学会等9家知名商协会，建立了长期稳固的联系机制；参与市领导带队开展的“阳光的味道”攀枝花芒果品牌发布推介会、特色农产品展销会及小分队招商活动11次；参与组织军民融合产业博览会、皮划艇马拉松赛事发布会、第24届全球华人羽毛球锦标赛等重要商务活动8次。</w:t>
      </w:r>
      <w:proofErr w:type="gramStart"/>
      <w:r>
        <w:rPr>
          <w:rFonts w:ascii="仿宋_GB2312" w:eastAsia="仿宋_GB2312" w:hAnsi="仿宋_GB2312" w:cs="仿宋_GB2312" w:hint="eastAsia"/>
          <w:sz w:val="33"/>
          <w:szCs w:val="33"/>
        </w:rPr>
        <w:t>促成国电龙</w:t>
      </w:r>
      <w:proofErr w:type="gramEnd"/>
      <w:r>
        <w:rPr>
          <w:rFonts w:ascii="仿宋_GB2312" w:eastAsia="仿宋_GB2312" w:hAnsi="仿宋_GB2312" w:cs="仿宋_GB2312" w:hint="eastAsia"/>
          <w:sz w:val="33"/>
          <w:szCs w:val="33"/>
        </w:rPr>
        <w:t>源、北控水</w:t>
      </w:r>
      <w:proofErr w:type="gramStart"/>
      <w:r>
        <w:rPr>
          <w:rFonts w:ascii="仿宋_GB2312" w:eastAsia="仿宋_GB2312" w:hAnsi="仿宋_GB2312" w:cs="仿宋_GB2312" w:hint="eastAsia"/>
          <w:sz w:val="33"/>
          <w:szCs w:val="33"/>
        </w:rPr>
        <w:t>务</w:t>
      </w:r>
      <w:proofErr w:type="gramEnd"/>
      <w:r>
        <w:rPr>
          <w:rFonts w:ascii="仿宋_GB2312" w:eastAsia="仿宋_GB2312" w:hAnsi="仿宋_GB2312" w:cs="仿宋_GB2312" w:hint="eastAsia"/>
          <w:sz w:val="33"/>
          <w:szCs w:val="33"/>
        </w:rPr>
        <w:t>等7个产业化项目落地。</w:t>
      </w:r>
    </w:p>
    <w:p w:rsidR="006E0EA0" w:rsidRDefault="006E0EA0">
      <w:pPr>
        <w:spacing w:line="560" w:lineRule="exact"/>
        <w:ind w:firstLineChars="200" w:firstLine="660"/>
        <w:rPr>
          <w:rFonts w:ascii="方正楷体_GBK" w:eastAsia="方正楷体_GBK" w:hAnsi="方正仿宋_GBK" w:cs="宋体"/>
          <w:sz w:val="33"/>
          <w:szCs w:val="33"/>
        </w:rPr>
      </w:pPr>
      <w:r>
        <w:rPr>
          <w:rFonts w:ascii="方正楷体_GBK" w:eastAsia="方正楷体_GBK" w:hAnsi="方正仿宋_GBK" w:cs="宋体" w:hint="eastAsia"/>
          <w:sz w:val="33"/>
          <w:szCs w:val="33"/>
        </w:rPr>
        <w:t>（四）信访处置</w:t>
      </w:r>
    </w:p>
    <w:p w:rsidR="006E0EA0" w:rsidRDefault="006E0EA0">
      <w:pPr>
        <w:ind w:firstLineChars="200" w:firstLine="660"/>
        <w:rPr>
          <w:rFonts w:ascii="仿宋_GB2312" w:eastAsia="仿宋_GB2312" w:hAnsi="仿宋_GB2312" w:cs="仿宋_GB2312" w:hint="eastAsia"/>
          <w:sz w:val="33"/>
          <w:szCs w:val="33"/>
        </w:rPr>
      </w:pPr>
      <w:proofErr w:type="gramStart"/>
      <w:r>
        <w:rPr>
          <w:rFonts w:ascii="仿宋_GB2312" w:eastAsia="仿宋_GB2312" w:hAnsi="仿宋_GB2312" w:cs="仿宋_GB2312" w:hint="eastAsia"/>
          <w:sz w:val="33"/>
          <w:szCs w:val="33"/>
        </w:rPr>
        <w:t>接处攀籍</w:t>
      </w:r>
      <w:proofErr w:type="gramEnd"/>
      <w:r>
        <w:rPr>
          <w:rFonts w:ascii="仿宋_GB2312" w:eastAsia="仿宋_GB2312" w:hAnsi="仿宋_GB2312" w:cs="仿宋_GB2312" w:hint="eastAsia"/>
          <w:sz w:val="33"/>
          <w:szCs w:val="33"/>
        </w:rPr>
        <w:t>进京信访人员98批次132人次，其中外围查控劝返进京上访人员116人次，处置</w:t>
      </w:r>
      <w:proofErr w:type="gramStart"/>
      <w:r>
        <w:rPr>
          <w:rFonts w:ascii="仿宋_GB2312" w:eastAsia="仿宋_GB2312" w:hAnsi="仿宋_GB2312" w:cs="仿宋_GB2312" w:hint="eastAsia"/>
          <w:sz w:val="33"/>
          <w:szCs w:val="33"/>
        </w:rPr>
        <w:t>进京非访</w:t>
      </w:r>
      <w:proofErr w:type="gramEnd"/>
      <w:r>
        <w:rPr>
          <w:rFonts w:ascii="仿宋_GB2312" w:eastAsia="仿宋_GB2312" w:hAnsi="仿宋_GB2312" w:cs="仿宋_GB2312" w:hint="eastAsia"/>
          <w:sz w:val="33"/>
          <w:szCs w:val="33"/>
        </w:rPr>
        <w:t>人员16人次，驻京信访工作排名全省第17位（倒排）。</w:t>
      </w:r>
    </w:p>
    <w:p w:rsidR="006E0EA0" w:rsidRDefault="006E0EA0">
      <w:pPr>
        <w:spacing w:line="560" w:lineRule="exact"/>
        <w:ind w:firstLineChars="200" w:firstLine="660"/>
        <w:rPr>
          <w:rFonts w:ascii="方正楷体_GBK" w:eastAsia="方正楷体_GBK" w:hAnsi="方正仿宋_GBK" w:cs="宋体"/>
          <w:sz w:val="33"/>
          <w:szCs w:val="33"/>
        </w:rPr>
      </w:pPr>
      <w:r>
        <w:rPr>
          <w:rFonts w:ascii="方正楷体_GBK" w:eastAsia="方正楷体_GBK" w:hAnsi="方正仿宋_GBK" w:cs="宋体" w:hint="eastAsia"/>
          <w:sz w:val="33"/>
          <w:szCs w:val="33"/>
        </w:rPr>
        <w:t>（五）党建工作</w:t>
      </w:r>
    </w:p>
    <w:p w:rsidR="006E0EA0" w:rsidRDefault="006E0EA0">
      <w:pPr>
        <w:spacing w:line="560" w:lineRule="exact"/>
        <w:ind w:firstLineChars="200" w:firstLine="66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紧密围绕深入学习宣传贯彻党的十九大和省十一次党</w:t>
      </w:r>
      <w:r>
        <w:rPr>
          <w:rFonts w:ascii="仿宋_GB2312" w:eastAsia="仿宋_GB2312" w:hAnsi="仿宋_GB2312" w:cs="仿宋_GB2312" w:hint="eastAsia"/>
          <w:sz w:val="33"/>
          <w:szCs w:val="33"/>
        </w:rPr>
        <w:lastRenderedPageBreak/>
        <w:t>代会精神，全面推进</w:t>
      </w:r>
      <w:r w:rsidR="00C04EAE" w:rsidRPr="00C04EAE">
        <w:rPr>
          <w:rFonts w:ascii="仿宋_GB2312" w:eastAsia="仿宋_GB2312" w:hAnsi="仿宋_GB2312" w:cs="仿宋_GB2312" w:hint="eastAsia"/>
          <w:sz w:val="33"/>
          <w:szCs w:val="33"/>
        </w:rPr>
        <w:t>“两学一做”学习教育常态化制度化</w:t>
      </w:r>
      <w:r>
        <w:rPr>
          <w:rFonts w:ascii="仿宋_GB2312" w:eastAsia="仿宋_GB2312" w:hAnsi="仿宋_GB2312" w:cs="仿宋_GB2312" w:hint="eastAsia"/>
          <w:sz w:val="33"/>
          <w:szCs w:val="33"/>
        </w:rPr>
        <w:t>，建立了“微党课”学习群、支部小讲堂；开展书记党员讲党课活动6次，邀请省驻京机构党委委员和我市十九大代表何丽讲党课，组织集中学习12次、讨论4次，开展主题党日活动7次；观看警示教育片《家谱》、《国土之蠹》；制定了7项廉政风险防控措施。</w:t>
      </w:r>
    </w:p>
    <w:p w:rsidR="006E0EA0" w:rsidRDefault="006E0EA0">
      <w:pPr>
        <w:adjustRightInd w:val="0"/>
        <w:snapToGrid w:val="0"/>
        <w:spacing w:line="560" w:lineRule="exact"/>
        <w:ind w:firstLine="640"/>
        <w:rPr>
          <w:rFonts w:ascii="黑体" w:eastAsia="黑体" w:hAnsi="黑体"/>
          <w:sz w:val="33"/>
          <w:szCs w:val="33"/>
        </w:rPr>
      </w:pPr>
      <w:r>
        <w:rPr>
          <w:rFonts w:ascii="黑体" w:eastAsia="黑体" w:hAnsi="黑体" w:hint="eastAsia"/>
          <w:sz w:val="33"/>
          <w:szCs w:val="33"/>
        </w:rPr>
        <w:t>二、亮点工作</w:t>
      </w:r>
    </w:p>
    <w:p w:rsidR="006E0EA0" w:rsidRDefault="006E0EA0">
      <w:pPr>
        <w:adjustRightInd w:val="0"/>
        <w:snapToGrid w:val="0"/>
        <w:spacing w:line="560" w:lineRule="exact"/>
        <w:ind w:firstLine="630"/>
        <w:rPr>
          <w:rFonts w:ascii="方正楷体_GBK" w:eastAsia="方正楷体_GBK" w:hAnsi="方正仿宋_GBK"/>
          <w:sz w:val="33"/>
          <w:szCs w:val="33"/>
        </w:rPr>
      </w:pPr>
      <w:r>
        <w:rPr>
          <w:rFonts w:ascii="楷体_GB2312" w:eastAsia="楷体_GB2312" w:hAnsi="楷体_GB2312" w:cs="楷体_GB2312" w:hint="eastAsia"/>
          <w:sz w:val="33"/>
          <w:szCs w:val="33"/>
        </w:rPr>
        <w:t>（一）强党建重学习，加强队伍素质建设</w:t>
      </w:r>
    </w:p>
    <w:p w:rsidR="006E0EA0" w:rsidRDefault="006E0EA0">
      <w:pPr>
        <w:adjustRightInd w:val="0"/>
        <w:snapToGrid w:val="0"/>
        <w:spacing w:line="560" w:lineRule="exact"/>
        <w:ind w:firstLine="63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以党建工作为抓手，积极创建学习型党组织，分层分类开展学习培训。坚持围绕全市工作大局开展学习，利用每周工作例会学习市委、市政府重大决策部署，建</w:t>
      </w:r>
      <w:proofErr w:type="gramStart"/>
      <w:r>
        <w:rPr>
          <w:rFonts w:ascii="仿宋_GB2312" w:eastAsia="仿宋_GB2312" w:hAnsi="仿宋_GB2312" w:cs="仿宋_GB2312" w:hint="eastAsia"/>
          <w:sz w:val="33"/>
          <w:szCs w:val="33"/>
        </w:rPr>
        <w:t>勤书记</w:t>
      </w:r>
      <w:proofErr w:type="gramEnd"/>
      <w:r>
        <w:rPr>
          <w:rFonts w:ascii="仿宋_GB2312" w:eastAsia="仿宋_GB2312" w:hAnsi="仿宋_GB2312" w:cs="仿宋_GB2312" w:hint="eastAsia"/>
          <w:sz w:val="33"/>
          <w:szCs w:val="33"/>
        </w:rPr>
        <w:t>重要讲话以及经济金融、招商引资等知识，不断提高队伍知识化、专业化水平；每月组织以党的建设和</w:t>
      </w:r>
      <w:r w:rsidR="00FD61EA">
        <w:rPr>
          <w:rFonts w:ascii="仿宋_GB2312" w:eastAsia="仿宋_GB2312" w:hAnsi="仿宋_GB2312" w:cs="仿宋_GB2312" w:hint="eastAsia"/>
          <w:sz w:val="33"/>
          <w:szCs w:val="33"/>
        </w:rPr>
        <w:t>习近平总书记系列重要讲话精神</w:t>
      </w:r>
      <w:r>
        <w:rPr>
          <w:rFonts w:ascii="仿宋_GB2312" w:eastAsia="仿宋_GB2312" w:hAnsi="仿宋_GB2312" w:cs="仿宋_GB2312" w:hint="eastAsia"/>
          <w:sz w:val="33"/>
          <w:szCs w:val="33"/>
        </w:rPr>
        <w:t>为重点的集中学习，全面提升党员干部政治素养，增强四个意识；每季开展书记讲党课、集体讨论等主题活动，着力解决党员干部在思想、组织、作风、纪律方面存在的突出问题。通过主题鲜明，重点突出，形式多样的学习活动，牢牢掌握支部意识形态工作的领导权，切实做到管好导向，管好阵地，管好队伍，进一步提升了队伍综合战斗力。连续两年被省驻京机构党委评为“优秀党支部”，2017年荣获省直机关“五好党支部”表彰。</w:t>
      </w:r>
    </w:p>
    <w:p w:rsidR="006E0EA0" w:rsidRDefault="006E0EA0">
      <w:pPr>
        <w:adjustRightInd w:val="0"/>
        <w:snapToGrid w:val="0"/>
        <w:spacing w:line="560" w:lineRule="exact"/>
        <w:ind w:firstLine="630"/>
        <w:rPr>
          <w:rFonts w:ascii="楷体_GB2312" w:eastAsia="楷体_GB2312" w:hAnsi="楷体_GB2312" w:cs="楷体_GB2312" w:hint="eastAsia"/>
          <w:sz w:val="33"/>
          <w:szCs w:val="33"/>
        </w:rPr>
      </w:pPr>
      <w:r>
        <w:rPr>
          <w:rFonts w:ascii="楷体_GB2312" w:eastAsia="楷体_GB2312" w:hAnsi="楷体_GB2312" w:cs="楷体_GB2312" w:hint="eastAsia"/>
          <w:sz w:val="33"/>
          <w:szCs w:val="33"/>
        </w:rPr>
        <w:t>（二）抓重点谋转变，精准助力招商引资</w:t>
      </w:r>
    </w:p>
    <w:p w:rsidR="006E0EA0" w:rsidRDefault="006E0EA0">
      <w:pPr>
        <w:spacing w:line="560" w:lineRule="exact"/>
        <w:ind w:firstLineChars="200" w:firstLine="66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以信息传递和协调跟进为重点，发扬钉钉子精神，紧盯重点项目，主动接触，提前介入，多跑多问，帮助部门少</w:t>
      </w:r>
      <w:r>
        <w:rPr>
          <w:rFonts w:ascii="仿宋_GB2312" w:eastAsia="仿宋_GB2312" w:hAnsi="仿宋_GB2312" w:cs="仿宋_GB2312" w:hint="eastAsia"/>
          <w:sz w:val="33"/>
          <w:szCs w:val="33"/>
        </w:rPr>
        <w:lastRenderedPageBreak/>
        <w:t>走弯路，节约成本，提高效率。</w:t>
      </w:r>
    </w:p>
    <w:p w:rsidR="006E0EA0" w:rsidRDefault="006E0EA0">
      <w:pPr>
        <w:spacing w:line="560" w:lineRule="exact"/>
        <w:ind w:firstLineChars="200" w:firstLine="663"/>
        <w:rPr>
          <w:rFonts w:ascii="仿宋_GB2312" w:eastAsia="仿宋_GB2312" w:hAnsi="仿宋_GB2312" w:cs="仿宋_GB2312" w:hint="eastAsia"/>
          <w:sz w:val="33"/>
          <w:szCs w:val="33"/>
        </w:rPr>
      </w:pPr>
      <w:r>
        <w:rPr>
          <w:rFonts w:ascii="仿宋_GB2312" w:eastAsia="仿宋_GB2312" w:hAnsi="仿宋_GB2312" w:cs="仿宋_GB2312" w:hint="eastAsia"/>
          <w:b/>
          <w:sz w:val="33"/>
          <w:szCs w:val="33"/>
        </w:rPr>
        <w:t>一是</w:t>
      </w:r>
      <w:r>
        <w:rPr>
          <w:rFonts w:ascii="仿宋_GB2312" w:eastAsia="仿宋_GB2312" w:hAnsi="仿宋_GB2312" w:cs="仿宋_GB2312" w:hint="eastAsia"/>
          <w:sz w:val="33"/>
          <w:szCs w:val="33"/>
        </w:rPr>
        <w:t>实抓项目落地。</w:t>
      </w:r>
      <w:r>
        <w:rPr>
          <w:rFonts w:ascii="仿宋_GB2312" w:eastAsia="仿宋_GB2312" w:hAnsi="仿宋_GB2312" w:cs="仿宋_GB2312" w:hint="eastAsia"/>
          <w:sz w:val="33"/>
          <w:szCs w:val="33"/>
          <w:shd w:val="clear" w:color="auto" w:fill="FFFFFF"/>
        </w:rPr>
        <w:t>强化项目协调跟进，积极搭建和企业间沟通交流的桥梁，</w:t>
      </w:r>
      <w:r>
        <w:rPr>
          <w:rFonts w:ascii="仿宋_GB2312" w:eastAsia="仿宋_GB2312" w:hAnsi="仿宋_GB2312" w:cs="仿宋_GB2312" w:hint="eastAsia"/>
          <w:sz w:val="33"/>
          <w:szCs w:val="33"/>
        </w:rPr>
        <w:t>准确把握传递企业需求，协助地方推进项目落实落地。促成签约落地项目7个：神州数码智慧城市建设；清华大学启迪之星（攀枝花）孵化器；</w:t>
      </w:r>
      <w:proofErr w:type="gramStart"/>
      <w:r>
        <w:rPr>
          <w:rFonts w:ascii="仿宋_GB2312" w:eastAsia="仿宋_GB2312" w:hAnsi="仿宋_GB2312" w:cs="仿宋_GB2312" w:hint="eastAsia"/>
          <w:sz w:val="33"/>
          <w:szCs w:val="33"/>
        </w:rPr>
        <w:t>软通动力</w:t>
      </w:r>
      <w:proofErr w:type="gramEnd"/>
      <w:r>
        <w:rPr>
          <w:rFonts w:ascii="仿宋_GB2312" w:eastAsia="仿宋_GB2312" w:hAnsi="仿宋_GB2312" w:cs="仿宋_GB2312" w:hint="eastAsia"/>
          <w:sz w:val="33"/>
          <w:szCs w:val="33"/>
        </w:rPr>
        <w:t>城市创新综合体；北控水</w:t>
      </w:r>
      <w:proofErr w:type="gramStart"/>
      <w:r>
        <w:rPr>
          <w:rFonts w:ascii="仿宋_GB2312" w:eastAsia="仿宋_GB2312" w:hAnsi="仿宋_GB2312" w:cs="仿宋_GB2312" w:hint="eastAsia"/>
          <w:sz w:val="33"/>
          <w:szCs w:val="33"/>
        </w:rPr>
        <w:t>务</w:t>
      </w:r>
      <w:proofErr w:type="gramEnd"/>
      <w:r>
        <w:rPr>
          <w:rFonts w:ascii="仿宋_GB2312" w:eastAsia="仿宋_GB2312" w:hAnsi="仿宋_GB2312" w:cs="仿宋_GB2312" w:hint="eastAsia"/>
          <w:sz w:val="33"/>
          <w:szCs w:val="33"/>
        </w:rPr>
        <w:t>水环境治理；</w:t>
      </w:r>
      <w:proofErr w:type="gramStart"/>
      <w:r>
        <w:rPr>
          <w:rFonts w:ascii="仿宋_GB2312" w:eastAsia="仿宋_GB2312" w:hAnsi="仿宋_GB2312" w:cs="仿宋_GB2312" w:hint="eastAsia"/>
          <w:sz w:val="33"/>
          <w:szCs w:val="33"/>
        </w:rPr>
        <w:t>国电龙源</w:t>
      </w:r>
      <w:proofErr w:type="gramEnd"/>
      <w:r>
        <w:rPr>
          <w:rFonts w:ascii="仿宋_GB2312" w:eastAsia="仿宋_GB2312" w:hAnsi="仿宋_GB2312" w:cs="仿宋_GB2312" w:hint="eastAsia"/>
          <w:sz w:val="33"/>
          <w:szCs w:val="33"/>
        </w:rPr>
        <w:t>风力发电；万达集团城市商业中心；蓝时钒钛新能源汽车。继续做好与中船重工、中粮集团、国机集团、国</w:t>
      </w:r>
      <w:proofErr w:type="gramStart"/>
      <w:r>
        <w:rPr>
          <w:rFonts w:ascii="仿宋_GB2312" w:eastAsia="仿宋_GB2312" w:hAnsi="仿宋_GB2312" w:cs="仿宋_GB2312" w:hint="eastAsia"/>
          <w:sz w:val="33"/>
          <w:szCs w:val="33"/>
        </w:rPr>
        <w:t>投健康</w:t>
      </w:r>
      <w:proofErr w:type="gramEnd"/>
      <w:r>
        <w:rPr>
          <w:rFonts w:ascii="仿宋_GB2312" w:eastAsia="仿宋_GB2312" w:hAnsi="仿宋_GB2312" w:cs="仿宋_GB2312" w:hint="eastAsia"/>
          <w:sz w:val="33"/>
          <w:szCs w:val="33"/>
        </w:rPr>
        <w:t>等重点企业的跟进对接。</w:t>
      </w:r>
    </w:p>
    <w:p w:rsidR="006E0EA0" w:rsidRDefault="006E0EA0">
      <w:pPr>
        <w:spacing w:line="560" w:lineRule="exact"/>
        <w:ind w:firstLineChars="200" w:firstLine="663"/>
        <w:rPr>
          <w:rFonts w:ascii="仿宋_GB2312" w:eastAsia="仿宋_GB2312" w:hAnsi="仿宋_GB2312" w:cs="仿宋_GB2312" w:hint="eastAsia"/>
          <w:sz w:val="33"/>
          <w:szCs w:val="33"/>
        </w:rPr>
      </w:pPr>
      <w:r>
        <w:rPr>
          <w:rFonts w:ascii="仿宋_GB2312" w:eastAsia="仿宋_GB2312" w:hAnsi="仿宋_GB2312" w:cs="仿宋_GB2312" w:hint="eastAsia"/>
          <w:b/>
          <w:sz w:val="33"/>
          <w:szCs w:val="33"/>
        </w:rPr>
        <w:t>二是</w:t>
      </w:r>
      <w:r>
        <w:rPr>
          <w:rFonts w:ascii="仿宋_GB2312" w:eastAsia="仿宋_GB2312" w:hAnsi="仿宋_GB2312" w:cs="仿宋_GB2312" w:hint="eastAsia"/>
          <w:sz w:val="33"/>
          <w:szCs w:val="33"/>
        </w:rPr>
        <w:t>狠抓政策落实。在主要领导带队争取政策的基础上，积极联系农业部、民政部、中残联等部委落实后续跟进工作，做到“敲得开门、见得了人，办得成事”。参与了成功创建国家森林城市、国家园林城市、农业部热作标准化示范园，入选全国首批特色农产品优势区，纳入国家康复辅助器具产业综合创新试点、国家居家和社区养老服务改革试点、全国老旧小区改造试点城市等多项工作。</w:t>
      </w:r>
    </w:p>
    <w:p w:rsidR="006E0EA0" w:rsidRDefault="006E0EA0">
      <w:pPr>
        <w:spacing w:line="560" w:lineRule="exact"/>
        <w:ind w:firstLineChars="200" w:firstLine="663"/>
        <w:rPr>
          <w:rFonts w:ascii="仿宋_GB2312" w:eastAsia="仿宋_GB2312" w:hAnsi="仿宋_GB2312" w:cs="仿宋_GB2312" w:hint="eastAsia"/>
          <w:b/>
          <w:sz w:val="33"/>
          <w:szCs w:val="33"/>
        </w:rPr>
      </w:pPr>
      <w:r>
        <w:rPr>
          <w:rFonts w:ascii="仿宋_GB2312" w:eastAsia="仿宋_GB2312" w:hAnsi="仿宋_GB2312" w:cs="仿宋_GB2312" w:hint="eastAsia"/>
          <w:b/>
          <w:sz w:val="33"/>
          <w:szCs w:val="33"/>
        </w:rPr>
        <w:t>三是</w:t>
      </w:r>
      <w:r>
        <w:rPr>
          <w:rFonts w:ascii="仿宋_GB2312" w:eastAsia="仿宋_GB2312" w:hAnsi="仿宋_GB2312" w:cs="仿宋_GB2312" w:hint="eastAsia"/>
          <w:sz w:val="33"/>
          <w:szCs w:val="33"/>
        </w:rPr>
        <w:t>真抓资金到位。有的放矢，重点突出，积极参与资金争取工作，争取到民政部居家和社区养老服务改革试点资金3700余万元、财政部独立工矿区资金3000余万元、国家防火指挥部扑救火灾专用物资640件。</w:t>
      </w:r>
    </w:p>
    <w:p w:rsidR="006E0EA0" w:rsidRDefault="006E0EA0">
      <w:pPr>
        <w:spacing w:line="560" w:lineRule="exact"/>
        <w:ind w:firstLineChars="200" w:firstLine="660"/>
        <w:rPr>
          <w:rFonts w:ascii="楷体_GB2312" w:eastAsia="楷体_GB2312" w:hAnsi="楷体_GB2312" w:cs="楷体_GB2312" w:hint="eastAsia"/>
          <w:sz w:val="33"/>
          <w:szCs w:val="33"/>
        </w:rPr>
      </w:pPr>
      <w:r>
        <w:rPr>
          <w:rFonts w:ascii="楷体_GB2312" w:eastAsia="楷体_GB2312" w:hAnsi="楷体_GB2312" w:cs="楷体_GB2312" w:hint="eastAsia"/>
          <w:sz w:val="33"/>
          <w:szCs w:val="33"/>
        </w:rPr>
        <w:t>（三）变上访为下访，夯实信访工作基础</w:t>
      </w:r>
    </w:p>
    <w:p w:rsidR="006E0EA0" w:rsidRDefault="006E0EA0">
      <w:pPr>
        <w:spacing w:line="560" w:lineRule="exact"/>
        <w:ind w:firstLineChars="200" w:firstLine="660"/>
        <w:rPr>
          <w:rFonts w:ascii="仿宋_GB2312" w:eastAsia="仿宋_GB2312" w:hAnsi="仿宋_GB2312" w:cs="仿宋_GB2312" w:hint="eastAsia"/>
          <w:sz w:val="33"/>
          <w:szCs w:val="33"/>
        </w:rPr>
      </w:pPr>
      <w:r>
        <w:rPr>
          <w:rFonts w:ascii="仿宋_GB2312" w:eastAsia="仿宋_GB2312" w:hAnsi="仿宋_GB2312" w:cs="仿宋_GB2312" w:hint="eastAsia"/>
          <w:sz w:val="33"/>
          <w:szCs w:val="33"/>
        </w:rPr>
        <w:t>针对重</w:t>
      </w:r>
      <w:proofErr w:type="gramStart"/>
      <w:r>
        <w:rPr>
          <w:rFonts w:ascii="仿宋_GB2312" w:eastAsia="仿宋_GB2312" w:hAnsi="仿宋_GB2312" w:cs="仿宋_GB2312" w:hint="eastAsia"/>
          <w:sz w:val="33"/>
          <w:szCs w:val="33"/>
        </w:rPr>
        <w:t>访缠访突出</w:t>
      </w:r>
      <w:proofErr w:type="gramEnd"/>
      <w:r>
        <w:rPr>
          <w:rFonts w:ascii="仿宋_GB2312" w:eastAsia="仿宋_GB2312" w:hAnsi="仿宋_GB2312" w:cs="仿宋_GB2312" w:hint="eastAsia"/>
          <w:sz w:val="33"/>
          <w:szCs w:val="33"/>
        </w:rPr>
        <w:t>，</w:t>
      </w:r>
      <w:proofErr w:type="gramStart"/>
      <w:r>
        <w:rPr>
          <w:rFonts w:ascii="仿宋_GB2312" w:eastAsia="仿宋_GB2312" w:hAnsi="仿宋_GB2312" w:cs="仿宋_GB2312" w:hint="eastAsia"/>
          <w:sz w:val="33"/>
          <w:szCs w:val="33"/>
        </w:rPr>
        <w:t>抱团集访抬头</w:t>
      </w:r>
      <w:proofErr w:type="gramEnd"/>
      <w:r>
        <w:rPr>
          <w:rFonts w:ascii="仿宋_GB2312" w:eastAsia="仿宋_GB2312" w:hAnsi="仿宋_GB2312" w:cs="仿宋_GB2312" w:hint="eastAsia"/>
          <w:sz w:val="33"/>
          <w:szCs w:val="33"/>
        </w:rPr>
        <w:t>等问题，全面排查了近3年赴京信访人员名单，认真分析访情，划定34名重点稳控人员。变上访为下访，2次派出工作组赴攀，联合市</w:t>
      </w:r>
      <w:r>
        <w:rPr>
          <w:rFonts w:ascii="仿宋_GB2312" w:eastAsia="仿宋_GB2312" w:hAnsi="仿宋_GB2312" w:cs="仿宋_GB2312" w:hint="eastAsia"/>
          <w:sz w:val="33"/>
          <w:szCs w:val="33"/>
        </w:rPr>
        <w:lastRenderedPageBreak/>
        <w:t>信访局主动对接各县区，逐一提出包案化解方案，把责任落实到属地和人头。通过逆向助推源头化解，加强信息预警和京地联动等措施，圆满完成了一带一路</w:t>
      </w:r>
      <w:proofErr w:type="gramStart"/>
      <w:r>
        <w:rPr>
          <w:rFonts w:ascii="仿宋_GB2312" w:eastAsia="仿宋_GB2312" w:hAnsi="仿宋_GB2312" w:cs="仿宋_GB2312" w:hint="eastAsia"/>
          <w:sz w:val="33"/>
          <w:szCs w:val="33"/>
        </w:rPr>
        <w:t>”</w:t>
      </w:r>
      <w:proofErr w:type="gramEnd"/>
      <w:r>
        <w:rPr>
          <w:rFonts w:ascii="仿宋_GB2312" w:eastAsia="仿宋_GB2312" w:hAnsi="仿宋_GB2312" w:cs="仿宋_GB2312" w:hint="eastAsia"/>
          <w:sz w:val="33"/>
          <w:szCs w:val="33"/>
        </w:rPr>
        <w:t>峰会、</w:t>
      </w:r>
      <w:r w:rsidR="002E5DDF">
        <w:rPr>
          <w:rFonts w:ascii="仿宋_GB2312" w:eastAsia="仿宋_GB2312" w:hAnsi="仿宋_GB2312" w:cs="仿宋_GB2312" w:hint="eastAsia"/>
          <w:sz w:val="33"/>
          <w:szCs w:val="33"/>
        </w:rPr>
        <w:t>党的十九大</w:t>
      </w:r>
      <w:r>
        <w:rPr>
          <w:rFonts w:ascii="仿宋_GB2312" w:eastAsia="仿宋_GB2312" w:hAnsi="仿宋_GB2312" w:cs="仿宋_GB2312" w:hint="eastAsia"/>
          <w:sz w:val="33"/>
          <w:szCs w:val="33"/>
        </w:rPr>
        <w:t>期间信访工作，成功处置我市</w:t>
      </w:r>
      <w:proofErr w:type="gramStart"/>
      <w:r>
        <w:rPr>
          <w:rFonts w:ascii="仿宋_GB2312" w:eastAsia="仿宋_GB2312" w:hAnsi="仿宋_GB2312" w:cs="仿宋_GB2312" w:hint="eastAsia"/>
          <w:sz w:val="33"/>
          <w:szCs w:val="33"/>
        </w:rPr>
        <w:t>籍涉善心汇非法</w:t>
      </w:r>
      <w:proofErr w:type="gramEnd"/>
      <w:r>
        <w:rPr>
          <w:rFonts w:ascii="仿宋_GB2312" w:eastAsia="仿宋_GB2312" w:hAnsi="仿宋_GB2312" w:cs="仿宋_GB2312" w:hint="eastAsia"/>
          <w:sz w:val="33"/>
          <w:szCs w:val="33"/>
        </w:rPr>
        <w:t>传销</w:t>
      </w:r>
      <w:bookmarkStart w:id="0" w:name="_GoBack"/>
      <w:r>
        <w:rPr>
          <w:rFonts w:ascii="仿宋_GB2312" w:eastAsia="仿宋_GB2312" w:hAnsi="仿宋_GB2312" w:cs="仿宋_GB2312" w:hint="eastAsia"/>
          <w:sz w:val="33"/>
          <w:szCs w:val="33"/>
        </w:rPr>
        <w:t>组织人员进京事件和</w:t>
      </w:r>
      <w:r w:rsidR="002E5DDF">
        <w:rPr>
          <w:rFonts w:ascii="仿宋_GB2312" w:eastAsia="仿宋_GB2312" w:hAnsi="仿宋_GB2312" w:cs="仿宋_GB2312" w:hint="eastAsia"/>
          <w:sz w:val="33"/>
          <w:szCs w:val="33"/>
        </w:rPr>
        <w:t>党的十九大</w:t>
      </w:r>
      <w:r>
        <w:rPr>
          <w:rFonts w:ascii="仿宋_GB2312" w:eastAsia="仿宋_GB2312" w:hAnsi="仿宋_GB2312" w:cs="仿宋_GB2312" w:hint="eastAsia"/>
          <w:sz w:val="33"/>
          <w:szCs w:val="33"/>
        </w:rPr>
        <w:t>期间</w:t>
      </w:r>
      <w:proofErr w:type="gramStart"/>
      <w:r>
        <w:rPr>
          <w:rFonts w:ascii="仿宋_GB2312" w:eastAsia="仿宋_GB2312" w:hAnsi="仿宋_GB2312" w:cs="仿宋_GB2312" w:hint="eastAsia"/>
          <w:sz w:val="33"/>
          <w:szCs w:val="33"/>
        </w:rPr>
        <w:t>在京涉稳刑事</w:t>
      </w:r>
      <w:proofErr w:type="gramEnd"/>
      <w:r>
        <w:rPr>
          <w:rFonts w:ascii="仿宋_GB2312" w:eastAsia="仿宋_GB2312" w:hAnsi="仿宋_GB2312" w:cs="仿宋_GB2312" w:hint="eastAsia"/>
          <w:sz w:val="33"/>
          <w:szCs w:val="33"/>
        </w:rPr>
        <w:t>案件两</w:t>
      </w:r>
      <w:bookmarkEnd w:id="0"/>
      <w:r>
        <w:rPr>
          <w:rFonts w:ascii="仿宋_GB2312" w:eastAsia="仿宋_GB2312" w:hAnsi="仿宋_GB2312" w:cs="仿宋_GB2312" w:hint="eastAsia"/>
          <w:sz w:val="33"/>
          <w:szCs w:val="33"/>
        </w:rPr>
        <w:t>起群体访事件，全面实现不发生进京群体访事件、极端信访事件和造成严重社会影响信访事件的既定目标，成绩得到省驻京工作组的高度肯定，连续两年荣获“驻京信访工作先进单位”表彰。</w:t>
      </w:r>
    </w:p>
    <w:p w:rsidR="006E0EA0" w:rsidRDefault="006E0EA0">
      <w:pPr>
        <w:spacing w:line="600" w:lineRule="exact"/>
        <w:ind w:firstLineChars="200" w:firstLine="640"/>
        <w:rPr>
          <w:rFonts w:ascii="黑体" w:eastAsia="黑体" w:hint="eastAsia"/>
          <w:sz w:val="32"/>
          <w:szCs w:val="32"/>
        </w:rPr>
      </w:pPr>
      <w:r>
        <w:rPr>
          <w:rFonts w:ascii="黑体" w:eastAsia="黑体" w:hint="eastAsia"/>
          <w:sz w:val="32"/>
          <w:szCs w:val="32"/>
        </w:rPr>
        <w:t>二、部门概况</w:t>
      </w:r>
    </w:p>
    <w:p w:rsidR="006E0EA0" w:rsidRDefault="006E0EA0">
      <w:pPr>
        <w:pStyle w:val="a6"/>
        <w:adjustRightInd w:val="0"/>
        <w:snapToGrid w:val="0"/>
        <w:spacing w:line="600" w:lineRule="exact"/>
        <w:ind w:firstLineChars="210" w:firstLine="672"/>
        <w:rPr>
          <w:rFonts w:hint="eastAsia"/>
          <w:sz w:val="32"/>
          <w:szCs w:val="32"/>
        </w:rPr>
      </w:pPr>
      <w:r>
        <w:rPr>
          <w:rFonts w:hint="eastAsia"/>
          <w:sz w:val="32"/>
          <w:szCs w:val="32"/>
        </w:rPr>
        <w:t>攀枝花市人民政府驻北京联络处下属二级单位1个，其中全额拨款事业单位1个，财务不独立。</w:t>
      </w:r>
    </w:p>
    <w:p w:rsidR="006E0EA0" w:rsidRDefault="006E0EA0">
      <w:pPr>
        <w:spacing w:line="600" w:lineRule="exact"/>
        <w:ind w:firstLine="640"/>
        <w:rPr>
          <w:rFonts w:ascii="仿宋_GB2312" w:eastAsia="仿宋_GB2312" w:hint="eastAsia"/>
          <w:sz w:val="32"/>
          <w:szCs w:val="32"/>
        </w:rPr>
      </w:pPr>
      <w:r>
        <w:rPr>
          <w:rFonts w:ascii="黑体" w:eastAsia="黑体" w:hint="eastAsia"/>
          <w:sz w:val="32"/>
          <w:szCs w:val="32"/>
        </w:rPr>
        <w:t>三、收支决算总体情况说明</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sz w:val="32"/>
          <w:szCs w:val="32"/>
        </w:rPr>
        <w:t>2017年联络处本年收入合计495.03万元，其中：一般公共预算财政拨款收入494.75万元，占99.94%；其他收入0.28万元，占0.06%。</w:t>
      </w:r>
    </w:p>
    <w:p w:rsidR="006E0EA0" w:rsidRDefault="00BE1389">
      <w:pPr>
        <w:spacing w:line="600" w:lineRule="exact"/>
        <w:ind w:firstLineChars="200" w:firstLine="420"/>
        <w:rPr>
          <w:rFonts w:ascii="仿宋_GB2312" w:eastAsia="仿宋_GB2312" w:hint="eastAsia"/>
          <w:sz w:val="32"/>
          <w:szCs w:val="32"/>
        </w:rPr>
      </w:pPr>
      <w:r>
        <w:rPr>
          <w:noProof/>
        </w:rPr>
        <w:drawing>
          <wp:anchor distT="3625" distB="11912" distL="118301" distR="127447" simplePos="0" relativeHeight="251655168" behindDoc="0" locked="0" layoutInCell="1" allowOverlap="1">
            <wp:simplePos x="0" y="0"/>
            <wp:positionH relativeFrom="column">
              <wp:posOffset>270701</wp:posOffset>
            </wp:positionH>
            <wp:positionV relativeFrom="paragraph">
              <wp:posOffset>96970</wp:posOffset>
            </wp:positionV>
            <wp:extent cx="4114800" cy="2237105"/>
            <wp:effectExtent l="0" t="0" r="0" b="1079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Chars="200" w:firstLine="640"/>
        <w:rPr>
          <w:rFonts w:ascii="仿宋_GB2312" w:eastAsia="仿宋_GB2312" w:hint="eastAsia"/>
          <w:sz w:val="32"/>
          <w:szCs w:val="32"/>
        </w:rPr>
      </w:pPr>
    </w:p>
    <w:p w:rsidR="006E0EA0" w:rsidRDefault="006E0EA0">
      <w:pPr>
        <w:spacing w:line="600" w:lineRule="exact"/>
        <w:ind w:firstLineChars="200" w:firstLine="640"/>
        <w:rPr>
          <w:rFonts w:ascii="仿宋_GB2312" w:eastAsia="仿宋_GB2312" w:hint="eastAsia"/>
          <w:sz w:val="32"/>
          <w:szCs w:val="32"/>
        </w:rPr>
      </w:pPr>
    </w:p>
    <w:p w:rsidR="006E0EA0" w:rsidRDefault="006E0EA0">
      <w:pPr>
        <w:spacing w:line="600" w:lineRule="exact"/>
        <w:ind w:firstLineChars="200" w:firstLine="640"/>
        <w:rPr>
          <w:rFonts w:ascii="仿宋_GB2312" w:eastAsia="仿宋_GB2312" w:hint="eastAsia"/>
          <w:sz w:val="32"/>
          <w:szCs w:val="32"/>
        </w:rPr>
      </w:pP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2017年联络处本年支出合计495.03万元，其中：基本</w:t>
      </w:r>
      <w:r>
        <w:rPr>
          <w:rFonts w:ascii="仿宋_GB2312" w:eastAsia="仿宋_GB2312" w:hint="eastAsia"/>
          <w:sz w:val="32"/>
          <w:szCs w:val="32"/>
        </w:rPr>
        <w:lastRenderedPageBreak/>
        <w:t>支出237.41万元，占47.96%；项目支出257.62万元，占52.04%。</w:t>
      </w:r>
    </w:p>
    <w:p w:rsidR="006E0EA0" w:rsidRDefault="00BE1389">
      <w:pPr>
        <w:spacing w:line="600" w:lineRule="exact"/>
        <w:ind w:firstLineChars="200" w:firstLine="420"/>
        <w:rPr>
          <w:rFonts w:ascii="黑体" w:eastAsia="黑体" w:hint="eastAsia"/>
          <w:sz w:val="32"/>
          <w:szCs w:val="32"/>
        </w:rPr>
      </w:pPr>
      <w:r>
        <w:rPr>
          <w:noProof/>
        </w:rPr>
        <w:drawing>
          <wp:anchor distT="3559" distB="11694" distL="118321" distR="127513" simplePos="0" relativeHeight="251656192" behindDoc="0" locked="0" layoutInCell="1" allowOverlap="1">
            <wp:simplePos x="0" y="0"/>
            <wp:positionH relativeFrom="column">
              <wp:posOffset>299296</wp:posOffset>
            </wp:positionH>
            <wp:positionV relativeFrom="paragraph">
              <wp:posOffset>58804</wp:posOffset>
            </wp:positionV>
            <wp:extent cx="4135755" cy="2195830"/>
            <wp:effectExtent l="0" t="0" r="17145" b="13970"/>
            <wp:wrapSquare wrapText="bothSides"/>
            <wp:docPr id="3"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仿宋_GB2312" w:eastAsia="仿宋_GB2312" w:hint="eastAsia"/>
          <w:sz w:val="32"/>
          <w:szCs w:val="32"/>
        </w:rPr>
      </w:pPr>
      <w:r>
        <w:rPr>
          <w:rFonts w:ascii="黑体" w:eastAsia="黑体" w:hint="eastAsia"/>
          <w:sz w:val="32"/>
          <w:szCs w:val="32"/>
        </w:rPr>
        <w:t>四、财政拨款收入支出决算总体情况说明</w:t>
      </w: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2017年度财政拨款收、支总计494.75万元。与2016年相比，财政拨款收、支总计各减少41.84万元，下降8%。</w:t>
      </w:r>
    </w:p>
    <w:p w:rsidR="006E0EA0" w:rsidRDefault="00BE1389">
      <w:pPr>
        <w:spacing w:line="600" w:lineRule="exact"/>
        <w:ind w:firstLine="640"/>
        <w:rPr>
          <w:rFonts w:ascii="仿宋_GB2312" w:eastAsia="仿宋_GB2312" w:hint="eastAsia"/>
          <w:b/>
          <w:sz w:val="32"/>
          <w:szCs w:val="32"/>
          <w:highlight w:val="yellow"/>
        </w:rPr>
      </w:pPr>
      <w:r>
        <w:rPr>
          <w:noProof/>
        </w:rPr>
        <w:drawing>
          <wp:anchor distT="3388" distB="11133" distL="118745" distR="128905" simplePos="0" relativeHeight="251657216" behindDoc="0" locked="0" layoutInCell="1" allowOverlap="1">
            <wp:simplePos x="0" y="0"/>
            <wp:positionH relativeFrom="column">
              <wp:posOffset>287020</wp:posOffset>
            </wp:positionH>
            <wp:positionV relativeFrom="paragraph">
              <wp:posOffset>180553</wp:posOffset>
            </wp:positionV>
            <wp:extent cx="4572000" cy="2091055"/>
            <wp:effectExtent l="0" t="0" r="0" b="4445"/>
            <wp:wrapSquare wrapText="bothSides"/>
            <wp:docPr id="5"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640"/>
        <w:rPr>
          <w:rFonts w:ascii="仿宋_GB2312" w:eastAsia="仿宋_GB2312" w:hint="eastAsia"/>
          <w:b/>
          <w:sz w:val="32"/>
          <w:szCs w:val="32"/>
          <w:highlight w:val="yellow"/>
        </w:rPr>
      </w:pPr>
    </w:p>
    <w:p w:rsidR="006E0EA0" w:rsidRDefault="006E0EA0">
      <w:pPr>
        <w:spacing w:line="600" w:lineRule="exact"/>
        <w:ind w:firstLine="640"/>
        <w:rPr>
          <w:rFonts w:ascii="仿宋_GB2312" w:eastAsia="仿宋_GB2312" w:hint="eastAsia"/>
          <w:b/>
          <w:sz w:val="32"/>
          <w:szCs w:val="32"/>
          <w:highlight w:val="yellow"/>
        </w:rPr>
      </w:pPr>
    </w:p>
    <w:p w:rsidR="006E0EA0" w:rsidRDefault="006E0EA0">
      <w:pPr>
        <w:spacing w:line="600" w:lineRule="exact"/>
        <w:ind w:firstLine="640"/>
        <w:rPr>
          <w:rFonts w:ascii="仿宋_GB2312" w:eastAsia="仿宋_GB2312" w:hint="eastAsia"/>
          <w:b/>
          <w:sz w:val="32"/>
          <w:szCs w:val="32"/>
          <w:highlight w:val="yellow"/>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p>
    <w:p w:rsidR="006E0EA0" w:rsidRDefault="006E0EA0">
      <w:pPr>
        <w:spacing w:line="600" w:lineRule="exact"/>
        <w:ind w:firstLineChars="200" w:firstLine="640"/>
        <w:rPr>
          <w:rFonts w:ascii="黑体" w:eastAsia="黑体" w:hint="eastAsia"/>
          <w:sz w:val="32"/>
          <w:szCs w:val="32"/>
        </w:rPr>
      </w:pPr>
      <w:r>
        <w:rPr>
          <w:rFonts w:ascii="黑体" w:eastAsia="黑体" w:hint="eastAsia"/>
          <w:sz w:val="32"/>
          <w:szCs w:val="32"/>
        </w:rPr>
        <w:lastRenderedPageBreak/>
        <w:t>五、一般公共预算财政拨款支出决算情况说明</w:t>
      </w: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（一）一般公共预算财政拨款支出决算总体情况</w:t>
      </w: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2017年度一般公共预算财政拨款支出494.75万元，占本年支出合计的99.94%。与2016年相比，一般公共预算财政拨款减少41.58万元，下降7.75%。</w:t>
      </w:r>
    </w:p>
    <w:p w:rsidR="006E0EA0" w:rsidRDefault="00BE1389">
      <w:pPr>
        <w:spacing w:line="600" w:lineRule="exact"/>
        <w:ind w:firstLineChars="200" w:firstLine="420"/>
        <w:rPr>
          <w:rFonts w:ascii="仿宋_GB2312" w:eastAsia="仿宋_GB2312" w:hint="eastAsia"/>
          <w:sz w:val="32"/>
          <w:szCs w:val="32"/>
          <w:highlight w:val="yellow"/>
        </w:rPr>
      </w:pPr>
      <w:r>
        <w:rPr>
          <w:noProof/>
        </w:rPr>
        <w:drawing>
          <wp:anchor distT="3495" distB="11483" distL="118745" distR="128905" simplePos="0" relativeHeight="251658240" behindDoc="0" locked="0" layoutInCell="1" allowOverlap="1">
            <wp:simplePos x="0" y="0"/>
            <wp:positionH relativeFrom="column">
              <wp:posOffset>442595</wp:posOffset>
            </wp:positionH>
            <wp:positionV relativeFrom="paragraph">
              <wp:posOffset>51120</wp:posOffset>
            </wp:positionV>
            <wp:extent cx="4572000" cy="2156460"/>
            <wp:effectExtent l="0" t="0" r="0" b="15240"/>
            <wp:wrapSquare wrapText="bothSides"/>
            <wp:docPr id="6"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rPr>
      </w:pP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（二）一般公共预算财政拨款支出决算结构情况</w:t>
      </w:r>
    </w:p>
    <w:p w:rsidR="006E0EA0" w:rsidRDefault="006E0EA0">
      <w:pPr>
        <w:spacing w:line="600" w:lineRule="exact"/>
        <w:ind w:firstLineChars="200" w:firstLine="640"/>
        <w:rPr>
          <w:rFonts w:ascii="仿宋_GB2312" w:eastAsia="仿宋_GB2312" w:hint="eastAsia"/>
          <w:sz w:val="32"/>
          <w:szCs w:val="32"/>
          <w:highlight w:val="yellow"/>
        </w:rPr>
      </w:pPr>
      <w:r>
        <w:rPr>
          <w:rFonts w:ascii="仿宋_GB2312" w:eastAsia="仿宋_GB2312" w:hint="eastAsia"/>
          <w:sz w:val="32"/>
          <w:szCs w:val="32"/>
        </w:rPr>
        <w:t>2017年一般公共预算财政拨款支出494.75万元，主要用于以下方面:一般公共服务支出464.75万元，占93.94%；社会保障和就业支出18.03万元，占3.64%；医疗卫生支出0.13万元，占0.03%；住房保障支出11.84万元，占2.39%。</w:t>
      </w:r>
    </w:p>
    <w:p w:rsidR="006E0EA0" w:rsidRDefault="00BE1389">
      <w:pPr>
        <w:spacing w:line="600" w:lineRule="exact"/>
        <w:ind w:firstLineChars="200" w:firstLine="420"/>
        <w:rPr>
          <w:rFonts w:ascii="仿宋_GB2312" w:eastAsia="仿宋_GB2312" w:hint="eastAsia"/>
          <w:sz w:val="32"/>
          <w:szCs w:val="32"/>
          <w:highlight w:val="yellow"/>
        </w:rPr>
      </w:pPr>
      <w:r>
        <w:rPr>
          <w:noProof/>
        </w:rPr>
        <w:lastRenderedPageBreak/>
        <w:drawing>
          <wp:anchor distT="4030" distB="13242" distL="118450" distR="127935" simplePos="0" relativeHeight="251659264" behindDoc="0" locked="0" layoutInCell="1" allowOverlap="1">
            <wp:simplePos x="0" y="0"/>
            <wp:positionH relativeFrom="column">
              <wp:posOffset>499450</wp:posOffset>
            </wp:positionH>
            <wp:positionV relativeFrom="paragraph">
              <wp:posOffset>99915</wp:posOffset>
            </wp:positionV>
            <wp:extent cx="4267835" cy="2486660"/>
            <wp:effectExtent l="0" t="0" r="18415" b="8890"/>
            <wp:wrapSquare wrapText="bothSides"/>
            <wp:docPr id="7"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highlight w:val="yellow"/>
        </w:rPr>
      </w:pP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（三）一般公共预算财政拨款支出决算具体情况</w:t>
      </w:r>
    </w:p>
    <w:p w:rsidR="006E0EA0" w:rsidRDefault="006E0EA0">
      <w:pPr>
        <w:spacing w:line="600" w:lineRule="exact"/>
        <w:ind w:firstLineChars="200" w:firstLine="643"/>
        <w:rPr>
          <w:rFonts w:ascii="仿宋_GB2312" w:eastAsia="仿宋_GB2312" w:hint="eastAsia"/>
          <w:b/>
          <w:sz w:val="32"/>
          <w:szCs w:val="32"/>
        </w:rPr>
      </w:pPr>
      <w:r>
        <w:rPr>
          <w:rStyle w:val="a3"/>
          <w:rFonts w:ascii="仿宋_GB2312" w:eastAsia="仿宋_GB2312" w:hint="eastAsia"/>
          <w:sz w:val="32"/>
          <w:szCs w:val="32"/>
        </w:rPr>
        <w:t>1.一般公共服务（类）政府办公厅（室）及相关机构事务（款）行政运行（项）:</w:t>
      </w:r>
      <w:r>
        <w:rPr>
          <w:rStyle w:val="a3"/>
          <w:rFonts w:ascii="仿宋_GB2312" w:eastAsia="仿宋_GB2312" w:hint="eastAsia"/>
          <w:b w:val="0"/>
          <w:sz w:val="32"/>
          <w:szCs w:val="32"/>
        </w:rPr>
        <w:t xml:space="preserve"> 支出决算为180.83万元，完成预算100%。</w:t>
      </w:r>
    </w:p>
    <w:p w:rsidR="006E0EA0" w:rsidRDefault="006E0EA0">
      <w:pPr>
        <w:spacing w:line="600" w:lineRule="exact"/>
        <w:ind w:firstLineChars="200" w:firstLine="643"/>
        <w:rPr>
          <w:rFonts w:ascii="仿宋_GB2312" w:eastAsia="仿宋_GB2312" w:hint="eastAsia"/>
          <w:b/>
          <w:sz w:val="32"/>
          <w:szCs w:val="32"/>
        </w:rPr>
      </w:pPr>
      <w:r>
        <w:rPr>
          <w:rStyle w:val="a3"/>
          <w:rFonts w:ascii="仿宋_GB2312" w:eastAsia="仿宋_GB2312" w:hint="eastAsia"/>
          <w:sz w:val="32"/>
          <w:szCs w:val="32"/>
        </w:rPr>
        <w:t>2.一般公共服务（类）政府办公厅（室）及相关机构事务（款）一般行政管理事务（项）::</w:t>
      </w:r>
      <w:r>
        <w:rPr>
          <w:rStyle w:val="a3"/>
          <w:rFonts w:ascii="仿宋_GB2312" w:eastAsia="仿宋_GB2312" w:hint="eastAsia"/>
          <w:b w:val="0"/>
          <w:sz w:val="32"/>
          <w:szCs w:val="32"/>
        </w:rPr>
        <w:t xml:space="preserve"> 支出决算为156.67万元，完成预算100%。</w:t>
      </w:r>
    </w:p>
    <w:p w:rsidR="006E0EA0" w:rsidRDefault="006E0EA0">
      <w:pPr>
        <w:spacing w:line="600" w:lineRule="exact"/>
        <w:ind w:firstLineChars="200" w:firstLine="643"/>
        <w:rPr>
          <w:rFonts w:ascii="仿宋_GB2312" w:eastAsia="仿宋_GB2312" w:hint="eastAsia"/>
          <w:b/>
          <w:sz w:val="32"/>
          <w:szCs w:val="32"/>
        </w:rPr>
      </w:pPr>
      <w:r>
        <w:rPr>
          <w:rStyle w:val="a3"/>
          <w:rFonts w:ascii="仿宋_GB2312" w:eastAsia="仿宋_GB2312" w:hint="eastAsia"/>
          <w:sz w:val="32"/>
          <w:szCs w:val="32"/>
        </w:rPr>
        <w:t>3.一般公共服务（类）政府办公厅（室）及相关机构事务（款）事业运行（项）:</w:t>
      </w:r>
      <w:r>
        <w:rPr>
          <w:rStyle w:val="a3"/>
          <w:rFonts w:ascii="仿宋_GB2312" w:eastAsia="仿宋_GB2312" w:hint="eastAsia"/>
          <w:b w:val="0"/>
          <w:sz w:val="32"/>
          <w:szCs w:val="32"/>
        </w:rPr>
        <w:t xml:space="preserve"> 支出决算为26.58万元，完成预算100%。</w:t>
      </w:r>
    </w:p>
    <w:p w:rsidR="006E0EA0" w:rsidRDefault="006E0EA0">
      <w:pPr>
        <w:spacing w:line="600" w:lineRule="exact"/>
        <w:ind w:firstLineChars="200" w:firstLine="643"/>
        <w:rPr>
          <w:rFonts w:ascii="仿宋_GB2312" w:eastAsia="仿宋_GB2312" w:hint="eastAsia"/>
          <w:b/>
          <w:sz w:val="32"/>
          <w:szCs w:val="32"/>
        </w:rPr>
      </w:pPr>
      <w:r>
        <w:rPr>
          <w:rStyle w:val="a3"/>
          <w:rFonts w:ascii="仿宋_GB2312" w:eastAsia="仿宋_GB2312" w:hint="eastAsia"/>
          <w:sz w:val="32"/>
          <w:szCs w:val="32"/>
        </w:rPr>
        <w:lastRenderedPageBreak/>
        <w:t>4.一般公共服务（类）政府办公厅（室）及相关机构事务（款）信访事务（项）:</w:t>
      </w:r>
      <w:r>
        <w:rPr>
          <w:rStyle w:val="a3"/>
          <w:rFonts w:ascii="仿宋_GB2312" w:eastAsia="仿宋_GB2312" w:hint="eastAsia"/>
          <w:b w:val="0"/>
          <w:sz w:val="32"/>
          <w:szCs w:val="32"/>
        </w:rPr>
        <w:t>支出决算为30万元，完成预算100%。</w:t>
      </w:r>
    </w:p>
    <w:p w:rsidR="006E0EA0" w:rsidRDefault="006E0EA0">
      <w:pPr>
        <w:spacing w:line="600" w:lineRule="exact"/>
        <w:ind w:firstLineChars="200" w:firstLine="643"/>
        <w:rPr>
          <w:rFonts w:ascii="仿宋_GB2312" w:eastAsia="仿宋_GB2312" w:hint="eastAsia"/>
          <w:b/>
          <w:sz w:val="32"/>
          <w:szCs w:val="32"/>
        </w:rPr>
      </w:pPr>
      <w:r>
        <w:rPr>
          <w:rStyle w:val="a3"/>
          <w:rFonts w:ascii="仿宋_GB2312" w:eastAsia="仿宋_GB2312" w:hint="eastAsia"/>
          <w:sz w:val="32"/>
          <w:szCs w:val="32"/>
        </w:rPr>
        <w:t>5.一般公共服务（类）商贸事务（款）招商引资（项）:</w:t>
      </w:r>
      <w:r>
        <w:rPr>
          <w:rStyle w:val="a3"/>
          <w:rFonts w:ascii="仿宋_GB2312" w:eastAsia="仿宋_GB2312" w:hint="eastAsia"/>
          <w:b w:val="0"/>
          <w:sz w:val="32"/>
          <w:szCs w:val="32"/>
        </w:rPr>
        <w:t>支出决算为70.68万元，完成预算100%。</w:t>
      </w:r>
    </w:p>
    <w:p w:rsidR="006E0EA0" w:rsidRDefault="006E0EA0">
      <w:pPr>
        <w:spacing w:line="600" w:lineRule="exact"/>
        <w:ind w:firstLineChars="200" w:firstLine="643"/>
        <w:rPr>
          <w:rStyle w:val="a3"/>
          <w:rFonts w:ascii="仿宋_GB2312" w:eastAsia="仿宋_GB2312" w:hint="eastAsia"/>
          <w:b w:val="0"/>
          <w:sz w:val="32"/>
          <w:szCs w:val="32"/>
        </w:rPr>
      </w:pPr>
      <w:r>
        <w:rPr>
          <w:rStyle w:val="a3"/>
          <w:rFonts w:ascii="仿宋_GB2312" w:eastAsia="仿宋_GB2312" w:hint="eastAsia"/>
          <w:sz w:val="32"/>
          <w:szCs w:val="32"/>
        </w:rPr>
        <w:t>6.社会保障和就业（类）行政事业单位离退休（款）未归口管理的行政单位离退休（项）:</w:t>
      </w:r>
      <w:r>
        <w:rPr>
          <w:rStyle w:val="a3"/>
          <w:rFonts w:ascii="仿宋_GB2312" w:eastAsia="仿宋_GB2312" w:hint="eastAsia"/>
          <w:b w:val="0"/>
          <w:sz w:val="32"/>
          <w:szCs w:val="32"/>
        </w:rPr>
        <w:t xml:space="preserve"> 支出决算为3.38万元，完成预算100%。</w:t>
      </w:r>
    </w:p>
    <w:p w:rsidR="006E0EA0" w:rsidRDefault="006E0EA0">
      <w:pPr>
        <w:spacing w:line="600" w:lineRule="exact"/>
        <w:ind w:firstLineChars="200" w:firstLine="643"/>
        <w:rPr>
          <w:rStyle w:val="a3"/>
          <w:rFonts w:ascii="仿宋_GB2312" w:eastAsia="仿宋_GB2312" w:hint="eastAsia"/>
          <w:b w:val="0"/>
          <w:sz w:val="32"/>
          <w:szCs w:val="32"/>
        </w:rPr>
      </w:pPr>
      <w:r>
        <w:rPr>
          <w:rStyle w:val="a3"/>
          <w:rFonts w:ascii="仿宋_GB2312" w:eastAsia="仿宋_GB2312" w:hint="eastAsia"/>
          <w:sz w:val="32"/>
          <w:szCs w:val="32"/>
        </w:rPr>
        <w:t>7.社会保障和就业（类）行政事业单位离退休（款）机关事业单位基本养老保险缴费支出（项）:</w:t>
      </w:r>
      <w:r>
        <w:rPr>
          <w:rStyle w:val="a3"/>
          <w:rFonts w:ascii="仿宋_GB2312" w:eastAsia="仿宋_GB2312" w:hint="eastAsia"/>
          <w:b w:val="0"/>
          <w:sz w:val="32"/>
          <w:szCs w:val="32"/>
        </w:rPr>
        <w:t>支出决算为14.65万元，完成预算100%。</w:t>
      </w:r>
    </w:p>
    <w:p w:rsidR="006E0EA0" w:rsidRDefault="006E0EA0">
      <w:pPr>
        <w:spacing w:line="600" w:lineRule="exact"/>
        <w:ind w:firstLineChars="200" w:firstLine="643"/>
        <w:rPr>
          <w:rStyle w:val="a3"/>
          <w:rFonts w:ascii="仿宋_GB2312" w:eastAsia="仿宋_GB2312" w:hint="eastAsia"/>
          <w:b w:val="0"/>
          <w:sz w:val="32"/>
          <w:szCs w:val="32"/>
        </w:rPr>
      </w:pPr>
      <w:r>
        <w:rPr>
          <w:rStyle w:val="a3"/>
          <w:rFonts w:ascii="仿宋_GB2312" w:eastAsia="仿宋_GB2312" w:hint="eastAsia"/>
          <w:sz w:val="32"/>
          <w:szCs w:val="32"/>
        </w:rPr>
        <w:t>8.医疗卫生与计划生育（类）医疗保障（款）其他医疗保障支出（项）:</w:t>
      </w:r>
      <w:r>
        <w:rPr>
          <w:rStyle w:val="a3"/>
          <w:rFonts w:ascii="仿宋_GB2312" w:eastAsia="仿宋_GB2312" w:hint="eastAsia"/>
          <w:b w:val="0"/>
          <w:sz w:val="32"/>
          <w:szCs w:val="32"/>
        </w:rPr>
        <w:t>支出决算为0.13万元，完成预算100%。</w:t>
      </w:r>
    </w:p>
    <w:p w:rsidR="006E0EA0" w:rsidRDefault="006E0EA0">
      <w:pPr>
        <w:spacing w:line="600" w:lineRule="exact"/>
        <w:ind w:firstLineChars="200" w:firstLine="643"/>
        <w:rPr>
          <w:rStyle w:val="a3"/>
          <w:rFonts w:ascii="仿宋_GB2312" w:eastAsia="仿宋_GB2312" w:hint="eastAsia"/>
          <w:b w:val="0"/>
          <w:sz w:val="32"/>
          <w:szCs w:val="32"/>
        </w:rPr>
      </w:pPr>
      <w:r>
        <w:rPr>
          <w:rStyle w:val="a3"/>
          <w:rFonts w:ascii="仿宋_GB2312" w:eastAsia="仿宋_GB2312" w:hint="eastAsia"/>
          <w:sz w:val="32"/>
          <w:szCs w:val="32"/>
        </w:rPr>
        <w:t>9.住房保障支出（类）住房改革支出（款）住房公积金（项）:</w:t>
      </w:r>
      <w:r>
        <w:rPr>
          <w:rStyle w:val="a3"/>
          <w:rFonts w:ascii="仿宋_GB2312" w:eastAsia="仿宋_GB2312" w:hint="eastAsia"/>
          <w:b w:val="0"/>
          <w:sz w:val="32"/>
          <w:szCs w:val="32"/>
        </w:rPr>
        <w:t>支出决算为11.84万元，完成预算100%。</w:t>
      </w:r>
    </w:p>
    <w:p w:rsidR="006E0EA0" w:rsidRDefault="006E0EA0">
      <w:pPr>
        <w:spacing w:line="600" w:lineRule="exact"/>
        <w:ind w:firstLine="640"/>
        <w:rPr>
          <w:rFonts w:ascii="黑体" w:eastAsia="黑体" w:hint="eastAsia"/>
          <w:sz w:val="32"/>
          <w:szCs w:val="32"/>
        </w:rPr>
      </w:pPr>
      <w:r>
        <w:rPr>
          <w:rFonts w:ascii="黑体" w:eastAsia="黑体" w:hint="eastAsia"/>
          <w:sz w:val="32"/>
          <w:szCs w:val="32"/>
        </w:rPr>
        <w:t>六、一般公共预算财政拨款基本支出决算情况说明</w:t>
      </w:r>
    </w:p>
    <w:p w:rsidR="006E0EA0" w:rsidRDefault="006E0EA0">
      <w:pPr>
        <w:spacing w:line="600" w:lineRule="exact"/>
        <w:ind w:firstLine="645"/>
        <w:rPr>
          <w:rFonts w:ascii="仿宋_GB2312" w:eastAsia="仿宋_GB2312" w:hint="eastAsia"/>
          <w:sz w:val="32"/>
          <w:szCs w:val="32"/>
        </w:rPr>
      </w:pPr>
      <w:r>
        <w:rPr>
          <w:rFonts w:ascii="仿宋_GB2312" w:eastAsia="仿宋_GB2312" w:hint="eastAsia"/>
          <w:sz w:val="32"/>
          <w:szCs w:val="32"/>
        </w:rPr>
        <w:t>2017年度一般公共预算财政拨款基本支出237.41万元，其中：</w:t>
      </w:r>
    </w:p>
    <w:p w:rsidR="006E0EA0" w:rsidRDefault="006E0EA0">
      <w:pPr>
        <w:spacing w:line="600" w:lineRule="exact"/>
        <w:ind w:firstLine="645"/>
        <w:rPr>
          <w:rFonts w:ascii="仿宋_GB2312" w:eastAsia="仿宋_GB2312" w:hint="eastAsia"/>
          <w:sz w:val="32"/>
          <w:szCs w:val="32"/>
        </w:rPr>
      </w:pPr>
      <w:r>
        <w:rPr>
          <w:rFonts w:ascii="仿宋_GB2312" w:eastAsia="仿宋_GB2312" w:hint="eastAsia"/>
          <w:sz w:val="32"/>
          <w:szCs w:val="32"/>
        </w:rPr>
        <w:t>人员经费178.02万元，主要包括：基本工资、津贴补贴、奖金、伙食补助费、绩效工资、机关事业单位基本养老保险缴费、职业年金缴费、其他社会保障缴费、其他工资福利支出、退休费、生活补助、医疗费、奖励金、住房公积金、其他对个人和家庭的补助支出等。</w:t>
      </w:r>
      <w:r>
        <w:rPr>
          <w:rFonts w:ascii="仿宋_GB2312" w:eastAsia="仿宋_GB2312" w:hint="eastAsia"/>
          <w:sz w:val="32"/>
          <w:szCs w:val="32"/>
        </w:rPr>
        <w:br/>
        <w:t xml:space="preserve">　　公用经费59.39万元，主要包括：办公费、印刷费、咨</w:t>
      </w:r>
      <w:r>
        <w:rPr>
          <w:rFonts w:ascii="仿宋_GB2312" w:eastAsia="仿宋_GB2312" w:hint="eastAsia"/>
          <w:sz w:val="32"/>
          <w:szCs w:val="32"/>
        </w:rPr>
        <w:lastRenderedPageBreak/>
        <w:t>询费、手续费、水费、电费、邮电费、取暖费、物业管理费、差旅费、因公出国（境）费用、维修（护）费、租赁费、会议费、培训费、公务接待费、劳务费、委托业务费、工会经费、福利费、公务用车运行维护费、其他交通费、其他商品和服务支出、办公设备购置、其他资本性支出等。</w:t>
      </w:r>
    </w:p>
    <w:p w:rsidR="006E0EA0" w:rsidRDefault="006E0EA0">
      <w:pPr>
        <w:spacing w:line="600" w:lineRule="exact"/>
        <w:ind w:firstLine="640"/>
        <w:rPr>
          <w:rFonts w:ascii="黑体" w:eastAsia="黑体" w:hint="eastAsia"/>
          <w:sz w:val="32"/>
          <w:szCs w:val="32"/>
        </w:rPr>
      </w:pPr>
      <w:r>
        <w:rPr>
          <w:rFonts w:ascii="黑体" w:eastAsia="黑体" w:hint="eastAsia"/>
          <w:sz w:val="32"/>
          <w:szCs w:val="32"/>
        </w:rPr>
        <w:t>七、“三公”经费财政拨款支出决算情况说明</w:t>
      </w:r>
    </w:p>
    <w:p w:rsidR="006E0EA0" w:rsidRDefault="006E0EA0">
      <w:pPr>
        <w:spacing w:line="600" w:lineRule="exact"/>
        <w:ind w:firstLine="640"/>
        <w:rPr>
          <w:rFonts w:ascii="仿宋_GB2312" w:eastAsia="仿宋_GB2312" w:hint="eastAsia"/>
          <w:b/>
          <w:sz w:val="32"/>
          <w:szCs w:val="32"/>
        </w:rPr>
      </w:pPr>
      <w:r>
        <w:rPr>
          <w:rFonts w:ascii="仿宋_GB2312" w:eastAsia="仿宋_GB2312" w:hint="eastAsia"/>
          <w:b/>
          <w:sz w:val="32"/>
          <w:szCs w:val="32"/>
        </w:rPr>
        <w:t>（一）“三公”经费财政拨款支出决算总体情况说明</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sz w:val="32"/>
          <w:szCs w:val="32"/>
        </w:rPr>
        <w:t>2017年度“三公”经费财政拨款支出决算为40.19万元，完成预算63.79%，决算数小于预算数的主要原因是1、2017年联络处无因公出国的情况；2、联络处严格执行中央八项规定及省市十项规定，规范财经纪律，凡是无三单一函的部门和单位来京一律不予接待。</w:t>
      </w:r>
    </w:p>
    <w:p w:rsidR="006E0EA0" w:rsidRDefault="006E0EA0">
      <w:pPr>
        <w:spacing w:line="600" w:lineRule="exact"/>
        <w:ind w:firstLine="640"/>
        <w:rPr>
          <w:rFonts w:ascii="仿宋_GB2312" w:eastAsia="仿宋_GB2312" w:hint="eastAsia"/>
          <w:b/>
          <w:sz w:val="32"/>
          <w:szCs w:val="32"/>
        </w:rPr>
      </w:pPr>
      <w:r>
        <w:rPr>
          <w:rFonts w:ascii="仿宋_GB2312" w:eastAsia="仿宋_GB2312" w:hint="eastAsia"/>
          <w:b/>
          <w:sz w:val="32"/>
          <w:szCs w:val="32"/>
        </w:rPr>
        <w:t>（二）“三公”经费财政拨款支出决算具体情况说明</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sz w:val="32"/>
          <w:szCs w:val="32"/>
        </w:rPr>
        <w:t>2017年度“三公”经费财政拨款支出决算中，公务用车购置及运行维护费支出决算40.19万元，占100%。具体情况如下：</w:t>
      </w:r>
    </w:p>
    <w:p w:rsidR="006E0EA0" w:rsidRDefault="00BE1389">
      <w:pPr>
        <w:spacing w:line="600" w:lineRule="exact"/>
        <w:ind w:firstLine="640"/>
        <w:rPr>
          <w:rFonts w:ascii="仿宋_GB2312" w:eastAsia="仿宋_GB2312" w:hint="eastAsia"/>
          <w:sz w:val="32"/>
          <w:szCs w:val="32"/>
          <w:highlight w:val="yellow"/>
        </w:rPr>
      </w:pPr>
      <w:r>
        <w:rPr>
          <w:noProof/>
        </w:rPr>
        <w:drawing>
          <wp:anchor distT="4139" distB="13601" distL="118616" distR="128481" simplePos="0" relativeHeight="251660288" behindDoc="0" locked="0" layoutInCell="1" allowOverlap="1">
            <wp:simplePos x="0" y="0"/>
            <wp:positionH relativeFrom="column">
              <wp:posOffset>248791</wp:posOffset>
            </wp:positionH>
            <wp:positionV relativeFrom="paragraph">
              <wp:posOffset>80339</wp:posOffset>
            </wp:positionV>
            <wp:extent cx="4438650" cy="2554605"/>
            <wp:effectExtent l="0" t="0" r="0" b="17145"/>
            <wp:wrapSquare wrapText="bothSides"/>
            <wp:docPr id="8"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6E0EA0" w:rsidRDefault="006E0EA0">
      <w:pPr>
        <w:spacing w:line="600" w:lineRule="exact"/>
        <w:ind w:firstLine="640"/>
        <w:rPr>
          <w:rFonts w:ascii="仿宋_GB2312" w:eastAsia="仿宋_GB2312" w:hint="eastAsia"/>
          <w:sz w:val="32"/>
          <w:szCs w:val="32"/>
          <w:highlight w:val="yellow"/>
        </w:rPr>
      </w:pPr>
    </w:p>
    <w:p w:rsidR="006E0EA0" w:rsidRDefault="006E0EA0">
      <w:pPr>
        <w:spacing w:line="600" w:lineRule="exact"/>
        <w:ind w:firstLine="640"/>
        <w:rPr>
          <w:rFonts w:ascii="仿宋_GB2312" w:eastAsia="仿宋_GB2312" w:hint="eastAsia"/>
          <w:sz w:val="32"/>
          <w:szCs w:val="32"/>
          <w:highlight w:val="yellow"/>
        </w:rPr>
      </w:pPr>
    </w:p>
    <w:p w:rsidR="006E0EA0" w:rsidRDefault="006E0EA0">
      <w:pPr>
        <w:spacing w:line="600" w:lineRule="exact"/>
        <w:ind w:firstLine="640"/>
        <w:rPr>
          <w:rFonts w:ascii="仿宋_GB2312" w:eastAsia="仿宋_GB2312" w:hint="eastAsia"/>
          <w:sz w:val="32"/>
          <w:szCs w:val="32"/>
          <w:highlight w:val="yellow"/>
        </w:rPr>
      </w:pPr>
    </w:p>
    <w:p w:rsidR="006E0EA0" w:rsidRDefault="006E0EA0">
      <w:pPr>
        <w:spacing w:line="600" w:lineRule="exact"/>
        <w:ind w:firstLine="640"/>
        <w:rPr>
          <w:rFonts w:ascii="仿宋_GB2312" w:eastAsia="仿宋_GB2312" w:hint="eastAsia"/>
          <w:b/>
          <w:sz w:val="32"/>
          <w:szCs w:val="32"/>
        </w:rPr>
      </w:pPr>
    </w:p>
    <w:p w:rsidR="006E0EA0" w:rsidRDefault="006E0EA0">
      <w:pPr>
        <w:spacing w:line="600" w:lineRule="exact"/>
        <w:ind w:firstLine="640"/>
        <w:rPr>
          <w:rFonts w:ascii="仿宋_GB2312" w:eastAsia="仿宋_GB2312" w:hint="eastAsia"/>
          <w:b/>
          <w:sz w:val="32"/>
          <w:szCs w:val="32"/>
        </w:rPr>
      </w:pPr>
    </w:p>
    <w:p w:rsidR="006E0EA0" w:rsidRDefault="006E0EA0">
      <w:pPr>
        <w:spacing w:line="600" w:lineRule="exact"/>
        <w:ind w:firstLine="640"/>
        <w:rPr>
          <w:rFonts w:ascii="仿宋_GB2312" w:eastAsia="仿宋_GB2312" w:hint="eastAsia"/>
          <w:b/>
          <w:sz w:val="32"/>
          <w:szCs w:val="32"/>
        </w:rPr>
      </w:pPr>
    </w:p>
    <w:p w:rsidR="006E0EA0" w:rsidRDefault="006E0EA0">
      <w:pPr>
        <w:spacing w:line="600" w:lineRule="exact"/>
        <w:ind w:firstLine="640"/>
        <w:rPr>
          <w:rFonts w:ascii="仿宋_GB2312" w:eastAsia="仿宋_GB2312" w:hint="eastAsia"/>
          <w:b/>
          <w:sz w:val="32"/>
          <w:szCs w:val="32"/>
        </w:rPr>
      </w:pPr>
      <w:r>
        <w:rPr>
          <w:rFonts w:ascii="仿宋_GB2312" w:eastAsia="仿宋_GB2312" w:hint="eastAsia"/>
          <w:b/>
          <w:sz w:val="32"/>
          <w:szCs w:val="32"/>
        </w:rPr>
        <w:lastRenderedPageBreak/>
        <w:t>1.因公出国（境）经费支出</w:t>
      </w:r>
      <w:r>
        <w:rPr>
          <w:rFonts w:ascii="仿宋_GB2312" w:eastAsia="仿宋_GB2312" w:hint="eastAsia"/>
          <w:sz w:val="32"/>
          <w:szCs w:val="32"/>
        </w:rPr>
        <w:t>0万元。</w:t>
      </w:r>
    </w:p>
    <w:p w:rsidR="006E0EA0" w:rsidRDefault="006E0EA0">
      <w:pPr>
        <w:spacing w:line="600" w:lineRule="exact"/>
        <w:ind w:firstLineChars="200" w:firstLine="643"/>
        <w:rPr>
          <w:rFonts w:ascii="仿宋_GB2312" w:eastAsia="仿宋_GB2312" w:hint="eastAsia"/>
          <w:sz w:val="32"/>
          <w:szCs w:val="32"/>
        </w:rPr>
      </w:pPr>
      <w:r>
        <w:rPr>
          <w:rFonts w:ascii="仿宋_GB2312" w:eastAsia="仿宋_GB2312" w:hint="eastAsia"/>
          <w:b/>
          <w:sz w:val="32"/>
          <w:szCs w:val="32"/>
        </w:rPr>
        <w:t>2.公务用车购置及运行维护费支出</w:t>
      </w:r>
      <w:r>
        <w:rPr>
          <w:rFonts w:ascii="仿宋_GB2312" w:eastAsia="仿宋_GB2312" w:hint="eastAsia"/>
          <w:sz w:val="32"/>
          <w:szCs w:val="32"/>
        </w:rPr>
        <w:t>40.19万元。其中：</w:t>
      </w:r>
    </w:p>
    <w:p w:rsidR="006E0EA0" w:rsidRDefault="006E0EA0">
      <w:pPr>
        <w:spacing w:line="600" w:lineRule="exact"/>
        <w:ind w:firstLineChars="200" w:firstLine="643"/>
        <w:rPr>
          <w:rFonts w:ascii="仿宋_GB2312" w:eastAsia="仿宋_GB2312" w:hint="eastAsia"/>
          <w:b/>
          <w:sz w:val="32"/>
          <w:szCs w:val="32"/>
        </w:rPr>
      </w:pPr>
      <w:r>
        <w:rPr>
          <w:rFonts w:ascii="仿宋_GB2312" w:eastAsia="仿宋_GB2312" w:hint="eastAsia"/>
          <w:b/>
          <w:sz w:val="32"/>
          <w:szCs w:val="32"/>
        </w:rPr>
        <w:t>公务用车购置支出</w:t>
      </w:r>
      <w:r>
        <w:rPr>
          <w:rFonts w:ascii="仿宋_GB2312" w:eastAsia="仿宋_GB2312" w:hint="eastAsia"/>
          <w:sz w:val="32"/>
          <w:szCs w:val="32"/>
        </w:rPr>
        <w:t>21.66万元。全年按规定更新购置公务用车1辆，其中：轿车1辆、金额21.66万元主要用于更新。截至2017年12月底，单位共有公务用车4辆，其中：轿车2辆、越野车1辆、商务车1辆。</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18.53万元。主要用于招商引资、信访维稳、对外联络等所需的公务用车燃料费、维修费、过路过桥费、保险费等支出。</w:t>
      </w:r>
    </w:p>
    <w:p w:rsidR="006E0EA0" w:rsidRDefault="006E0EA0">
      <w:pPr>
        <w:spacing w:line="600" w:lineRule="exact"/>
        <w:ind w:firstLine="640"/>
        <w:rPr>
          <w:rFonts w:ascii="仿宋_GB2312" w:eastAsia="仿宋_GB2312"/>
          <w:b/>
          <w:sz w:val="32"/>
          <w:szCs w:val="32"/>
        </w:rPr>
      </w:pPr>
      <w:r>
        <w:rPr>
          <w:rFonts w:ascii="仿宋_GB2312" w:eastAsia="仿宋_GB2312" w:hint="eastAsia"/>
          <w:sz w:val="32"/>
          <w:szCs w:val="32"/>
        </w:rPr>
        <w:t>公务用车购置及运行维护费支出决算比2016年增加/减少25.34万元，下降57.76%。主要原因一是公车改革；二是置换公务用车1辆，减少了运行维护费；三是根据审计要求，调整细化了相关科目。</w:t>
      </w:r>
    </w:p>
    <w:p w:rsidR="006E0EA0" w:rsidRDefault="006E0EA0">
      <w:pPr>
        <w:spacing w:line="600" w:lineRule="exact"/>
        <w:ind w:firstLine="640"/>
        <w:rPr>
          <w:rFonts w:ascii="仿宋_GB2312" w:eastAsia="仿宋_GB2312"/>
          <w:b/>
          <w:sz w:val="32"/>
          <w:szCs w:val="32"/>
        </w:rPr>
      </w:pPr>
      <w:r>
        <w:rPr>
          <w:rFonts w:ascii="仿宋_GB2312" w:eastAsia="仿宋_GB2312" w:hint="eastAsia"/>
          <w:b/>
          <w:sz w:val="32"/>
          <w:szCs w:val="32"/>
        </w:rPr>
        <w:t>3.公务接待费支出</w:t>
      </w:r>
      <w:r>
        <w:rPr>
          <w:rFonts w:ascii="仿宋_GB2312" w:eastAsia="仿宋_GB2312" w:hint="eastAsia"/>
          <w:sz w:val="32"/>
          <w:szCs w:val="32"/>
        </w:rPr>
        <w:t>0万元。</w:t>
      </w:r>
    </w:p>
    <w:p w:rsidR="006E0EA0" w:rsidRDefault="006E0EA0">
      <w:pPr>
        <w:spacing w:line="600" w:lineRule="exact"/>
        <w:ind w:firstLine="640"/>
        <w:rPr>
          <w:rFonts w:ascii="黑体" w:eastAsia="黑体" w:hint="eastAsia"/>
          <w:sz w:val="32"/>
          <w:szCs w:val="32"/>
        </w:rPr>
      </w:pPr>
      <w:r>
        <w:rPr>
          <w:rFonts w:ascii="黑体" w:eastAsia="黑体" w:hint="eastAsia"/>
          <w:sz w:val="32"/>
          <w:szCs w:val="32"/>
        </w:rPr>
        <w:t>八、政府性基金预算支出决算情况说明</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sz w:val="32"/>
          <w:szCs w:val="32"/>
        </w:rPr>
        <w:t>2017年度政府性基金预算拨款支出0万元。</w:t>
      </w:r>
    </w:p>
    <w:p w:rsidR="006E0EA0" w:rsidRDefault="006E0EA0">
      <w:pPr>
        <w:spacing w:line="600" w:lineRule="exact"/>
        <w:ind w:firstLine="640"/>
        <w:rPr>
          <w:rFonts w:ascii="黑体" w:eastAsia="黑体" w:hint="eastAsia"/>
          <w:sz w:val="32"/>
          <w:szCs w:val="32"/>
        </w:rPr>
      </w:pPr>
      <w:r>
        <w:rPr>
          <w:rFonts w:ascii="黑体" w:eastAsia="黑体" w:hint="eastAsia"/>
          <w:sz w:val="32"/>
          <w:szCs w:val="32"/>
        </w:rPr>
        <w:t>九、国有资本经营预算支出决算情况说明</w:t>
      </w:r>
    </w:p>
    <w:p w:rsidR="006E0EA0" w:rsidRDefault="006E0EA0">
      <w:pPr>
        <w:spacing w:line="600" w:lineRule="exact"/>
        <w:ind w:firstLine="640"/>
        <w:rPr>
          <w:rFonts w:ascii="仿宋_GB2312" w:eastAsia="仿宋_GB2312" w:hint="eastAsia"/>
          <w:sz w:val="32"/>
          <w:szCs w:val="32"/>
        </w:rPr>
      </w:pPr>
      <w:r>
        <w:rPr>
          <w:rFonts w:ascii="仿宋_GB2312" w:eastAsia="仿宋_GB2312" w:hint="eastAsia"/>
          <w:sz w:val="32"/>
          <w:szCs w:val="32"/>
        </w:rPr>
        <w:t>2017年度国有资本经营预算拨款支出0万元。</w:t>
      </w:r>
    </w:p>
    <w:p w:rsidR="006E0EA0" w:rsidRDefault="006E0EA0">
      <w:pPr>
        <w:spacing w:line="600" w:lineRule="exact"/>
        <w:ind w:firstLineChars="200" w:firstLine="640"/>
        <w:rPr>
          <w:rFonts w:ascii="黑体" w:eastAsia="黑体"/>
          <w:sz w:val="32"/>
          <w:szCs w:val="32"/>
        </w:rPr>
      </w:pPr>
      <w:r>
        <w:rPr>
          <w:rFonts w:ascii="黑体" w:eastAsia="黑体" w:hint="eastAsia"/>
          <w:sz w:val="32"/>
          <w:szCs w:val="32"/>
        </w:rPr>
        <w:t>十、其他重要事项的情况说明</w:t>
      </w:r>
    </w:p>
    <w:p w:rsidR="006E0EA0" w:rsidRDefault="006E0EA0">
      <w:pPr>
        <w:spacing w:line="600" w:lineRule="exact"/>
        <w:ind w:firstLineChars="200" w:firstLine="643"/>
        <w:rPr>
          <w:rFonts w:ascii="仿宋_GB2312" w:eastAsia="仿宋_GB2312" w:hint="eastAsia"/>
          <w:sz w:val="32"/>
          <w:szCs w:val="32"/>
        </w:rPr>
      </w:pPr>
      <w:r>
        <w:rPr>
          <w:rFonts w:ascii="仿宋_GB2312" w:eastAsia="仿宋_GB2312" w:hint="eastAsia"/>
          <w:b/>
          <w:sz w:val="32"/>
          <w:szCs w:val="32"/>
        </w:rPr>
        <w:t>（一）机关运行经费支出情况</w:t>
      </w: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2017年度，攀枝花市人民政府驻北京联络处机关运行经费支出59.39万元，比2016年减少86.39万元，下降59.26%。</w:t>
      </w:r>
    </w:p>
    <w:p w:rsidR="006E0EA0" w:rsidRDefault="006E0EA0">
      <w:pPr>
        <w:autoSpaceDE w:val="0"/>
        <w:autoSpaceDN w:val="0"/>
        <w:adjustRightInd w:val="0"/>
        <w:spacing w:line="600" w:lineRule="exact"/>
        <w:ind w:firstLineChars="200" w:firstLine="643"/>
        <w:jc w:val="left"/>
        <w:rPr>
          <w:rFonts w:ascii="仿宋_GB2312" w:eastAsia="仿宋_GB2312"/>
          <w:b/>
          <w:sz w:val="32"/>
          <w:szCs w:val="32"/>
        </w:rPr>
      </w:pPr>
      <w:r>
        <w:rPr>
          <w:rFonts w:ascii="仿宋_GB2312" w:eastAsia="仿宋_GB2312" w:hint="eastAsia"/>
          <w:b/>
          <w:sz w:val="32"/>
          <w:szCs w:val="32"/>
        </w:rPr>
        <w:t>（二）政府采购支出情况</w:t>
      </w:r>
    </w:p>
    <w:p w:rsidR="006E0EA0" w:rsidRDefault="006E0EA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2017年度，联络处政府采购支出总额21.66万元，其中：政府采购货物支出21.66万元。主要用于公务用车置换。</w:t>
      </w:r>
    </w:p>
    <w:p w:rsidR="006E0EA0" w:rsidRDefault="006E0EA0">
      <w:pPr>
        <w:autoSpaceDE w:val="0"/>
        <w:autoSpaceDN w:val="0"/>
        <w:adjustRightInd w:val="0"/>
        <w:spacing w:line="600" w:lineRule="exact"/>
        <w:ind w:firstLineChars="200" w:firstLine="643"/>
        <w:jc w:val="left"/>
        <w:rPr>
          <w:rFonts w:ascii="仿宋_GB2312" w:eastAsia="仿宋_GB2312"/>
          <w:b/>
          <w:sz w:val="32"/>
          <w:szCs w:val="32"/>
        </w:rPr>
      </w:pPr>
      <w:r>
        <w:rPr>
          <w:rFonts w:ascii="仿宋_GB2312" w:eastAsia="仿宋_GB2312" w:hint="eastAsia"/>
          <w:b/>
          <w:sz w:val="32"/>
          <w:szCs w:val="32"/>
        </w:rPr>
        <w:t>（三）国有资产占有使用情况</w:t>
      </w:r>
    </w:p>
    <w:p w:rsidR="006E0EA0" w:rsidRDefault="006E0EA0">
      <w:pPr>
        <w:autoSpaceDE w:val="0"/>
        <w:autoSpaceDN w:val="0"/>
        <w:adjustRightInd w:val="0"/>
        <w:spacing w:line="600" w:lineRule="exact"/>
        <w:ind w:firstLineChars="200" w:firstLine="640"/>
        <w:jc w:val="left"/>
        <w:rPr>
          <w:rFonts w:ascii="仿宋_GB2312" w:eastAsia="仿宋_GB2312" w:hint="eastAsia"/>
          <w:sz w:val="32"/>
          <w:szCs w:val="32"/>
        </w:rPr>
      </w:pPr>
      <w:r>
        <w:rPr>
          <w:rFonts w:ascii="仿宋_GB2312" w:eastAsia="仿宋_GB2312" w:hint="eastAsia"/>
          <w:sz w:val="32"/>
          <w:szCs w:val="32"/>
        </w:rPr>
        <w:t>截至2017年12月31日，联络处共有车辆4辆，其中：一般公务用车4辆；单价50万元以上通用设备0台（套），单价100万元以上专用设备0台（套）。</w:t>
      </w:r>
    </w:p>
    <w:p w:rsidR="006E0EA0" w:rsidRDefault="006E0EA0">
      <w:pPr>
        <w:autoSpaceDE w:val="0"/>
        <w:autoSpaceDN w:val="0"/>
        <w:adjustRightInd w:val="0"/>
        <w:spacing w:line="600" w:lineRule="exact"/>
        <w:ind w:firstLineChars="200" w:firstLine="643"/>
        <w:jc w:val="left"/>
        <w:rPr>
          <w:rFonts w:ascii="仿宋_GB2312" w:eastAsia="仿宋_GB2312" w:hint="eastAsia"/>
          <w:b/>
          <w:sz w:val="32"/>
          <w:szCs w:val="32"/>
        </w:rPr>
      </w:pPr>
      <w:r>
        <w:rPr>
          <w:rFonts w:ascii="仿宋_GB2312" w:eastAsia="仿宋_GB2312" w:hint="eastAsia"/>
          <w:b/>
          <w:sz w:val="32"/>
          <w:szCs w:val="32"/>
        </w:rPr>
        <w:t>（四）预算绩效情况</w:t>
      </w:r>
    </w:p>
    <w:p w:rsidR="006E0EA0" w:rsidRDefault="006E0EA0">
      <w:pPr>
        <w:spacing w:line="600" w:lineRule="atLeast"/>
        <w:ind w:firstLineChars="200" w:firstLine="640"/>
        <w:rPr>
          <w:rFonts w:ascii="仿宋_GB2312" w:eastAsia="仿宋_GB2312"/>
          <w:sz w:val="32"/>
          <w:szCs w:val="32"/>
        </w:rPr>
      </w:pPr>
      <w:r>
        <w:rPr>
          <w:rFonts w:ascii="仿宋_GB2312" w:eastAsia="仿宋_GB2312" w:hint="eastAsia"/>
          <w:sz w:val="32"/>
          <w:szCs w:val="32"/>
        </w:rPr>
        <w:t>1.绩效目标管理情况。</w:t>
      </w:r>
    </w:p>
    <w:p w:rsidR="006E0EA0" w:rsidRDefault="006E0EA0">
      <w:pPr>
        <w:spacing w:line="600" w:lineRule="atLeast"/>
        <w:ind w:firstLineChars="200" w:firstLine="640"/>
        <w:rPr>
          <w:rFonts w:ascii="仿宋_GB2312" w:eastAsia="仿宋_GB2312" w:hint="eastAsia"/>
          <w:sz w:val="32"/>
          <w:szCs w:val="32"/>
        </w:rPr>
      </w:pPr>
      <w:r>
        <w:rPr>
          <w:rFonts w:ascii="仿宋_GB2312" w:eastAsia="仿宋_GB2312" w:hint="eastAsia"/>
          <w:sz w:val="32"/>
          <w:szCs w:val="32"/>
        </w:rPr>
        <w:t>按照预算绩效管理要求，本部门对2017年一般公共预算项目支出开展了绩效目标管理，共编制绩效目标3个，涉及财政资金257.34万元，覆盖率达到100%。</w:t>
      </w:r>
    </w:p>
    <w:p w:rsidR="006E0EA0" w:rsidRDefault="006E0EA0">
      <w:pPr>
        <w:spacing w:line="600" w:lineRule="atLeast"/>
        <w:ind w:firstLineChars="200" w:firstLine="640"/>
        <w:rPr>
          <w:rFonts w:ascii="仿宋_GB2312" w:eastAsia="仿宋_GB2312" w:hint="eastAsia"/>
          <w:sz w:val="32"/>
          <w:szCs w:val="32"/>
        </w:rPr>
      </w:pPr>
      <w:r>
        <w:rPr>
          <w:rFonts w:ascii="仿宋_GB2312" w:eastAsia="仿宋_GB2312" w:hint="eastAsia"/>
          <w:sz w:val="32"/>
          <w:szCs w:val="32"/>
        </w:rPr>
        <w:t>2.部门整体支出绩效自评开展情况。</w:t>
      </w:r>
    </w:p>
    <w:p w:rsidR="006E0EA0" w:rsidRDefault="006E0EA0">
      <w:pPr>
        <w:spacing w:line="600" w:lineRule="atLeast"/>
        <w:ind w:firstLineChars="200" w:firstLine="640"/>
        <w:rPr>
          <w:rFonts w:ascii="仿宋_GB2312" w:eastAsia="仿宋_GB2312" w:hint="eastAsia"/>
          <w:sz w:val="32"/>
          <w:szCs w:val="32"/>
        </w:rPr>
      </w:pPr>
      <w:r>
        <w:rPr>
          <w:rFonts w:ascii="仿宋_GB2312" w:eastAsia="仿宋_GB2312" w:hint="eastAsia"/>
          <w:sz w:val="32"/>
          <w:szCs w:val="32"/>
        </w:rPr>
        <w:t>按照预算绩效管理要求，本部门对2017年整体支出开展绩效自评，自评得分98分，存在的问题：一是预算执行进度监控需要进一步加强，二是绩效目标动态监控需要进一步强化。下一步改进措施：一是加强与财政相关部门的协调与沟通，强化预算前期编制、中后期预算执行的动态监控，二是加强前期科学评估，增强后期绩效目标动态监控能力。</w:t>
      </w:r>
    </w:p>
    <w:p w:rsidR="006E0EA0" w:rsidRDefault="006E0EA0">
      <w:pPr>
        <w:jc w:val="center"/>
        <w:rPr>
          <w:rFonts w:ascii="黑体" w:eastAsia="黑体" w:hAnsi="黑体" w:hint="eastAsia"/>
          <w:sz w:val="32"/>
          <w:szCs w:val="32"/>
        </w:rPr>
      </w:pPr>
      <w:r>
        <w:rPr>
          <w:rFonts w:ascii="黑体" w:eastAsia="黑体" w:hAnsi="黑体" w:hint="eastAsia"/>
          <w:sz w:val="32"/>
          <w:szCs w:val="32"/>
        </w:rPr>
        <w:t>2017年部门整体支出绩效评价得分表</w:t>
      </w:r>
    </w:p>
    <w:tbl>
      <w:tblPr>
        <w:tblW w:w="0" w:type="auto"/>
        <w:tblInd w:w="-176" w:type="dxa"/>
        <w:tblLayout w:type="fixed"/>
        <w:tblLook w:val="0000" w:firstRow="0" w:lastRow="0" w:firstColumn="0" w:lastColumn="0" w:noHBand="0" w:noVBand="0"/>
      </w:tblPr>
      <w:tblGrid>
        <w:gridCol w:w="1702"/>
        <w:gridCol w:w="2268"/>
        <w:gridCol w:w="3402"/>
        <w:gridCol w:w="2126"/>
      </w:tblGrid>
      <w:tr w:rsidR="006E0EA0">
        <w:trPr>
          <w:trHeight w:val="240"/>
        </w:trPr>
        <w:tc>
          <w:tcPr>
            <w:tcW w:w="1702" w:type="dxa"/>
            <w:tcBorders>
              <w:top w:val="single" w:sz="4" w:space="0" w:color="auto"/>
              <w:left w:val="single" w:sz="4" w:space="0" w:color="auto"/>
              <w:bottom w:val="single" w:sz="4" w:space="0" w:color="auto"/>
              <w:right w:val="single" w:sz="4" w:space="0" w:color="auto"/>
            </w:tcBorders>
            <w:vAlign w:val="center"/>
          </w:tcPr>
          <w:p w:rsidR="006E0EA0" w:rsidRDefault="006E0EA0">
            <w:pPr>
              <w:widowControl/>
              <w:jc w:val="center"/>
              <w:rPr>
                <w:rFonts w:ascii="宋体" w:hAnsi="宋体" w:cs="宋体"/>
                <w:b/>
                <w:bCs/>
                <w:kern w:val="0"/>
                <w:sz w:val="20"/>
                <w:szCs w:val="20"/>
              </w:rPr>
            </w:pPr>
            <w:r>
              <w:rPr>
                <w:rFonts w:ascii="宋体" w:hAnsi="宋体" w:cs="宋体" w:hint="eastAsia"/>
                <w:b/>
                <w:bCs/>
                <w:kern w:val="0"/>
                <w:sz w:val="20"/>
                <w:szCs w:val="20"/>
              </w:rPr>
              <w:t>一级指标</w:t>
            </w:r>
          </w:p>
        </w:tc>
        <w:tc>
          <w:tcPr>
            <w:tcW w:w="2268" w:type="dxa"/>
            <w:tcBorders>
              <w:top w:val="single" w:sz="4" w:space="0" w:color="auto"/>
              <w:left w:val="nil"/>
              <w:bottom w:val="single" w:sz="4" w:space="0" w:color="auto"/>
              <w:right w:val="single" w:sz="4" w:space="0" w:color="auto"/>
            </w:tcBorders>
            <w:vAlign w:val="center"/>
          </w:tcPr>
          <w:p w:rsidR="006E0EA0" w:rsidRDefault="006E0EA0">
            <w:pPr>
              <w:widowControl/>
              <w:jc w:val="center"/>
              <w:rPr>
                <w:rFonts w:ascii="宋体" w:hAnsi="宋体" w:cs="宋体"/>
                <w:b/>
                <w:bCs/>
                <w:kern w:val="0"/>
                <w:sz w:val="20"/>
                <w:szCs w:val="20"/>
              </w:rPr>
            </w:pPr>
            <w:r>
              <w:rPr>
                <w:rFonts w:ascii="宋体" w:hAnsi="宋体" w:cs="宋体" w:hint="eastAsia"/>
                <w:b/>
                <w:bCs/>
                <w:kern w:val="0"/>
                <w:sz w:val="20"/>
                <w:szCs w:val="20"/>
              </w:rPr>
              <w:t>二级指标</w:t>
            </w:r>
          </w:p>
        </w:tc>
        <w:tc>
          <w:tcPr>
            <w:tcW w:w="3402" w:type="dxa"/>
            <w:tcBorders>
              <w:top w:val="single" w:sz="4" w:space="0" w:color="auto"/>
              <w:left w:val="nil"/>
              <w:bottom w:val="single" w:sz="4" w:space="0" w:color="auto"/>
              <w:right w:val="single" w:sz="4" w:space="0" w:color="auto"/>
            </w:tcBorders>
            <w:vAlign w:val="center"/>
          </w:tcPr>
          <w:p w:rsidR="006E0EA0" w:rsidRDefault="006E0EA0">
            <w:pPr>
              <w:widowControl/>
              <w:jc w:val="center"/>
              <w:rPr>
                <w:rFonts w:ascii="宋体" w:hAnsi="宋体" w:cs="宋体"/>
                <w:b/>
                <w:bCs/>
                <w:kern w:val="0"/>
                <w:sz w:val="20"/>
                <w:szCs w:val="20"/>
              </w:rPr>
            </w:pPr>
            <w:r>
              <w:rPr>
                <w:rFonts w:ascii="宋体" w:hAnsi="宋体" w:cs="宋体" w:hint="eastAsia"/>
                <w:b/>
                <w:bCs/>
                <w:kern w:val="0"/>
                <w:sz w:val="20"/>
                <w:szCs w:val="20"/>
              </w:rPr>
              <w:t>三级指标</w:t>
            </w:r>
          </w:p>
        </w:tc>
        <w:tc>
          <w:tcPr>
            <w:tcW w:w="2126" w:type="dxa"/>
            <w:tcBorders>
              <w:top w:val="single" w:sz="4" w:space="0" w:color="auto"/>
              <w:left w:val="nil"/>
              <w:bottom w:val="single" w:sz="4" w:space="0" w:color="auto"/>
              <w:right w:val="single" w:sz="4" w:space="0" w:color="auto"/>
            </w:tcBorders>
          </w:tcPr>
          <w:p w:rsidR="006E0EA0" w:rsidRDefault="006E0EA0">
            <w:pPr>
              <w:widowControl/>
              <w:jc w:val="center"/>
              <w:rPr>
                <w:rFonts w:ascii="宋体" w:hAnsi="宋体" w:cs="宋体" w:hint="eastAsia"/>
                <w:b/>
                <w:bCs/>
                <w:kern w:val="0"/>
                <w:sz w:val="20"/>
                <w:szCs w:val="20"/>
              </w:rPr>
            </w:pPr>
            <w:r>
              <w:rPr>
                <w:rFonts w:ascii="宋体" w:hAnsi="宋体" w:cs="宋体" w:hint="eastAsia"/>
                <w:b/>
                <w:bCs/>
                <w:kern w:val="0"/>
                <w:sz w:val="20"/>
                <w:szCs w:val="20"/>
              </w:rPr>
              <w:t>得分</w:t>
            </w:r>
          </w:p>
        </w:tc>
      </w:tr>
      <w:tr w:rsidR="006E0EA0">
        <w:trPr>
          <w:trHeight w:val="520"/>
        </w:trPr>
        <w:tc>
          <w:tcPr>
            <w:tcW w:w="1702" w:type="dxa"/>
            <w:vMerge w:val="restart"/>
            <w:tcBorders>
              <w:top w:val="nil"/>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部门决策（25分）</w:t>
            </w: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目标任务（15分）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相关性（5分）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5</w:t>
            </w:r>
          </w:p>
        </w:tc>
      </w:tr>
      <w:tr w:rsidR="006E0EA0">
        <w:trPr>
          <w:trHeight w:val="413"/>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明确性（5分）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5</w:t>
            </w:r>
          </w:p>
        </w:tc>
      </w:tr>
      <w:tr w:rsidR="006E0EA0">
        <w:trPr>
          <w:trHeight w:val="420"/>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合理性（5分）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5</w:t>
            </w:r>
          </w:p>
        </w:tc>
      </w:tr>
      <w:tr w:rsidR="006E0EA0">
        <w:trPr>
          <w:trHeight w:val="269"/>
        </w:trPr>
        <w:tc>
          <w:tcPr>
            <w:tcW w:w="1702" w:type="dxa"/>
            <w:vMerge/>
            <w:tcBorders>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预算编制（10分）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测算依据（5分）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5</w:t>
            </w:r>
          </w:p>
        </w:tc>
      </w:tr>
      <w:tr w:rsidR="006E0EA0">
        <w:trPr>
          <w:trHeight w:val="231"/>
        </w:trPr>
        <w:tc>
          <w:tcPr>
            <w:tcW w:w="1702" w:type="dxa"/>
            <w:vMerge/>
            <w:tcBorders>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目标管理（5分）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5</w:t>
            </w:r>
          </w:p>
        </w:tc>
      </w:tr>
      <w:tr w:rsidR="006E0EA0">
        <w:trPr>
          <w:trHeight w:val="477"/>
        </w:trPr>
        <w:tc>
          <w:tcPr>
            <w:tcW w:w="1702" w:type="dxa"/>
            <w:vMerge w:val="restart"/>
            <w:tcBorders>
              <w:top w:val="nil"/>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综合管理（30分）</w:t>
            </w: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专项资金分配时限（2分）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省级财力专项预算分配时限（1分）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1</w:t>
            </w:r>
          </w:p>
        </w:tc>
      </w:tr>
      <w:tr w:rsidR="006E0EA0">
        <w:trPr>
          <w:trHeight w:val="413"/>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中央专款分配合</w:t>
            </w:r>
            <w:proofErr w:type="gramStart"/>
            <w:r>
              <w:rPr>
                <w:rFonts w:ascii="宋体" w:hAnsi="宋体" w:cs="宋体" w:hint="eastAsia"/>
                <w:kern w:val="0"/>
                <w:sz w:val="20"/>
                <w:szCs w:val="20"/>
              </w:rPr>
              <w:t>规</w:t>
            </w:r>
            <w:proofErr w:type="gramEnd"/>
            <w:r>
              <w:rPr>
                <w:rFonts w:ascii="宋体" w:hAnsi="宋体" w:cs="宋体" w:hint="eastAsia"/>
                <w:kern w:val="0"/>
                <w:sz w:val="20"/>
                <w:szCs w:val="20"/>
              </w:rPr>
              <w:t>率（1分）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1</w:t>
            </w:r>
          </w:p>
        </w:tc>
      </w:tr>
      <w:tr w:rsidR="006E0EA0">
        <w:trPr>
          <w:trHeight w:val="277"/>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中期评估（2分）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执行中期评估（2分）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381"/>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绩效监控（5分）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预算执行进度监控（2分）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1</w:t>
            </w:r>
          </w:p>
        </w:tc>
      </w:tr>
      <w:tr w:rsidR="006E0EA0">
        <w:trPr>
          <w:trHeight w:val="273"/>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绩效目标动态监控（3分）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235"/>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非</w:t>
            </w:r>
            <w:proofErr w:type="gramStart"/>
            <w:r>
              <w:rPr>
                <w:rFonts w:ascii="宋体" w:hAnsi="宋体" w:cs="宋体" w:hint="eastAsia"/>
                <w:kern w:val="0"/>
                <w:sz w:val="20"/>
                <w:szCs w:val="20"/>
              </w:rPr>
              <w:t>税收入执收</w:t>
            </w:r>
            <w:proofErr w:type="gramEnd"/>
            <w:r>
              <w:rPr>
                <w:rFonts w:ascii="宋体" w:hAnsi="宋体" w:cs="宋体" w:hint="eastAsia"/>
                <w:kern w:val="0"/>
                <w:sz w:val="20"/>
                <w:szCs w:val="20"/>
              </w:rPr>
              <w:t>情况（2分）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非税收入征收情况（1分）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1</w:t>
            </w:r>
          </w:p>
        </w:tc>
      </w:tr>
      <w:tr w:rsidR="006E0EA0">
        <w:trPr>
          <w:trHeight w:val="325"/>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非税收入上缴情况（1分）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1</w:t>
            </w:r>
          </w:p>
        </w:tc>
      </w:tr>
      <w:tr w:rsidR="006E0EA0">
        <w:trPr>
          <w:trHeight w:val="287"/>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资产管理（6分）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资产管理信息化情况（2分）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235"/>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行政事业单位资产报告情况（2分）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353"/>
        </w:trPr>
        <w:tc>
          <w:tcPr>
            <w:tcW w:w="1702" w:type="dxa"/>
            <w:vMerge/>
            <w:tcBorders>
              <w:left w:val="single" w:sz="4" w:space="0" w:color="auto"/>
              <w:right w:val="single" w:sz="4" w:space="0" w:color="auto"/>
            </w:tcBorders>
            <w:vAlign w:val="center"/>
          </w:tcPr>
          <w:p w:rsidR="006E0EA0" w:rsidRDefault="006E0EA0">
            <w:pPr>
              <w:jc w:val="center"/>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资产管理与预算管理相结合（2分）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272"/>
        </w:trPr>
        <w:tc>
          <w:tcPr>
            <w:tcW w:w="1702" w:type="dxa"/>
            <w:vMerge/>
            <w:tcBorders>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p>
        </w:tc>
        <w:tc>
          <w:tcPr>
            <w:tcW w:w="2268"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内控制度管理（2分）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内部控制</w:t>
            </w:r>
            <w:proofErr w:type="gramStart"/>
            <w:r>
              <w:rPr>
                <w:rFonts w:ascii="宋体" w:hAnsi="宋体" w:cs="宋体" w:hint="eastAsia"/>
                <w:kern w:val="0"/>
                <w:sz w:val="20"/>
                <w:szCs w:val="20"/>
              </w:rPr>
              <w:t>度健全</w:t>
            </w:r>
            <w:proofErr w:type="gramEnd"/>
            <w:r>
              <w:rPr>
                <w:rFonts w:ascii="宋体" w:hAnsi="宋体" w:cs="宋体" w:hint="eastAsia"/>
                <w:kern w:val="0"/>
                <w:sz w:val="20"/>
                <w:szCs w:val="20"/>
              </w:rPr>
              <w:t>完整（2分）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221"/>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信息公开（6分）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预算公开（2分）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197"/>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决算公开（2分）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287"/>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绩效信息公开（2分）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405"/>
        </w:trPr>
        <w:tc>
          <w:tcPr>
            <w:tcW w:w="1702" w:type="dxa"/>
            <w:vMerge/>
            <w:tcBorders>
              <w:left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绩效评价（5分）</w:t>
            </w: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绩效评价开展（2分）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2</w:t>
            </w:r>
          </w:p>
        </w:tc>
      </w:tr>
      <w:tr w:rsidR="006E0EA0">
        <w:trPr>
          <w:trHeight w:val="127"/>
        </w:trPr>
        <w:tc>
          <w:tcPr>
            <w:tcW w:w="1702" w:type="dxa"/>
            <w:vMerge/>
            <w:tcBorders>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评价结果应用（3分）</w:t>
            </w:r>
          </w:p>
        </w:tc>
        <w:tc>
          <w:tcPr>
            <w:tcW w:w="2126" w:type="dxa"/>
            <w:tcBorders>
              <w:top w:val="nil"/>
              <w:left w:val="nil"/>
              <w:bottom w:val="single" w:sz="4" w:space="0" w:color="auto"/>
              <w:right w:val="single" w:sz="4" w:space="0" w:color="auto"/>
            </w:tcBorders>
          </w:tcPr>
          <w:p w:rsidR="006E0EA0" w:rsidRDefault="006E0EA0">
            <w:pPr>
              <w:widowControl/>
              <w:jc w:val="left"/>
              <w:rPr>
                <w:rFonts w:ascii="宋体" w:hAnsi="宋体" w:cs="宋体" w:hint="eastAsia"/>
                <w:kern w:val="0"/>
                <w:sz w:val="20"/>
                <w:szCs w:val="20"/>
              </w:rPr>
            </w:pPr>
            <w:r>
              <w:rPr>
                <w:rFonts w:ascii="宋体" w:hAnsi="宋体" w:cs="宋体" w:hint="eastAsia"/>
                <w:kern w:val="0"/>
                <w:sz w:val="20"/>
                <w:szCs w:val="20"/>
              </w:rPr>
              <w:t>3</w:t>
            </w:r>
          </w:p>
        </w:tc>
      </w:tr>
      <w:tr w:rsidR="006E0EA0">
        <w:trPr>
          <w:trHeight w:val="231"/>
        </w:trPr>
        <w:tc>
          <w:tcPr>
            <w:tcW w:w="1702" w:type="dxa"/>
            <w:vMerge w:val="restart"/>
            <w:tcBorders>
              <w:top w:val="nil"/>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部门绩效情况（45分）</w:t>
            </w: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履职成效（20分）</w:t>
            </w: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部门特性指标</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p>
        </w:tc>
      </w:tr>
      <w:tr w:rsidR="006E0EA0">
        <w:trPr>
          <w:trHeight w:val="180"/>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外联接待</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7</w:t>
            </w:r>
          </w:p>
        </w:tc>
      </w:tr>
      <w:tr w:rsidR="006E0EA0">
        <w:trPr>
          <w:trHeight w:val="240"/>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hint="eastAsia"/>
                <w:kern w:val="0"/>
                <w:sz w:val="20"/>
                <w:szCs w:val="20"/>
              </w:rPr>
            </w:pPr>
            <w:proofErr w:type="gramStart"/>
            <w:r>
              <w:rPr>
                <w:rFonts w:ascii="宋体" w:hAnsi="宋体" w:cs="宋体" w:hint="eastAsia"/>
                <w:kern w:val="0"/>
                <w:sz w:val="20"/>
                <w:szCs w:val="20"/>
              </w:rPr>
              <w:t>信访维稳</w:t>
            </w:r>
            <w:proofErr w:type="gramEnd"/>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7</w:t>
            </w:r>
          </w:p>
        </w:tc>
      </w:tr>
      <w:tr w:rsidR="006E0EA0">
        <w:trPr>
          <w:trHeight w:val="240"/>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招商引资</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6</w:t>
            </w:r>
          </w:p>
        </w:tc>
      </w:tr>
      <w:tr w:rsidR="006E0EA0">
        <w:trPr>
          <w:trHeight w:val="157"/>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val="restart"/>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r>
              <w:rPr>
                <w:rFonts w:ascii="宋体" w:hAnsi="宋体" w:cs="宋体" w:hint="eastAsia"/>
                <w:kern w:val="0"/>
                <w:sz w:val="20"/>
                <w:szCs w:val="20"/>
              </w:rPr>
              <w:t>可持续发展能力（15分）</w:t>
            </w: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重点改革（重点工作）完成情况（5分）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5</w:t>
            </w:r>
          </w:p>
        </w:tc>
      </w:tr>
      <w:tr w:rsidR="006E0EA0">
        <w:trPr>
          <w:trHeight w:val="320"/>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科技（制度、方法、机制等）创新（5分）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5</w:t>
            </w:r>
          </w:p>
        </w:tc>
      </w:tr>
      <w:tr w:rsidR="006E0EA0">
        <w:trPr>
          <w:trHeight w:val="385"/>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人才培养（5分）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5</w:t>
            </w:r>
          </w:p>
        </w:tc>
      </w:tr>
      <w:tr w:rsidR="006E0EA0">
        <w:trPr>
          <w:trHeight w:val="432"/>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val="restart"/>
            <w:tcBorders>
              <w:top w:val="nil"/>
              <w:left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满意度（10分）</w:t>
            </w: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协作部门满意度（3分）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3</w:t>
            </w:r>
          </w:p>
        </w:tc>
      </w:tr>
      <w:tr w:rsidR="006E0EA0">
        <w:trPr>
          <w:trHeight w:val="396"/>
        </w:trPr>
        <w:tc>
          <w:tcPr>
            <w:tcW w:w="1702"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2268" w:type="dxa"/>
            <w:vMerge/>
            <w:tcBorders>
              <w:left w:val="single" w:sz="4" w:space="0" w:color="auto"/>
              <w:right w:val="single" w:sz="4" w:space="0" w:color="auto"/>
            </w:tcBorders>
            <w:vAlign w:val="center"/>
          </w:tcPr>
          <w:p w:rsidR="006E0EA0" w:rsidRDefault="006E0EA0">
            <w:pPr>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管理对象满意度（3分）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3</w:t>
            </w:r>
          </w:p>
        </w:tc>
      </w:tr>
      <w:tr w:rsidR="006E0EA0">
        <w:trPr>
          <w:trHeight w:val="411"/>
        </w:trPr>
        <w:tc>
          <w:tcPr>
            <w:tcW w:w="1702" w:type="dxa"/>
            <w:vMerge/>
            <w:tcBorders>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2268" w:type="dxa"/>
            <w:vMerge/>
            <w:tcBorders>
              <w:left w:val="single" w:sz="4" w:space="0" w:color="auto"/>
              <w:bottom w:val="single" w:sz="4" w:space="0" w:color="auto"/>
              <w:right w:val="single" w:sz="4" w:space="0" w:color="auto"/>
            </w:tcBorders>
            <w:vAlign w:val="center"/>
          </w:tcPr>
          <w:p w:rsidR="006E0EA0" w:rsidRDefault="006E0EA0">
            <w:pPr>
              <w:widowControl/>
              <w:jc w:val="left"/>
              <w:rPr>
                <w:rFonts w:ascii="宋体" w:hAnsi="宋体" w:cs="宋体"/>
                <w:kern w:val="0"/>
                <w:sz w:val="20"/>
                <w:szCs w:val="20"/>
              </w:rPr>
            </w:pPr>
          </w:p>
        </w:tc>
        <w:tc>
          <w:tcPr>
            <w:tcW w:w="3402" w:type="dxa"/>
            <w:tcBorders>
              <w:top w:val="nil"/>
              <w:left w:val="nil"/>
              <w:bottom w:val="single" w:sz="4" w:space="0" w:color="auto"/>
              <w:right w:val="single" w:sz="4" w:space="0" w:color="auto"/>
            </w:tcBorders>
            <w:vAlign w:val="center"/>
          </w:tcPr>
          <w:p w:rsidR="006E0EA0" w:rsidRDefault="006E0EA0">
            <w:pPr>
              <w:widowControl/>
              <w:jc w:val="center"/>
              <w:rPr>
                <w:rFonts w:ascii="宋体" w:hAnsi="宋体" w:cs="宋体"/>
                <w:kern w:val="0"/>
                <w:sz w:val="20"/>
                <w:szCs w:val="20"/>
              </w:rPr>
            </w:pPr>
            <w:r>
              <w:rPr>
                <w:rFonts w:ascii="宋体" w:hAnsi="宋体" w:cs="宋体" w:hint="eastAsia"/>
                <w:kern w:val="0"/>
                <w:sz w:val="20"/>
                <w:szCs w:val="20"/>
              </w:rPr>
              <w:t>社会公众满意度（4分）</w:t>
            </w:r>
          </w:p>
        </w:tc>
        <w:tc>
          <w:tcPr>
            <w:tcW w:w="2126" w:type="dxa"/>
            <w:tcBorders>
              <w:top w:val="nil"/>
              <w:left w:val="nil"/>
              <w:bottom w:val="single" w:sz="4" w:space="0" w:color="auto"/>
              <w:right w:val="single" w:sz="4" w:space="0" w:color="auto"/>
            </w:tcBorders>
          </w:tcPr>
          <w:p w:rsidR="006E0EA0" w:rsidRDefault="006E0EA0">
            <w:pPr>
              <w:widowControl/>
              <w:jc w:val="center"/>
              <w:rPr>
                <w:rFonts w:ascii="宋体" w:hAnsi="宋体" w:cs="宋体" w:hint="eastAsia"/>
                <w:kern w:val="0"/>
                <w:sz w:val="20"/>
                <w:szCs w:val="20"/>
              </w:rPr>
            </w:pPr>
            <w:r>
              <w:rPr>
                <w:rFonts w:ascii="宋体" w:hAnsi="宋体" w:cs="宋体" w:hint="eastAsia"/>
                <w:kern w:val="0"/>
                <w:sz w:val="20"/>
                <w:szCs w:val="20"/>
              </w:rPr>
              <w:t>4</w:t>
            </w:r>
          </w:p>
        </w:tc>
      </w:tr>
    </w:tbl>
    <w:p w:rsidR="006E0EA0" w:rsidRDefault="006E0EA0">
      <w:pPr>
        <w:rPr>
          <w:rFonts w:hint="eastAsia"/>
        </w:rPr>
      </w:pPr>
    </w:p>
    <w:p w:rsidR="006E0EA0" w:rsidRDefault="006E0EA0">
      <w:pPr>
        <w:spacing w:line="600" w:lineRule="atLeast"/>
        <w:ind w:firstLineChars="200" w:firstLine="640"/>
        <w:rPr>
          <w:rFonts w:ascii="仿宋_GB2312" w:eastAsia="仿宋_GB2312"/>
          <w:sz w:val="32"/>
          <w:szCs w:val="32"/>
        </w:rPr>
      </w:pPr>
      <w:r>
        <w:rPr>
          <w:rFonts w:ascii="仿宋_GB2312" w:eastAsia="仿宋_GB2312" w:hint="eastAsia"/>
          <w:sz w:val="32"/>
          <w:szCs w:val="32"/>
        </w:rPr>
        <w:t>3.部门自行组织绩效评价开展情况。</w:t>
      </w:r>
    </w:p>
    <w:p w:rsidR="006E0EA0" w:rsidRDefault="006E0EA0">
      <w:pPr>
        <w:spacing w:line="600" w:lineRule="atLeast"/>
        <w:ind w:firstLineChars="200" w:firstLine="640"/>
        <w:rPr>
          <w:rFonts w:ascii="仿宋_GB2312" w:eastAsia="仿宋_GB2312" w:hint="eastAsia"/>
          <w:sz w:val="32"/>
          <w:szCs w:val="32"/>
        </w:rPr>
      </w:pPr>
      <w:r>
        <w:rPr>
          <w:rFonts w:ascii="仿宋_GB2312" w:eastAsia="仿宋_GB2312" w:hint="eastAsia"/>
          <w:sz w:val="32"/>
          <w:szCs w:val="32"/>
        </w:rPr>
        <w:t>本部门因下属事业单位财务不独立，故未开展对下属单位市驻京交流服务中心开展了整体支出绩效评价。</w:t>
      </w:r>
    </w:p>
    <w:p w:rsidR="006E0EA0" w:rsidRDefault="006E0EA0">
      <w:pPr>
        <w:autoSpaceDE w:val="0"/>
        <w:autoSpaceDN w:val="0"/>
        <w:adjustRightInd w:val="0"/>
        <w:spacing w:line="600" w:lineRule="exact"/>
        <w:ind w:firstLineChars="200" w:firstLine="640"/>
        <w:jc w:val="left"/>
        <w:rPr>
          <w:rFonts w:ascii="黑体" w:eastAsia="黑体" w:hint="eastAsia"/>
          <w:sz w:val="32"/>
          <w:szCs w:val="32"/>
        </w:rPr>
      </w:pPr>
      <w:r>
        <w:rPr>
          <w:rFonts w:ascii="黑体" w:eastAsia="黑体" w:hint="eastAsia"/>
          <w:sz w:val="32"/>
          <w:szCs w:val="32"/>
        </w:rPr>
        <w:t>十一、名词解释</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1.财政拨款收入：指省级财政当年拨付的资金。 </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2.事业收入：指事业单位开展专业业务活动及辅助活动所取得的收入。</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3.经营收入：指事业单位在专业业务活动及其辅助活动之外开展非独立核算经营活动取得的收入。</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4.其他收入：指除上述“财政拨款收入”、“事业收入”、“经营收入”等以外的收入。主要是银行利息收入。 </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6.年初结转和结余：指以前年度尚未完成、结转到本年按有关规定继续使用的资金。 </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7.一般公共服务（类</w:t>
      </w:r>
      <w:r>
        <w:rPr>
          <w:rFonts w:ascii="仿宋_GB2312" w:eastAsia="仿宋_GB2312" w:hint="eastAsia"/>
          <w:b/>
          <w:color w:val="000000"/>
          <w:sz w:val="32"/>
          <w:szCs w:val="32"/>
        </w:rPr>
        <w:t>）</w:t>
      </w:r>
      <w:r>
        <w:rPr>
          <w:rStyle w:val="a3"/>
          <w:rFonts w:ascii="仿宋_GB2312" w:eastAsia="仿宋_GB2312" w:hint="eastAsia"/>
          <w:b w:val="0"/>
          <w:sz w:val="32"/>
          <w:szCs w:val="32"/>
        </w:rPr>
        <w:t>政府办公厅（室）及相关机构事务</w:t>
      </w:r>
      <w:r>
        <w:rPr>
          <w:rStyle w:val="a3"/>
          <w:rFonts w:ascii="仿宋_GB2312" w:eastAsia="仿宋_GB2312" w:hint="eastAsia"/>
          <w:b w:val="0"/>
          <w:color w:val="000000"/>
          <w:sz w:val="32"/>
          <w:szCs w:val="32"/>
        </w:rPr>
        <w:t>（款）行政运行（项）</w:t>
      </w:r>
      <w:r>
        <w:rPr>
          <w:rFonts w:ascii="仿宋_GB2312" w:eastAsia="仿宋_GB2312" w:hint="eastAsia"/>
          <w:b/>
          <w:color w:val="000000"/>
          <w:sz w:val="32"/>
          <w:szCs w:val="32"/>
        </w:rPr>
        <w:t>：</w:t>
      </w:r>
      <w:r>
        <w:rPr>
          <w:rFonts w:ascii="仿宋_GB2312" w:eastAsia="仿宋_GB2312" w:hint="eastAsia"/>
          <w:color w:val="000000"/>
          <w:sz w:val="32"/>
          <w:szCs w:val="32"/>
        </w:rPr>
        <w:t>指行政单位的基本支出。</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8.</w:t>
      </w:r>
      <w:r>
        <w:rPr>
          <w:rStyle w:val="a3"/>
          <w:rFonts w:ascii="仿宋_GB2312" w:eastAsia="仿宋_GB2312" w:hint="eastAsia"/>
          <w:b w:val="0"/>
          <w:color w:val="000000"/>
          <w:sz w:val="32"/>
          <w:szCs w:val="32"/>
        </w:rPr>
        <w:t>一般公共服务（类）</w:t>
      </w:r>
      <w:r>
        <w:rPr>
          <w:rStyle w:val="a3"/>
          <w:rFonts w:ascii="仿宋_GB2312" w:eastAsia="仿宋_GB2312" w:hint="eastAsia"/>
          <w:b w:val="0"/>
          <w:sz w:val="32"/>
          <w:szCs w:val="32"/>
        </w:rPr>
        <w:t>政府办公厅（室）及相关机构事务</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一般行政管理事务</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指行政单位未单独设置项级科目的其他项目支出。</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9.</w:t>
      </w:r>
      <w:r>
        <w:rPr>
          <w:rStyle w:val="a3"/>
          <w:rFonts w:ascii="仿宋_GB2312" w:eastAsia="仿宋_GB2312" w:hint="eastAsia"/>
          <w:b w:val="0"/>
          <w:color w:val="000000"/>
          <w:sz w:val="32"/>
          <w:szCs w:val="32"/>
        </w:rPr>
        <w:t>一般公共服务（类）</w:t>
      </w:r>
      <w:r>
        <w:rPr>
          <w:rStyle w:val="a3"/>
          <w:rFonts w:ascii="仿宋_GB2312" w:eastAsia="仿宋_GB2312" w:hint="eastAsia"/>
          <w:b w:val="0"/>
          <w:sz w:val="32"/>
          <w:szCs w:val="32"/>
        </w:rPr>
        <w:t>政府办公厅（室）及相关机构事务</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事业运行</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指事业单位基本支出。</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10.</w:t>
      </w:r>
      <w:r>
        <w:rPr>
          <w:rStyle w:val="a3"/>
          <w:rFonts w:ascii="仿宋_GB2312" w:eastAsia="仿宋_GB2312" w:hint="eastAsia"/>
          <w:b w:val="0"/>
          <w:color w:val="000000"/>
          <w:sz w:val="32"/>
          <w:szCs w:val="32"/>
        </w:rPr>
        <w:t>一般公共服务（类）</w:t>
      </w:r>
      <w:r>
        <w:rPr>
          <w:rStyle w:val="a3"/>
          <w:rFonts w:ascii="仿宋_GB2312" w:eastAsia="仿宋_GB2312" w:hint="eastAsia"/>
          <w:b w:val="0"/>
          <w:sz w:val="32"/>
          <w:szCs w:val="32"/>
        </w:rPr>
        <w:t>商贸事务</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招商引资</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指用于招商引资方面支出。</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lastRenderedPageBreak/>
        <w:t>11.</w:t>
      </w:r>
      <w:r>
        <w:rPr>
          <w:rStyle w:val="a3"/>
          <w:rFonts w:ascii="仿宋_GB2312" w:eastAsia="仿宋_GB2312" w:hint="eastAsia"/>
          <w:b w:val="0"/>
          <w:color w:val="000000"/>
          <w:sz w:val="32"/>
          <w:szCs w:val="32"/>
        </w:rPr>
        <w:t>一般公共服务（类）</w:t>
      </w:r>
      <w:r>
        <w:rPr>
          <w:rStyle w:val="a3"/>
          <w:rFonts w:ascii="仿宋_GB2312" w:eastAsia="仿宋_GB2312" w:hint="eastAsia"/>
          <w:b w:val="0"/>
          <w:sz w:val="32"/>
          <w:szCs w:val="32"/>
        </w:rPr>
        <w:t>党委办公厅（室）及相关机构事务</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一般行政管理事务</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指行政单位未单独设置项级科目的其他项目支出。</w:t>
      </w:r>
    </w:p>
    <w:p w:rsidR="006E0EA0" w:rsidRDefault="006E0EA0">
      <w:pPr>
        <w:ind w:firstLineChars="200" w:firstLine="640"/>
        <w:rPr>
          <w:rStyle w:val="a3"/>
          <w:rFonts w:ascii="仿宋_GB2312" w:eastAsia="仿宋_GB2312" w:hint="eastAsia"/>
          <w:b w:val="0"/>
          <w:color w:val="000000"/>
          <w:sz w:val="32"/>
          <w:szCs w:val="32"/>
        </w:rPr>
      </w:pPr>
      <w:r>
        <w:rPr>
          <w:rFonts w:ascii="仿宋_GB2312" w:eastAsia="仿宋_GB2312" w:hint="eastAsia"/>
          <w:color w:val="000000"/>
          <w:sz w:val="32"/>
          <w:szCs w:val="32"/>
        </w:rPr>
        <w:t>12.</w:t>
      </w:r>
      <w:r>
        <w:rPr>
          <w:rStyle w:val="a3"/>
          <w:rFonts w:ascii="仿宋_GB2312" w:eastAsia="仿宋_GB2312" w:hint="eastAsia"/>
          <w:b w:val="0"/>
          <w:color w:val="000000"/>
          <w:sz w:val="32"/>
          <w:szCs w:val="32"/>
        </w:rPr>
        <w:t>社会保障和就业（类）行政事业单位离退休（款）未归口管理的行政单位离退休（项）:指未实行归口管理的行政单位开支的离退休支出。</w:t>
      </w:r>
    </w:p>
    <w:p w:rsidR="006E0EA0" w:rsidRDefault="006E0EA0">
      <w:pPr>
        <w:ind w:firstLineChars="200" w:firstLine="640"/>
        <w:rPr>
          <w:rStyle w:val="a3"/>
          <w:rFonts w:ascii="仿宋_GB2312" w:eastAsia="仿宋_GB2312" w:hint="eastAsia"/>
          <w:b w:val="0"/>
          <w:color w:val="000000"/>
          <w:sz w:val="32"/>
          <w:szCs w:val="32"/>
        </w:rPr>
      </w:pPr>
      <w:r>
        <w:rPr>
          <w:rStyle w:val="a3"/>
          <w:rFonts w:ascii="仿宋_GB2312" w:eastAsia="仿宋_GB2312" w:hint="eastAsia"/>
          <w:b w:val="0"/>
          <w:color w:val="000000"/>
          <w:sz w:val="32"/>
          <w:szCs w:val="32"/>
        </w:rPr>
        <w:t>13.社会保障和就业（类）行政事业单位离退休（款）</w:t>
      </w:r>
      <w:r>
        <w:rPr>
          <w:rStyle w:val="a3"/>
          <w:rFonts w:ascii="仿宋_GB2312" w:eastAsia="仿宋_GB2312" w:hint="eastAsia"/>
          <w:b w:val="0"/>
          <w:sz w:val="32"/>
          <w:szCs w:val="32"/>
        </w:rPr>
        <w:t>机关事业单位基本养老保险缴费支出</w:t>
      </w:r>
      <w:r>
        <w:rPr>
          <w:rStyle w:val="a3"/>
          <w:rFonts w:ascii="仿宋_GB2312" w:eastAsia="仿宋_GB2312" w:hint="eastAsia"/>
          <w:b w:val="0"/>
          <w:color w:val="000000"/>
          <w:sz w:val="32"/>
          <w:szCs w:val="32"/>
        </w:rPr>
        <w:t>（项）:指机关实施养老保险制度由单位缴纳的基本养老保险费支出。</w:t>
      </w:r>
    </w:p>
    <w:p w:rsidR="006E0EA0" w:rsidRDefault="006E0EA0">
      <w:pPr>
        <w:ind w:firstLineChars="200" w:firstLine="640"/>
        <w:rPr>
          <w:rStyle w:val="a3"/>
          <w:rFonts w:ascii="仿宋_GB2312" w:eastAsia="仿宋_GB2312" w:hint="eastAsia"/>
          <w:b w:val="0"/>
          <w:color w:val="000000"/>
          <w:sz w:val="32"/>
          <w:szCs w:val="32"/>
        </w:rPr>
      </w:pPr>
      <w:r>
        <w:rPr>
          <w:rStyle w:val="a3"/>
          <w:rFonts w:ascii="仿宋_GB2312" w:eastAsia="仿宋_GB2312" w:hint="eastAsia"/>
          <w:b w:val="0"/>
          <w:color w:val="000000"/>
          <w:sz w:val="32"/>
          <w:szCs w:val="32"/>
        </w:rPr>
        <w:t>14.社会保障和就业（类）社会福利（款）</w:t>
      </w:r>
      <w:r>
        <w:rPr>
          <w:rStyle w:val="a3"/>
          <w:rFonts w:ascii="仿宋_GB2312" w:eastAsia="仿宋_GB2312" w:hint="eastAsia"/>
          <w:b w:val="0"/>
          <w:sz w:val="32"/>
          <w:szCs w:val="32"/>
        </w:rPr>
        <w:t>儿童福利</w:t>
      </w:r>
      <w:r>
        <w:rPr>
          <w:rStyle w:val="a3"/>
          <w:rFonts w:ascii="仿宋_GB2312" w:eastAsia="仿宋_GB2312" w:hint="eastAsia"/>
          <w:b w:val="0"/>
          <w:color w:val="000000"/>
          <w:sz w:val="32"/>
          <w:szCs w:val="32"/>
        </w:rPr>
        <w:t>（项）:指对儿童提供福利方面的支出。</w:t>
      </w:r>
    </w:p>
    <w:p w:rsidR="006E0EA0" w:rsidRDefault="006E0EA0">
      <w:pPr>
        <w:ind w:firstLineChars="200" w:firstLine="640"/>
        <w:rPr>
          <w:rStyle w:val="a3"/>
          <w:rFonts w:ascii="仿宋_GB2312" w:eastAsia="仿宋_GB2312" w:hint="eastAsia"/>
          <w:b w:val="0"/>
          <w:color w:val="000000"/>
          <w:sz w:val="32"/>
          <w:szCs w:val="32"/>
        </w:rPr>
      </w:pPr>
      <w:r>
        <w:rPr>
          <w:rStyle w:val="a3"/>
          <w:rFonts w:ascii="仿宋_GB2312" w:eastAsia="仿宋_GB2312" w:hint="eastAsia"/>
          <w:b w:val="0"/>
          <w:color w:val="000000"/>
          <w:sz w:val="32"/>
          <w:szCs w:val="32"/>
        </w:rPr>
        <w:t>15.医疗卫生与计划生育（类）医疗保障（款）其他医疗保障支出（项）:指其他用于医疗保障方面的支出。</w:t>
      </w:r>
    </w:p>
    <w:p w:rsidR="006E0EA0" w:rsidRDefault="006E0EA0">
      <w:pPr>
        <w:ind w:firstLineChars="200" w:firstLine="640"/>
        <w:rPr>
          <w:rFonts w:ascii="仿宋_GB2312" w:eastAsia="仿宋_GB2312" w:hint="eastAsia"/>
          <w:b/>
          <w:bCs/>
          <w:color w:val="000000"/>
          <w:sz w:val="32"/>
          <w:szCs w:val="32"/>
        </w:rPr>
      </w:pPr>
      <w:r>
        <w:rPr>
          <w:rStyle w:val="a3"/>
          <w:rFonts w:ascii="仿宋_GB2312" w:eastAsia="仿宋_GB2312" w:hint="eastAsia"/>
          <w:b w:val="0"/>
          <w:color w:val="000000"/>
          <w:sz w:val="32"/>
          <w:szCs w:val="32"/>
        </w:rPr>
        <w:t>16.住房保障支出（类）住房改革支出（款）住房公积金（项）:指行政事业单位按相关规定及比例为职工缴纳的住房公积金。</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17.结余分配：指事业单位按规定提取的职工福利基金、事业基金和缴纳的所得税，以及建设单位按规定应交回的基本建设竣工项目结余资金。</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18.年末结转和结余：指本年度或以前年度预算安排、因客观条件发生变化无法按原计划实施，需延迟到以后年度按有关规定继续使用的资金。</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lastRenderedPageBreak/>
        <w:t>19.基本支出：指为保障机构正常运转、完成日常工作任务而发生的人员支出和公用支出。</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 xml:space="preserve">20.项目支出：指在基本支出之外为完成特定行政任务和事业发展目标所发生的支出。 </w:t>
      </w:r>
    </w:p>
    <w:p w:rsidR="006E0EA0" w:rsidRDefault="006E0EA0">
      <w:pPr>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21.经营支出：指事业单位在专业业务活动及其辅助活动之外开展非独立核算经营活动发生的支出。</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22.“三公”经费：纳入省级财政预决算管理的“三公”经费，是指部门用财政拨款安排的因公出国（境）费、公务用车购置及运行费和公务接待费。其中，因公出国（境）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购置税）及租用费、燃料费、维修费、过路过桥费、保险费、安全奖励费用等支出；公务接待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单位按规定开支的各类公务接待（含外宾接待）支出。</w:t>
      </w:r>
    </w:p>
    <w:p w:rsidR="006E0EA0" w:rsidRDefault="006E0EA0">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E0EA0" w:rsidRDefault="006E0EA0">
      <w:pPr>
        <w:ind w:firstLineChars="200" w:firstLine="643"/>
        <w:rPr>
          <w:rFonts w:ascii="仿宋_GB2312" w:eastAsia="仿宋_GB2312" w:hint="eastAsia"/>
          <w:b/>
          <w:sz w:val="32"/>
          <w:szCs w:val="32"/>
        </w:rPr>
      </w:pPr>
    </w:p>
    <w:sectPr w:rsidR="006E0EA0">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81B" w:rsidRDefault="002A181B">
      <w:r>
        <w:separator/>
      </w:r>
    </w:p>
  </w:endnote>
  <w:endnote w:type="continuationSeparator" w:id="0">
    <w:p w:rsidR="002A181B" w:rsidRDefault="002A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方正仿宋_GBK">
    <w:altName w:val="Arial Unicode MS"/>
    <w:charset w:val="86"/>
    <w:family w:val="auto"/>
    <w:pitch w:val="default"/>
    <w:sig w:usb0="00000000"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4"/>
      <w:jc w:val="center"/>
    </w:pPr>
    <w:r>
      <w:fldChar w:fldCharType="begin"/>
    </w:r>
    <w:r>
      <w:instrText xml:space="preserve"> PAGE   \* MERGEFORMAT </w:instrText>
    </w:r>
    <w:r>
      <w:fldChar w:fldCharType="separate"/>
    </w:r>
    <w:r w:rsidR="002E5DDF" w:rsidRPr="002E5DDF">
      <w:rPr>
        <w:noProof/>
        <w:lang w:val="zh-CN" w:eastAsia="zh-CN"/>
      </w:rPr>
      <w:t>17</w:t>
    </w:r>
    <w:r>
      <w:fldChar w:fldCharType="end"/>
    </w:r>
  </w:p>
  <w:p w:rsidR="006E0EA0" w:rsidRDefault="006E0EA0">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81B" w:rsidRDefault="002A181B">
      <w:r>
        <w:separator/>
      </w:r>
    </w:p>
  </w:footnote>
  <w:footnote w:type="continuationSeparator" w:id="0">
    <w:p w:rsidR="002A181B" w:rsidRDefault="002A18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EA0" w:rsidRDefault="006E0EA0">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6487A"/>
    <w:rsid w:val="00082D80"/>
    <w:rsid w:val="000B047F"/>
    <w:rsid w:val="000B5A48"/>
    <w:rsid w:val="000C3CA6"/>
    <w:rsid w:val="000D5782"/>
    <w:rsid w:val="0014729F"/>
    <w:rsid w:val="001877A7"/>
    <w:rsid w:val="00191536"/>
    <w:rsid w:val="00196687"/>
    <w:rsid w:val="001E737D"/>
    <w:rsid w:val="001F7506"/>
    <w:rsid w:val="00202B36"/>
    <w:rsid w:val="00235629"/>
    <w:rsid w:val="00260C38"/>
    <w:rsid w:val="002616C0"/>
    <w:rsid w:val="002662AA"/>
    <w:rsid w:val="002A181B"/>
    <w:rsid w:val="002E5DDF"/>
    <w:rsid w:val="0037013F"/>
    <w:rsid w:val="003A484F"/>
    <w:rsid w:val="003B0C1B"/>
    <w:rsid w:val="003C0291"/>
    <w:rsid w:val="00443880"/>
    <w:rsid w:val="00487E5D"/>
    <w:rsid w:val="004B4690"/>
    <w:rsid w:val="004B7BAA"/>
    <w:rsid w:val="004E206B"/>
    <w:rsid w:val="00505A47"/>
    <w:rsid w:val="00512FDA"/>
    <w:rsid w:val="005664BB"/>
    <w:rsid w:val="0058486E"/>
    <w:rsid w:val="005D5CED"/>
    <w:rsid w:val="00607E6C"/>
    <w:rsid w:val="006325F8"/>
    <w:rsid w:val="0066343B"/>
    <w:rsid w:val="00683E73"/>
    <w:rsid w:val="006E0EA0"/>
    <w:rsid w:val="0075404D"/>
    <w:rsid w:val="0076182A"/>
    <w:rsid w:val="00767B7E"/>
    <w:rsid w:val="007770C3"/>
    <w:rsid w:val="00786E4A"/>
    <w:rsid w:val="007F2C2F"/>
    <w:rsid w:val="00800112"/>
    <w:rsid w:val="00860645"/>
    <w:rsid w:val="00871F71"/>
    <w:rsid w:val="0092392E"/>
    <w:rsid w:val="00946945"/>
    <w:rsid w:val="00951248"/>
    <w:rsid w:val="0095152F"/>
    <w:rsid w:val="00971FFC"/>
    <w:rsid w:val="009B2C43"/>
    <w:rsid w:val="009B4EAE"/>
    <w:rsid w:val="009B7573"/>
    <w:rsid w:val="009D3447"/>
    <w:rsid w:val="00A13CC1"/>
    <w:rsid w:val="00A307CD"/>
    <w:rsid w:val="00A40A00"/>
    <w:rsid w:val="00AD5620"/>
    <w:rsid w:val="00AD7C1B"/>
    <w:rsid w:val="00B03C9D"/>
    <w:rsid w:val="00B10517"/>
    <w:rsid w:val="00B14E76"/>
    <w:rsid w:val="00B2048C"/>
    <w:rsid w:val="00B310B9"/>
    <w:rsid w:val="00B34FAC"/>
    <w:rsid w:val="00B44B70"/>
    <w:rsid w:val="00B77EA6"/>
    <w:rsid w:val="00B841F1"/>
    <w:rsid w:val="00BC5460"/>
    <w:rsid w:val="00BE1389"/>
    <w:rsid w:val="00C03E31"/>
    <w:rsid w:val="00C04EAE"/>
    <w:rsid w:val="00C354B2"/>
    <w:rsid w:val="00C35554"/>
    <w:rsid w:val="00C533CC"/>
    <w:rsid w:val="00C62B85"/>
    <w:rsid w:val="00CC09B6"/>
    <w:rsid w:val="00CE7B61"/>
    <w:rsid w:val="00D00095"/>
    <w:rsid w:val="00D51276"/>
    <w:rsid w:val="00DB1913"/>
    <w:rsid w:val="00DC410D"/>
    <w:rsid w:val="00DC68CA"/>
    <w:rsid w:val="00E82267"/>
    <w:rsid w:val="00ED1B63"/>
    <w:rsid w:val="00EE2F57"/>
    <w:rsid w:val="00EF4C34"/>
    <w:rsid w:val="00EF69D0"/>
    <w:rsid w:val="00F1361C"/>
    <w:rsid w:val="00F160C7"/>
    <w:rsid w:val="00F417B1"/>
    <w:rsid w:val="00F602DF"/>
    <w:rsid w:val="00FD61EA"/>
    <w:rsid w:val="00FF1E02"/>
    <w:rsid w:val="01A670CD"/>
    <w:rsid w:val="0BAB7265"/>
    <w:rsid w:val="158738A5"/>
    <w:rsid w:val="238021CC"/>
    <w:rsid w:val="2BD46267"/>
    <w:rsid w:val="2D821F7E"/>
    <w:rsid w:val="320351E7"/>
    <w:rsid w:val="35DF36BF"/>
    <w:rsid w:val="4C0A0213"/>
    <w:rsid w:val="4ECB0AEE"/>
    <w:rsid w:val="514D32DD"/>
    <w:rsid w:val="528F20FB"/>
    <w:rsid w:val="67AE11CE"/>
    <w:rsid w:val="73567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F2F793-7D49-4D47-9C00-06CAFB53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b/>
      <w:bCs/>
    </w:rPr>
  </w:style>
  <w:style w:type="character" w:customStyle="1" w:styleId="Char">
    <w:name w:val="页脚 Char"/>
    <w:link w:val="a4"/>
    <w:uiPriority w:val="99"/>
    <w:rPr>
      <w:sz w:val="18"/>
      <w:szCs w:val="18"/>
    </w:rPr>
  </w:style>
  <w:style w:type="character" w:customStyle="1" w:styleId="Char0">
    <w:name w:val="页眉 Char"/>
    <w:link w:val="a5"/>
    <w:uiPriority w:val="99"/>
    <w:semiHidden/>
    <w:rPr>
      <w:sz w:val="18"/>
      <w:szCs w:val="18"/>
    </w:rPr>
  </w:style>
  <w:style w:type="character" w:customStyle="1" w:styleId="Char1">
    <w:name w:val="正文文本 Char"/>
    <w:link w:val="a6"/>
    <w:rPr>
      <w:rFonts w:ascii="仿宋_GB2312" w:eastAsia="仿宋_GB2312" w:hAnsi="Times New Roman" w:cs="Times New Roman"/>
      <w:sz w:val="30"/>
      <w:szCs w:val="24"/>
    </w:rPr>
  </w:style>
  <w:style w:type="paragraph" w:styleId="a6">
    <w:name w:val="Body Text"/>
    <w:basedOn w:val="a"/>
    <w:link w:val="Char1"/>
    <w:pPr>
      <w:spacing w:beforeLines="30" w:before="93"/>
    </w:pPr>
    <w:rPr>
      <w:rFonts w:ascii="仿宋_GB2312" w:eastAsia="仿宋_GB2312"/>
      <w:kern w:val="0"/>
      <w:sz w:val="30"/>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4">
    <w:name w:val="footer"/>
    <w:basedOn w:val="a"/>
    <w:link w:val="Char"/>
    <w:uiPriority w:val="99"/>
    <w:unhideWhenUsed/>
    <w:pPr>
      <w:tabs>
        <w:tab w:val="center" w:pos="4153"/>
        <w:tab w:val="right" w:pos="8306"/>
      </w:tabs>
      <w:snapToGrid w:val="0"/>
      <w:jc w:val="left"/>
    </w:pPr>
    <w:rPr>
      <w:rFonts w:ascii="Calibri" w:hAnsi="Calibri"/>
      <w:kern w:val="0"/>
      <w:sz w:val="18"/>
      <w:szCs w:val="18"/>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chart" Target="charts/chart5.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hart" Target="charts/chart4.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l\Desktop\&#22235;&#24029;&#30465;&#25856;&#26525;&#33457;&#24066;&#20154;&#27665;&#25919;&#24220;&#39547;&#21271;&#20140;&#32852;&#32476;&#22788;&#65288;&#26412;&#32423;&#65289;.XLS"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图</a:t>
            </a:r>
            <a:r>
              <a:rPr lang="en-US" altLang="zh-CN"/>
              <a:t>1</a:t>
            </a:r>
            <a:r>
              <a:rPr lang="zh-CN" altLang="en-US"/>
              <a:t>：收入决算结构图</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cat>
            <c:strRef>
              <c:f>'[四川省攀枝花市人民政府驻北京联络处（本级）.XLS]Z01_1 收入决算表(财决公开1-1表)'!$E$25:$E$26</c:f>
              <c:strCache>
                <c:ptCount val="2"/>
                <c:pt idx="0">
                  <c:v>一般公共预算财政拨款收入</c:v>
                </c:pt>
                <c:pt idx="1">
                  <c:v>其他收入</c:v>
                </c:pt>
              </c:strCache>
            </c:strRef>
          </c:cat>
          <c:val>
            <c:numRef>
              <c:f>'[四川省攀枝花市人民政府驻北京联络处（本级）.XLS]Z01_1 收入决算表(财决公开1-1表)'!$F$25:$F$26</c:f>
              <c:numCache>
                <c:formatCode>General</c:formatCode>
                <c:ptCount val="2"/>
                <c:pt idx="0">
                  <c:v>494.75</c:v>
                </c:pt>
                <c:pt idx="1">
                  <c:v>0.28000000000000003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图</a:t>
            </a:r>
            <a:r>
              <a:rPr lang="en-US" altLang="zh-CN"/>
              <a:t>2</a:t>
            </a:r>
            <a:r>
              <a:rPr lang="zh-CN" altLang="en-US"/>
              <a:t>：支出决算结构图</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cat>
            <c:strRef>
              <c:f>'[四川省攀枝花市人民政府驻北京联络处（本级）.XLS]Z01_2 支出决算表(财决公开1-2表)'!$E$25:$E$26</c:f>
              <c:strCache>
                <c:ptCount val="2"/>
                <c:pt idx="0">
                  <c:v>基本支出</c:v>
                </c:pt>
                <c:pt idx="1">
                  <c:v>项目支出</c:v>
                </c:pt>
              </c:strCache>
            </c:strRef>
          </c:cat>
          <c:val>
            <c:numRef>
              <c:f>'[四川省攀枝花市人民政府驻北京联络处（本级）.XLS]Z01_2 支出决算表(财决公开1-2表)'!$F$25:$F$26</c:f>
              <c:numCache>
                <c:formatCode>General</c:formatCode>
                <c:ptCount val="2"/>
                <c:pt idx="0">
                  <c:v>237.41</c:v>
                </c:pt>
                <c:pt idx="1">
                  <c:v>257.62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图</a:t>
            </a:r>
            <a:r>
              <a:rPr lang="en-US" altLang="zh-CN"/>
              <a:t>3</a:t>
            </a:r>
            <a:r>
              <a:rPr lang="zh-CN" altLang="en-US"/>
              <a:t>：财政拨款收、支总计变动情况</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spPr>
            <a:solidFill>
              <a:srgbClr val="4F81BD"/>
            </a:solidFill>
            <a:ln>
              <a:noFill/>
            </a:ln>
            <a:effectLst/>
          </c:spPr>
          <c:invertIfNegative val="0"/>
          <c:cat>
            <c:strRef>
              <c:f>'[四川省攀枝花市人民政府驻北京联络处（本级）.XLS]Z02 财政拨款收入支出决算总表(财决公开2表)'!$M$24:$M$25</c:f>
              <c:strCache>
                <c:ptCount val="2"/>
                <c:pt idx="0">
                  <c:v>2016年度财政收支总额（万元）</c:v>
                </c:pt>
                <c:pt idx="1">
                  <c:v>2017年度财政收支总额（万元）</c:v>
                </c:pt>
              </c:strCache>
            </c:strRef>
          </c:cat>
          <c:val>
            <c:numRef>
              <c:f>'[四川省攀枝花市人民政府驻北京联络处（本级）.XLS]Z02 财政拨款收入支出决算总表(财决公开2表)'!$N$24:$N$25</c:f>
              <c:numCache>
                <c:formatCode>General</c:formatCode>
                <c:ptCount val="2"/>
                <c:pt idx="0">
                  <c:v>536.59</c:v>
                </c:pt>
                <c:pt idx="1">
                  <c:v>494.75</c:v>
                </c:pt>
              </c:numCache>
            </c:numRef>
          </c:val>
        </c:ser>
        <c:dLbls>
          <c:showLegendKey val="0"/>
          <c:showVal val="0"/>
          <c:showCatName val="0"/>
          <c:showSerName val="0"/>
          <c:showPercent val="0"/>
          <c:showBubbleSize val="0"/>
        </c:dLbls>
        <c:gapWidth val="219"/>
        <c:overlap val="-27"/>
        <c:axId val="537776528"/>
        <c:axId val="537776136"/>
      </c:barChart>
      <c:catAx>
        <c:axId val="537776528"/>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537776136"/>
        <c:crosses val="autoZero"/>
        <c:auto val="1"/>
        <c:lblAlgn val="ctr"/>
        <c:lblOffset val="100"/>
        <c:noMultiLvlLbl val="0"/>
      </c:catAx>
      <c:valAx>
        <c:axId val="537776136"/>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537776528"/>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sz="1200"/>
              <a:t>图</a:t>
            </a:r>
            <a:r>
              <a:rPr lang="en-US" altLang="zh-CN" sz="1200"/>
              <a:t>4</a:t>
            </a:r>
            <a:r>
              <a:rPr lang="zh-CN" altLang="en-US" sz="1200"/>
              <a:t>：一般公共预算财政拨款支出决算变动情况</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spPr>
            <a:solidFill>
              <a:srgbClr val="4F81BD"/>
            </a:solidFill>
            <a:ln>
              <a:noFill/>
            </a:ln>
            <a:effectLst/>
          </c:spPr>
          <c:invertIfNegative val="0"/>
          <c:cat>
            <c:strRef>
              <c:f>'[四川省攀枝花市人民政府驻北京联络处（本级）.XLS]Z04 一般公共预算财政拨款支出决算表(财决公开4表)'!$K$27:$K$28</c:f>
              <c:strCache>
                <c:ptCount val="2"/>
                <c:pt idx="0">
                  <c:v>2016年一般公共预算财政拨款支出（万元）</c:v>
                </c:pt>
                <c:pt idx="1">
                  <c:v>2017年一般公共预算财政拨款支出（万元）</c:v>
                </c:pt>
              </c:strCache>
            </c:strRef>
          </c:cat>
          <c:val>
            <c:numRef>
              <c:f>'[四川省攀枝花市人民政府驻北京联络处（本级）.XLS]Z04 一般公共预算财政拨款支出决算表(财决公开4表)'!$L$27:$L$28</c:f>
              <c:numCache>
                <c:formatCode>General</c:formatCode>
                <c:ptCount val="2"/>
                <c:pt idx="0">
                  <c:v>536.33000000000004</c:v>
                </c:pt>
                <c:pt idx="1">
                  <c:v>494.75</c:v>
                </c:pt>
              </c:numCache>
            </c:numRef>
          </c:val>
        </c:ser>
        <c:dLbls>
          <c:showLegendKey val="0"/>
          <c:showVal val="0"/>
          <c:showCatName val="0"/>
          <c:showSerName val="0"/>
          <c:showPercent val="0"/>
          <c:showBubbleSize val="0"/>
        </c:dLbls>
        <c:gapWidth val="219"/>
        <c:overlap val="-27"/>
        <c:axId val="381544728"/>
        <c:axId val="537694040"/>
      </c:barChart>
      <c:catAx>
        <c:axId val="381544728"/>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537694040"/>
        <c:crosses val="autoZero"/>
        <c:auto val="1"/>
        <c:lblAlgn val="ctr"/>
        <c:lblOffset val="100"/>
        <c:noMultiLvlLbl val="0"/>
      </c:catAx>
      <c:valAx>
        <c:axId val="537694040"/>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381544728"/>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图</a:t>
            </a:r>
            <a:r>
              <a:rPr lang="en-US" altLang="zh-CN"/>
              <a:t>5:</a:t>
            </a:r>
            <a:r>
              <a:rPr lang="zh-CN" altLang="en-US"/>
              <a:t>一般公共财政拨款支出决算结构</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Pt>
            <c:idx val="2"/>
            <c:bubble3D val="0"/>
            <c:spPr>
              <a:solidFill>
                <a:srgbClr val="9BBB59"/>
              </a:solidFill>
              <a:ln w="19050">
                <a:solidFill>
                  <a:srgbClr val="FFFFFF"/>
                </a:solidFill>
              </a:ln>
              <a:effectLst/>
            </c:spPr>
          </c:dPt>
          <c:dPt>
            <c:idx val="3"/>
            <c:bubble3D val="0"/>
            <c:spPr>
              <a:solidFill>
                <a:srgbClr val="8064A2"/>
              </a:solidFill>
              <a:ln w="19050">
                <a:solidFill>
                  <a:srgbClr val="FFFFFF"/>
                </a:solidFill>
              </a:ln>
              <a:effectLst/>
            </c:spPr>
          </c:dPt>
          <c:cat>
            <c:strRef>
              <c:f>'[四川省攀枝花市人民政府驻北京联络处（本级）.XLS]Z04 一般公共预算财政拨款支出决算表(财决公开4表)'!$F$26:$F$29</c:f>
              <c:strCache>
                <c:ptCount val="4"/>
                <c:pt idx="0">
                  <c:v>一般公共服务支出</c:v>
                </c:pt>
                <c:pt idx="1">
                  <c:v>社会保障和就业支出</c:v>
                </c:pt>
                <c:pt idx="2">
                  <c:v>医疗卫生支出</c:v>
                </c:pt>
                <c:pt idx="3">
                  <c:v>住房保障支出</c:v>
                </c:pt>
              </c:strCache>
            </c:strRef>
          </c:cat>
          <c:val>
            <c:numRef>
              <c:f>'[四川省攀枝花市人民政府驻北京联络处（本级）.XLS]Z04 一般公共预算财政拨款支出决算表(财决公开4表)'!$G$26:$G$29</c:f>
              <c:numCache>
                <c:formatCode>General</c:formatCode>
                <c:ptCount val="4"/>
                <c:pt idx="0">
                  <c:v>464.75</c:v>
                </c:pt>
                <c:pt idx="1">
                  <c:v>18.03</c:v>
                </c:pt>
                <c:pt idx="2">
                  <c:v>0.13</c:v>
                </c:pt>
                <c:pt idx="3">
                  <c:v>11.84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图</a:t>
            </a:r>
            <a:r>
              <a:rPr lang="en-US" altLang="zh-CN"/>
              <a:t>6:“</a:t>
            </a:r>
            <a:r>
              <a:rPr lang="zh-CN" altLang="en-US"/>
              <a:t>三公”经费财政拨款支出结构</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dPt>
            <c:idx val="0"/>
            <c:bubble3D val="0"/>
            <c:spPr>
              <a:solidFill>
                <a:srgbClr val="4F81BD"/>
              </a:solidFill>
              <a:ln w="19050">
                <a:solidFill>
                  <a:srgbClr val="FFFFFF"/>
                </a:solidFill>
              </a:ln>
              <a:effectLst/>
            </c:spPr>
          </c:dPt>
          <c:dPt>
            <c:idx val="1"/>
            <c:bubble3D val="0"/>
            <c:spPr>
              <a:solidFill>
                <a:srgbClr val="C0504D"/>
              </a:solidFill>
              <a:ln w="19050">
                <a:solidFill>
                  <a:srgbClr val="FFFFFF"/>
                </a:solidFill>
              </a:ln>
              <a:effectLst/>
            </c:spPr>
          </c:dPt>
          <c:dPt>
            <c:idx val="2"/>
            <c:bubble3D val="0"/>
            <c:spPr>
              <a:solidFill>
                <a:srgbClr val="9BBB59"/>
              </a:solidFill>
              <a:ln w="19050">
                <a:solidFill>
                  <a:srgbClr val="FFFFFF"/>
                </a:solidFill>
              </a:ln>
              <a:effectLst/>
            </c:spPr>
          </c:dPt>
          <c:cat>
            <c:strRef>
              <c:f>'[四川省攀枝花市人民政府驻北京联络处（本级）.XLS]Z04_4 一般公共预算财政拨款“三公”经费支出决算表(财决公'!$C$17:$C$19</c:f>
              <c:strCache>
                <c:ptCount val="3"/>
                <c:pt idx="0">
                  <c:v>因公出国（境）费用</c:v>
                </c:pt>
                <c:pt idx="1">
                  <c:v>公务用车购置及运行费</c:v>
                </c:pt>
                <c:pt idx="2">
                  <c:v>公务接待费</c:v>
                </c:pt>
              </c:strCache>
            </c:strRef>
          </c:cat>
          <c:val>
            <c:numRef>
              <c:f>'[四川省攀枝花市人民政府驻北京联络处（本级）.XLS]Z04_4 一般公共预算财政拨款“三公”经费支出决算表(财决公'!$D$17:$D$19</c:f>
              <c:numCache>
                <c:formatCode>General</c:formatCode>
                <c:ptCount val="3"/>
                <c:pt idx="0">
                  <c:v>0</c:v>
                </c:pt>
                <c:pt idx="1">
                  <c:v>40.19</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1167</Words>
  <Characters>6652</Characters>
  <Application>Microsoft Office Word</Application>
  <DocSecurity>0</DocSecurity>
  <Lines>55</Lines>
  <Paragraphs>15</Paragraphs>
  <ScaleCrop>false</ScaleCrop>
  <Company>四川省财政厅</Company>
  <LinksUpToDate>false</LinksUpToDate>
  <CharactersWithSpaces>7804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张彬茜</dc:creator>
  <cp:keywords/>
  <cp:lastModifiedBy>邓丽君</cp:lastModifiedBy>
  <cp:revision>3</cp:revision>
  <cp:lastPrinted>2018-07-30T03:50:00Z</cp:lastPrinted>
  <dcterms:created xsi:type="dcterms:W3CDTF">2023-10-18T02:16:00Z</dcterms:created>
  <dcterms:modified xsi:type="dcterms:W3CDTF">2023-10-18T02:17:00Z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