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5" w:lineRule="auto"/>
        <w:jc w:val="center"/>
        <w:outlineLvl w:val="0"/>
        <w:rPr>
          <w:rFonts w:ascii="方正仿宋简体" w:hAnsi="方正仿宋简体" w:eastAsia="方正仿宋简体" w:cs="方正仿宋简体"/>
          <w:sz w:val="72"/>
          <w:szCs w:val="72"/>
        </w:rPr>
      </w:pPr>
      <w:bookmarkStart w:id="0" w:name="_Toc15377425"/>
      <w:bookmarkStart w:id="1" w:name="_Toc15378441"/>
      <w:bookmarkStart w:id="2" w:name="_Toc15396475"/>
      <w:bookmarkStart w:id="3" w:name="_Toc15377193"/>
      <w:bookmarkStart w:id="4" w:name="_Toc15396597"/>
      <w:bookmarkStart w:id="5" w:name="_Toc15306267"/>
    </w:p>
    <w:p>
      <w:pPr>
        <w:adjustRightInd w:val="0"/>
        <w:snapToGrid w:val="0"/>
        <w:spacing w:line="305" w:lineRule="auto"/>
        <w:jc w:val="center"/>
        <w:outlineLvl w:val="0"/>
        <w:rPr>
          <w:rFonts w:ascii="方正仿宋简体" w:hAnsi="方正仿宋简体" w:eastAsia="方正仿宋简体" w:cs="方正仿宋简体"/>
          <w:sz w:val="72"/>
          <w:szCs w:val="72"/>
        </w:rPr>
      </w:pPr>
    </w:p>
    <w:p>
      <w:pPr>
        <w:adjustRightInd w:val="0"/>
        <w:snapToGrid w:val="0"/>
        <w:spacing w:line="305" w:lineRule="auto"/>
        <w:jc w:val="center"/>
        <w:outlineLvl w:val="0"/>
        <w:rPr>
          <w:rFonts w:ascii="方正仿宋简体" w:hAnsi="方正仿宋简体" w:eastAsia="方正仿宋简体" w:cs="方正仿宋简体"/>
          <w:sz w:val="72"/>
          <w:szCs w:val="72"/>
        </w:rPr>
      </w:pPr>
    </w:p>
    <w:p>
      <w:pPr>
        <w:adjustRightInd w:val="0"/>
        <w:snapToGrid w:val="0"/>
        <w:spacing w:line="305" w:lineRule="auto"/>
        <w:jc w:val="center"/>
        <w:outlineLvl w:val="0"/>
        <w:rPr>
          <w:rFonts w:ascii="方正仿宋简体" w:hAnsi="方正仿宋简体" w:eastAsia="方正仿宋简体" w:cs="方正仿宋简体"/>
          <w:sz w:val="72"/>
          <w:szCs w:val="72"/>
        </w:rPr>
      </w:pPr>
    </w:p>
    <w:p>
      <w:pPr>
        <w:adjustRightInd w:val="0"/>
        <w:snapToGrid w:val="0"/>
        <w:spacing w:line="305" w:lineRule="auto"/>
        <w:jc w:val="center"/>
        <w:outlineLvl w:val="0"/>
        <w:rPr>
          <w:rFonts w:ascii="方正仿宋简体" w:hAnsi="方正仿宋简体" w:eastAsia="方正仿宋简体" w:cs="方正仿宋简体"/>
          <w:sz w:val="72"/>
          <w:szCs w:val="72"/>
        </w:rPr>
      </w:pPr>
      <w:bookmarkStart w:id="6" w:name="_Toc20883"/>
      <w:r>
        <w:rPr>
          <w:rFonts w:hint="eastAsia" w:ascii="方正仿宋简体" w:hAnsi="方正仿宋简体" w:eastAsia="方正仿宋简体" w:cs="方正仿宋简体"/>
          <w:sz w:val="72"/>
          <w:szCs w:val="72"/>
        </w:rPr>
        <w:t>2021年度</w:t>
      </w:r>
      <w:bookmarkEnd w:id="0"/>
      <w:bookmarkEnd w:id="1"/>
      <w:bookmarkEnd w:id="2"/>
      <w:bookmarkEnd w:id="3"/>
      <w:bookmarkEnd w:id="4"/>
      <w:bookmarkEnd w:id="6"/>
    </w:p>
    <w:p>
      <w:pPr>
        <w:adjustRightInd w:val="0"/>
        <w:snapToGrid w:val="0"/>
        <w:spacing w:line="305" w:lineRule="auto"/>
        <w:jc w:val="center"/>
        <w:outlineLvl w:val="0"/>
        <w:rPr>
          <w:rFonts w:ascii="方正仿宋简体" w:hAnsi="方正仿宋简体" w:eastAsia="方正仿宋简体" w:cs="方正仿宋简体"/>
          <w:sz w:val="72"/>
          <w:szCs w:val="72"/>
        </w:rPr>
      </w:pPr>
      <w:bookmarkStart w:id="7" w:name="_Toc15377426"/>
      <w:bookmarkStart w:id="8" w:name="_Toc15396476"/>
      <w:bookmarkStart w:id="9" w:name="_Toc15378442"/>
      <w:bookmarkStart w:id="10" w:name="_Toc15396598"/>
      <w:bookmarkStart w:id="11" w:name="_Toc15377194"/>
      <w:bookmarkStart w:id="12" w:name="_Toc9767"/>
      <w:r>
        <w:rPr>
          <w:rFonts w:hint="eastAsia" w:ascii="方正仿宋简体" w:hAnsi="方正仿宋简体" w:eastAsia="方正仿宋简体" w:cs="方正仿宋简体"/>
          <w:sz w:val="72"/>
          <w:szCs w:val="72"/>
        </w:rPr>
        <w:t>四川省</w:t>
      </w:r>
      <w:bookmarkEnd w:id="5"/>
      <w:bookmarkStart w:id="13" w:name="_Toc15306268"/>
      <w:r>
        <w:rPr>
          <w:rFonts w:hint="eastAsia" w:ascii="方正仿宋简体" w:hAnsi="方正仿宋简体" w:eastAsia="方正仿宋简体" w:cs="方正仿宋简体"/>
          <w:sz w:val="72"/>
          <w:szCs w:val="72"/>
        </w:rPr>
        <w:t>攀枝花市农林科学研究院部门决算</w:t>
      </w:r>
      <w:bookmarkEnd w:id="7"/>
      <w:bookmarkEnd w:id="8"/>
      <w:bookmarkEnd w:id="9"/>
      <w:bookmarkEnd w:id="10"/>
      <w:bookmarkEnd w:id="11"/>
      <w:bookmarkEnd w:id="13"/>
      <w:r>
        <w:rPr>
          <w:rFonts w:hint="eastAsia" w:ascii="方正仿宋简体" w:hAnsi="方正仿宋简体" w:eastAsia="方正仿宋简体" w:cs="方正仿宋简体"/>
          <w:sz w:val="72"/>
          <w:szCs w:val="72"/>
        </w:rPr>
        <w:t>编制说明</w:t>
      </w:r>
      <w:bookmarkEnd w:id="12"/>
    </w:p>
    <w:p>
      <w:pPr>
        <w:widowControl/>
        <w:adjustRightInd w:val="0"/>
        <w:snapToGrid w:val="0"/>
        <w:spacing w:line="305" w:lineRule="auto"/>
        <w:jc w:val="center"/>
        <w:rPr>
          <w:rFonts w:ascii="方正仿宋简体" w:hAnsi="方正仿宋简体" w:eastAsia="方正仿宋简体" w:cs="方正仿宋简体"/>
          <w:sz w:val="36"/>
          <w:szCs w:val="36"/>
        </w:rPr>
      </w:pPr>
    </w:p>
    <w:p>
      <w:pPr>
        <w:widowControl/>
        <w:adjustRightInd w:val="0"/>
        <w:snapToGrid w:val="0"/>
        <w:spacing w:line="305" w:lineRule="auto"/>
        <w:jc w:val="center"/>
        <w:rPr>
          <w:rFonts w:ascii="方正仿宋简体" w:hAnsi="方正仿宋简体" w:eastAsia="方正仿宋简体" w:cs="方正仿宋简体"/>
          <w:sz w:val="36"/>
          <w:szCs w:val="36"/>
        </w:rPr>
      </w:pPr>
    </w:p>
    <w:p>
      <w:pPr>
        <w:widowControl/>
        <w:adjustRightInd w:val="0"/>
        <w:snapToGrid w:val="0"/>
        <w:spacing w:line="305" w:lineRule="auto"/>
        <w:jc w:val="center"/>
        <w:rPr>
          <w:rFonts w:ascii="方正仿宋简体" w:hAnsi="方正仿宋简体" w:eastAsia="方正仿宋简体" w:cs="方正仿宋简体"/>
          <w:sz w:val="36"/>
          <w:szCs w:val="36"/>
        </w:rPr>
      </w:pPr>
    </w:p>
    <w:p>
      <w:pPr>
        <w:widowControl/>
        <w:adjustRightInd w:val="0"/>
        <w:snapToGrid w:val="0"/>
        <w:spacing w:line="305" w:lineRule="auto"/>
        <w:jc w:val="center"/>
        <w:rPr>
          <w:rFonts w:ascii="方正仿宋简体" w:hAnsi="方正仿宋简体" w:eastAsia="方正仿宋简体" w:cs="方正仿宋简体"/>
          <w:sz w:val="36"/>
          <w:szCs w:val="36"/>
        </w:rPr>
      </w:pPr>
    </w:p>
    <w:p>
      <w:pPr>
        <w:widowControl/>
        <w:adjustRightInd w:val="0"/>
        <w:snapToGrid w:val="0"/>
        <w:spacing w:line="305" w:lineRule="auto"/>
        <w:jc w:val="center"/>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公开时间：2022年8月29日</w:t>
      </w:r>
    </w:p>
    <w:p>
      <w:pPr>
        <w:pStyle w:val="2"/>
        <w:spacing w:before="93" w:line="305" w:lineRule="auto"/>
        <w:rPr>
          <w:rFonts w:ascii="方正仿宋简体" w:hAnsi="方正仿宋简体" w:eastAsia="方正仿宋简体" w:cs="方正仿宋简体"/>
          <w:sz w:val="33"/>
          <w:szCs w:val="33"/>
        </w:rPr>
      </w:pPr>
    </w:p>
    <w:p>
      <w:pPr>
        <w:pStyle w:val="3"/>
        <w:spacing w:line="305" w:lineRule="auto"/>
      </w:pPr>
    </w:p>
    <w:sdt>
      <w:sdtPr>
        <w:rPr>
          <w:rFonts w:ascii="宋体" w:hAnsi="宋体"/>
        </w:rPr>
        <w:id w:val="147473843"/>
        <w:docPartObj>
          <w:docPartGallery w:val="Table of Contents"/>
          <w:docPartUnique/>
        </w:docPartObj>
      </w:sdtPr>
      <w:sdtEndPr>
        <w:rPr>
          <w:rFonts w:hint="eastAsia" w:ascii="方正仿宋简体" w:hAnsi="方正仿宋简体" w:eastAsia="方正仿宋简体" w:cs="方正仿宋简体"/>
          <w:szCs w:val="33"/>
        </w:rPr>
      </w:sdtEndPr>
      <w:sdtContent>
        <w:p>
          <w:pPr>
            <w:spacing w:line="305" w:lineRule="auto"/>
            <w:jc w:val="center"/>
          </w:pPr>
          <w:r>
            <w:rPr>
              <w:rFonts w:hint="eastAsia" w:ascii="宋体" w:hAnsi="宋体"/>
              <w:sz w:val="33"/>
              <w:szCs w:val="33"/>
            </w:rPr>
            <w:t>目录</w:t>
          </w:r>
        </w:p>
        <w:p>
          <w:pPr>
            <w:pStyle w:val="10"/>
            <w:tabs>
              <w:tab w:val="right" w:leader="dot" w:pos="8306"/>
              <w:tab w:val="clear" w:pos="8296"/>
            </w:tabs>
            <w:spacing w:line="305" w:lineRule="auto"/>
            <w:jc w:val="both"/>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TOC \o "1-3" \h \u </w:instrText>
          </w:r>
          <w:r>
            <w:rPr>
              <w:rFonts w:hint="eastAsia" w:ascii="方正仿宋简体" w:hAnsi="方正仿宋简体" w:eastAsia="方正仿宋简体" w:cs="方正仿宋简体"/>
              <w:sz w:val="33"/>
              <w:szCs w:val="33"/>
            </w:rPr>
            <w:fldChar w:fldCharType="separate"/>
          </w:r>
          <w:r>
            <w:fldChar w:fldCharType="begin"/>
          </w:r>
          <w:r>
            <w:instrText xml:space="preserve"> HYPERLINK \l "_Toc28775" </w:instrText>
          </w:r>
          <w:r>
            <w:fldChar w:fldCharType="separate"/>
          </w:r>
          <w:r>
            <w:rPr>
              <w:rFonts w:hint="eastAsia" w:ascii="方正仿宋简体" w:hAnsi="方正仿宋简体" w:eastAsia="方正仿宋简体" w:cs="方正仿宋简体"/>
              <w:sz w:val="33"/>
              <w:szCs w:val="33"/>
            </w:rPr>
            <w:t>第一部分 部门概况</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_Toc28775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"_Toc4644" </w:instrText>
          </w:r>
          <w:r>
            <w:fldChar w:fldCharType="separate"/>
          </w:r>
          <w:r>
            <w:rPr>
              <w:rFonts w:hint="eastAsia" w:ascii="方正仿宋简体" w:hAnsi="方正仿宋简体" w:eastAsia="方正仿宋简体" w:cs="方正仿宋简体"/>
              <w:sz w:val="33"/>
              <w:szCs w:val="33"/>
            </w:rPr>
            <w:t>一、基本职能及主要工作</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_Toc4644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"_Toc25123" </w:instrText>
          </w:r>
          <w:r>
            <w:fldChar w:fldCharType="separate"/>
          </w:r>
          <w:r>
            <w:rPr>
              <w:rFonts w:hint="eastAsia" w:ascii="方正仿宋简体" w:hAnsi="方正仿宋简体" w:eastAsia="方正仿宋简体" w:cs="方正仿宋简体"/>
              <w:sz w:val="33"/>
              <w:szCs w:val="33"/>
            </w:rPr>
            <w:t>二、机构设置</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_Toc25123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0"/>
            <w:tabs>
              <w:tab w:val="right" w:leader="dot" w:pos="8306"/>
              <w:tab w:val="clear" w:pos="8296"/>
            </w:tabs>
            <w:spacing w:line="305" w:lineRule="auto"/>
            <w:rPr>
              <w:rFonts w:ascii="方正仿宋简体" w:hAnsi="方正仿宋简体" w:eastAsia="方正仿宋简体" w:cs="方正仿宋简体"/>
              <w:sz w:val="33"/>
              <w:szCs w:val="33"/>
            </w:rPr>
          </w:pPr>
          <w:r>
            <w:fldChar w:fldCharType="begin"/>
          </w:r>
          <w:r>
            <w:instrText xml:space="preserve"> HYPERLINK \l "_Toc28275" </w:instrText>
          </w:r>
          <w:r>
            <w:fldChar w:fldCharType="separate"/>
          </w:r>
          <w:r>
            <w:rPr>
              <w:rFonts w:hint="eastAsia" w:ascii="方正仿宋简体" w:hAnsi="方正仿宋简体" w:eastAsia="方正仿宋简体" w:cs="方正仿宋简体"/>
              <w:sz w:val="33"/>
              <w:szCs w:val="33"/>
            </w:rPr>
            <w:t>第二部分 2021年度</w:t>
          </w:r>
          <w:r>
            <w:rPr>
              <w:rFonts w:hint="eastAsia" w:ascii="方正仿宋简体" w:hAnsi="方正仿宋简体" w:eastAsia="方正仿宋简体" w:cs="方正仿宋简体"/>
              <w:bCs/>
              <w:sz w:val="33"/>
              <w:szCs w:val="33"/>
            </w:rPr>
            <w:t>部门决算情况说明</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_Toc28275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7</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"_Toc16588" </w:instrText>
          </w:r>
          <w:r>
            <w:fldChar w:fldCharType="separate"/>
          </w:r>
          <w:r>
            <w:rPr>
              <w:rFonts w:hint="eastAsia" w:ascii="方正仿宋简体" w:hAnsi="方正仿宋简体" w:eastAsia="方正仿宋简体" w:cs="方正仿宋简体"/>
              <w:sz w:val="33"/>
              <w:szCs w:val="33"/>
            </w:rPr>
            <w:t>一、收入支出决算总体情况说明</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_Toc16588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7</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"_Toc24408" </w:instrText>
          </w:r>
          <w:r>
            <w:fldChar w:fldCharType="separate"/>
          </w:r>
          <w:r>
            <w:rPr>
              <w:rFonts w:hint="eastAsia" w:ascii="方正仿宋简体" w:hAnsi="方正仿宋简体" w:eastAsia="方正仿宋简体" w:cs="方正仿宋简体"/>
              <w:sz w:val="33"/>
              <w:szCs w:val="33"/>
            </w:rPr>
            <w:t>二、收入决算情况说明</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_Toc24408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7</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"_Toc11522" </w:instrText>
          </w:r>
          <w:r>
            <w:fldChar w:fldCharType="separate"/>
          </w:r>
          <w:r>
            <w:rPr>
              <w:rFonts w:hint="eastAsia" w:ascii="方正仿宋简体" w:hAnsi="方正仿宋简体" w:eastAsia="方正仿宋简体" w:cs="方正仿宋简体"/>
              <w:sz w:val="33"/>
              <w:szCs w:val="33"/>
            </w:rPr>
            <w:t>三、支出决算情况说明</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_Toc11522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8</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"_Toc4343" </w:instrText>
          </w:r>
          <w:r>
            <w:fldChar w:fldCharType="separate"/>
          </w:r>
          <w:r>
            <w:rPr>
              <w:rFonts w:hint="eastAsia" w:ascii="方正仿宋简体" w:hAnsi="方正仿宋简体" w:eastAsia="方正仿宋简体" w:cs="方正仿宋简体"/>
              <w:sz w:val="33"/>
              <w:szCs w:val="33"/>
            </w:rPr>
            <w:t>四、财政拨款收入支出决算总体情况说明</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_Toc4343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9</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"_Toc19897" </w:instrText>
          </w:r>
          <w:r>
            <w:fldChar w:fldCharType="separate"/>
          </w:r>
          <w:r>
            <w:rPr>
              <w:rFonts w:hint="eastAsia" w:ascii="方正仿宋简体" w:hAnsi="方正仿宋简体" w:eastAsia="方正仿宋简体" w:cs="方正仿宋简体"/>
              <w:sz w:val="33"/>
              <w:szCs w:val="33"/>
            </w:rPr>
            <w:t>五、一般公共预算财政拨款支出决算情况说明</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_Toc19897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9</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7"/>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"_Toc24572" </w:instrText>
          </w:r>
          <w:r>
            <w:fldChar w:fldCharType="separate"/>
          </w:r>
          <w:r>
            <w:rPr>
              <w:rFonts w:hint="eastAsia" w:ascii="方正仿宋简体" w:hAnsi="方正仿宋简体" w:eastAsia="方正仿宋简体" w:cs="方正仿宋简体"/>
              <w:sz w:val="33"/>
              <w:szCs w:val="33"/>
            </w:rPr>
            <w:t>（一）一般公共预算财政拨款支出决算总体情况</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_Toc24572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9</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7"/>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"_Toc2506" </w:instrText>
          </w:r>
          <w:r>
            <w:fldChar w:fldCharType="separate"/>
          </w:r>
          <w:r>
            <w:rPr>
              <w:rFonts w:hint="eastAsia" w:ascii="方正仿宋简体" w:hAnsi="方正仿宋简体" w:eastAsia="方正仿宋简体" w:cs="方正仿宋简体"/>
              <w:sz w:val="33"/>
              <w:szCs w:val="33"/>
            </w:rPr>
            <w:t>（二）一般公共预算财政拨款支出决算结构情况</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_Toc2506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10</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7"/>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"_Toc31759" </w:instrText>
          </w:r>
          <w:r>
            <w:fldChar w:fldCharType="separate"/>
          </w:r>
          <w:r>
            <w:rPr>
              <w:rFonts w:hint="eastAsia" w:ascii="方正仿宋简体" w:hAnsi="方正仿宋简体" w:eastAsia="方正仿宋简体" w:cs="方正仿宋简体"/>
              <w:sz w:val="33"/>
              <w:szCs w:val="33"/>
            </w:rPr>
            <w:t>（三）一般公共预算财政拨款支出决算具体情况</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_Toc31759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11</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"_Toc6693" </w:instrText>
          </w:r>
          <w:r>
            <w:fldChar w:fldCharType="separate"/>
          </w:r>
          <w:r>
            <w:rPr>
              <w:rFonts w:hint="eastAsia" w:ascii="方正仿宋简体" w:hAnsi="方正仿宋简体" w:eastAsia="方正仿宋简体" w:cs="方正仿宋简体"/>
              <w:sz w:val="33"/>
              <w:szCs w:val="33"/>
            </w:rPr>
            <w:t>六、一般公共预算财政拨款基本支出决算情况说明</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_Toc6693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13</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"_Toc5505" </w:instrText>
          </w:r>
          <w:r>
            <w:fldChar w:fldCharType="separate"/>
          </w:r>
          <w:r>
            <w:rPr>
              <w:rFonts w:hint="eastAsia" w:ascii="方正仿宋简体" w:hAnsi="方正仿宋简体" w:eastAsia="方正仿宋简体" w:cs="方正仿宋简体"/>
              <w:sz w:val="33"/>
              <w:szCs w:val="33"/>
            </w:rPr>
            <w:t>七、“三公”经费财政拨款支出决算情况说明</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_Toc5505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13</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"_Toc20593" </w:instrText>
          </w:r>
          <w:r>
            <w:fldChar w:fldCharType="separate"/>
          </w:r>
          <w:r>
            <w:rPr>
              <w:rFonts w:hint="eastAsia" w:ascii="方正仿宋简体" w:hAnsi="方正仿宋简体" w:eastAsia="方正仿宋简体" w:cs="方正仿宋简体"/>
              <w:sz w:val="33"/>
              <w:szCs w:val="33"/>
            </w:rPr>
            <w:t>八、政府性基金预算支出决算情况说明</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_Toc20593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16</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"_Toc23089" </w:instrText>
          </w:r>
          <w:r>
            <w:fldChar w:fldCharType="separate"/>
          </w:r>
          <w:r>
            <w:rPr>
              <w:rFonts w:hint="eastAsia" w:ascii="方正仿宋简体" w:hAnsi="方正仿宋简体" w:eastAsia="方正仿宋简体" w:cs="方正仿宋简体"/>
              <w:sz w:val="33"/>
              <w:szCs w:val="33"/>
            </w:rPr>
            <w:t>九、国有资本经营预算支出决算情况说明</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_Toc23089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16</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"_Toc16425" </w:instrText>
          </w:r>
          <w:r>
            <w:fldChar w:fldCharType="separate"/>
          </w:r>
          <w:r>
            <w:rPr>
              <w:rFonts w:hint="eastAsia" w:ascii="方正仿宋简体" w:hAnsi="方正仿宋简体" w:eastAsia="方正仿宋简体" w:cs="方正仿宋简体"/>
              <w:sz w:val="33"/>
              <w:szCs w:val="33"/>
            </w:rPr>
            <w:t>十、其他重要事项的情况说明</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_Toc16425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16</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7"/>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"_Toc9676" </w:instrText>
          </w:r>
          <w:r>
            <w:fldChar w:fldCharType="separate"/>
          </w:r>
          <w:r>
            <w:rPr>
              <w:rFonts w:hint="eastAsia" w:ascii="方正仿宋简体" w:hAnsi="方正仿宋简体" w:eastAsia="方正仿宋简体" w:cs="方正仿宋简体"/>
              <w:sz w:val="33"/>
              <w:szCs w:val="33"/>
            </w:rPr>
            <w:t>（一）机关运行经费支出情况</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_Toc9676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16</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7"/>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"_Toc2733" </w:instrText>
          </w:r>
          <w:r>
            <w:fldChar w:fldCharType="separate"/>
          </w:r>
          <w:r>
            <w:rPr>
              <w:rFonts w:hint="eastAsia" w:ascii="方正仿宋简体" w:hAnsi="方正仿宋简体" w:eastAsia="方正仿宋简体" w:cs="方正仿宋简体"/>
              <w:sz w:val="33"/>
              <w:szCs w:val="33"/>
            </w:rPr>
            <w:t>（二）政府采购支出情况</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_Toc2733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16</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7"/>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"_Toc17753" </w:instrText>
          </w:r>
          <w:r>
            <w:fldChar w:fldCharType="separate"/>
          </w:r>
          <w:r>
            <w:rPr>
              <w:rFonts w:hint="eastAsia" w:ascii="方正仿宋简体" w:hAnsi="方正仿宋简体" w:eastAsia="方正仿宋简体" w:cs="方正仿宋简体"/>
              <w:sz w:val="33"/>
              <w:szCs w:val="33"/>
            </w:rPr>
            <w:t>（三）国有资产占有使用情况</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_Toc17753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16</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7"/>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"_Toc6488" </w:instrText>
          </w:r>
          <w:r>
            <w:fldChar w:fldCharType="separate"/>
          </w:r>
          <w:r>
            <w:rPr>
              <w:rFonts w:hint="eastAsia" w:ascii="方正仿宋简体" w:hAnsi="方正仿宋简体" w:eastAsia="方正仿宋简体" w:cs="方正仿宋简体"/>
              <w:sz w:val="33"/>
              <w:szCs w:val="33"/>
            </w:rPr>
            <w:t>（四）预算绩效管理情况</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_Toc6488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16</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0"/>
            <w:tabs>
              <w:tab w:val="right" w:leader="dot" w:pos="8306"/>
              <w:tab w:val="clear" w:pos="8296"/>
            </w:tabs>
            <w:spacing w:line="305" w:lineRule="auto"/>
            <w:rPr>
              <w:rFonts w:ascii="方正仿宋简体" w:hAnsi="方正仿宋简体" w:eastAsia="方正仿宋简体" w:cs="方正仿宋简体"/>
              <w:sz w:val="33"/>
              <w:szCs w:val="33"/>
            </w:rPr>
          </w:pPr>
          <w:r>
            <w:fldChar w:fldCharType="begin"/>
          </w:r>
          <w:r>
            <w:instrText xml:space="preserve"> HYPERLINK \l "_Toc4483" </w:instrText>
          </w:r>
          <w:r>
            <w:fldChar w:fldCharType="separate"/>
          </w:r>
          <w:r>
            <w:rPr>
              <w:rFonts w:hint="eastAsia" w:ascii="方正仿宋简体" w:hAnsi="方正仿宋简体" w:eastAsia="方正仿宋简体" w:cs="方正仿宋简体"/>
              <w:sz w:val="33"/>
              <w:szCs w:val="33"/>
            </w:rPr>
            <w:t>第三部分 名词解释</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_Toc4483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18</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0"/>
            <w:tabs>
              <w:tab w:val="right" w:leader="dot" w:pos="8306"/>
              <w:tab w:val="clear" w:pos="8296"/>
            </w:tabs>
            <w:spacing w:line="305" w:lineRule="auto"/>
            <w:rPr>
              <w:rFonts w:ascii="方正仿宋简体" w:hAnsi="方正仿宋简体" w:eastAsia="方正仿宋简体" w:cs="方正仿宋简体"/>
              <w:sz w:val="33"/>
              <w:szCs w:val="33"/>
            </w:rPr>
          </w:pPr>
          <w:r>
            <w:fldChar w:fldCharType="begin"/>
          </w:r>
          <w:r>
            <w:instrText xml:space="preserve"> HYPERLINK \l "_Toc3063" </w:instrText>
          </w:r>
          <w:r>
            <w:fldChar w:fldCharType="separate"/>
          </w:r>
          <w:r>
            <w:rPr>
              <w:rFonts w:hint="eastAsia" w:ascii="方正仿宋简体" w:hAnsi="方正仿宋简体" w:eastAsia="方正仿宋简体" w:cs="方正仿宋简体"/>
              <w:sz w:val="33"/>
              <w:szCs w:val="33"/>
            </w:rPr>
            <w:t>第四部分 附件</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_Toc3063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22</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0"/>
            <w:tabs>
              <w:tab w:val="right" w:leader="dot" w:pos="8306"/>
              <w:tab w:val="clear" w:pos="8296"/>
            </w:tabs>
            <w:spacing w:line="305" w:lineRule="auto"/>
            <w:rPr>
              <w:rFonts w:ascii="方正仿宋简体" w:hAnsi="方正仿宋简体" w:eastAsia="方正仿宋简体" w:cs="方正仿宋简体"/>
              <w:sz w:val="33"/>
              <w:szCs w:val="33"/>
            </w:rPr>
          </w:pPr>
          <w:r>
            <w:fldChar w:fldCharType="begin"/>
          </w:r>
          <w:r>
            <w:instrText xml:space="preserve"> HYPERLINK \l "_Toc30062" </w:instrText>
          </w:r>
          <w:r>
            <w:fldChar w:fldCharType="separate"/>
          </w:r>
          <w:r>
            <w:rPr>
              <w:rFonts w:hint="eastAsia" w:ascii="方正仿宋简体" w:hAnsi="方正仿宋简体" w:eastAsia="方正仿宋简体" w:cs="方正仿宋简体"/>
              <w:sz w:val="33"/>
              <w:szCs w:val="33"/>
            </w:rPr>
            <w:t>附件</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_Toc30062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22</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"_Toc27011" </w:instrText>
          </w:r>
          <w:r>
            <w:fldChar w:fldCharType="separate"/>
          </w:r>
          <w:r>
            <w:rPr>
              <w:rFonts w:hint="eastAsia" w:ascii="方正仿宋简体" w:hAnsi="方正仿宋简体" w:eastAsia="方正仿宋简体" w:cs="方正仿宋简体"/>
              <w:sz w:val="33"/>
              <w:szCs w:val="33"/>
            </w:rPr>
            <w:t>一、部门（单位）概况</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_Toc27011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22</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"_Toc2821" </w:instrText>
          </w:r>
          <w:r>
            <w:fldChar w:fldCharType="separate"/>
          </w:r>
          <w:r>
            <w:rPr>
              <w:rFonts w:hint="eastAsia" w:ascii="方正仿宋简体" w:hAnsi="方正仿宋简体" w:eastAsia="方正仿宋简体" w:cs="方正仿宋简体"/>
              <w:sz w:val="33"/>
              <w:szCs w:val="33"/>
            </w:rPr>
            <w:t>四、评价结论及建议</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_Toc2821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28</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0"/>
            <w:tabs>
              <w:tab w:val="right" w:leader="dot" w:pos="8306"/>
              <w:tab w:val="clear" w:pos="8296"/>
            </w:tabs>
            <w:spacing w:line="305" w:lineRule="auto"/>
            <w:rPr>
              <w:rFonts w:ascii="方正仿宋简体" w:hAnsi="方正仿宋简体" w:eastAsia="方正仿宋简体" w:cs="方正仿宋简体"/>
              <w:sz w:val="33"/>
              <w:szCs w:val="33"/>
            </w:rPr>
          </w:pPr>
          <w:r>
            <w:fldChar w:fldCharType="begin"/>
          </w:r>
          <w:r>
            <w:instrText xml:space="preserve"> HYPERLINK \l "_Toc16299" </w:instrText>
          </w:r>
          <w:r>
            <w:fldChar w:fldCharType="separate"/>
          </w:r>
          <w:r>
            <w:rPr>
              <w:rFonts w:hint="eastAsia" w:ascii="方正仿宋简体" w:hAnsi="方正仿宋简体" w:eastAsia="方正仿宋简体" w:cs="方正仿宋简体"/>
              <w:sz w:val="33"/>
              <w:szCs w:val="33"/>
            </w:rPr>
            <w:t>第五部分 附表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"_Toc24298" </w:instrText>
          </w:r>
          <w:r>
            <w:fldChar w:fldCharType="separate"/>
          </w:r>
          <w:r>
            <w:rPr>
              <w:rFonts w:hint="eastAsia" w:ascii="方正仿宋简体" w:hAnsi="方正仿宋简体" w:eastAsia="方正仿宋简体" w:cs="方正仿宋简体"/>
              <w:sz w:val="33"/>
              <w:szCs w:val="33"/>
            </w:rPr>
            <w:t>一、收入支出决算总表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"_Toc28553" </w:instrText>
          </w:r>
          <w:r>
            <w:fldChar w:fldCharType="separate"/>
          </w:r>
          <w:r>
            <w:rPr>
              <w:rFonts w:hint="eastAsia" w:ascii="方正仿宋简体" w:hAnsi="方正仿宋简体" w:eastAsia="方正仿宋简体" w:cs="方正仿宋简体"/>
              <w:sz w:val="33"/>
              <w:szCs w:val="33"/>
            </w:rPr>
            <w:t>二、收入决算表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"_Toc16578" </w:instrText>
          </w:r>
          <w:r>
            <w:fldChar w:fldCharType="separate"/>
          </w:r>
          <w:r>
            <w:rPr>
              <w:rFonts w:hint="eastAsia" w:ascii="方正仿宋简体" w:hAnsi="方正仿宋简体" w:eastAsia="方正仿宋简体" w:cs="方正仿宋简体"/>
              <w:sz w:val="33"/>
              <w:szCs w:val="33"/>
            </w:rPr>
            <w:t>三、支出决算表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"_Toc6468" </w:instrText>
          </w:r>
          <w:r>
            <w:fldChar w:fldCharType="separate"/>
          </w:r>
          <w:r>
            <w:rPr>
              <w:rFonts w:hint="eastAsia" w:ascii="方正仿宋简体" w:hAnsi="方正仿宋简体" w:eastAsia="方正仿宋简体" w:cs="方正仿宋简体"/>
              <w:sz w:val="33"/>
              <w:szCs w:val="33"/>
            </w:rPr>
            <w:t>四、财政拨款收入支出决算总表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"_Toc27371" </w:instrText>
          </w:r>
          <w:r>
            <w:fldChar w:fldCharType="separate"/>
          </w:r>
          <w:r>
            <w:rPr>
              <w:rFonts w:hint="eastAsia" w:ascii="方正仿宋简体" w:hAnsi="方正仿宋简体" w:eastAsia="方正仿宋简体" w:cs="方正仿宋简体"/>
              <w:sz w:val="33"/>
              <w:szCs w:val="33"/>
            </w:rPr>
            <w:t>五、财政拨款支出决算明细表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"_Toc25955" </w:instrText>
          </w:r>
          <w:r>
            <w:fldChar w:fldCharType="separate"/>
          </w:r>
          <w:r>
            <w:rPr>
              <w:rFonts w:hint="eastAsia" w:ascii="方正仿宋简体" w:hAnsi="方正仿宋简体" w:eastAsia="方正仿宋简体" w:cs="方正仿宋简体"/>
              <w:sz w:val="33"/>
              <w:szCs w:val="33"/>
            </w:rPr>
            <w:t>六、一般公共预算财政拨款支出决算表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"_Toc25825" </w:instrText>
          </w:r>
          <w:r>
            <w:fldChar w:fldCharType="separate"/>
          </w:r>
          <w:r>
            <w:rPr>
              <w:rFonts w:hint="eastAsia" w:ascii="方正仿宋简体" w:hAnsi="方正仿宋简体" w:eastAsia="方正仿宋简体" w:cs="方正仿宋简体"/>
              <w:sz w:val="33"/>
              <w:szCs w:val="33"/>
            </w:rPr>
            <w:t>七、一般公共预算财政拨款支出决算明细表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"_Toc8737" </w:instrText>
          </w:r>
          <w:r>
            <w:fldChar w:fldCharType="separate"/>
          </w:r>
          <w:r>
            <w:rPr>
              <w:rFonts w:hint="eastAsia" w:ascii="方正仿宋简体" w:hAnsi="方正仿宋简体" w:eastAsia="方正仿宋简体" w:cs="方正仿宋简体"/>
              <w:sz w:val="33"/>
              <w:szCs w:val="33"/>
            </w:rPr>
            <w:t>八、一般公共预算财政拨款基本支出决算表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"_Toc24035" </w:instrText>
          </w:r>
          <w:r>
            <w:fldChar w:fldCharType="separate"/>
          </w:r>
          <w:r>
            <w:rPr>
              <w:rFonts w:hint="eastAsia" w:ascii="方正仿宋简体" w:hAnsi="方正仿宋简体" w:eastAsia="方正仿宋简体" w:cs="方正仿宋简体"/>
              <w:sz w:val="33"/>
              <w:szCs w:val="33"/>
            </w:rPr>
            <w:t>九、一般公共预算财政拨款项目支出决算表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"_Toc7175" </w:instrText>
          </w:r>
          <w:r>
            <w:fldChar w:fldCharType="separate"/>
          </w:r>
          <w:r>
            <w:rPr>
              <w:rFonts w:hint="eastAsia" w:ascii="方正仿宋简体" w:hAnsi="方正仿宋简体" w:eastAsia="方正仿宋简体" w:cs="方正仿宋简体"/>
              <w:sz w:val="33"/>
              <w:szCs w:val="33"/>
            </w:rPr>
            <w:t>十、一般公共预算财政拨款“三公”经费支出决算表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"_Toc27024" </w:instrText>
          </w:r>
          <w:r>
            <w:fldChar w:fldCharType="separate"/>
          </w:r>
          <w:r>
            <w:rPr>
              <w:rFonts w:hint="eastAsia" w:ascii="方正仿宋简体" w:hAnsi="方正仿宋简体" w:eastAsia="方正仿宋简体" w:cs="方正仿宋简体"/>
              <w:sz w:val="33"/>
              <w:szCs w:val="33"/>
            </w:rPr>
            <w:t>十一、政府性基金预算财政拨款收入支出决算表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"_Toc5258" </w:instrText>
          </w:r>
          <w:r>
            <w:fldChar w:fldCharType="separate"/>
          </w:r>
          <w:r>
            <w:rPr>
              <w:rFonts w:hint="eastAsia" w:ascii="方正仿宋简体" w:hAnsi="方正仿宋简体" w:eastAsia="方正仿宋简体" w:cs="方正仿宋简体"/>
              <w:sz w:val="33"/>
              <w:szCs w:val="33"/>
            </w:rPr>
            <w:t>十二、政府性基金预算财政拨款“三公”经费支出决算表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sz w:val="33"/>
              <w:szCs w:val="33"/>
            </w:rPr>
          </w:pPr>
          <w:r>
            <w:fldChar w:fldCharType="begin"/>
          </w:r>
          <w:r>
            <w:instrText xml:space="preserve"> HYPERLINK \l "_Toc5777" </w:instrText>
          </w:r>
          <w:r>
            <w:fldChar w:fldCharType="separate"/>
          </w:r>
          <w:r>
            <w:rPr>
              <w:rFonts w:hint="eastAsia" w:ascii="方正仿宋简体" w:hAnsi="方正仿宋简体" w:eastAsia="方正仿宋简体" w:cs="方正仿宋简体"/>
              <w:sz w:val="33"/>
              <w:szCs w:val="33"/>
            </w:rPr>
            <w:t>十三、国有资本经营预算财政拨款收入支出决算表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pStyle w:val="11"/>
            <w:tabs>
              <w:tab w:val="right" w:leader="dot" w:pos="8306"/>
              <w:tab w:val="clear" w:pos="8296"/>
            </w:tabs>
            <w:spacing w:line="305" w:lineRule="auto"/>
            <w:ind w:left="0" w:leftChars="0"/>
            <w:rPr>
              <w:rFonts w:ascii="方正仿宋简体" w:hAnsi="方正仿宋简体" w:eastAsia="方正仿宋简体" w:cs="方正仿宋简体"/>
            </w:rPr>
          </w:pPr>
          <w:r>
            <w:fldChar w:fldCharType="begin"/>
          </w:r>
          <w:r>
            <w:instrText xml:space="preserve"> HYPERLINK \l "_Toc3724" </w:instrText>
          </w:r>
          <w:r>
            <w:fldChar w:fldCharType="separate"/>
          </w:r>
          <w:r>
            <w:rPr>
              <w:rFonts w:hint="eastAsia" w:ascii="方正仿宋简体" w:hAnsi="方正仿宋简体" w:eastAsia="方正仿宋简体" w:cs="方正仿宋简体"/>
              <w:sz w:val="33"/>
              <w:szCs w:val="33"/>
            </w:rPr>
            <w:t>十四、国有资本经营预算财政拨款支出决算表</w:t>
          </w:r>
          <w:r>
            <w:rPr>
              <w:rFonts w:hint="eastAsia" w:ascii="方正仿宋简体" w:hAnsi="方正仿宋简体" w:eastAsia="方正仿宋简体" w:cs="方正仿宋简体"/>
              <w:sz w:val="33"/>
              <w:szCs w:val="33"/>
            </w:rPr>
            <w:tab/>
          </w:r>
          <w:r>
            <w:rPr>
              <w:rFonts w:hint="eastAsia" w:ascii="方正仿宋简体" w:hAnsi="方正仿宋简体" w:eastAsia="方正仿宋简体" w:cs="方正仿宋简体"/>
              <w:sz w:val="33"/>
              <w:szCs w:val="33"/>
            </w:rPr>
            <w:fldChar w:fldCharType="begin"/>
          </w:r>
          <w:r>
            <w:rPr>
              <w:rFonts w:hint="eastAsia" w:ascii="方正仿宋简体" w:hAnsi="方正仿宋简体" w:eastAsia="方正仿宋简体" w:cs="方正仿宋简体"/>
              <w:sz w:val="33"/>
              <w:szCs w:val="33"/>
            </w:rPr>
            <w:instrText xml:space="preserve"> PAGEREF _Toc16299 \h </w:instrText>
          </w:r>
          <w:r>
            <w:rPr>
              <w:rFonts w:hint="eastAsia" w:ascii="方正仿宋简体" w:hAnsi="方正仿宋简体" w:eastAsia="方正仿宋简体" w:cs="方正仿宋简体"/>
              <w:sz w:val="33"/>
              <w:szCs w:val="33"/>
            </w:rPr>
            <w:fldChar w:fldCharType="separate"/>
          </w:r>
          <w:r>
            <w:rPr>
              <w:rFonts w:hint="eastAsia" w:ascii="方正仿宋简体" w:hAnsi="方正仿宋简体" w:eastAsia="方正仿宋简体" w:cs="方正仿宋简体"/>
              <w:sz w:val="33"/>
              <w:szCs w:val="33"/>
            </w:rPr>
            <w:t>6</w:t>
          </w:r>
          <w:r>
            <w:rPr>
              <w:rFonts w:hint="eastAsia" w:ascii="方正仿宋简体" w:hAnsi="方正仿宋简体" w:eastAsia="方正仿宋简体" w:cs="方正仿宋简体"/>
              <w:sz w:val="33"/>
              <w:szCs w:val="33"/>
              <w:lang w:val="en-US" w:eastAsia="zh-CN"/>
            </w:rPr>
            <w:t>4</w:t>
          </w:r>
          <w:r>
            <w:rPr>
              <w:rFonts w:hint="eastAsia" w:ascii="方正仿宋简体" w:hAnsi="方正仿宋简体" w:eastAsia="方正仿宋简体" w:cs="方正仿宋简体"/>
              <w:sz w:val="33"/>
              <w:szCs w:val="33"/>
            </w:rPr>
            <w:fldChar w:fldCharType="end"/>
          </w:r>
          <w:r>
            <w:rPr>
              <w:rFonts w:hint="eastAsia" w:ascii="方正仿宋简体" w:hAnsi="方正仿宋简体" w:eastAsia="方正仿宋简体" w:cs="方正仿宋简体"/>
              <w:sz w:val="33"/>
              <w:szCs w:val="33"/>
            </w:rPr>
            <w:fldChar w:fldCharType="end"/>
          </w:r>
        </w:p>
        <w:p>
          <w:pPr>
            <w:widowControl/>
            <w:adjustRightInd w:val="0"/>
            <w:snapToGrid w:val="0"/>
            <w:spacing w:line="305" w:lineRule="auto"/>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Cs w:val="33"/>
            </w:rPr>
            <w:fldChar w:fldCharType="end"/>
          </w:r>
        </w:p>
      </w:sdtContent>
    </w:sdt>
    <w:p>
      <w:pPr>
        <w:widowControl/>
        <w:adjustRightInd w:val="0"/>
        <w:snapToGrid w:val="0"/>
        <w:spacing w:line="305" w:lineRule="auto"/>
        <w:ind w:firstLine="639" w:firstLineChars="193"/>
        <w:jc w:val="left"/>
        <w:rPr>
          <w:rFonts w:ascii="方正仿宋简体" w:hAnsi="方正仿宋简体" w:eastAsia="方正仿宋简体" w:cs="方正仿宋简体"/>
          <w:bCs/>
          <w:kern w:val="44"/>
          <w:sz w:val="33"/>
          <w:szCs w:val="33"/>
        </w:rPr>
      </w:pPr>
      <w:bookmarkStart w:id="14" w:name="_Toc15377196"/>
      <w:bookmarkStart w:id="15" w:name="_Toc15396599"/>
      <w:r>
        <w:rPr>
          <w:rFonts w:hint="eastAsia" w:ascii="方正仿宋简体" w:hAnsi="方正仿宋简体" w:eastAsia="方正仿宋简体" w:cs="方正仿宋简体"/>
          <w:b/>
          <w:sz w:val="33"/>
          <w:szCs w:val="33"/>
        </w:rPr>
        <w:br w:type="page"/>
      </w:r>
    </w:p>
    <w:p>
      <w:pPr>
        <w:pStyle w:val="4"/>
        <w:adjustRightInd w:val="0"/>
        <w:snapToGrid w:val="0"/>
        <w:spacing w:line="305" w:lineRule="auto"/>
        <w:jc w:val="center"/>
        <w:rPr>
          <w:rStyle w:val="25"/>
          <w:rFonts w:ascii="方正仿宋简体" w:hAnsi="方正仿宋简体" w:eastAsia="方正仿宋简体" w:cs="方正仿宋简体"/>
          <w:b/>
          <w:bCs w:val="0"/>
          <w:sz w:val="33"/>
          <w:szCs w:val="33"/>
        </w:rPr>
      </w:pPr>
      <w:bookmarkStart w:id="16" w:name="_Toc28775"/>
      <w:r>
        <w:rPr>
          <w:rFonts w:hint="eastAsia" w:ascii="方正仿宋简体" w:hAnsi="方正仿宋简体" w:eastAsia="方正仿宋简体" w:cs="方正仿宋简体"/>
          <w:bCs w:val="0"/>
          <w:sz w:val="33"/>
          <w:szCs w:val="33"/>
        </w:rPr>
        <w:t xml:space="preserve">第一部分 </w:t>
      </w:r>
      <w:r>
        <w:rPr>
          <w:rStyle w:val="25"/>
          <w:rFonts w:hint="eastAsia" w:ascii="方正仿宋简体" w:hAnsi="方正仿宋简体" w:eastAsia="方正仿宋简体" w:cs="方正仿宋简体"/>
          <w:b/>
          <w:bCs w:val="0"/>
          <w:sz w:val="33"/>
          <w:szCs w:val="33"/>
        </w:rPr>
        <w:t>部门概况</w:t>
      </w:r>
      <w:bookmarkEnd w:id="14"/>
      <w:bookmarkEnd w:id="15"/>
      <w:bookmarkEnd w:id="16"/>
    </w:p>
    <w:p>
      <w:pPr>
        <w:pStyle w:val="5"/>
        <w:adjustRightInd w:val="0"/>
        <w:snapToGrid w:val="0"/>
        <w:spacing w:line="305" w:lineRule="auto"/>
        <w:ind w:firstLine="636" w:firstLineChars="193"/>
        <w:rPr>
          <w:rStyle w:val="26"/>
          <w:rFonts w:ascii="方正黑体简体" w:hAnsi="方正黑体简体" w:eastAsia="方正黑体简体" w:cs="方正黑体简体"/>
          <w:b w:val="0"/>
          <w:bCs w:val="0"/>
          <w:sz w:val="33"/>
          <w:szCs w:val="33"/>
        </w:rPr>
      </w:pPr>
      <w:bookmarkStart w:id="17" w:name="_Toc15377197"/>
      <w:bookmarkStart w:id="18" w:name="_Toc4644"/>
      <w:bookmarkStart w:id="19" w:name="_Toc15396600"/>
      <w:r>
        <w:rPr>
          <w:rFonts w:hint="eastAsia" w:ascii="方正黑体简体" w:hAnsi="方正黑体简体" w:eastAsia="方正黑体简体" w:cs="方正黑体简体"/>
          <w:b w:val="0"/>
          <w:sz w:val="33"/>
          <w:szCs w:val="33"/>
        </w:rPr>
        <w:t>一、基</w:t>
      </w:r>
      <w:r>
        <w:rPr>
          <w:rStyle w:val="26"/>
          <w:rFonts w:hint="eastAsia" w:ascii="方正黑体简体" w:hAnsi="方正黑体简体" w:eastAsia="方正黑体简体" w:cs="方正黑体简体"/>
          <w:b w:val="0"/>
          <w:bCs w:val="0"/>
          <w:sz w:val="33"/>
          <w:szCs w:val="33"/>
        </w:rPr>
        <w:t>本职能及主要工作</w:t>
      </w:r>
      <w:bookmarkEnd w:id="17"/>
      <w:bookmarkEnd w:id="18"/>
      <w:bookmarkEnd w:id="19"/>
    </w:p>
    <w:p>
      <w:pPr>
        <w:pStyle w:val="2"/>
        <w:adjustRightInd w:val="0"/>
        <w:snapToGrid w:val="0"/>
        <w:spacing w:beforeLines="0" w:line="305" w:lineRule="auto"/>
        <w:ind w:firstLine="636" w:firstLineChars="193"/>
        <w:rPr>
          <w:rFonts w:ascii="方正楷体简体" w:hAnsi="方正楷体简体" w:eastAsia="方正楷体简体" w:cs="方正楷体简体"/>
          <w:bCs/>
          <w:sz w:val="33"/>
          <w:szCs w:val="33"/>
        </w:rPr>
      </w:pPr>
      <w:bookmarkStart w:id="20" w:name="_Toc15377198"/>
      <w:bookmarkStart w:id="21" w:name="_Toc15378445"/>
      <w:r>
        <w:rPr>
          <w:rFonts w:hint="eastAsia" w:ascii="方正楷体简体" w:hAnsi="方正楷体简体" w:eastAsia="方正楷体简体" w:cs="方正楷体简体"/>
          <w:bCs/>
          <w:sz w:val="33"/>
          <w:szCs w:val="33"/>
        </w:rPr>
        <w:t>（一）主要职能。</w:t>
      </w:r>
      <w:bookmarkEnd w:id="20"/>
      <w:bookmarkEnd w:id="21"/>
      <w:bookmarkStart w:id="22" w:name="_Toc15377199"/>
      <w:bookmarkStart w:id="23" w:name="_Toc15378446"/>
    </w:p>
    <w:p>
      <w:pPr>
        <w:pStyle w:val="2"/>
        <w:adjustRightInd w:val="0"/>
        <w:snapToGrid w:val="0"/>
        <w:spacing w:beforeLines="0" w:line="305" w:lineRule="auto"/>
        <w:ind w:firstLine="636" w:firstLineChars="193"/>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围绕我市地方经济发展，承担农业、林业、水利等方面科学技术研究及技术推广应用工作。</w:t>
      </w:r>
    </w:p>
    <w:p>
      <w:pPr>
        <w:widowControl/>
        <w:shd w:val="clear" w:color="auto" w:fill="FFFFFF"/>
        <w:adjustRightInd w:val="0"/>
        <w:snapToGrid w:val="0"/>
        <w:spacing w:line="305" w:lineRule="auto"/>
        <w:ind w:firstLine="636" w:firstLineChars="193"/>
        <w:rPr>
          <w:rFonts w:ascii="方正仿宋简体" w:hAnsi="方正仿宋简体" w:eastAsia="方正仿宋简体" w:cs="方正仿宋简体"/>
          <w:bCs/>
          <w:sz w:val="33"/>
          <w:szCs w:val="33"/>
        </w:rPr>
      </w:pPr>
      <w:r>
        <w:rPr>
          <w:rFonts w:hint="eastAsia" w:ascii="方正楷体简体" w:hAnsi="方正楷体简体" w:eastAsia="方正楷体简体" w:cs="方正楷体简体"/>
          <w:bCs/>
          <w:kern w:val="0"/>
          <w:sz w:val="33"/>
          <w:szCs w:val="33"/>
        </w:rPr>
        <w:t>（二）2021年重点工作完成情况。</w:t>
      </w:r>
      <w:bookmarkEnd w:id="22"/>
      <w:bookmarkEnd w:id="23"/>
    </w:p>
    <w:p>
      <w:pPr>
        <w:widowControl/>
        <w:shd w:val="clear" w:color="auto" w:fill="FFFFFF"/>
        <w:adjustRightInd w:val="0"/>
        <w:snapToGrid w:val="0"/>
        <w:spacing w:line="305" w:lineRule="auto"/>
        <w:ind w:firstLine="639" w:firstLineChars="193"/>
        <w:rPr>
          <w:rFonts w:ascii="方正仿宋简体" w:hAnsi="方正仿宋简体" w:eastAsia="方正仿宋简体" w:cs="方正仿宋简体"/>
          <w:kern w:val="0"/>
          <w:sz w:val="33"/>
          <w:szCs w:val="33"/>
        </w:rPr>
      </w:pPr>
      <w:r>
        <w:rPr>
          <w:rFonts w:hint="eastAsia" w:ascii="方正仿宋简体" w:hAnsi="方正仿宋简体" w:eastAsia="方正仿宋简体" w:cs="方正仿宋简体"/>
          <w:b/>
          <w:bCs/>
          <w:kern w:val="0"/>
          <w:sz w:val="33"/>
          <w:szCs w:val="33"/>
        </w:rPr>
        <w:t>1. 提高政治站位，做实疫情常态化防控与森林草原防灭火工作。</w:t>
      </w:r>
      <w:r>
        <w:rPr>
          <w:rFonts w:hint="eastAsia" w:ascii="方正仿宋简体" w:hAnsi="方正仿宋简体" w:eastAsia="方正仿宋简体" w:cs="方正仿宋简体"/>
          <w:kern w:val="0"/>
          <w:sz w:val="33"/>
          <w:szCs w:val="33"/>
        </w:rPr>
        <w:t>一是深入贯彻习近平总书记关于做好常态化疫情防控的重要指示精神，认真贯彻省、市疫情防控部署要求，加强宣传，强化与社区的联系，严格实行出攀报备等制度，管好自己的人，守好自己的门。二是认真贯彻落实中央、省、市关于森林草原防灭火的相关工作要求，切实开展单位属地范围科研基地的日常巡查巡逻、宣传教育、排查整改安全隐患等防灭火工作，确保了单位属地管理范围的防火安全。</w:t>
      </w:r>
    </w:p>
    <w:p>
      <w:pPr>
        <w:adjustRightInd w:val="0"/>
        <w:snapToGrid w:val="0"/>
        <w:spacing w:line="305" w:lineRule="auto"/>
        <w:ind w:firstLine="639" w:firstLineChars="193"/>
        <w:rPr>
          <w:rFonts w:ascii="方正仿宋简体" w:hAnsi="方正仿宋简体" w:eastAsia="方正仿宋简体" w:cs="方正仿宋简体"/>
          <w:kern w:val="0"/>
          <w:sz w:val="33"/>
          <w:szCs w:val="33"/>
        </w:rPr>
      </w:pPr>
      <w:r>
        <w:rPr>
          <w:rFonts w:hint="eastAsia" w:ascii="方正仿宋简体" w:hAnsi="方正仿宋简体" w:eastAsia="方正仿宋简体" w:cs="方正仿宋简体"/>
          <w:b/>
          <w:bCs/>
          <w:kern w:val="0"/>
          <w:sz w:val="33"/>
          <w:szCs w:val="33"/>
        </w:rPr>
        <w:t>2. 高质量完成“十四五”全院科技发展规划的编制。</w:t>
      </w:r>
      <w:r>
        <w:rPr>
          <w:rFonts w:hint="eastAsia" w:ascii="方正仿宋简体" w:hAnsi="方正仿宋简体" w:eastAsia="方正仿宋简体" w:cs="方正仿宋简体"/>
          <w:kern w:val="0"/>
          <w:sz w:val="33"/>
          <w:szCs w:val="33"/>
        </w:rPr>
        <w:t>全面总结单位“十三五”科技工作成效和存在的问题，结合中央、省、市关于农业科研事业发展的新要求，提出单位今后一段时期科技工作的发展思路、发展目标和措施办法，经广泛征求意见后已正式印发。</w:t>
      </w:r>
    </w:p>
    <w:p>
      <w:pPr>
        <w:adjustRightInd w:val="0"/>
        <w:snapToGrid w:val="0"/>
        <w:spacing w:line="305" w:lineRule="auto"/>
        <w:ind w:firstLine="639" w:firstLineChars="193"/>
        <w:rPr>
          <w:rFonts w:ascii="方正仿宋简体" w:hAnsi="方正仿宋简体" w:eastAsia="方正仿宋简体" w:cs="方正仿宋简体"/>
          <w:kern w:val="0"/>
          <w:sz w:val="33"/>
          <w:szCs w:val="33"/>
        </w:rPr>
      </w:pPr>
      <w:r>
        <w:rPr>
          <w:rFonts w:hint="eastAsia" w:ascii="方正仿宋简体" w:hAnsi="方正仿宋简体" w:eastAsia="方正仿宋简体" w:cs="方正仿宋简体"/>
          <w:b/>
          <w:bCs/>
          <w:kern w:val="0"/>
          <w:sz w:val="33"/>
          <w:szCs w:val="33"/>
        </w:rPr>
        <w:t>3. 强化应用基础研究，加强关键核心技术科技攻关，科技创新取得丰硕成果。</w:t>
      </w:r>
      <w:r>
        <w:rPr>
          <w:rFonts w:hint="eastAsia" w:ascii="方正仿宋简体" w:hAnsi="方正仿宋简体" w:eastAsia="方正仿宋简体" w:cs="方正仿宋简体"/>
          <w:kern w:val="0"/>
          <w:sz w:val="33"/>
          <w:szCs w:val="33"/>
        </w:rPr>
        <w:t>全年开展科研项目97项，新上项目34项，项目资金1310万元；完成项目验收27项次；获得国家专利授权6项；2个芒果新品种通过国家审定；获省部级科技进步奖励4项；获四川省“科技系统先进集体”等荣誉称号。</w:t>
      </w:r>
    </w:p>
    <w:p>
      <w:pPr>
        <w:adjustRightInd w:val="0"/>
        <w:snapToGrid w:val="0"/>
        <w:spacing w:line="305" w:lineRule="auto"/>
        <w:ind w:firstLine="639" w:firstLineChars="193"/>
        <w:rPr>
          <w:rFonts w:ascii="方正仿宋简体" w:hAnsi="方正仿宋简体" w:eastAsia="方正仿宋简体" w:cs="方正仿宋简体"/>
          <w:kern w:val="0"/>
          <w:sz w:val="33"/>
          <w:szCs w:val="33"/>
        </w:rPr>
      </w:pPr>
      <w:r>
        <w:rPr>
          <w:rFonts w:hint="eastAsia" w:ascii="方正仿宋简体" w:hAnsi="方正仿宋简体" w:eastAsia="方正仿宋简体" w:cs="方正仿宋简体"/>
          <w:b/>
          <w:bCs/>
          <w:kern w:val="0"/>
          <w:sz w:val="33"/>
          <w:szCs w:val="33"/>
        </w:rPr>
        <w:t>4. 加强种质资源保护利用和育种攻关，强化种业科技支撑。</w:t>
      </w:r>
      <w:r>
        <w:rPr>
          <w:rFonts w:hint="eastAsia" w:ascii="方正仿宋简体" w:hAnsi="方正仿宋简体" w:eastAsia="方正仿宋简体" w:cs="方正仿宋简体"/>
          <w:kern w:val="0"/>
          <w:sz w:val="33"/>
          <w:szCs w:val="33"/>
        </w:rPr>
        <w:t>紧紧依托省、市创新团队建设和重大育种攻关专项实施，调整单位科研重心和方向到现代种业科技创新，着力开展芒果、蔬菜、牛羊、核桃种质资源收集、保护、评价和利用，强化新品种选育，切实为解决种业“卡脖子”问题贡献科技力量。完善建立芒果种质资源圃1个，收集保存芒果种质资源达220份，选育出“攀育2号”“热品16号”芒果新品种通过国家审定。</w:t>
      </w:r>
    </w:p>
    <w:p>
      <w:pPr>
        <w:adjustRightInd w:val="0"/>
        <w:snapToGrid w:val="0"/>
        <w:spacing w:line="305" w:lineRule="auto"/>
        <w:ind w:firstLine="639" w:firstLineChars="193"/>
        <w:rPr>
          <w:rFonts w:ascii="方正仿宋简体" w:hAnsi="方正仿宋简体" w:eastAsia="方正仿宋简体" w:cs="方正仿宋简体"/>
          <w:kern w:val="0"/>
          <w:sz w:val="33"/>
          <w:szCs w:val="33"/>
        </w:rPr>
      </w:pPr>
      <w:r>
        <w:rPr>
          <w:rFonts w:hint="eastAsia" w:ascii="方正仿宋简体" w:hAnsi="方正仿宋简体" w:eastAsia="方正仿宋简体" w:cs="方正仿宋简体"/>
          <w:b/>
          <w:bCs/>
          <w:kern w:val="0"/>
          <w:sz w:val="33"/>
          <w:szCs w:val="33"/>
        </w:rPr>
        <w:t>5. 全面提升科研条件平台水平，努力创建区域性农业科技高地。</w:t>
      </w:r>
      <w:r>
        <w:rPr>
          <w:rFonts w:hint="eastAsia" w:ascii="方正仿宋简体" w:hAnsi="方正仿宋简体" w:eastAsia="方正仿宋简体" w:cs="方正仿宋简体"/>
          <w:kern w:val="0"/>
          <w:sz w:val="33"/>
          <w:szCs w:val="33"/>
        </w:rPr>
        <w:t>相继完成农业农村部攀枝花金沙江干热河谷区农业科学观测试验站、攀枝花南亚热带植物园基础设施配套工程和五十一林业科研和园林花卉基地建设等项目，全院科研条件平台更加完善。</w:t>
      </w:r>
    </w:p>
    <w:p>
      <w:pPr>
        <w:adjustRightInd w:val="0"/>
        <w:snapToGrid w:val="0"/>
        <w:spacing w:line="305" w:lineRule="auto"/>
        <w:ind w:firstLine="639" w:firstLineChars="193"/>
        <w:rPr>
          <w:rFonts w:ascii="方正仿宋简体" w:hAnsi="方正仿宋简体" w:eastAsia="方正仿宋简体" w:cs="方正仿宋简体"/>
          <w:kern w:val="0"/>
          <w:sz w:val="33"/>
          <w:szCs w:val="33"/>
        </w:rPr>
      </w:pPr>
      <w:r>
        <w:rPr>
          <w:rFonts w:hint="eastAsia" w:ascii="方正仿宋简体" w:hAnsi="方正仿宋简体" w:eastAsia="方正仿宋简体" w:cs="方正仿宋简体"/>
          <w:b/>
          <w:bCs/>
          <w:kern w:val="0"/>
          <w:sz w:val="33"/>
          <w:szCs w:val="33"/>
        </w:rPr>
        <w:t>6. 加强成果转化推广，促进助农增收。</w:t>
      </w:r>
      <w:r>
        <w:rPr>
          <w:rFonts w:hint="eastAsia" w:ascii="方正仿宋简体" w:hAnsi="方正仿宋简体" w:eastAsia="方正仿宋简体" w:cs="方正仿宋简体"/>
          <w:kern w:val="0"/>
          <w:sz w:val="33"/>
          <w:szCs w:val="33"/>
        </w:rPr>
        <w:t>继续复制推广“福田模式”基地18个，持续推进新品种、新技术、新材料示范，加大农业实用技术培训。科技人员下乡累计2299人次，举办适用技术培训班151期，培训农业从业人员6523余人次，发放资料5821余份（册）。</w:t>
      </w:r>
    </w:p>
    <w:p>
      <w:pPr>
        <w:adjustRightInd w:val="0"/>
        <w:snapToGrid w:val="0"/>
        <w:spacing w:line="305" w:lineRule="auto"/>
        <w:ind w:firstLine="639" w:firstLineChars="193"/>
        <w:rPr>
          <w:rFonts w:ascii="方正仿宋简体" w:hAnsi="方正仿宋简体" w:eastAsia="方正仿宋简体" w:cs="方正仿宋简体"/>
          <w:kern w:val="0"/>
          <w:sz w:val="33"/>
          <w:szCs w:val="33"/>
        </w:rPr>
      </w:pPr>
      <w:r>
        <w:rPr>
          <w:rFonts w:hint="eastAsia" w:ascii="方正仿宋简体" w:hAnsi="方正仿宋简体" w:eastAsia="方正仿宋简体" w:cs="方正仿宋简体"/>
          <w:b/>
          <w:bCs/>
          <w:kern w:val="0"/>
          <w:sz w:val="33"/>
          <w:szCs w:val="33"/>
        </w:rPr>
        <w:t>7. 全力助推巩固拓展脱贫攻坚成果与乡村振兴的有效衔接。</w:t>
      </w:r>
      <w:r>
        <w:rPr>
          <w:rFonts w:hint="eastAsia" w:ascii="方正仿宋简体" w:hAnsi="方正仿宋简体" w:eastAsia="方正仿宋简体" w:cs="方正仿宋简体"/>
          <w:kern w:val="0"/>
          <w:sz w:val="33"/>
          <w:szCs w:val="33"/>
        </w:rPr>
        <w:t>持续开展全市中高山地区农业产业发展新品种、新技术的示范、推广工作；持续做好米易县攀莲镇观音村对口帮扶工作，新选派驻村工作队队员1名；继续派出61名科技特派员开展科技特派员产业支撑行动；选派3名科技人员参加我市农业系帮扶凉山工作专班。</w:t>
      </w:r>
    </w:p>
    <w:p>
      <w:pPr>
        <w:adjustRightInd w:val="0"/>
        <w:snapToGrid w:val="0"/>
        <w:spacing w:line="305" w:lineRule="auto"/>
        <w:ind w:firstLine="639" w:firstLineChars="193"/>
        <w:rPr>
          <w:rFonts w:ascii="方正仿宋简体" w:hAnsi="方正仿宋简体" w:eastAsia="方正仿宋简体" w:cs="方正仿宋简体"/>
          <w:kern w:val="0"/>
          <w:sz w:val="33"/>
          <w:szCs w:val="33"/>
        </w:rPr>
      </w:pPr>
      <w:r>
        <w:rPr>
          <w:rFonts w:hint="eastAsia" w:ascii="方正仿宋简体" w:hAnsi="方正仿宋简体" w:eastAsia="方正仿宋简体" w:cs="方正仿宋简体"/>
          <w:b/>
          <w:bCs/>
          <w:kern w:val="0"/>
          <w:sz w:val="33"/>
          <w:szCs w:val="33"/>
        </w:rPr>
        <w:t>8. 持续实施双创改革试点工作。</w:t>
      </w:r>
      <w:r>
        <w:rPr>
          <w:rFonts w:hint="eastAsia" w:ascii="方正仿宋简体" w:hAnsi="方正仿宋简体" w:eastAsia="方正仿宋简体" w:cs="方正仿宋简体"/>
          <w:kern w:val="0"/>
          <w:sz w:val="33"/>
          <w:szCs w:val="33"/>
        </w:rPr>
        <w:t>不断总结经验，持续完善相关管理制度，鼓励全院干部职工主动融入市场需求开展多形式的科技成果转化服务工作。同时加强人才队伍建设，新引进高层次人次4名。</w:t>
      </w:r>
    </w:p>
    <w:p>
      <w:pPr>
        <w:pStyle w:val="5"/>
        <w:adjustRightInd w:val="0"/>
        <w:snapToGrid w:val="0"/>
        <w:spacing w:line="305" w:lineRule="auto"/>
        <w:ind w:firstLine="636" w:firstLineChars="193"/>
        <w:rPr>
          <w:rStyle w:val="26"/>
          <w:rFonts w:ascii="方正黑体简体" w:hAnsi="方正黑体简体" w:eastAsia="方正黑体简体" w:cs="方正黑体简体"/>
          <w:b w:val="0"/>
          <w:bCs w:val="0"/>
          <w:sz w:val="33"/>
          <w:szCs w:val="33"/>
        </w:rPr>
      </w:pPr>
      <w:bookmarkStart w:id="24" w:name="_Toc15377200"/>
      <w:bookmarkStart w:id="25" w:name="_Toc15396601"/>
      <w:bookmarkStart w:id="26" w:name="_Toc25123"/>
      <w:r>
        <w:rPr>
          <w:rFonts w:hint="eastAsia" w:ascii="方正黑体简体" w:hAnsi="方正黑体简体" w:eastAsia="方正黑体简体" w:cs="方正黑体简体"/>
          <w:b w:val="0"/>
          <w:sz w:val="33"/>
          <w:szCs w:val="33"/>
        </w:rPr>
        <w:t>二、机</w:t>
      </w:r>
      <w:r>
        <w:rPr>
          <w:rStyle w:val="26"/>
          <w:rFonts w:hint="eastAsia" w:ascii="方正黑体简体" w:hAnsi="方正黑体简体" w:eastAsia="方正黑体简体" w:cs="方正黑体简体"/>
          <w:b w:val="0"/>
          <w:bCs w:val="0"/>
          <w:sz w:val="33"/>
          <w:szCs w:val="33"/>
        </w:rPr>
        <w:t>构设置</w:t>
      </w:r>
      <w:bookmarkEnd w:id="24"/>
      <w:bookmarkEnd w:id="25"/>
      <w:bookmarkEnd w:id="26"/>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市农林科学研究院独立事业编制机构数1个，独立核算机构数1个，无下属二级单位。</w:t>
      </w:r>
    </w:p>
    <w:p>
      <w:pPr>
        <w:pStyle w:val="2"/>
        <w:adjustRightInd w:val="0"/>
        <w:snapToGrid w:val="0"/>
        <w:spacing w:before="93" w:line="305" w:lineRule="auto"/>
        <w:ind w:firstLine="636" w:firstLineChars="193"/>
        <w:rPr>
          <w:rFonts w:ascii="方正仿宋简体" w:hAnsi="方正仿宋简体" w:eastAsia="方正仿宋简体" w:cs="方正仿宋简体"/>
          <w:sz w:val="33"/>
          <w:szCs w:val="33"/>
        </w:rPr>
      </w:pPr>
    </w:p>
    <w:p>
      <w:pPr>
        <w:widowControl/>
        <w:adjustRightInd w:val="0"/>
        <w:snapToGrid w:val="0"/>
        <w:spacing w:line="305" w:lineRule="auto"/>
        <w:ind w:firstLine="636" w:firstLineChars="193"/>
        <w:jc w:val="left"/>
        <w:rPr>
          <w:rFonts w:ascii="方正仿宋简体" w:hAnsi="方正仿宋简体" w:eastAsia="方正仿宋简体" w:cs="方正仿宋简体"/>
          <w:kern w:val="0"/>
          <w:sz w:val="33"/>
          <w:szCs w:val="33"/>
        </w:rPr>
      </w:pPr>
      <w:r>
        <w:rPr>
          <w:rFonts w:hint="eastAsia" w:ascii="方正仿宋简体" w:hAnsi="方正仿宋简体" w:eastAsia="方正仿宋简体" w:cs="方正仿宋简体"/>
          <w:sz w:val="33"/>
          <w:szCs w:val="33"/>
        </w:rPr>
        <w:br w:type="page"/>
      </w:r>
    </w:p>
    <w:p>
      <w:pPr>
        <w:pStyle w:val="4"/>
        <w:adjustRightInd w:val="0"/>
        <w:snapToGrid w:val="0"/>
        <w:spacing w:line="305" w:lineRule="auto"/>
        <w:ind w:right="440"/>
        <w:jc w:val="center"/>
        <w:rPr>
          <w:rStyle w:val="25"/>
          <w:rFonts w:ascii="方正仿宋简体" w:hAnsi="方正仿宋简体" w:eastAsia="方正仿宋简体" w:cs="方正仿宋简体"/>
          <w:b/>
          <w:bCs w:val="0"/>
          <w:sz w:val="33"/>
          <w:szCs w:val="33"/>
        </w:rPr>
      </w:pPr>
      <w:bookmarkStart w:id="27" w:name="_Toc15377204"/>
      <w:bookmarkStart w:id="28" w:name="_Toc28275"/>
      <w:bookmarkStart w:id="29" w:name="_Toc15396602"/>
      <w:r>
        <w:rPr>
          <w:rFonts w:hint="eastAsia" w:ascii="方正仿宋简体" w:hAnsi="方正仿宋简体" w:eastAsia="方正仿宋简体" w:cs="方正仿宋简体"/>
          <w:bCs w:val="0"/>
          <w:sz w:val="33"/>
          <w:szCs w:val="33"/>
        </w:rPr>
        <w:t>第二部分 2021年度</w:t>
      </w:r>
      <w:r>
        <w:rPr>
          <w:rStyle w:val="25"/>
          <w:rFonts w:hint="eastAsia" w:ascii="方正仿宋简体" w:hAnsi="方正仿宋简体" w:eastAsia="方正仿宋简体" w:cs="方正仿宋简体"/>
          <w:b/>
          <w:bCs w:val="0"/>
          <w:sz w:val="33"/>
          <w:szCs w:val="33"/>
        </w:rPr>
        <w:t>部门决算情况说明</w:t>
      </w:r>
      <w:bookmarkEnd w:id="27"/>
      <w:bookmarkEnd w:id="28"/>
      <w:bookmarkEnd w:id="29"/>
    </w:p>
    <w:p>
      <w:pPr>
        <w:pStyle w:val="24"/>
        <w:adjustRightInd w:val="0"/>
        <w:snapToGrid w:val="0"/>
        <w:spacing w:line="305" w:lineRule="auto"/>
        <w:ind w:firstLine="636" w:firstLineChars="193"/>
        <w:outlineLvl w:val="1"/>
        <w:rPr>
          <w:rStyle w:val="26"/>
          <w:rFonts w:ascii="方正黑体简体" w:hAnsi="方正黑体简体" w:eastAsia="方正黑体简体" w:cs="方正黑体简体"/>
          <w:b w:val="0"/>
          <w:sz w:val="33"/>
          <w:szCs w:val="33"/>
        </w:rPr>
      </w:pPr>
      <w:bookmarkStart w:id="30" w:name="_Toc16588"/>
      <w:bookmarkStart w:id="31" w:name="_Toc15377205"/>
      <w:bookmarkStart w:id="32" w:name="_Toc15396603"/>
      <w:r>
        <w:rPr>
          <w:rFonts w:hint="eastAsia" w:ascii="方正黑体简体" w:hAnsi="方正黑体简体" w:eastAsia="方正黑体简体" w:cs="方正黑体简体"/>
          <w:sz w:val="33"/>
          <w:szCs w:val="33"/>
        </w:rPr>
        <w:t>一、收</w:t>
      </w:r>
      <w:r>
        <w:rPr>
          <w:rStyle w:val="26"/>
          <w:rFonts w:hint="eastAsia" w:ascii="方正黑体简体" w:hAnsi="方正黑体简体" w:eastAsia="方正黑体简体" w:cs="方正黑体简体"/>
          <w:b w:val="0"/>
          <w:sz w:val="33"/>
          <w:szCs w:val="33"/>
        </w:rPr>
        <w:t>入支出决算总体情况说明</w:t>
      </w:r>
      <w:bookmarkEnd w:id="30"/>
      <w:bookmarkEnd w:id="31"/>
      <w:bookmarkEnd w:id="32"/>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2021年度收、支总计4226.03万元。与2020年相比，收、支总计各减少1081.64万元，下降25%。主要变动原因是2021年本年收入较上年减少278.98万元，年初结转和结余减少了802.66万元。（图1：收、支决算总计变动情况图）（柱状图）</w:t>
      </w:r>
    </w:p>
    <w:p>
      <w:pPr>
        <w:pStyle w:val="2"/>
        <w:spacing w:before="93" w:line="305" w:lineRule="auto"/>
        <w:rPr>
          <w:sz w:val="32"/>
          <w:szCs w:val="32"/>
        </w:rPr>
      </w:pPr>
      <w:r>
        <w:drawing>
          <wp:inline distT="0" distB="0" distL="114300" distR="114300">
            <wp:extent cx="5324475" cy="2809875"/>
            <wp:effectExtent l="4445" t="4445" r="5080" b="508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24"/>
        <w:adjustRightInd w:val="0"/>
        <w:snapToGrid w:val="0"/>
        <w:spacing w:line="305" w:lineRule="auto"/>
        <w:ind w:firstLine="636" w:firstLineChars="193"/>
        <w:outlineLvl w:val="1"/>
        <w:rPr>
          <w:rStyle w:val="26"/>
          <w:rFonts w:ascii="方正黑体简体" w:hAnsi="方正黑体简体" w:eastAsia="方正黑体简体" w:cs="方正黑体简体"/>
          <w:b w:val="0"/>
          <w:sz w:val="33"/>
          <w:szCs w:val="33"/>
        </w:rPr>
      </w:pPr>
      <w:bookmarkStart w:id="33" w:name="_Toc15396604"/>
      <w:bookmarkStart w:id="34" w:name="_Toc24408"/>
      <w:bookmarkStart w:id="35" w:name="_Toc15377206"/>
      <w:r>
        <w:rPr>
          <w:rFonts w:hint="eastAsia" w:ascii="方正黑体简体" w:hAnsi="方正黑体简体" w:eastAsia="方正黑体简体" w:cs="方正黑体简体"/>
          <w:sz w:val="33"/>
          <w:szCs w:val="33"/>
        </w:rPr>
        <w:t>二、收</w:t>
      </w:r>
      <w:r>
        <w:rPr>
          <w:rStyle w:val="26"/>
          <w:rFonts w:hint="eastAsia" w:ascii="方正黑体简体" w:hAnsi="方正黑体简体" w:eastAsia="方正黑体简体" w:cs="方正黑体简体"/>
          <w:b w:val="0"/>
          <w:sz w:val="33"/>
          <w:szCs w:val="33"/>
        </w:rPr>
        <w:t>入决算情况说明</w:t>
      </w:r>
      <w:bookmarkEnd w:id="33"/>
      <w:bookmarkEnd w:id="34"/>
      <w:bookmarkEnd w:id="35"/>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36" w:name="_Toc4253"/>
      <w:r>
        <w:rPr>
          <w:rFonts w:hint="eastAsia" w:ascii="方正仿宋简体" w:hAnsi="方正仿宋简体" w:eastAsia="方正仿宋简体" w:cs="方正仿宋简体"/>
          <w:sz w:val="33"/>
          <w:szCs w:val="33"/>
        </w:rPr>
        <w:t>2021年本年收入合计3718.29万元，其中：一般公共预算财政拨款收入3411.10万元，占92%；政府性基金预算财政拨款收入5万元，占0.13%；国有资本经营预算财政拨款收入0万元，占0%；上级补助收入0万元，占0%；事业收入0万元，占0%；经营收入0万元，占0%；附属单位上缴收入0万元，占0%；其他收入302.19万元，占7.87%。</w:t>
      </w:r>
      <w:bookmarkEnd w:id="36"/>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（图2：收入决算结构图）（饼状图）</w:t>
      </w:r>
    </w:p>
    <w:p>
      <w:pPr>
        <w:pStyle w:val="2"/>
        <w:spacing w:before="93" w:line="305" w:lineRule="auto"/>
      </w:pPr>
      <w:r>
        <w:drawing>
          <wp:inline distT="0" distB="0" distL="114300" distR="114300">
            <wp:extent cx="5276850" cy="2724150"/>
            <wp:effectExtent l="4445" t="4445" r="14605" b="14605"/>
            <wp:docPr id="14"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4"/>
        <w:adjustRightInd w:val="0"/>
        <w:snapToGrid w:val="0"/>
        <w:spacing w:line="305" w:lineRule="auto"/>
        <w:ind w:firstLine="636" w:firstLineChars="193"/>
        <w:outlineLvl w:val="1"/>
        <w:rPr>
          <w:rStyle w:val="26"/>
          <w:rFonts w:ascii="方正黑体简体" w:hAnsi="方正黑体简体" w:eastAsia="方正黑体简体" w:cs="方正黑体简体"/>
          <w:b w:val="0"/>
          <w:sz w:val="33"/>
          <w:szCs w:val="33"/>
        </w:rPr>
      </w:pPr>
      <w:bookmarkStart w:id="37" w:name="_Toc15396605"/>
      <w:bookmarkStart w:id="38" w:name="_Toc11522"/>
      <w:bookmarkStart w:id="39" w:name="_Toc15377207"/>
      <w:r>
        <w:rPr>
          <w:rFonts w:hint="eastAsia" w:ascii="方正黑体简体" w:hAnsi="方正黑体简体" w:eastAsia="方正黑体简体" w:cs="方正黑体简体"/>
          <w:sz w:val="33"/>
          <w:szCs w:val="33"/>
        </w:rPr>
        <w:t>三、支</w:t>
      </w:r>
      <w:r>
        <w:rPr>
          <w:rStyle w:val="26"/>
          <w:rFonts w:hint="eastAsia" w:ascii="方正黑体简体" w:hAnsi="方正黑体简体" w:eastAsia="方正黑体简体" w:cs="方正黑体简体"/>
          <w:b w:val="0"/>
          <w:sz w:val="33"/>
          <w:szCs w:val="33"/>
        </w:rPr>
        <w:t>出决算情况说明</w:t>
      </w:r>
      <w:bookmarkEnd w:id="37"/>
      <w:bookmarkEnd w:id="38"/>
      <w:bookmarkEnd w:id="39"/>
    </w:p>
    <w:p>
      <w:pPr>
        <w:adjustRightInd w:val="0"/>
        <w:snapToGrid w:val="0"/>
        <w:spacing w:line="305" w:lineRule="auto"/>
        <w:ind w:firstLine="636" w:firstLineChars="193"/>
        <w:outlineLvl w:val="1"/>
        <w:rPr>
          <w:rFonts w:ascii="方正仿宋简体" w:hAnsi="方正仿宋简体" w:eastAsia="方正仿宋简体" w:cs="方正仿宋简体"/>
          <w:sz w:val="33"/>
          <w:szCs w:val="33"/>
        </w:rPr>
      </w:pPr>
      <w:bookmarkStart w:id="40" w:name="_Toc614"/>
      <w:r>
        <w:rPr>
          <w:rFonts w:hint="eastAsia" w:ascii="方正仿宋简体" w:hAnsi="方正仿宋简体" w:eastAsia="方正仿宋简体" w:cs="方正仿宋简体"/>
          <w:sz w:val="33"/>
          <w:szCs w:val="33"/>
        </w:rPr>
        <w:t>2021年本年支出合计3923.84万元，其中：基本支出2517.19万元，占64%；项目支出1406.65万元，占36%；上缴上级支出0万元，占0%；经营支出0万元，占0%；对附属单位补助支出0万元，占0%。</w:t>
      </w:r>
      <w:bookmarkEnd w:id="40"/>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（图3：支出决算结构图）（饼状图）</w:t>
      </w:r>
    </w:p>
    <w:p>
      <w:pPr>
        <w:pStyle w:val="2"/>
        <w:spacing w:before="93" w:line="305" w:lineRule="auto"/>
      </w:pPr>
      <w:r>
        <w:drawing>
          <wp:inline distT="0" distB="0" distL="114300" distR="114300">
            <wp:extent cx="5258435" cy="2790825"/>
            <wp:effectExtent l="4445" t="4445" r="13970" b="5080"/>
            <wp:docPr id="8"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adjustRightInd w:val="0"/>
        <w:snapToGrid w:val="0"/>
        <w:spacing w:line="305" w:lineRule="auto"/>
        <w:ind w:firstLine="636" w:firstLineChars="193"/>
        <w:outlineLvl w:val="1"/>
        <w:rPr>
          <w:rStyle w:val="26"/>
          <w:rFonts w:ascii="方正黑体简体" w:hAnsi="方正黑体简体" w:eastAsia="方正黑体简体" w:cs="方正黑体简体"/>
          <w:b w:val="0"/>
          <w:sz w:val="33"/>
          <w:szCs w:val="33"/>
        </w:rPr>
      </w:pPr>
      <w:bookmarkStart w:id="41" w:name="_Toc4343"/>
      <w:bookmarkStart w:id="42" w:name="_Toc15396606"/>
      <w:bookmarkStart w:id="43" w:name="_Toc15377208"/>
      <w:r>
        <w:rPr>
          <w:rFonts w:hint="eastAsia" w:ascii="方正黑体简体" w:hAnsi="方正黑体简体" w:eastAsia="方正黑体简体" w:cs="方正黑体简体"/>
          <w:sz w:val="33"/>
          <w:szCs w:val="33"/>
        </w:rPr>
        <w:t>四、财</w:t>
      </w:r>
      <w:r>
        <w:rPr>
          <w:rStyle w:val="26"/>
          <w:rFonts w:hint="eastAsia" w:ascii="方正黑体简体" w:hAnsi="方正黑体简体" w:eastAsia="方正黑体简体" w:cs="方正黑体简体"/>
          <w:b w:val="0"/>
          <w:sz w:val="33"/>
          <w:szCs w:val="33"/>
        </w:rPr>
        <w:t>政拨款收入支出决算总体情况说明</w:t>
      </w:r>
      <w:bookmarkEnd w:id="41"/>
      <w:bookmarkEnd w:id="42"/>
      <w:bookmarkEnd w:id="43"/>
    </w:p>
    <w:p>
      <w:pPr>
        <w:adjustRightInd w:val="0"/>
        <w:snapToGrid w:val="0"/>
        <w:spacing w:line="305" w:lineRule="auto"/>
        <w:ind w:firstLine="636" w:firstLineChars="193"/>
        <w:rPr>
          <w:rFonts w:ascii="方正仿宋简体" w:hAnsi="方正仿宋简体" w:eastAsia="方正仿宋简体" w:cs="方正仿宋简体"/>
          <w:b/>
          <w:sz w:val="33"/>
          <w:szCs w:val="33"/>
        </w:rPr>
      </w:pPr>
      <w:r>
        <w:rPr>
          <w:rFonts w:hint="eastAsia" w:ascii="方正仿宋简体" w:hAnsi="方正仿宋简体" w:eastAsia="方正仿宋简体" w:cs="方正仿宋简体"/>
          <w:sz w:val="33"/>
          <w:szCs w:val="33"/>
        </w:rPr>
        <w:t>2021年财政拨款收、支总计3416.10万元。与2020年3718.29万元相比，财政拨款收、支总计减少302.19万元，下降0.81%。主要变动原因是项目支出减少了。</w:t>
      </w:r>
      <w:r>
        <w:rPr>
          <w:rFonts w:hint="eastAsia" w:ascii="方正仿宋简体" w:hAnsi="方正仿宋简体" w:eastAsia="方正仿宋简体" w:cs="方正仿宋简体"/>
          <w:b/>
          <w:sz w:val="33"/>
          <w:szCs w:val="33"/>
        </w:rPr>
        <w:t>（注：数据来源于财决01-1表）</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（图4：财政拨款收、支决算总计变动情况）（柱状图）</w:t>
      </w:r>
    </w:p>
    <w:p>
      <w:pPr>
        <w:pStyle w:val="2"/>
        <w:spacing w:before="93" w:line="305" w:lineRule="auto"/>
      </w:pPr>
      <w:r>
        <w:drawing>
          <wp:inline distT="0" distB="0" distL="114300" distR="114300">
            <wp:extent cx="5238115" cy="2743200"/>
            <wp:effectExtent l="4445" t="4445" r="15240" b="14605"/>
            <wp:docPr id="15"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adjustRightInd w:val="0"/>
        <w:snapToGrid w:val="0"/>
        <w:spacing w:line="305" w:lineRule="auto"/>
        <w:ind w:firstLine="639" w:firstLineChars="193"/>
        <w:outlineLvl w:val="1"/>
        <w:rPr>
          <w:rStyle w:val="26"/>
          <w:rFonts w:ascii="方正黑体简体" w:hAnsi="方正黑体简体" w:eastAsia="方正黑体简体" w:cs="方正黑体简体"/>
          <w:b w:val="0"/>
          <w:sz w:val="33"/>
          <w:szCs w:val="33"/>
        </w:rPr>
      </w:pPr>
      <w:bookmarkStart w:id="44" w:name="_Toc15396607"/>
      <w:bookmarkStart w:id="45" w:name="_Toc19897"/>
      <w:bookmarkStart w:id="46" w:name="_Toc15377209"/>
      <w:r>
        <w:rPr>
          <w:rFonts w:hint="eastAsia" w:ascii="方正黑体简体" w:hAnsi="方正黑体简体" w:eastAsia="方正黑体简体" w:cs="方正黑体简体"/>
          <w:b/>
          <w:sz w:val="33"/>
          <w:szCs w:val="33"/>
        </w:rPr>
        <w:t>五、一</w:t>
      </w:r>
      <w:r>
        <w:rPr>
          <w:rStyle w:val="26"/>
          <w:rFonts w:hint="eastAsia" w:ascii="方正黑体简体" w:hAnsi="方正黑体简体" w:eastAsia="方正黑体简体" w:cs="方正黑体简体"/>
          <w:b w:val="0"/>
          <w:sz w:val="33"/>
          <w:szCs w:val="33"/>
        </w:rPr>
        <w:t>般公共预算财政拨款支出决算情况说明</w:t>
      </w:r>
      <w:bookmarkEnd w:id="44"/>
      <w:bookmarkEnd w:id="45"/>
      <w:bookmarkEnd w:id="46"/>
    </w:p>
    <w:p>
      <w:pPr>
        <w:adjustRightInd w:val="0"/>
        <w:snapToGrid w:val="0"/>
        <w:spacing w:line="305" w:lineRule="auto"/>
        <w:ind w:firstLine="639" w:firstLineChars="193"/>
        <w:outlineLvl w:val="2"/>
        <w:rPr>
          <w:rFonts w:ascii="方正楷体简体" w:hAnsi="方正楷体简体" w:eastAsia="方正楷体简体" w:cs="方正楷体简体"/>
          <w:b/>
          <w:sz w:val="33"/>
          <w:szCs w:val="33"/>
        </w:rPr>
      </w:pPr>
      <w:bookmarkStart w:id="47" w:name="_Toc24572"/>
      <w:bookmarkStart w:id="48" w:name="_Toc15377210"/>
      <w:r>
        <w:rPr>
          <w:rFonts w:hint="eastAsia" w:ascii="方正楷体简体" w:hAnsi="方正楷体简体" w:eastAsia="方正楷体简体" w:cs="方正楷体简体"/>
          <w:b/>
          <w:sz w:val="33"/>
          <w:szCs w:val="33"/>
        </w:rPr>
        <w:t>（一）一般公共预算财政拨款支出决算总体情况</w:t>
      </w:r>
      <w:bookmarkEnd w:id="47"/>
      <w:bookmarkEnd w:id="48"/>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2021年一般公共预算财政拨款支出3411.10万元，占本年支出合计的99.8%。与2020年相比，一般公共预算财政拨款支出减少617.36万元，下降15%。主要变动原因是项目支出减少了。</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（图5：一般公共预算财政拨款支出决算变动情况）（柱状图）</w:t>
      </w:r>
    </w:p>
    <w:p>
      <w:pPr>
        <w:pStyle w:val="2"/>
        <w:spacing w:before="93" w:line="305" w:lineRule="auto"/>
      </w:pPr>
      <w:r>
        <w:drawing>
          <wp:inline distT="0" distB="0" distL="114300" distR="114300">
            <wp:extent cx="5086985" cy="2534285"/>
            <wp:effectExtent l="4445" t="4445" r="13970" b="13970"/>
            <wp:docPr id="16"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adjustRightInd w:val="0"/>
        <w:snapToGrid w:val="0"/>
        <w:spacing w:line="305" w:lineRule="auto"/>
        <w:ind w:firstLine="639" w:firstLineChars="193"/>
        <w:outlineLvl w:val="2"/>
        <w:rPr>
          <w:rFonts w:ascii="方正仿宋简体" w:hAnsi="方正仿宋简体" w:eastAsia="方正仿宋简体" w:cs="方正仿宋简体"/>
          <w:b/>
          <w:sz w:val="33"/>
          <w:szCs w:val="33"/>
        </w:rPr>
      </w:pPr>
      <w:bookmarkStart w:id="49" w:name="_Toc15377211"/>
      <w:bookmarkStart w:id="50" w:name="_Toc2506"/>
      <w:r>
        <w:rPr>
          <w:rFonts w:hint="eastAsia" w:ascii="方正楷体简体" w:hAnsi="方正楷体简体" w:eastAsia="方正楷体简体" w:cs="方正楷体简体"/>
          <w:b/>
          <w:sz w:val="33"/>
          <w:szCs w:val="33"/>
        </w:rPr>
        <w:t>（二）一般公共预算财政拨款支出决算结构情况</w:t>
      </w:r>
      <w:bookmarkEnd w:id="49"/>
      <w:bookmarkEnd w:id="50"/>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2021年一般公共预算财政拨款支出4226.03万元，主要用于以下方面:</w:t>
      </w:r>
      <w:r>
        <w:rPr>
          <w:rFonts w:hint="eastAsia" w:ascii="方正仿宋简体" w:hAnsi="方正仿宋简体" w:eastAsia="方正仿宋简体" w:cs="方正仿宋简体"/>
          <w:b/>
          <w:sz w:val="33"/>
          <w:szCs w:val="33"/>
        </w:rPr>
        <w:t>一般公共服务（类）</w:t>
      </w:r>
      <w:r>
        <w:rPr>
          <w:rFonts w:hint="eastAsia" w:ascii="方正仿宋简体" w:hAnsi="方正仿宋简体" w:eastAsia="方正仿宋简体" w:cs="方正仿宋简体"/>
          <w:sz w:val="33"/>
          <w:szCs w:val="33"/>
        </w:rPr>
        <w:t>支出35.24万元，占0.83%；</w:t>
      </w:r>
      <w:r>
        <w:rPr>
          <w:rFonts w:hint="eastAsia" w:ascii="方正仿宋简体" w:hAnsi="方正仿宋简体" w:eastAsia="方正仿宋简体" w:cs="方正仿宋简体"/>
          <w:b/>
          <w:sz w:val="33"/>
          <w:szCs w:val="33"/>
        </w:rPr>
        <w:t>科学技术（类）</w:t>
      </w:r>
      <w:r>
        <w:rPr>
          <w:rFonts w:hint="eastAsia" w:ascii="方正仿宋简体" w:hAnsi="方正仿宋简体" w:eastAsia="方正仿宋简体" w:cs="方正仿宋简体"/>
          <w:sz w:val="33"/>
          <w:szCs w:val="33"/>
        </w:rPr>
        <w:t>支出464.39万元，占10.98%；</w:t>
      </w:r>
      <w:r>
        <w:rPr>
          <w:rFonts w:hint="eastAsia" w:ascii="方正仿宋简体" w:hAnsi="方正仿宋简体" w:eastAsia="方正仿宋简体" w:cs="方正仿宋简体"/>
          <w:b/>
          <w:sz w:val="33"/>
          <w:szCs w:val="33"/>
        </w:rPr>
        <w:t>社会保障和就业（类）</w:t>
      </w:r>
      <w:r>
        <w:rPr>
          <w:rFonts w:hint="eastAsia" w:ascii="方正仿宋简体" w:hAnsi="方正仿宋简体" w:eastAsia="方正仿宋简体" w:cs="方正仿宋简体"/>
          <w:sz w:val="33"/>
          <w:szCs w:val="33"/>
        </w:rPr>
        <w:t>支出547.13万元，占12.95%；</w:t>
      </w:r>
      <w:r>
        <w:rPr>
          <w:rFonts w:hint="eastAsia" w:ascii="方正仿宋简体" w:hAnsi="方正仿宋简体" w:eastAsia="方正仿宋简体" w:cs="方正仿宋简体"/>
          <w:b/>
          <w:bCs/>
          <w:sz w:val="33"/>
          <w:szCs w:val="33"/>
        </w:rPr>
        <w:t>农林水支出2493.91</w:t>
      </w:r>
      <w:r>
        <w:rPr>
          <w:rFonts w:hint="eastAsia" w:ascii="方正仿宋简体" w:hAnsi="方正仿宋简体" w:eastAsia="方正仿宋简体" w:cs="方正仿宋简体"/>
          <w:sz w:val="33"/>
          <w:szCs w:val="33"/>
        </w:rPr>
        <w:t>万元，占59%；</w:t>
      </w:r>
      <w:r>
        <w:rPr>
          <w:rFonts w:hint="eastAsia" w:ascii="方正仿宋简体" w:hAnsi="方正仿宋简体" w:eastAsia="方正仿宋简体" w:cs="方正仿宋简体"/>
          <w:b/>
          <w:bCs/>
          <w:sz w:val="33"/>
          <w:szCs w:val="33"/>
        </w:rPr>
        <w:t>城乡社区支出526.42</w:t>
      </w:r>
      <w:r>
        <w:rPr>
          <w:rFonts w:hint="eastAsia" w:ascii="方正仿宋简体" w:hAnsi="方正仿宋简体" w:eastAsia="方正仿宋简体" w:cs="方正仿宋简体"/>
          <w:sz w:val="33"/>
          <w:szCs w:val="33"/>
        </w:rPr>
        <w:t>万元，占12.47%，</w:t>
      </w:r>
      <w:r>
        <w:rPr>
          <w:rFonts w:hint="eastAsia" w:ascii="方正仿宋简体" w:hAnsi="方正仿宋简体" w:eastAsia="方正仿宋简体" w:cs="方正仿宋简体"/>
          <w:b/>
          <w:bCs/>
          <w:sz w:val="33"/>
          <w:szCs w:val="33"/>
        </w:rPr>
        <w:t>住房保障支出</w:t>
      </w:r>
      <w:r>
        <w:rPr>
          <w:rFonts w:hint="eastAsia" w:ascii="方正仿宋简体" w:hAnsi="方正仿宋简体" w:eastAsia="方正仿宋简体" w:cs="方正仿宋简体"/>
          <w:sz w:val="33"/>
          <w:szCs w:val="33"/>
        </w:rPr>
        <w:t>158.95万元，占3.77%。</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（图6：一般公共预算财政拨款支出决算结构）（饼状图）</w:t>
      </w:r>
    </w:p>
    <w:p>
      <w:pPr>
        <w:pStyle w:val="2"/>
        <w:spacing w:before="93" w:line="305" w:lineRule="auto"/>
      </w:pPr>
      <w:r>
        <w:drawing>
          <wp:inline distT="0" distB="0" distL="114300" distR="114300">
            <wp:extent cx="5044440" cy="2477770"/>
            <wp:effectExtent l="4445" t="4445" r="18415" b="13335"/>
            <wp:docPr id="17"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adjustRightInd w:val="0"/>
        <w:snapToGrid w:val="0"/>
        <w:spacing w:line="305" w:lineRule="auto"/>
        <w:ind w:firstLine="639" w:firstLineChars="193"/>
        <w:outlineLvl w:val="2"/>
        <w:rPr>
          <w:rFonts w:ascii="方正楷体简体" w:hAnsi="方正楷体简体" w:eastAsia="方正楷体简体" w:cs="方正楷体简体"/>
          <w:b/>
          <w:sz w:val="33"/>
          <w:szCs w:val="33"/>
        </w:rPr>
      </w:pPr>
      <w:bookmarkStart w:id="51" w:name="_Toc31759"/>
      <w:bookmarkStart w:id="52" w:name="_Toc15377212"/>
      <w:r>
        <w:rPr>
          <w:rFonts w:hint="eastAsia" w:ascii="方正楷体简体" w:hAnsi="方正楷体简体" w:eastAsia="方正楷体简体" w:cs="方正楷体简体"/>
          <w:b/>
          <w:sz w:val="33"/>
          <w:szCs w:val="33"/>
        </w:rPr>
        <w:t>（三）一般公共预算财政拨款支出决算具体情况</w:t>
      </w:r>
      <w:bookmarkEnd w:id="51"/>
      <w:bookmarkEnd w:id="52"/>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53" w:name="_Toc15377444"/>
      <w:bookmarkStart w:id="54" w:name="_Toc15378460"/>
      <w:bookmarkStart w:id="55" w:name="_Toc25058"/>
      <w:bookmarkStart w:id="56" w:name="_Toc15377213"/>
      <w:r>
        <w:rPr>
          <w:rFonts w:hint="eastAsia" w:ascii="方正仿宋简体" w:hAnsi="方正仿宋简体" w:eastAsia="方正仿宋简体" w:cs="方正仿宋简体"/>
          <w:sz w:val="33"/>
          <w:szCs w:val="33"/>
        </w:rPr>
        <w:t>2021年一般公共预算支出决算数为3914.48，完成预算100%。其中：</w:t>
      </w:r>
      <w:bookmarkEnd w:id="53"/>
      <w:bookmarkEnd w:id="54"/>
      <w:bookmarkEnd w:id="55"/>
      <w:bookmarkEnd w:id="56"/>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57" w:name="_Toc6004"/>
      <w:r>
        <w:rPr>
          <w:rFonts w:hint="eastAsia" w:ascii="方正仿宋简体" w:hAnsi="方正仿宋简体" w:eastAsia="方正仿宋简体" w:cs="方正仿宋简体"/>
          <w:sz w:val="33"/>
          <w:szCs w:val="33"/>
        </w:rPr>
        <w:t>1.一般公共服务类其中：</w:t>
      </w:r>
      <w:bookmarkEnd w:id="57"/>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58" w:name="_Toc10964"/>
      <w:r>
        <w:rPr>
          <w:rFonts w:hint="eastAsia" w:ascii="方正仿宋简体" w:hAnsi="方正仿宋简体" w:eastAsia="方正仿宋简体" w:cs="方正仿宋简体"/>
          <w:sz w:val="33"/>
          <w:szCs w:val="33"/>
        </w:rPr>
        <w:t>2013299 其他组织事务支出: 本年收入35.24万元，支出决算为35.24万元，完成预算100%。</w:t>
      </w:r>
      <w:bookmarkEnd w:id="58"/>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59" w:name="_Toc22752"/>
      <w:r>
        <w:rPr>
          <w:rFonts w:hint="eastAsia" w:ascii="方正仿宋简体" w:hAnsi="方正仿宋简体" w:eastAsia="方正仿宋简体" w:cs="方正仿宋简体"/>
          <w:sz w:val="33"/>
          <w:szCs w:val="33"/>
        </w:rPr>
        <w:t>2. 科学技术类其中:</w:t>
      </w:r>
      <w:bookmarkEnd w:id="59"/>
      <w:r>
        <w:rPr>
          <w:rFonts w:hint="eastAsia" w:ascii="方正仿宋简体" w:hAnsi="方正仿宋简体" w:eastAsia="方正仿宋简体" w:cs="方正仿宋简体"/>
          <w:sz w:val="33"/>
          <w:szCs w:val="33"/>
        </w:rPr>
        <w:t xml:space="preserve"> </w:t>
      </w:r>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60" w:name="_Toc18662"/>
      <w:r>
        <w:rPr>
          <w:rFonts w:hint="eastAsia" w:ascii="方正仿宋简体" w:hAnsi="方正仿宋简体" w:eastAsia="方正仿宋简体" w:cs="方正仿宋简体"/>
          <w:sz w:val="33"/>
          <w:szCs w:val="33"/>
        </w:rPr>
        <w:t>2060302社会公益研究上年结转17.75万元，支出决算为17.75万元，完成预算100%。</w:t>
      </w:r>
      <w:bookmarkEnd w:id="60"/>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61" w:name="_Toc12871"/>
      <w:r>
        <w:rPr>
          <w:rFonts w:hint="eastAsia" w:ascii="方正仿宋简体" w:hAnsi="方正仿宋简体" w:eastAsia="方正仿宋简体" w:cs="方正仿宋简体"/>
          <w:sz w:val="33"/>
          <w:szCs w:val="33"/>
        </w:rPr>
        <w:t>2060404科技成果转化与扩散上年结转32.14万元，本年收入35.15万元，本年支出决算为67.29万元，完成预算100%。</w:t>
      </w:r>
      <w:bookmarkEnd w:id="61"/>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62" w:name="_Toc4599"/>
      <w:r>
        <w:rPr>
          <w:rFonts w:hint="eastAsia" w:ascii="方正仿宋简体" w:hAnsi="方正仿宋简体" w:eastAsia="方正仿宋简体" w:cs="方正仿宋简体"/>
          <w:sz w:val="33"/>
          <w:szCs w:val="33"/>
        </w:rPr>
        <w:t>2060503科技条件专项支出本年收入14.89万元，本年支出决算为14.89万元，完成预算100%。</w:t>
      </w:r>
      <w:bookmarkEnd w:id="62"/>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63" w:name="_Toc1759"/>
      <w:r>
        <w:rPr>
          <w:rFonts w:hint="eastAsia" w:ascii="方正仿宋简体" w:hAnsi="方正仿宋简体" w:eastAsia="方正仿宋简体" w:cs="方正仿宋简体"/>
          <w:sz w:val="33"/>
          <w:szCs w:val="33"/>
        </w:rPr>
        <w:t>2060799其他科学技术普及支出上年结转3.17万元，本年支出决算为3.17万元，完成预算100%。</w:t>
      </w:r>
      <w:bookmarkEnd w:id="63"/>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64" w:name="_Toc30193"/>
      <w:r>
        <w:rPr>
          <w:rFonts w:hint="eastAsia" w:ascii="方正仿宋简体" w:hAnsi="方正仿宋简体" w:eastAsia="方正仿宋简体" w:cs="方正仿宋简体"/>
          <w:sz w:val="33"/>
          <w:szCs w:val="33"/>
        </w:rPr>
        <w:t>2069999其他科学技术支出上年结转39.09万元，本年收入20万元，本年支出决算为59.09万元，完成预算100%。</w:t>
      </w:r>
      <w:bookmarkEnd w:id="64"/>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65" w:name="_Toc25159"/>
      <w:r>
        <w:rPr>
          <w:rFonts w:hint="eastAsia" w:ascii="方正仿宋简体" w:hAnsi="方正仿宋简体" w:eastAsia="方正仿宋简体" w:cs="方正仿宋简体"/>
          <w:sz w:val="33"/>
          <w:szCs w:val="33"/>
        </w:rPr>
        <w:t>3.社会保障和就业（类）其中:</w:t>
      </w:r>
      <w:bookmarkEnd w:id="65"/>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66" w:name="_Toc18385"/>
      <w:r>
        <w:rPr>
          <w:rFonts w:hint="eastAsia" w:ascii="方正仿宋简体" w:hAnsi="方正仿宋简体" w:eastAsia="方正仿宋简体" w:cs="方正仿宋简体"/>
          <w:sz w:val="33"/>
          <w:szCs w:val="33"/>
        </w:rPr>
        <w:t>2080502事业单位离退休本年收入230.18万元，支出决算为230.18万元，完成预算100%。</w:t>
      </w:r>
      <w:bookmarkEnd w:id="66"/>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67" w:name="_Toc20993"/>
      <w:r>
        <w:rPr>
          <w:rFonts w:hint="eastAsia" w:ascii="方正仿宋简体" w:hAnsi="方正仿宋简体" w:eastAsia="方正仿宋简体" w:cs="方正仿宋简体"/>
          <w:sz w:val="33"/>
          <w:szCs w:val="33"/>
        </w:rPr>
        <w:t>2080505机关事业单位基本养老保险缴费本年收入168.91万元，支出决算为168.91万元，完成预算100%。</w:t>
      </w:r>
      <w:bookmarkEnd w:id="67"/>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68" w:name="_Toc5052"/>
      <w:r>
        <w:rPr>
          <w:rFonts w:hint="eastAsia" w:ascii="方正仿宋简体" w:hAnsi="方正仿宋简体" w:eastAsia="方正仿宋简体" w:cs="方正仿宋简体"/>
          <w:sz w:val="33"/>
          <w:szCs w:val="33"/>
        </w:rPr>
        <w:t>2080801死亡抚恤本年收入7.3万元，支出决算为7.3万元，完成预算100%。</w:t>
      </w:r>
      <w:bookmarkEnd w:id="68"/>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69" w:name="_Toc15257"/>
      <w:r>
        <w:rPr>
          <w:rFonts w:hint="eastAsia" w:ascii="方正仿宋简体" w:hAnsi="方正仿宋简体" w:eastAsia="方正仿宋简体" w:cs="方正仿宋简体"/>
          <w:sz w:val="33"/>
          <w:szCs w:val="33"/>
        </w:rPr>
        <w:t>2081001儿童福利本年收入0.5万元，支出决算为0.5万元，完成预算100%。</w:t>
      </w:r>
      <w:bookmarkEnd w:id="69"/>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70" w:name="_Toc4866"/>
      <w:r>
        <w:rPr>
          <w:rFonts w:hint="eastAsia" w:ascii="方正仿宋简体" w:hAnsi="方正仿宋简体" w:eastAsia="方正仿宋简体" w:cs="方正仿宋简体"/>
          <w:sz w:val="33"/>
          <w:szCs w:val="33"/>
        </w:rPr>
        <w:t>4.城乡社区支出（类）其中：</w:t>
      </w:r>
      <w:bookmarkEnd w:id="70"/>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71" w:name="_Toc7477"/>
      <w:r>
        <w:rPr>
          <w:rFonts w:hint="eastAsia" w:ascii="方正仿宋简体" w:hAnsi="方正仿宋简体" w:eastAsia="方正仿宋简体" w:cs="方正仿宋简体"/>
          <w:sz w:val="33"/>
          <w:szCs w:val="33"/>
        </w:rPr>
        <w:t>2120399其他城乡社区公共设施支出本年收入200万元，本年支出200万元。完成预算100%。</w:t>
      </w:r>
      <w:bookmarkEnd w:id="71"/>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72" w:name="_Toc5378"/>
      <w:r>
        <w:rPr>
          <w:rFonts w:hint="eastAsia" w:ascii="方正仿宋简体" w:hAnsi="方正仿宋简体" w:eastAsia="方正仿宋简体" w:cs="方正仿宋简体"/>
          <w:sz w:val="33"/>
          <w:szCs w:val="33"/>
        </w:rPr>
        <w:t>5.农林水支出（类）其中:</w:t>
      </w:r>
      <w:bookmarkEnd w:id="72"/>
      <w:r>
        <w:rPr>
          <w:rFonts w:hint="eastAsia" w:ascii="方正仿宋简体" w:hAnsi="方正仿宋简体" w:eastAsia="方正仿宋简体" w:cs="方正仿宋简体"/>
          <w:sz w:val="33"/>
          <w:szCs w:val="33"/>
        </w:rPr>
        <w:t xml:space="preserve"> </w:t>
      </w:r>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73" w:name="_Toc21340"/>
      <w:r>
        <w:rPr>
          <w:rFonts w:hint="eastAsia" w:ascii="方正仿宋简体" w:hAnsi="方正仿宋简体" w:eastAsia="方正仿宋简体" w:cs="方正仿宋简体"/>
          <w:sz w:val="33"/>
          <w:szCs w:val="33"/>
        </w:rPr>
        <w:t>2130104事业运行本年收入1951.85万元，支出决算为1951.85万元，完成预算100%。</w:t>
      </w:r>
      <w:bookmarkEnd w:id="73"/>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74" w:name="_Toc11327"/>
      <w:r>
        <w:rPr>
          <w:rFonts w:hint="eastAsia" w:ascii="方正仿宋简体" w:hAnsi="方正仿宋简体" w:eastAsia="方正仿宋简体" w:cs="方正仿宋简体"/>
          <w:sz w:val="33"/>
          <w:szCs w:val="33"/>
        </w:rPr>
        <w:t>2130106科技转化与推广服务上年结转2.28万元，本年收入99.79万元，本年支出决算为102.07万元，完成预算100%。</w:t>
      </w:r>
      <w:bookmarkEnd w:id="74"/>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75" w:name="_Toc5682"/>
      <w:r>
        <w:rPr>
          <w:rFonts w:hint="eastAsia" w:ascii="方正仿宋简体" w:hAnsi="方正仿宋简体" w:eastAsia="方正仿宋简体" w:cs="方正仿宋简体"/>
          <w:sz w:val="33"/>
          <w:szCs w:val="33"/>
        </w:rPr>
        <w:t>2130199其他农业支出上年结转70万元，本年收入123.45万元，支出决算为193.45万元，完成预算100%。</w:t>
      </w:r>
      <w:bookmarkEnd w:id="75"/>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76" w:name="_Toc10548"/>
      <w:r>
        <w:rPr>
          <w:rFonts w:hint="eastAsia" w:ascii="方正仿宋简体" w:hAnsi="方正仿宋简体" w:eastAsia="方正仿宋简体" w:cs="方正仿宋简体"/>
          <w:sz w:val="33"/>
          <w:szCs w:val="33"/>
        </w:rPr>
        <w:t>2130207森林资源管理上年结转18.13万元，本年支出决算为18.13万元，完成预算100%。</w:t>
      </w:r>
      <w:bookmarkEnd w:id="76"/>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77" w:name="_Toc12683"/>
      <w:r>
        <w:rPr>
          <w:rFonts w:hint="eastAsia" w:ascii="方正仿宋简体" w:hAnsi="方正仿宋简体" w:eastAsia="方正仿宋简体" w:cs="方正仿宋简体"/>
          <w:sz w:val="33"/>
          <w:szCs w:val="33"/>
        </w:rPr>
        <w:t>2130399其他水利支出上年结转3.59万元，本年支出决算为3.59万元，完成预算100%。</w:t>
      </w:r>
      <w:bookmarkEnd w:id="77"/>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78" w:name="_Toc30882"/>
      <w:r>
        <w:rPr>
          <w:rFonts w:hint="eastAsia" w:ascii="方正仿宋简体" w:hAnsi="方正仿宋简体" w:eastAsia="方正仿宋简体" w:cs="方正仿宋简体"/>
          <w:sz w:val="33"/>
          <w:szCs w:val="33"/>
        </w:rPr>
        <w:t>2130599其他扶贫支出本年收入60万元，支出决算为60万元，完成预算100%。</w:t>
      </w:r>
      <w:bookmarkEnd w:id="78"/>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79" w:name="_Toc22132"/>
      <w:r>
        <w:rPr>
          <w:rFonts w:hint="eastAsia" w:ascii="方正仿宋简体" w:hAnsi="方正仿宋简体" w:eastAsia="方正仿宋简体" w:cs="方正仿宋简体"/>
          <w:sz w:val="33"/>
          <w:szCs w:val="33"/>
        </w:rPr>
        <w:t>2139999其他农林水支出本年收入164.65万元，支出决算为164.65万元，完成预算100%。</w:t>
      </w:r>
      <w:bookmarkEnd w:id="79"/>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80" w:name="_Toc26989"/>
      <w:r>
        <w:rPr>
          <w:rFonts w:hint="eastAsia" w:ascii="方正仿宋简体" w:hAnsi="方正仿宋简体" w:eastAsia="方正仿宋简体" w:cs="方正仿宋简体"/>
          <w:sz w:val="33"/>
          <w:szCs w:val="33"/>
        </w:rPr>
        <w:t>6.住房保障支出（类）:2210201住房公积金本年收入158.95万元，支出决算为158.95元，完成预算100%。</w:t>
      </w:r>
      <w:bookmarkEnd w:id="80"/>
    </w:p>
    <w:p>
      <w:pPr>
        <w:tabs>
          <w:tab w:val="right" w:pos="8306"/>
        </w:tabs>
        <w:adjustRightInd w:val="0"/>
        <w:snapToGrid w:val="0"/>
        <w:spacing w:line="305" w:lineRule="auto"/>
        <w:ind w:firstLine="636" w:firstLineChars="193"/>
        <w:outlineLvl w:val="1"/>
        <w:rPr>
          <w:rStyle w:val="26"/>
          <w:rFonts w:ascii="方正黑体简体" w:hAnsi="方正黑体简体" w:eastAsia="方正黑体简体" w:cs="方正黑体简体"/>
          <w:sz w:val="33"/>
          <w:szCs w:val="33"/>
        </w:rPr>
      </w:pPr>
      <w:bookmarkStart w:id="81" w:name="_Toc15396608"/>
      <w:bookmarkStart w:id="82" w:name="_Toc15377214"/>
      <w:bookmarkStart w:id="83" w:name="_Toc6693"/>
      <w:r>
        <w:rPr>
          <w:rFonts w:hint="eastAsia" w:ascii="方正黑体简体" w:hAnsi="方正黑体简体" w:eastAsia="方正黑体简体" w:cs="方正黑体简体"/>
          <w:sz w:val="33"/>
          <w:szCs w:val="33"/>
        </w:rPr>
        <w:t>六</w:t>
      </w:r>
      <w:r>
        <w:rPr>
          <w:rFonts w:hint="eastAsia" w:ascii="方正黑体简体" w:hAnsi="方正黑体简体" w:eastAsia="方正黑体简体" w:cs="方正黑体简体"/>
          <w:b/>
          <w:sz w:val="33"/>
          <w:szCs w:val="33"/>
        </w:rPr>
        <w:t>、一</w:t>
      </w:r>
      <w:r>
        <w:rPr>
          <w:rStyle w:val="26"/>
          <w:rFonts w:hint="eastAsia" w:ascii="方正黑体简体" w:hAnsi="方正黑体简体" w:eastAsia="方正黑体简体" w:cs="方正黑体简体"/>
          <w:b w:val="0"/>
          <w:sz w:val="33"/>
          <w:szCs w:val="33"/>
        </w:rPr>
        <w:t>般公共预算财政拨款基本支出决算情况说明</w:t>
      </w:r>
      <w:bookmarkEnd w:id="81"/>
      <w:bookmarkEnd w:id="82"/>
      <w:bookmarkEnd w:id="83"/>
      <w:r>
        <w:rPr>
          <w:rStyle w:val="26"/>
          <w:rFonts w:hint="eastAsia" w:ascii="方正黑体简体" w:hAnsi="方正黑体简体" w:eastAsia="方正黑体简体" w:cs="方正黑体简体"/>
          <w:b w:val="0"/>
          <w:sz w:val="33"/>
          <w:szCs w:val="33"/>
        </w:rPr>
        <w:tab/>
      </w:r>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84" w:name="_Toc15940"/>
      <w:r>
        <w:rPr>
          <w:rFonts w:hint="eastAsia" w:ascii="方正仿宋简体" w:hAnsi="方正仿宋简体" w:eastAsia="方正仿宋简体" w:cs="方正仿宋简体"/>
          <w:sz w:val="33"/>
          <w:szCs w:val="33"/>
        </w:rPr>
        <w:t>2021年一般公共预算财政拨款基本支出2517.19万元，其中：</w:t>
      </w:r>
      <w:bookmarkEnd w:id="84"/>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人员经费2236.81万元，主要包括：基本工资593.30万元、津贴补贴145.75万元、绩效工资751.67万元、机关事业单位基本养老保险缴费168.91万元、职工基本医疗保险165.10万元，其他社会保障缴费12.16万元、离休费14.43万元、抚恤金7.3万元、生活补助188.23万元、住房公积金158.95万元、其他对个人和家庭的补助支出30.99万元等。</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公用经费280.38万元，主要包括：办公费13.71万元、印刷费0.5万元、咨询费0.08万元、手续费0.06万元、水费13.89万元、电费26.89万元、邮电费11万元、物业管理费0.24万元、差旅费42.92万元、维修（护）费0.12万元、培训费0.56万元、公务接待费1.18万元、劳务费35.76万元、专用材料费13.03万元、委托业务费6.68万元、工会经费10.74万元、福利费14.66万元、公务用车运行维护费18.10万元、其他交通费5.28万元、其他商品和服务支出63.97万元、办公设备购置0.68万元、专用设备购置0.33万元等。</w:t>
      </w:r>
    </w:p>
    <w:p>
      <w:pPr>
        <w:adjustRightInd w:val="0"/>
        <w:snapToGrid w:val="0"/>
        <w:spacing w:line="305" w:lineRule="auto"/>
        <w:ind w:firstLine="636" w:firstLineChars="193"/>
        <w:outlineLvl w:val="1"/>
        <w:rPr>
          <w:rStyle w:val="26"/>
          <w:rFonts w:ascii="方正黑体简体" w:hAnsi="方正黑体简体" w:eastAsia="方正黑体简体" w:cs="方正黑体简体"/>
          <w:b w:val="0"/>
          <w:sz w:val="33"/>
          <w:szCs w:val="33"/>
        </w:rPr>
      </w:pPr>
      <w:bookmarkStart w:id="85" w:name="_Toc15396609"/>
      <w:bookmarkStart w:id="86" w:name="_Toc5505"/>
      <w:bookmarkStart w:id="87" w:name="_Toc15377215"/>
      <w:r>
        <w:rPr>
          <w:rFonts w:hint="eastAsia" w:ascii="方正黑体简体" w:hAnsi="方正黑体简体" w:eastAsia="方正黑体简体" w:cs="方正黑体简体"/>
          <w:sz w:val="33"/>
          <w:szCs w:val="33"/>
        </w:rPr>
        <w:t>七、</w:t>
      </w:r>
      <w:r>
        <w:rPr>
          <w:rStyle w:val="26"/>
          <w:rFonts w:hint="eastAsia" w:ascii="方正黑体简体" w:hAnsi="方正黑体简体" w:eastAsia="方正黑体简体" w:cs="方正黑体简体"/>
          <w:sz w:val="33"/>
          <w:szCs w:val="33"/>
        </w:rPr>
        <w:t>“</w:t>
      </w:r>
      <w:r>
        <w:rPr>
          <w:rStyle w:val="26"/>
          <w:rFonts w:hint="eastAsia" w:ascii="方正黑体简体" w:hAnsi="方正黑体简体" w:eastAsia="方正黑体简体" w:cs="方正黑体简体"/>
          <w:b w:val="0"/>
          <w:sz w:val="33"/>
          <w:szCs w:val="33"/>
        </w:rPr>
        <w:t>三公”经费财政拨款支出决算情况说明</w:t>
      </w:r>
      <w:bookmarkEnd w:id="85"/>
      <w:bookmarkEnd w:id="86"/>
      <w:bookmarkEnd w:id="87"/>
    </w:p>
    <w:p>
      <w:pPr>
        <w:adjustRightInd w:val="0"/>
        <w:snapToGrid w:val="0"/>
        <w:spacing w:line="305" w:lineRule="auto"/>
        <w:ind w:firstLine="639" w:firstLineChars="193"/>
        <w:outlineLvl w:val="2"/>
        <w:rPr>
          <w:rFonts w:ascii="方正楷体简体" w:hAnsi="方正楷体简体" w:eastAsia="方正楷体简体" w:cs="方正楷体简体"/>
          <w:b/>
          <w:sz w:val="33"/>
          <w:szCs w:val="33"/>
        </w:rPr>
      </w:pPr>
      <w:bookmarkStart w:id="88" w:name="_Toc15377216"/>
      <w:bookmarkStart w:id="89" w:name="_Toc20904"/>
      <w:r>
        <w:rPr>
          <w:rFonts w:hint="eastAsia" w:ascii="方正楷体简体" w:hAnsi="方正楷体简体" w:eastAsia="方正楷体简体" w:cs="方正楷体简体"/>
          <w:b/>
          <w:sz w:val="33"/>
          <w:szCs w:val="33"/>
        </w:rPr>
        <w:t>（一）“三公”经费财政拨款支出决算总体情况说明</w:t>
      </w:r>
      <w:bookmarkEnd w:id="88"/>
      <w:bookmarkEnd w:id="89"/>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2021年“三公”经费财政拨款支出决算为19.28万元，完成预算100%。</w:t>
      </w:r>
    </w:p>
    <w:p>
      <w:pPr>
        <w:adjustRightInd w:val="0"/>
        <w:snapToGrid w:val="0"/>
        <w:spacing w:line="305" w:lineRule="auto"/>
        <w:ind w:firstLine="639" w:firstLineChars="193"/>
        <w:outlineLvl w:val="2"/>
        <w:rPr>
          <w:rFonts w:ascii="方正楷体简体" w:hAnsi="方正楷体简体" w:eastAsia="方正楷体简体" w:cs="方正楷体简体"/>
          <w:b/>
          <w:sz w:val="33"/>
          <w:szCs w:val="33"/>
        </w:rPr>
      </w:pPr>
      <w:bookmarkStart w:id="90" w:name="_Toc29067"/>
      <w:bookmarkStart w:id="91" w:name="_Toc15377217"/>
      <w:r>
        <w:rPr>
          <w:rFonts w:hint="eastAsia" w:ascii="方正楷体简体" w:hAnsi="方正楷体简体" w:eastAsia="方正楷体简体" w:cs="方正楷体简体"/>
          <w:b/>
          <w:sz w:val="33"/>
          <w:szCs w:val="33"/>
        </w:rPr>
        <w:t>（二）“三公”经费财政拨款支出决算具体情况说明</w:t>
      </w:r>
      <w:bookmarkEnd w:id="90"/>
      <w:bookmarkEnd w:id="91"/>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2021年“三公”经费财政拨款支出决算中，因公出国（境）费支出决算0万元，占0%；公务用车购置及运行维护费支出决算18.10万元，占94%；公务接待费支出决算1.18万元，占6%。具体情况如下：</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（图7：“三公”经费财政拨款支出结构）（饼状图）</w:t>
      </w:r>
    </w:p>
    <w:p>
      <w:pPr>
        <w:pStyle w:val="2"/>
        <w:spacing w:before="93" w:line="305" w:lineRule="auto"/>
      </w:pPr>
      <w:r>
        <w:drawing>
          <wp:inline distT="0" distB="0" distL="114300" distR="114300">
            <wp:extent cx="5247640" cy="2752725"/>
            <wp:effectExtent l="4445" t="4445" r="5715" b="5080"/>
            <wp:docPr id="18"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adjustRightInd w:val="0"/>
        <w:snapToGrid w:val="0"/>
        <w:spacing w:line="305" w:lineRule="auto"/>
        <w:ind w:firstLine="639" w:firstLineChars="193"/>
        <w:rPr>
          <w:rFonts w:ascii="方正仿宋简体" w:hAnsi="方正仿宋简体" w:eastAsia="方正仿宋简体" w:cs="方正仿宋简体"/>
          <w:b/>
          <w:sz w:val="33"/>
          <w:szCs w:val="33"/>
        </w:rPr>
      </w:pPr>
      <w:r>
        <w:rPr>
          <w:rFonts w:hint="eastAsia" w:ascii="方正仿宋简体" w:hAnsi="方正仿宋简体" w:eastAsia="方正仿宋简体" w:cs="方正仿宋简体"/>
          <w:b/>
          <w:sz w:val="33"/>
          <w:szCs w:val="33"/>
        </w:rPr>
        <w:t>1.因公出国（境）经费支出</w:t>
      </w:r>
      <w:r>
        <w:rPr>
          <w:rFonts w:hint="eastAsia" w:ascii="方正仿宋简体" w:hAnsi="方正仿宋简体" w:eastAsia="方正仿宋简体" w:cs="方正仿宋简体"/>
          <w:sz w:val="33"/>
          <w:szCs w:val="33"/>
        </w:rPr>
        <w:t>0万元，</w:t>
      </w:r>
      <w:r>
        <w:rPr>
          <w:rStyle w:val="15"/>
          <w:rFonts w:hint="eastAsia" w:ascii="方正仿宋简体" w:hAnsi="方正仿宋简体" w:eastAsia="方正仿宋简体" w:cs="方正仿宋简体"/>
          <w:b w:val="0"/>
          <w:bCs/>
          <w:sz w:val="33"/>
          <w:szCs w:val="33"/>
        </w:rPr>
        <w:t>完成预算0%。</w:t>
      </w:r>
      <w:r>
        <w:rPr>
          <w:rFonts w:hint="eastAsia" w:ascii="方正仿宋简体" w:hAnsi="方正仿宋简体" w:eastAsia="方正仿宋简体" w:cs="方正仿宋简体"/>
          <w:sz w:val="33"/>
          <w:szCs w:val="33"/>
        </w:rPr>
        <w:t>全年安排因公出国（境）团组0次，出国（境）0人。因公出国（境）支出决算与2020年持平。</w:t>
      </w:r>
    </w:p>
    <w:p>
      <w:pPr>
        <w:adjustRightInd w:val="0"/>
        <w:snapToGrid w:val="0"/>
        <w:spacing w:line="305" w:lineRule="auto"/>
        <w:ind w:firstLine="639" w:firstLineChars="193"/>
        <w:rPr>
          <w:rFonts w:ascii="方正仿宋简体" w:hAnsi="方正仿宋简体" w:eastAsia="方正仿宋简体" w:cs="方正仿宋简体"/>
          <w:b/>
          <w:sz w:val="33"/>
          <w:szCs w:val="33"/>
        </w:rPr>
      </w:pPr>
      <w:r>
        <w:rPr>
          <w:rFonts w:hint="eastAsia" w:ascii="方正仿宋简体" w:hAnsi="方正仿宋简体" w:eastAsia="方正仿宋简体" w:cs="方正仿宋简体"/>
          <w:b/>
          <w:sz w:val="33"/>
          <w:szCs w:val="33"/>
        </w:rPr>
        <w:t>2.公务用车购置及运行维护费支出</w:t>
      </w:r>
      <w:r>
        <w:rPr>
          <w:rFonts w:hint="eastAsia" w:ascii="方正仿宋简体" w:hAnsi="方正仿宋简体" w:eastAsia="方正仿宋简体" w:cs="方正仿宋简体"/>
          <w:sz w:val="33"/>
          <w:szCs w:val="33"/>
        </w:rPr>
        <w:t>18.10万元,</w:t>
      </w:r>
      <w:r>
        <w:rPr>
          <w:rStyle w:val="15"/>
          <w:rFonts w:hint="eastAsia" w:ascii="方正仿宋简体" w:hAnsi="方正仿宋简体" w:eastAsia="方正仿宋简体" w:cs="方正仿宋简体"/>
          <w:b w:val="0"/>
          <w:bCs/>
          <w:sz w:val="33"/>
          <w:szCs w:val="33"/>
        </w:rPr>
        <w:t>完成预算100%。</w:t>
      </w:r>
      <w:r>
        <w:rPr>
          <w:rFonts w:hint="eastAsia" w:ascii="方正仿宋简体" w:hAnsi="方正仿宋简体" w:eastAsia="方正仿宋简体" w:cs="方正仿宋简体"/>
          <w:sz w:val="33"/>
          <w:szCs w:val="33"/>
        </w:rPr>
        <w:t>公务用车购置及运行维护费支出决算比2020年减少5.58万元，下降23.6%。主要原因是用单位自筹资金更新了3台公务用车，降低了维修费用。</w:t>
      </w:r>
    </w:p>
    <w:p>
      <w:pPr>
        <w:adjustRightInd w:val="0"/>
        <w:snapToGrid w:val="0"/>
        <w:spacing w:line="305" w:lineRule="auto"/>
        <w:ind w:firstLine="636" w:firstLineChars="193"/>
        <w:rPr>
          <w:rFonts w:ascii="方正仿宋简体" w:hAnsi="方正仿宋简体" w:eastAsia="方正仿宋简体" w:cs="方正仿宋简体"/>
          <w:b/>
          <w:sz w:val="33"/>
          <w:szCs w:val="33"/>
        </w:rPr>
      </w:pPr>
      <w:r>
        <w:rPr>
          <w:rFonts w:hint="eastAsia" w:ascii="方正仿宋简体" w:hAnsi="方正仿宋简体" w:eastAsia="方正仿宋简体" w:cs="方正仿宋简体"/>
          <w:sz w:val="33"/>
          <w:szCs w:val="33"/>
        </w:rPr>
        <w:t>其中：</w:t>
      </w:r>
      <w:r>
        <w:rPr>
          <w:rFonts w:hint="eastAsia" w:ascii="方正仿宋简体" w:hAnsi="方正仿宋简体" w:eastAsia="方正仿宋简体" w:cs="方正仿宋简体"/>
          <w:b/>
          <w:sz w:val="33"/>
          <w:szCs w:val="33"/>
        </w:rPr>
        <w:t>公务用车购置支出</w:t>
      </w:r>
      <w:r>
        <w:rPr>
          <w:rFonts w:hint="eastAsia" w:ascii="方正仿宋简体" w:hAnsi="方正仿宋简体" w:eastAsia="方正仿宋简体" w:cs="方正仿宋简体"/>
          <w:sz w:val="33"/>
          <w:szCs w:val="33"/>
        </w:rPr>
        <w:t>0万元。全年按规定更新购置公务用车0辆，其中：轿车0辆、金额0万元，越野车0辆、金额0万元，载客汽车0辆、金额0万元，截至2021年12月底，单位共有公务用车10辆，其中：轿车1辆、越野车7辆、载货汽车2辆。</w:t>
      </w:r>
    </w:p>
    <w:p>
      <w:pPr>
        <w:adjustRightInd w:val="0"/>
        <w:snapToGrid w:val="0"/>
        <w:spacing w:line="305" w:lineRule="auto"/>
        <w:ind w:firstLine="639" w:firstLineChars="193"/>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
          <w:sz w:val="33"/>
          <w:szCs w:val="33"/>
        </w:rPr>
        <w:t>公务用车运行维护费支出</w:t>
      </w:r>
      <w:r>
        <w:rPr>
          <w:rFonts w:hint="eastAsia" w:ascii="方正仿宋简体" w:hAnsi="方正仿宋简体" w:eastAsia="方正仿宋简体" w:cs="方正仿宋简体"/>
          <w:sz w:val="33"/>
          <w:szCs w:val="33"/>
        </w:rPr>
        <w:t>18.10万元。主要用于</w:t>
      </w:r>
      <w:r>
        <w:rPr>
          <w:rFonts w:hint="eastAsia" w:ascii="方正仿宋简体" w:hAnsi="方正仿宋简体" w:eastAsia="方正仿宋简体" w:cs="方正仿宋简体"/>
          <w:bCs/>
          <w:color w:val="000000"/>
          <w:sz w:val="33"/>
          <w:szCs w:val="33"/>
        </w:rPr>
        <w:t>行政办公、科研下乡等所需的公务用车燃料费、维修费、过路过桥费、保险费等支出。</w:t>
      </w:r>
    </w:p>
    <w:p>
      <w:pPr>
        <w:adjustRightInd w:val="0"/>
        <w:snapToGrid w:val="0"/>
        <w:spacing w:line="305" w:lineRule="auto"/>
        <w:ind w:firstLine="639"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b/>
          <w:sz w:val="33"/>
          <w:szCs w:val="33"/>
        </w:rPr>
        <w:t>3.公务接待费支出</w:t>
      </w:r>
      <w:r>
        <w:rPr>
          <w:rFonts w:hint="eastAsia" w:ascii="方正仿宋简体" w:hAnsi="方正仿宋简体" w:eastAsia="方正仿宋简体" w:cs="方正仿宋简体"/>
          <w:sz w:val="33"/>
          <w:szCs w:val="33"/>
        </w:rPr>
        <w:t>1.18万元，</w:t>
      </w:r>
      <w:r>
        <w:rPr>
          <w:rStyle w:val="15"/>
          <w:rFonts w:hint="eastAsia" w:ascii="方正仿宋简体" w:hAnsi="方正仿宋简体" w:eastAsia="方正仿宋简体" w:cs="方正仿宋简体"/>
          <w:b w:val="0"/>
          <w:bCs/>
          <w:sz w:val="33"/>
          <w:szCs w:val="33"/>
        </w:rPr>
        <w:t>完成预算30%。</w:t>
      </w:r>
      <w:r>
        <w:rPr>
          <w:rFonts w:hint="eastAsia" w:ascii="方正仿宋简体" w:hAnsi="方正仿宋简体" w:eastAsia="方正仿宋简体" w:cs="方正仿宋简体"/>
          <w:sz w:val="33"/>
          <w:szCs w:val="33"/>
        </w:rPr>
        <w:t>公务接待费支出决算比2020年减少1.19万元，增长/下降100%。主要原因是其中：因疫情原因来我院进行现场学术交流、公务考察、科技合作、商务合作的大幅减少了。</w:t>
      </w:r>
    </w:p>
    <w:p>
      <w:pPr>
        <w:adjustRightInd w:val="0"/>
        <w:snapToGrid w:val="0"/>
        <w:spacing w:line="305" w:lineRule="auto"/>
        <w:ind w:firstLine="639"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b/>
          <w:sz w:val="33"/>
          <w:szCs w:val="33"/>
        </w:rPr>
        <w:t>国内公务接待支出</w:t>
      </w:r>
      <w:r>
        <w:rPr>
          <w:rFonts w:hint="eastAsia" w:ascii="方正仿宋简体" w:hAnsi="方正仿宋简体" w:eastAsia="方正仿宋简体" w:cs="方正仿宋简体"/>
          <w:sz w:val="33"/>
          <w:szCs w:val="33"/>
        </w:rPr>
        <w:t>1.18万元，主要用于执行公务、开展业务活动开支的交通费、住宿费、用餐费等。国内公务接待10批次，84人次（不包括陪同人员），共计支出1.18万元，具体内容包括：接待省食用菌协会9人，金额1184元，四川省农科院10人，金额1248元，省农科院土肥所5人，金额989元，南亚所12人，金额1248元，成都市农林院9人，金额1342元，省农科院农产品加工所6人，金额990元，热科院8人，金额1102元，云南省农科院10人，金额1192元，热科院儋州所8人，金额1458元，云南农大12人，金额1062元。</w:t>
      </w:r>
    </w:p>
    <w:p>
      <w:pPr>
        <w:adjustRightInd w:val="0"/>
        <w:snapToGrid w:val="0"/>
        <w:spacing w:line="305" w:lineRule="auto"/>
        <w:ind w:firstLine="636" w:firstLineChars="193"/>
        <w:outlineLvl w:val="2"/>
        <w:rPr>
          <w:rFonts w:ascii="方正仿宋简体" w:hAnsi="方正仿宋简体" w:eastAsia="方正仿宋简体" w:cs="方正仿宋简体"/>
          <w:sz w:val="33"/>
          <w:szCs w:val="33"/>
        </w:rPr>
      </w:pPr>
      <w:bookmarkStart w:id="92" w:name="_Toc1806"/>
      <w:r>
        <w:rPr>
          <w:rFonts w:hint="eastAsia" w:ascii="方正仿宋简体" w:hAnsi="方正仿宋简体" w:eastAsia="方正仿宋简体" w:cs="方正仿宋简体"/>
          <w:sz w:val="33"/>
          <w:szCs w:val="33"/>
        </w:rPr>
        <w:t>外事接待支出0万元，外事接待0批次，0人，共计支出0万元</w:t>
      </w:r>
      <w:bookmarkStart w:id="93" w:name="_Toc15377218"/>
      <w:bookmarkStart w:id="94" w:name="_Toc15396610"/>
      <w:r>
        <w:rPr>
          <w:rFonts w:hint="eastAsia" w:ascii="方正仿宋简体" w:hAnsi="方正仿宋简体" w:eastAsia="方正仿宋简体" w:cs="方正仿宋简体"/>
          <w:sz w:val="33"/>
          <w:szCs w:val="33"/>
        </w:rPr>
        <w:t>。</w:t>
      </w:r>
      <w:bookmarkEnd w:id="92"/>
      <w:r>
        <w:rPr>
          <w:rFonts w:hint="eastAsia" w:ascii="方正仿宋简体" w:hAnsi="方正仿宋简体" w:eastAsia="方正仿宋简体" w:cs="方正仿宋简体"/>
          <w:sz w:val="33"/>
          <w:szCs w:val="33"/>
        </w:rPr>
        <w:t xml:space="preserve"> </w:t>
      </w:r>
    </w:p>
    <w:p>
      <w:pPr>
        <w:adjustRightInd w:val="0"/>
        <w:snapToGrid w:val="0"/>
        <w:spacing w:line="305" w:lineRule="auto"/>
        <w:ind w:firstLine="636" w:firstLineChars="193"/>
        <w:outlineLvl w:val="1"/>
        <w:rPr>
          <w:rStyle w:val="26"/>
          <w:rFonts w:ascii="方正黑体简体" w:hAnsi="方正黑体简体" w:eastAsia="方正黑体简体" w:cs="方正黑体简体"/>
          <w:sz w:val="33"/>
          <w:szCs w:val="33"/>
        </w:rPr>
      </w:pPr>
      <w:bookmarkStart w:id="95" w:name="_Toc20593"/>
      <w:r>
        <w:rPr>
          <w:rFonts w:hint="eastAsia" w:ascii="方正黑体简体" w:hAnsi="方正黑体简体" w:eastAsia="方正黑体简体" w:cs="方正黑体简体"/>
          <w:sz w:val="33"/>
          <w:szCs w:val="33"/>
        </w:rPr>
        <w:t>八、</w:t>
      </w:r>
      <w:r>
        <w:rPr>
          <w:rStyle w:val="26"/>
          <w:rFonts w:hint="eastAsia" w:ascii="方正黑体简体" w:hAnsi="方正黑体简体" w:eastAsia="方正黑体简体" w:cs="方正黑体简体"/>
          <w:b w:val="0"/>
          <w:sz w:val="33"/>
          <w:szCs w:val="33"/>
        </w:rPr>
        <w:t>政府性基金预算支出决算情况说明</w:t>
      </w:r>
      <w:bookmarkEnd w:id="93"/>
      <w:bookmarkEnd w:id="94"/>
      <w:bookmarkEnd w:id="95"/>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2021年政府性基金预算财政拨款支出9.36万元。</w:t>
      </w:r>
    </w:p>
    <w:p>
      <w:pPr>
        <w:adjustRightInd w:val="0"/>
        <w:snapToGrid w:val="0"/>
        <w:spacing w:line="305" w:lineRule="auto"/>
        <w:ind w:firstLine="636" w:firstLineChars="193"/>
        <w:outlineLvl w:val="1"/>
        <w:rPr>
          <w:rStyle w:val="26"/>
          <w:rFonts w:ascii="方正黑体简体" w:hAnsi="方正黑体简体" w:eastAsia="方正黑体简体" w:cs="方正黑体简体"/>
          <w:b w:val="0"/>
          <w:sz w:val="33"/>
          <w:szCs w:val="33"/>
        </w:rPr>
      </w:pPr>
      <w:bookmarkStart w:id="96" w:name="_Toc15396611"/>
      <w:bookmarkStart w:id="97" w:name="_Toc15377219"/>
      <w:bookmarkStart w:id="98" w:name="_Toc23089"/>
      <w:r>
        <w:rPr>
          <w:rStyle w:val="26"/>
          <w:rFonts w:hint="eastAsia" w:ascii="方正黑体简体" w:hAnsi="方正黑体简体" w:eastAsia="方正黑体简体" w:cs="方正黑体简体"/>
          <w:b w:val="0"/>
          <w:sz w:val="33"/>
          <w:szCs w:val="33"/>
        </w:rPr>
        <w:t>九、国有资本经营预算支出决算情况说明</w:t>
      </w:r>
      <w:bookmarkEnd w:id="96"/>
      <w:bookmarkEnd w:id="97"/>
      <w:bookmarkEnd w:id="98"/>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2021年国有资本经营预算财政拨款支出0万元。</w:t>
      </w:r>
    </w:p>
    <w:p>
      <w:pPr>
        <w:adjustRightInd w:val="0"/>
        <w:snapToGrid w:val="0"/>
        <w:spacing w:line="305" w:lineRule="auto"/>
        <w:ind w:firstLine="636" w:firstLineChars="193"/>
        <w:outlineLvl w:val="1"/>
        <w:rPr>
          <w:rStyle w:val="26"/>
          <w:rFonts w:ascii="方正黑体简体" w:hAnsi="方正黑体简体" w:eastAsia="方正黑体简体" w:cs="方正黑体简体"/>
          <w:b w:val="0"/>
          <w:sz w:val="33"/>
          <w:szCs w:val="33"/>
        </w:rPr>
      </w:pPr>
      <w:bookmarkStart w:id="99" w:name="_Toc15377221"/>
      <w:bookmarkStart w:id="100" w:name="_Toc16425"/>
      <w:bookmarkStart w:id="101" w:name="_Toc15396612"/>
      <w:r>
        <w:rPr>
          <w:rStyle w:val="26"/>
          <w:rFonts w:hint="eastAsia" w:ascii="方正黑体简体" w:hAnsi="方正黑体简体" w:eastAsia="方正黑体简体" w:cs="方正黑体简体"/>
          <w:b w:val="0"/>
          <w:sz w:val="33"/>
          <w:szCs w:val="33"/>
        </w:rPr>
        <w:t>十、其他重要事项的情况说明</w:t>
      </w:r>
      <w:bookmarkEnd w:id="99"/>
      <w:bookmarkEnd w:id="100"/>
      <w:bookmarkEnd w:id="101"/>
    </w:p>
    <w:p>
      <w:pPr>
        <w:adjustRightInd w:val="0"/>
        <w:snapToGrid w:val="0"/>
        <w:spacing w:line="305" w:lineRule="auto"/>
        <w:ind w:firstLine="639" w:firstLineChars="193"/>
        <w:outlineLvl w:val="2"/>
        <w:rPr>
          <w:rFonts w:ascii="方正楷体简体" w:hAnsi="方正楷体简体" w:eastAsia="方正楷体简体" w:cs="方正楷体简体"/>
          <w:sz w:val="33"/>
          <w:szCs w:val="33"/>
        </w:rPr>
      </w:pPr>
      <w:bookmarkStart w:id="102" w:name="_Toc9676"/>
      <w:bookmarkStart w:id="103" w:name="_Toc15377222"/>
      <w:r>
        <w:rPr>
          <w:rFonts w:hint="eastAsia" w:ascii="方正楷体简体" w:hAnsi="方正楷体简体" w:eastAsia="方正楷体简体" w:cs="方正楷体简体"/>
          <w:b/>
          <w:sz w:val="33"/>
          <w:szCs w:val="33"/>
        </w:rPr>
        <w:t>（一）机关运行经费支出情况</w:t>
      </w:r>
      <w:bookmarkEnd w:id="102"/>
      <w:bookmarkEnd w:id="103"/>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无</w:t>
      </w:r>
    </w:p>
    <w:p>
      <w:pPr>
        <w:adjustRightInd w:val="0"/>
        <w:snapToGrid w:val="0"/>
        <w:spacing w:line="305" w:lineRule="auto"/>
        <w:ind w:firstLine="639" w:firstLineChars="193"/>
        <w:outlineLvl w:val="2"/>
        <w:rPr>
          <w:rFonts w:ascii="方正楷体简体" w:hAnsi="方正楷体简体" w:eastAsia="方正楷体简体" w:cs="方正楷体简体"/>
          <w:b/>
          <w:sz w:val="33"/>
          <w:szCs w:val="33"/>
        </w:rPr>
      </w:pPr>
      <w:bookmarkStart w:id="104" w:name="_Toc15377223"/>
      <w:bookmarkStart w:id="105" w:name="_Toc2733"/>
      <w:r>
        <w:rPr>
          <w:rFonts w:hint="eastAsia" w:ascii="方正楷体简体" w:hAnsi="方正楷体简体" w:eastAsia="方正楷体简体" w:cs="方正楷体简体"/>
          <w:b/>
          <w:sz w:val="33"/>
          <w:szCs w:val="33"/>
        </w:rPr>
        <w:t>（二）政府采购支出情况</w:t>
      </w:r>
      <w:bookmarkEnd w:id="104"/>
      <w:bookmarkEnd w:id="105"/>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2021年，市农林院政府采购支出总额504.11万元，其中：政府采购货物支出504.11万元、政府采购工程支出0万元、政府采购服务支出0万元。主要用于</w:t>
      </w:r>
      <w:r>
        <w:rPr>
          <w:rFonts w:hint="eastAsia" w:ascii="方正仿宋简体" w:hAnsi="方正仿宋简体" w:eastAsia="方正仿宋简体" w:cs="方正仿宋简体"/>
          <w:bCs/>
          <w:color w:val="000000"/>
          <w:sz w:val="33"/>
          <w:szCs w:val="33"/>
        </w:rPr>
        <w:t>科研仪器设备采购</w:t>
      </w:r>
      <w:r>
        <w:rPr>
          <w:rFonts w:hint="eastAsia" w:ascii="方正仿宋简体" w:hAnsi="方正仿宋简体" w:eastAsia="方正仿宋简体" w:cs="方正仿宋简体"/>
          <w:sz w:val="33"/>
          <w:szCs w:val="33"/>
        </w:rPr>
        <w:t>。授予中小企业合同金额504.11万元，占政府采购支出总额的100%，其中：授予小微企业合同金额0万元，占政府采购支出总额的0%。</w:t>
      </w:r>
    </w:p>
    <w:p>
      <w:pPr>
        <w:adjustRightInd w:val="0"/>
        <w:snapToGrid w:val="0"/>
        <w:spacing w:line="305" w:lineRule="auto"/>
        <w:ind w:firstLine="639" w:firstLineChars="193"/>
        <w:outlineLvl w:val="2"/>
        <w:rPr>
          <w:rFonts w:ascii="方正楷体简体" w:hAnsi="方正楷体简体" w:eastAsia="方正楷体简体" w:cs="方正楷体简体"/>
          <w:b/>
          <w:sz w:val="33"/>
          <w:szCs w:val="33"/>
        </w:rPr>
      </w:pPr>
      <w:bookmarkStart w:id="106" w:name="_Toc17753"/>
      <w:bookmarkStart w:id="107" w:name="_Toc15377224"/>
      <w:r>
        <w:rPr>
          <w:rFonts w:hint="eastAsia" w:ascii="方正楷体简体" w:hAnsi="方正楷体简体" w:eastAsia="方正楷体简体" w:cs="方正楷体简体"/>
          <w:b/>
          <w:sz w:val="33"/>
          <w:szCs w:val="33"/>
        </w:rPr>
        <w:t>（三）国有资产占有使用情况</w:t>
      </w:r>
      <w:bookmarkEnd w:id="106"/>
      <w:bookmarkEnd w:id="107"/>
    </w:p>
    <w:p>
      <w:pPr>
        <w:adjustRightInd w:val="0"/>
        <w:snapToGrid w:val="0"/>
        <w:spacing w:line="305" w:lineRule="auto"/>
        <w:ind w:firstLine="636" w:firstLineChars="193"/>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sz w:val="33"/>
          <w:szCs w:val="33"/>
        </w:rPr>
        <w:t>截至2021年12月31日，市农林院共有车辆10辆，其中：主要领导干部用车1辆、</w:t>
      </w:r>
      <w:r>
        <w:rPr>
          <w:rFonts w:hint="eastAsia" w:ascii="方正仿宋简体" w:hAnsi="方正仿宋简体" w:eastAsia="方正仿宋简体" w:cs="方正仿宋简体"/>
          <w:bCs/>
          <w:color w:val="000000"/>
          <w:sz w:val="33"/>
          <w:szCs w:val="33"/>
        </w:rPr>
        <w:t>特种专业技术用车2辆</w:t>
      </w:r>
      <w:r>
        <w:rPr>
          <w:rFonts w:hint="eastAsia" w:ascii="方正仿宋简体" w:hAnsi="方正仿宋简体" w:eastAsia="方正仿宋简体" w:cs="方正仿宋简体"/>
          <w:sz w:val="33"/>
          <w:szCs w:val="33"/>
        </w:rPr>
        <w:t>、应急保障用车1辆、其他用车6辆，其他用车主要是用于</w:t>
      </w:r>
      <w:r>
        <w:rPr>
          <w:rFonts w:hint="eastAsia" w:ascii="方正仿宋简体" w:hAnsi="方正仿宋简体" w:eastAsia="方正仿宋简体" w:cs="方正仿宋简体"/>
          <w:bCs/>
          <w:color w:val="000000"/>
          <w:sz w:val="33"/>
          <w:szCs w:val="33"/>
        </w:rPr>
        <w:t>单位</w:t>
      </w:r>
      <w:r>
        <w:rPr>
          <w:rFonts w:hint="eastAsia" w:ascii="方正仿宋简体" w:hAnsi="方正仿宋简体" w:eastAsia="方正仿宋简体" w:cs="方正仿宋简体"/>
          <w:bCs/>
          <w:color w:val="333333"/>
          <w:sz w:val="33"/>
          <w:szCs w:val="33"/>
          <w:shd w:val="clear" w:color="auto" w:fill="FFFFFF"/>
        </w:rPr>
        <w:t>办理公务、科研下乡、机要通信、处置突发事件等公务活动</w:t>
      </w:r>
      <w:r>
        <w:rPr>
          <w:rFonts w:hint="eastAsia" w:ascii="方正仿宋简体" w:hAnsi="方正仿宋简体" w:eastAsia="方正仿宋简体" w:cs="方正仿宋简体"/>
          <w:bCs/>
          <w:color w:val="000000"/>
          <w:sz w:val="33"/>
          <w:szCs w:val="33"/>
        </w:rPr>
        <w:t>。单价50万元以上通用设备10台（套），单价100万元以上专用设备2台（套）。</w:t>
      </w:r>
    </w:p>
    <w:p>
      <w:pPr>
        <w:adjustRightInd w:val="0"/>
        <w:snapToGrid w:val="0"/>
        <w:spacing w:line="305" w:lineRule="auto"/>
        <w:ind w:firstLine="639" w:firstLineChars="193"/>
        <w:outlineLvl w:val="2"/>
        <w:rPr>
          <w:rFonts w:ascii="方正楷体简体" w:hAnsi="方正楷体简体" w:eastAsia="方正楷体简体" w:cs="方正楷体简体"/>
          <w:b/>
          <w:sz w:val="33"/>
          <w:szCs w:val="33"/>
        </w:rPr>
      </w:pPr>
      <w:bookmarkStart w:id="108" w:name="_Toc6488"/>
      <w:r>
        <w:rPr>
          <w:rFonts w:hint="eastAsia" w:ascii="方正楷体简体" w:hAnsi="方正楷体简体" w:eastAsia="方正楷体简体" w:cs="方正楷体简体"/>
          <w:b/>
          <w:sz w:val="33"/>
          <w:szCs w:val="33"/>
        </w:rPr>
        <w:t>（四）预算绩效管理情况</w:t>
      </w:r>
      <w:bookmarkEnd w:id="108"/>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bCs/>
          <w:sz w:val="33"/>
          <w:szCs w:val="33"/>
        </w:rPr>
        <w:t>根据预算绩效管理要求，本部门在年初预算编制阶段，组织对《攀枝花市现代特色农业创新团队》、《湖南中烟区段3》、《援藏援彝干部补助》3个项目开展了预算事前绩效评估，对3个项目编制了绩效目标，预算执行过程中，选取5个项目开展绩效监控，年终执行完毕后，对5个项目开展了绩效目标完成情况梳理填报。本部门按要求对2020年部门整体支出开展绩效自评，从评价情况来看完成了数量指标、质量指标、时效指标、经济效益指标，社会效益明显。</w:t>
      </w:r>
    </w:p>
    <w:p>
      <w:pPr>
        <w:widowControl/>
        <w:adjustRightInd w:val="0"/>
        <w:snapToGrid w:val="0"/>
        <w:spacing w:line="305" w:lineRule="auto"/>
        <w:jc w:val="left"/>
        <w:rPr>
          <w:rFonts w:ascii="方正仿宋简体" w:hAnsi="方正仿宋简体" w:eastAsia="方正仿宋简体" w:cs="方正仿宋简体"/>
          <w:b/>
          <w:sz w:val="33"/>
          <w:szCs w:val="33"/>
        </w:rPr>
      </w:pPr>
      <w:r>
        <w:rPr>
          <w:rFonts w:hint="eastAsia" w:ascii="方正仿宋简体" w:hAnsi="方正仿宋简体" w:eastAsia="方正仿宋简体" w:cs="方正仿宋简体"/>
          <w:b/>
          <w:sz w:val="33"/>
          <w:szCs w:val="33"/>
        </w:rPr>
        <w:br w:type="page"/>
      </w:r>
    </w:p>
    <w:p>
      <w:pPr>
        <w:numPr>
          <w:ilvl w:val="0"/>
          <w:numId w:val="1"/>
        </w:numPr>
        <w:adjustRightInd w:val="0"/>
        <w:snapToGrid w:val="0"/>
        <w:spacing w:line="305" w:lineRule="auto"/>
        <w:ind w:firstLine="497" w:firstLineChars="150"/>
        <w:jc w:val="center"/>
        <w:outlineLvl w:val="0"/>
        <w:rPr>
          <w:rStyle w:val="25"/>
          <w:rFonts w:ascii="方正仿宋简体" w:hAnsi="方正仿宋简体" w:eastAsia="方正仿宋简体" w:cs="方正仿宋简体"/>
          <w:sz w:val="33"/>
          <w:szCs w:val="33"/>
        </w:rPr>
      </w:pPr>
      <w:bookmarkStart w:id="109" w:name="_Toc15377225"/>
      <w:bookmarkStart w:id="110" w:name="_Toc4483"/>
      <w:bookmarkStart w:id="111" w:name="_Toc15396613"/>
      <w:r>
        <w:rPr>
          <w:rFonts w:hint="eastAsia" w:ascii="方正仿宋简体" w:hAnsi="方正仿宋简体" w:eastAsia="方正仿宋简体" w:cs="方正仿宋简体"/>
          <w:b/>
          <w:bCs/>
          <w:sz w:val="33"/>
          <w:szCs w:val="33"/>
        </w:rPr>
        <w:t>名</w:t>
      </w:r>
      <w:r>
        <w:rPr>
          <w:rStyle w:val="25"/>
          <w:rFonts w:hint="eastAsia" w:ascii="方正仿宋简体" w:hAnsi="方正仿宋简体" w:eastAsia="方正仿宋简体" w:cs="方正仿宋简体"/>
          <w:sz w:val="33"/>
          <w:szCs w:val="33"/>
        </w:rPr>
        <w:t>词解释</w:t>
      </w:r>
      <w:bookmarkEnd w:id="109"/>
      <w:bookmarkEnd w:id="110"/>
      <w:bookmarkEnd w:id="111"/>
    </w:p>
    <w:p>
      <w:pPr>
        <w:adjustRightInd w:val="0"/>
        <w:snapToGrid w:val="0"/>
        <w:spacing w:line="305" w:lineRule="auto"/>
        <w:jc w:val="left"/>
        <w:rPr>
          <w:rFonts w:ascii="方正仿宋简体" w:hAnsi="方正仿宋简体" w:eastAsia="方正仿宋简体" w:cs="方正仿宋简体"/>
          <w:b/>
          <w:sz w:val="33"/>
          <w:szCs w:val="33"/>
        </w:rPr>
      </w:pPr>
    </w:p>
    <w:p>
      <w:pPr>
        <w:pStyle w:val="23"/>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1.财政拨款收入：指单位从同级财政部门取得的财政预算资金。</w:t>
      </w:r>
    </w:p>
    <w:p>
      <w:pPr>
        <w:pStyle w:val="23"/>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2.事业收入：指事业单位开展专业业务活动及辅助活动取得的收入。</w:t>
      </w:r>
    </w:p>
    <w:p>
      <w:pPr>
        <w:pStyle w:val="23"/>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3.经营收入：指事业单位在专业业务活动及其辅助活动之外开展非独立核算经营活动取得的收入。</w:t>
      </w:r>
    </w:p>
    <w:p>
      <w:pPr>
        <w:pStyle w:val="23"/>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4.其他收入：指单位取得的除上述收入以外的各项收入。</w:t>
      </w:r>
    </w:p>
    <w:p>
      <w:pPr>
        <w:pStyle w:val="23"/>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23"/>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6.年初结转和结余：指以前年度尚未完成、结转到本年按有关规定继续使用的资金。</w:t>
      </w:r>
    </w:p>
    <w:p>
      <w:pPr>
        <w:pStyle w:val="23"/>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7.结余分配：指事业单位按照事业单位会计制度的规定从非财政补助结余中分配的事业基金和职工福利基金等。</w:t>
      </w:r>
    </w:p>
    <w:p>
      <w:pPr>
        <w:pStyle w:val="23"/>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8.年末结转和结余：指单位按有关规定结转到下年或以后年度继续使用的资金。</w:t>
      </w:r>
    </w:p>
    <w:p>
      <w:pPr>
        <w:adjustRightInd w:val="0"/>
        <w:snapToGrid w:val="0"/>
        <w:spacing w:line="305" w:lineRule="auto"/>
        <w:ind w:firstLine="660" w:firstLineChars="200"/>
        <w:rPr>
          <w:rFonts w:ascii="方正仿宋简体" w:hAnsi="方正仿宋简体" w:eastAsia="方正仿宋简体" w:cs="方正仿宋简体"/>
          <w:bCs/>
          <w:color w:val="000000"/>
          <w:kern w:val="0"/>
          <w:sz w:val="33"/>
          <w:szCs w:val="33"/>
        </w:rPr>
      </w:pPr>
      <w:r>
        <w:rPr>
          <w:rFonts w:hint="eastAsia" w:ascii="方正仿宋简体" w:hAnsi="方正仿宋简体" w:eastAsia="方正仿宋简体" w:cs="方正仿宋简体"/>
          <w:bCs/>
          <w:color w:val="000000"/>
          <w:sz w:val="33"/>
          <w:szCs w:val="33"/>
        </w:rPr>
        <w:t>9.一般公共服</w:t>
      </w:r>
      <w:r>
        <w:rPr>
          <w:rFonts w:hint="eastAsia" w:ascii="方正仿宋简体" w:hAnsi="方正仿宋简体" w:eastAsia="方正仿宋简体" w:cs="方正仿宋简体"/>
          <w:bCs/>
          <w:color w:val="000000"/>
          <w:kern w:val="0"/>
          <w:sz w:val="33"/>
          <w:szCs w:val="33"/>
        </w:rPr>
        <w:t>务2011008引进人才费用支出反映用于外国专家补助，引智成果推广等方面的支出，2011099 其他人力资源事务支出反映除上述项目以外其他纪检监察事务方面的支出，2013299  其他组织事务支出反映除上述项目以外用于中国共产党组织部门的事务支出。</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10.科学技术2060201机构运行反映从事基础研究和近期无法取得实用价值的应用基础研究机构的基本支出，2060299其他基础研究支出反映其他用于基础研究工作的支出，包括中科院、农科院研究生院的支出、博士学科点科研基金和博士后科学基金等方面的支出，</w:t>
      </w:r>
      <w:r>
        <w:rPr>
          <w:rFonts w:hint="eastAsia" w:ascii="方正仿宋简体" w:hAnsi="方正仿宋简体" w:eastAsia="方正仿宋简体" w:cs="方正仿宋简体"/>
          <w:bCs/>
          <w:color w:val="000000"/>
          <w:sz w:val="33"/>
          <w:szCs w:val="33"/>
        </w:rPr>
        <w:tab/>
      </w:r>
      <w:r>
        <w:rPr>
          <w:rFonts w:hint="eastAsia" w:ascii="方正仿宋简体" w:hAnsi="方正仿宋简体" w:eastAsia="方正仿宋简体" w:cs="方正仿宋简体"/>
          <w:bCs/>
          <w:color w:val="000000"/>
          <w:sz w:val="33"/>
          <w:szCs w:val="33"/>
        </w:rPr>
        <w:t>2060302</w:t>
      </w:r>
      <w:r>
        <w:rPr>
          <w:rFonts w:hint="eastAsia" w:ascii="方正仿宋简体" w:hAnsi="方正仿宋简体" w:eastAsia="方正仿宋简体" w:cs="方正仿宋简体"/>
          <w:bCs/>
          <w:color w:val="000000"/>
          <w:sz w:val="33"/>
          <w:szCs w:val="33"/>
        </w:rPr>
        <w:tab/>
      </w:r>
      <w:r>
        <w:rPr>
          <w:rFonts w:hint="eastAsia" w:ascii="方正仿宋简体" w:hAnsi="方正仿宋简体" w:eastAsia="方正仿宋简体" w:cs="方正仿宋简体"/>
          <w:bCs/>
          <w:color w:val="000000"/>
          <w:sz w:val="33"/>
          <w:szCs w:val="33"/>
        </w:rPr>
        <w:t>社会公益研究反映从事卫生、劳动保护、计划生育、环境科学、农业等社会公益专项科研方面的支出，2060402应用技术研究与开发反映从事技术开发研究和近期可望取得实用价值的专项技术开发研究的支出， 2060403 产业技术研究与开发反映国家推进产业发展中重大、共性、关键性技术研究与开发，加速产业技术进步和结构调整等方面的支出，2060404</w:t>
      </w:r>
      <w:r>
        <w:rPr>
          <w:rFonts w:hint="eastAsia" w:ascii="方正仿宋简体" w:hAnsi="方正仿宋简体" w:eastAsia="方正仿宋简体" w:cs="方正仿宋简体"/>
          <w:bCs/>
          <w:color w:val="000000"/>
          <w:sz w:val="33"/>
          <w:szCs w:val="33"/>
        </w:rPr>
        <w:tab/>
      </w:r>
      <w:r>
        <w:rPr>
          <w:rFonts w:hint="eastAsia" w:ascii="方正仿宋简体" w:hAnsi="方正仿宋简体" w:eastAsia="方正仿宋简体" w:cs="方正仿宋简体"/>
          <w:bCs/>
          <w:color w:val="000000"/>
          <w:sz w:val="33"/>
          <w:szCs w:val="33"/>
        </w:rPr>
        <w:t>科技成果转化与扩散反映促进科技成果转化为现实生产力的应用、推广和引导性支出，以及基本建设支出中用于支持企业科技自主创新的支出，2069999其他科学技术支出反映除上述项目以外其他用于支持企业科技自主创新的支出，2060503科技条件专项反映国家用于完善科研条件的支出。</w:t>
      </w:r>
      <w:r>
        <w:rPr>
          <w:rFonts w:hint="eastAsia" w:ascii="方正仿宋简体" w:hAnsi="方正仿宋简体" w:eastAsia="方正仿宋简体" w:cs="方正仿宋简体"/>
          <w:bCs/>
          <w:color w:val="000000"/>
          <w:sz w:val="33"/>
          <w:szCs w:val="33"/>
        </w:rPr>
        <w:tab/>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11.社会保障和就业2080505</w:t>
      </w:r>
      <w:r>
        <w:rPr>
          <w:rFonts w:hint="eastAsia" w:ascii="方正仿宋简体" w:hAnsi="方正仿宋简体" w:eastAsia="方正仿宋简体" w:cs="方正仿宋简体"/>
          <w:bCs/>
          <w:color w:val="000000"/>
          <w:sz w:val="33"/>
          <w:szCs w:val="33"/>
        </w:rPr>
        <w:tab/>
      </w:r>
      <w:r>
        <w:rPr>
          <w:rFonts w:hint="eastAsia" w:ascii="方正仿宋简体" w:hAnsi="方正仿宋简体" w:eastAsia="方正仿宋简体" w:cs="方正仿宋简体"/>
          <w:bCs/>
          <w:color w:val="000000"/>
          <w:sz w:val="33"/>
          <w:szCs w:val="33"/>
        </w:rPr>
        <w:t>机关事业单位基本养老保险缴费支出反映机关事业单位实施养老保险制度由单位缴纳的基本养老保险费支出，2081001儿童福利反映对儿童提供福利服务方面的支出。</w:t>
      </w:r>
      <w:r>
        <w:rPr>
          <w:rFonts w:hint="eastAsia" w:ascii="方正仿宋简体" w:hAnsi="方正仿宋简体" w:eastAsia="方正仿宋简体" w:cs="方正仿宋简体"/>
          <w:bCs/>
          <w:color w:val="000000"/>
          <w:sz w:val="33"/>
          <w:szCs w:val="33"/>
        </w:rPr>
        <w:tab/>
      </w:r>
      <w:r>
        <w:rPr>
          <w:rFonts w:hint="eastAsia" w:ascii="方正仿宋简体" w:hAnsi="方正仿宋简体" w:eastAsia="方正仿宋简体" w:cs="方正仿宋简体"/>
          <w:bCs/>
          <w:color w:val="000000"/>
          <w:sz w:val="33"/>
          <w:szCs w:val="33"/>
        </w:rPr>
        <w:tab/>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12.农林水2130106</w:t>
      </w:r>
      <w:r>
        <w:rPr>
          <w:rFonts w:hint="eastAsia" w:ascii="方正仿宋简体" w:hAnsi="方正仿宋简体" w:eastAsia="方正仿宋简体" w:cs="方正仿宋简体"/>
          <w:bCs/>
          <w:color w:val="000000"/>
          <w:sz w:val="33"/>
          <w:szCs w:val="33"/>
        </w:rPr>
        <w:tab/>
      </w:r>
      <w:r>
        <w:rPr>
          <w:rFonts w:hint="eastAsia" w:ascii="方正仿宋简体" w:hAnsi="方正仿宋简体" w:eastAsia="方正仿宋简体" w:cs="方正仿宋简体"/>
          <w:bCs/>
          <w:color w:val="000000"/>
          <w:sz w:val="33"/>
          <w:szCs w:val="33"/>
        </w:rPr>
        <w:t>科技转化与推广服务反映用于农业科技成果转化，农业新品种、新机具、新技术引进、试验、示范 推广及服务等方面支出，2130199 其他农业支出反映除上述项目以外用于农业方面的支出，2130206 林业技术推广与转化反映良种繁育、新技术引进、区域化试验、示范、技术推广、成果转化、科学普及等方面的支出，2130299</w:t>
      </w:r>
      <w:r>
        <w:rPr>
          <w:rFonts w:hint="eastAsia" w:ascii="方正仿宋简体" w:hAnsi="方正仿宋简体" w:eastAsia="方正仿宋简体" w:cs="方正仿宋简体"/>
          <w:bCs/>
          <w:color w:val="000000"/>
          <w:sz w:val="33"/>
          <w:szCs w:val="33"/>
        </w:rPr>
        <w:tab/>
      </w:r>
      <w:r>
        <w:rPr>
          <w:rFonts w:hint="eastAsia" w:ascii="方正仿宋简体" w:hAnsi="方正仿宋简体" w:eastAsia="方正仿宋简体" w:cs="方正仿宋简体"/>
          <w:bCs/>
          <w:color w:val="000000"/>
          <w:sz w:val="33"/>
          <w:szCs w:val="33"/>
        </w:rPr>
        <w:t>其他林业和草原支出反映除上述项目以外用于其他林业和草原方面的支出。2130399 其他水利支出反映除上述项目以外用于其他用于水利方面的支出，2130599</w:t>
      </w:r>
      <w:r>
        <w:rPr>
          <w:rFonts w:hint="eastAsia" w:ascii="方正仿宋简体" w:hAnsi="方正仿宋简体" w:eastAsia="方正仿宋简体" w:cs="方正仿宋简体"/>
          <w:bCs/>
          <w:color w:val="000000"/>
          <w:sz w:val="33"/>
          <w:szCs w:val="33"/>
        </w:rPr>
        <w:tab/>
      </w:r>
      <w:r>
        <w:rPr>
          <w:rFonts w:hint="eastAsia" w:ascii="方正仿宋简体" w:hAnsi="方正仿宋简体" w:eastAsia="方正仿宋简体" w:cs="方正仿宋简体"/>
          <w:bCs/>
          <w:color w:val="000000"/>
          <w:sz w:val="33"/>
          <w:szCs w:val="33"/>
        </w:rPr>
        <w:t>其他扶贫支出反映除上述项目以外用于其他用于扶贫方面的支出，。</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13.住房保障2210201住房公积金反映行政事业单位按人力资源和社会保障部、财政部规定的基本工资和津贴补贴以及规定比列为职工缴纳的住房公积金。</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14.基本支出：指为保障机构正常运转、完成日常工作任务而发生的人员支出和公用支出。</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15.项目支出：指在基本支出之外为完成特定行政任务和事业发展目标所发生的支出。</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16.经营支出：指事业单位在专业业务活动及其辅助活动之外开展非独立核算经营活动发生的支出。</w:t>
      </w:r>
    </w:p>
    <w:p>
      <w:pPr>
        <w:pStyle w:val="23"/>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17.“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18.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3"/>
        <w:snapToGrid w:val="0"/>
        <w:spacing w:line="305" w:lineRule="auto"/>
        <w:ind w:firstLine="660" w:firstLineChars="200"/>
        <w:rPr>
          <w:rFonts w:ascii="方正仿宋简体" w:hAnsi="方正仿宋简体" w:eastAsia="方正仿宋简体" w:cs="方正仿宋简体"/>
          <w:bCs/>
          <w:sz w:val="33"/>
          <w:szCs w:val="33"/>
        </w:rPr>
      </w:pPr>
    </w:p>
    <w:p>
      <w:pPr>
        <w:pStyle w:val="23"/>
        <w:snapToGrid w:val="0"/>
        <w:spacing w:line="305" w:lineRule="auto"/>
        <w:ind w:firstLine="660" w:firstLineChars="200"/>
        <w:rPr>
          <w:rFonts w:ascii="方正仿宋简体" w:hAnsi="方正仿宋简体" w:eastAsia="方正仿宋简体" w:cs="方正仿宋简体"/>
          <w:color w:val="auto"/>
          <w:sz w:val="33"/>
          <w:szCs w:val="33"/>
        </w:rPr>
      </w:pPr>
    </w:p>
    <w:p>
      <w:pPr>
        <w:adjustRightInd w:val="0"/>
        <w:snapToGrid w:val="0"/>
        <w:spacing w:line="305" w:lineRule="auto"/>
        <w:jc w:val="center"/>
        <w:outlineLvl w:val="0"/>
        <w:rPr>
          <w:rStyle w:val="25"/>
          <w:rFonts w:ascii="方正仿宋简体" w:hAnsi="方正仿宋简体" w:eastAsia="方正仿宋简体" w:cs="方正仿宋简体"/>
          <w:b w:val="0"/>
          <w:sz w:val="33"/>
          <w:szCs w:val="33"/>
        </w:rPr>
      </w:pPr>
      <w:bookmarkStart w:id="112" w:name="_Toc15377226"/>
      <w:r>
        <w:rPr>
          <w:rFonts w:hint="eastAsia" w:ascii="方正仿宋简体" w:hAnsi="方正仿宋简体" w:eastAsia="方正仿宋简体" w:cs="方正仿宋简体"/>
          <w:b/>
          <w:sz w:val="33"/>
          <w:szCs w:val="33"/>
        </w:rPr>
        <w:br w:type="page"/>
      </w:r>
      <w:bookmarkStart w:id="113" w:name="_Toc15396614"/>
      <w:bookmarkStart w:id="114" w:name="_Toc3063"/>
      <w:r>
        <w:rPr>
          <w:rFonts w:hint="eastAsia" w:ascii="方正仿宋简体" w:hAnsi="方正仿宋简体" w:eastAsia="方正仿宋简体" w:cs="方正仿宋简体"/>
          <w:b/>
          <w:bCs/>
          <w:sz w:val="33"/>
          <w:szCs w:val="33"/>
        </w:rPr>
        <w:t>第</w:t>
      </w:r>
      <w:r>
        <w:rPr>
          <w:rStyle w:val="25"/>
          <w:rFonts w:hint="eastAsia" w:ascii="方正仿宋简体" w:hAnsi="方正仿宋简体" w:eastAsia="方正仿宋简体" w:cs="方正仿宋简体"/>
          <w:sz w:val="33"/>
          <w:szCs w:val="33"/>
        </w:rPr>
        <w:t>四部分 附件</w:t>
      </w:r>
      <w:bookmarkEnd w:id="113"/>
      <w:bookmarkEnd w:id="114"/>
    </w:p>
    <w:p>
      <w:pPr>
        <w:adjustRightInd w:val="0"/>
        <w:snapToGrid w:val="0"/>
        <w:spacing w:line="305" w:lineRule="auto"/>
        <w:jc w:val="left"/>
        <w:outlineLvl w:val="0"/>
        <w:rPr>
          <w:rFonts w:ascii="方正仿宋简体" w:hAnsi="方正仿宋简体" w:eastAsia="方正仿宋简体" w:cs="方正仿宋简体"/>
          <w:sz w:val="33"/>
          <w:szCs w:val="33"/>
        </w:rPr>
      </w:pPr>
      <w:bookmarkStart w:id="115" w:name="_Toc30062"/>
      <w:r>
        <w:rPr>
          <w:rFonts w:hint="eastAsia" w:ascii="方正仿宋简体" w:hAnsi="方正仿宋简体" w:eastAsia="方正仿宋简体" w:cs="方正仿宋简体"/>
          <w:sz w:val="33"/>
          <w:szCs w:val="33"/>
        </w:rPr>
        <w:t>附件</w:t>
      </w:r>
      <w:bookmarkEnd w:id="115"/>
    </w:p>
    <w:p>
      <w:pPr>
        <w:adjustRightInd w:val="0"/>
        <w:snapToGrid w:val="0"/>
        <w:spacing w:line="305" w:lineRule="auto"/>
        <w:jc w:val="center"/>
        <w:rPr>
          <w:rFonts w:ascii="方正仿宋简体" w:hAnsi="方正仿宋简体" w:eastAsia="方正仿宋简体" w:cs="方正仿宋简体"/>
          <w:kern w:val="0"/>
          <w:sz w:val="33"/>
          <w:szCs w:val="33"/>
          <w:lang w:val="zh-CN"/>
        </w:rPr>
      </w:pPr>
      <w:r>
        <w:rPr>
          <w:rFonts w:hint="eastAsia" w:ascii="方正仿宋简体" w:hAnsi="方正仿宋简体" w:eastAsia="方正仿宋简体" w:cs="方正仿宋简体"/>
          <w:kern w:val="0"/>
          <w:sz w:val="33"/>
          <w:szCs w:val="33"/>
        </w:rPr>
        <w:t>2021年市农林院部门整体绩效评价报告</w:t>
      </w:r>
    </w:p>
    <w:p>
      <w:pPr>
        <w:widowControl/>
        <w:adjustRightInd w:val="0"/>
        <w:snapToGrid w:val="0"/>
        <w:spacing w:line="305" w:lineRule="auto"/>
        <w:ind w:firstLine="660" w:firstLineChars="200"/>
        <w:contextualSpacing/>
        <w:jc w:val="left"/>
        <w:rPr>
          <w:rFonts w:ascii="方正仿宋简体" w:hAnsi="方正仿宋简体" w:eastAsia="方正仿宋简体" w:cs="方正仿宋简体"/>
          <w:kern w:val="0"/>
          <w:sz w:val="33"/>
          <w:szCs w:val="33"/>
          <w:shd w:val="clear" w:color="auto" w:fill="FFFFFF"/>
        </w:rPr>
      </w:pPr>
    </w:p>
    <w:p>
      <w:pPr>
        <w:pStyle w:val="5"/>
        <w:adjustRightInd w:val="0"/>
        <w:snapToGrid w:val="0"/>
        <w:spacing w:before="0" w:after="0" w:line="305" w:lineRule="auto"/>
        <w:ind w:firstLine="663" w:firstLineChars="200"/>
        <w:rPr>
          <w:rFonts w:ascii="方正黑体简体" w:hAnsi="方正黑体简体" w:eastAsia="方正黑体简体" w:cs="方正黑体简体"/>
          <w:sz w:val="33"/>
          <w:szCs w:val="33"/>
        </w:rPr>
      </w:pPr>
      <w:bookmarkStart w:id="116" w:name="_Toc27011"/>
      <w:r>
        <w:rPr>
          <w:rFonts w:hint="eastAsia" w:ascii="方正黑体简体" w:hAnsi="方正黑体简体" w:eastAsia="方正黑体简体" w:cs="方正黑体简体"/>
          <w:sz w:val="33"/>
          <w:szCs w:val="33"/>
        </w:rPr>
        <w:t>一、部门（单位）概况</w:t>
      </w:r>
      <w:bookmarkEnd w:id="116"/>
    </w:p>
    <w:p>
      <w:pPr>
        <w:adjustRightInd w:val="0"/>
        <w:snapToGrid w:val="0"/>
        <w:spacing w:line="305" w:lineRule="auto"/>
        <w:ind w:firstLine="533" w:firstLineChars="161"/>
        <w:rPr>
          <w:rFonts w:ascii="方正仿宋简体" w:hAnsi="方正仿宋简体" w:eastAsia="方正仿宋简体" w:cs="方正仿宋简体"/>
          <w:b/>
          <w:sz w:val="33"/>
          <w:szCs w:val="33"/>
        </w:rPr>
      </w:pPr>
      <w:r>
        <w:rPr>
          <w:rFonts w:hint="eastAsia" w:ascii="方正楷体简体" w:hAnsi="方正楷体简体" w:eastAsia="方正楷体简体" w:cs="方正楷体简体"/>
          <w:b/>
          <w:sz w:val="33"/>
          <w:szCs w:val="33"/>
        </w:rPr>
        <w:t>（一）机构组成。</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攀枝花市农林科学研究院由原市农业科学研究所、市林业科学研究所、市农机与节水技术推广站、市良种场整合而成，是一个集蔬菜、热带亚热带果树、作物、烟草、畜牧、水产、生物能源植物、生态恢复与保护、农业机械、农业节水技术研究及成果示范推广为一体的综合性社会公益型科研事业单位。院下设：办公室、党委办公室、财务科、科研管理科、蔬菜研究所、果树研究所、林业科学研究所、畜牧兽医研究所、作物烟草研究所、水利与农机研究所、生物技术研究所、成果转化示范中心、农业资源环境与植物保护研究所十四个内设机构。</w:t>
      </w:r>
    </w:p>
    <w:p>
      <w:pPr>
        <w:adjustRightInd w:val="0"/>
        <w:snapToGrid w:val="0"/>
        <w:spacing w:line="305" w:lineRule="auto"/>
        <w:ind w:firstLine="533" w:firstLineChars="161"/>
        <w:rPr>
          <w:rFonts w:ascii="方正仿宋简体" w:hAnsi="方正仿宋简体" w:eastAsia="方正仿宋简体" w:cs="方正仿宋简体"/>
          <w:b/>
          <w:sz w:val="33"/>
          <w:szCs w:val="33"/>
        </w:rPr>
      </w:pPr>
      <w:r>
        <w:rPr>
          <w:rFonts w:hint="eastAsia" w:ascii="方正楷体简体" w:hAnsi="方正楷体简体" w:eastAsia="方正楷体简体" w:cs="方正楷体简体"/>
          <w:b/>
          <w:sz w:val="33"/>
          <w:szCs w:val="33"/>
        </w:rPr>
        <w:t>（二）机构职能。</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1、办公室(离退休人员管理科)</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承担全院政务服务、目标管理和后勤保障工作。拟定并监督实施全院各项工作制度和工作计划;负责全院机要、文秘、会务、档案飞宣传飞信息、接待等工作;负责全院固有资产管理、基本建设工作;负责全院园林绿环境卫生、社会治安综合治理、消防、安全、计划生育等工作;负责计算机及网络管理;负责水电管理和其它后勤服务工作;负责管理和监督全院车辆和安全工作;承办全院机构编制飞劳资、人事、人才管理工作;负责全院职称管理和初级职称评定;负责全院离退休人员管理工作。</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2、党委办公室(监察科〉</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承办全院党的建设、干部队伍建设、精神文明建设、作风</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建设和统战工作、纪检监察工作;监督检查党和国家有关政策、法规和规定的具体贯彻落实;组织开展全院廉政飞勤政、作风教育;受理全院违法违纪案件的检举、控告、申诉，并负责调查处理;负责院中层干部的人事档案管理;指导院属各党支部和群团组织开展工作。</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3、财务科</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拟定并监督实施全院财务管理制度和会计核算制度，承担全院财务工作和统计工作;负责编报和执行部门预算，筹措和统一管理全院各项资金;负责各类经费使用的审核和报销;指导和监督科研经费使用;负责政府采购，监督管理国有资产;负责办理职工的各类保险工作。</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4、科技管理科</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负责制定并组织实施全院科技发展规划、计划;组织科技项目立项、实施飞验收和成果鉴定、成果申报工作;负责全院科技服务、科技合作交流、科普、科协工作;负责全院知识产权管理;管理院综合实验室、陈列室，协调全院科研仪器、设备、设施的使用;承担院学术委员会的日常工作。</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5、蔬菜研究所</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负责蔬菜新品种、新技术的引进飞筛选以及新品种选育研究和产业发展关键技术攻关与示范。承担蔬菜优质、高产3 高效飞安全、生态生产技术的研究和开发;承担蔬菜采后商品化处理技术研究;承担蔬菜产业新技术、新产品的引进、消化和集成创新;承担蔬菜新品种、新技术示范推广和科学技术普及飞蔬菜园区规划、建设咨询服务;承担我市蔬菜从业人员的技术培训和职业农民的培养;承担我市蔬菜创新团队的培养;承担蔬菜生产中的应急服务工作。</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6、果树研究所</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承担热带飞亚热带和温带特色水果的种质资源保护及创新利用、果树栽培飞果树植保、果品采后商品化处理飞果品质量安全等关键技术研究;负责水果新品种和先进实用技术的示范推广和技术普及、技术咨询、技术培训;承担果树区域规划、果园规划设计等技术咨询服务;承担我市果树从业人员的技术培训和职业农民的培养;承担全市果树创新人才队伍的培养和建设，承担全市果树生产的应急服务工作。</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7、林业科学研究所</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负责干热河谷植被恢复技术研究和成果示范与推广;承担森林资源的调查和开发利用研究、成果示范和推广; 承担森林生态应用技术、森林保护和森林经营技术研究; 负责森林城市建设技术研究和成果示范; 负责园林、造林绿化树种的引进、驯化、繁殖、栽培技术研究; 承担名特优花卉、观赏植物的引进、繁育、示范与推广; 承担风景园林景观设计研究; 负责中药材资源收集评价及开发利用研究; 负责林业经济林树种选育及开发利用研究、成果示范和推广。</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8、畜牧兽医研究所</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围绕攀枝花市畜牧业生产中的热点、难点和关键性技术难题开展科技攻关。负责畜牧业新技术的集成创新和引进消化吸收再创新。承担畜禽新品种、新技术、新方法的科学养殖试验研究与示范; 承担地方畜禽品种资源的保护利用和选育提高研究; 承担畜禽无公害健康养殖技术、畜禽疫病防控技术的研究;承担饲草饲料资源开发利用和牧草新品种的引育及栽培技术研究; 承担畜牧科技的示范推广、成果转化、技术咨询和技术服务工作; 承担农村畜牧兽医适用技术的培训和畜牧兽医乡土人才的培养工作; 负责畜牧科研示范基地的管理。</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9、作物烟草研究所</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围绕烤烟等农作物生产中的重大技术难点和热点问题开展科技攻关; 负责烤烟等作物新技术的集成创新和引进消化吸收再创新; 承担烤烟等作物新品种的引种筛选及优质高产栽培技术、初加工技术、病虫害防治技术的研究; 承担烤烟等作物的科技示范推广、成果转化、技术咨询和技术服务工作。</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10、水利与农机研究所</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负责水利农机新技术飞新产品的引进飞试验研究和示范推广;承担作物高效节水灌溉制度、模式和非充分灌溉研究;承担高效节水与农艺栽培措施配套技术研究; 承担作物水肥一体化技术研究; 承担设施农业及配套技术应用研究;承担智能化农业、林业用水管理技术应用研究; 承担水利农机技术培训和咨询工作。</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11、生物技术研究所</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 xml:space="preserve">利用现代生物技术重点开展生物资源的利用研究。承担食(药)用菌品种资源调查、选育、驯化、繁殖、栽培技术和保护性采集技术研究与开发; 负责微生物清洁生产及废物资源化新技术研究; 负责微生物发酵技术研究; 负责微生物菌种飞微生物肥料和微生物农药的引进研究与示范推广。    </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12、农业信息与经济研究所</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负责农业信息技术和农村经济以及"三农"政策研究; 承担国内外农、林、水产业发展动态和科技信息的资料收集与整理分析; 开展农业经济与信息的咨询服务和农业媒体传播; 承担全市农业、林业、水利热点、难点问题调查研究，为市委市政府决策与管理以及行业发展提供服务。</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13、成果转化示范中心</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承担全院科研基地及中试示范基地的管理; 承担全院科技开发工作; 负责全院科技成果示范、转化与推广工作;负责院外农业成果的引进示范推广; 承担院中试基地的科研中间试验和成采生产示范管理工作;承担院科研辅助工人的管理和技能培训，承担院旅游休闲观光农业基地的建设与示范。</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14、农业资源环境与植物保护研究所</w:t>
      </w:r>
    </w:p>
    <w:p>
      <w:pPr>
        <w:adjustRightInd w:val="0"/>
        <w:snapToGrid w:val="0"/>
        <w:spacing w:line="305" w:lineRule="auto"/>
        <w:ind w:firstLine="660" w:firstLineChars="200"/>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开展农林业土壤质量监测和培肥改良、土壤重金属污染防治、农业面源污染治理、肥料农药双减、农林业废弃物资源化利用、肥料高效利用等关键技术的研究与推广；开展农林业产业主要植物病虫草害的发生、发展规律及绿色防控集成技术研发与应用；开展高效安全低风险农药及生物农药的研制、开发、示范和推广。</w:t>
      </w:r>
    </w:p>
    <w:p>
      <w:pPr>
        <w:adjustRightInd w:val="0"/>
        <w:snapToGrid w:val="0"/>
        <w:spacing w:line="305" w:lineRule="auto"/>
        <w:ind w:firstLine="533" w:firstLineChars="161"/>
        <w:rPr>
          <w:rFonts w:ascii="方正楷体简体" w:hAnsi="方正楷体简体" w:eastAsia="方正楷体简体" w:cs="方正楷体简体"/>
          <w:b/>
          <w:sz w:val="33"/>
          <w:szCs w:val="33"/>
        </w:rPr>
      </w:pPr>
      <w:r>
        <w:rPr>
          <w:rFonts w:hint="eastAsia" w:ascii="方正楷体简体" w:hAnsi="方正楷体简体" w:eastAsia="方正楷体简体" w:cs="方正楷体简体"/>
          <w:b/>
          <w:sz w:val="33"/>
          <w:szCs w:val="33"/>
        </w:rPr>
        <w:t>（三）人员概况。</w:t>
      </w:r>
    </w:p>
    <w:p>
      <w:pPr>
        <w:widowControl/>
        <w:adjustRightInd w:val="0"/>
        <w:snapToGrid w:val="0"/>
        <w:spacing w:line="305" w:lineRule="auto"/>
        <w:ind w:firstLine="660" w:firstLineChars="200"/>
        <w:contextualSpacing/>
        <w:jc w:val="left"/>
        <w:rPr>
          <w:rFonts w:ascii="宋体" w:hAnsi="宋体" w:cs="宋体"/>
          <w:sz w:val="24"/>
        </w:rPr>
      </w:pPr>
      <w:r>
        <w:rPr>
          <w:rFonts w:hint="eastAsia" w:ascii="方正仿宋简体" w:hAnsi="方正仿宋简体" w:eastAsia="方正仿宋简体" w:cs="方正仿宋简体"/>
          <w:kern w:val="0"/>
          <w:sz w:val="33"/>
          <w:szCs w:val="33"/>
          <w:shd w:val="clear" w:color="auto" w:fill="FFFFFF"/>
          <w:lang w:val="zh-CN"/>
        </w:rPr>
        <w:t>人员编制127人，2021年末在职职工118人，有专业技术人员90人，其中高级职称51人（正高16人），中级职称25人。有享受国务院政府津贴专家1人，市委直接联系高层次人才2人，市学术和技术带头人6人、市突出贡献专家4人，市学术和技术带头人后备人选11人。</w:t>
      </w:r>
    </w:p>
    <w:p>
      <w:pPr>
        <w:widowControl/>
        <w:adjustRightInd w:val="0"/>
        <w:snapToGrid w:val="0"/>
        <w:spacing w:line="305" w:lineRule="auto"/>
        <w:ind w:firstLine="660" w:firstLineChars="200"/>
        <w:contextualSpacing/>
        <w:jc w:val="left"/>
        <w:rPr>
          <w:rFonts w:ascii="方正黑体简体" w:hAnsi="方正黑体简体" w:eastAsia="方正黑体简体" w:cs="方正黑体简体"/>
          <w:kern w:val="0"/>
          <w:sz w:val="33"/>
          <w:szCs w:val="33"/>
          <w:shd w:val="clear" w:color="auto" w:fill="FFFFFF"/>
        </w:rPr>
      </w:pPr>
      <w:r>
        <w:rPr>
          <w:rFonts w:hint="eastAsia" w:ascii="方正黑体简体" w:hAnsi="方正黑体简体" w:eastAsia="方正黑体简体" w:cs="方正黑体简体"/>
          <w:kern w:val="0"/>
          <w:sz w:val="33"/>
          <w:szCs w:val="33"/>
          <w:shd w:val="clear" w:color="auto" w:fill="FFFFFF"/>
        </w:rPr>
        <w:t>二、部门财政资金收支情况</w:t>
      </w:r>
    </w:p>
    <w:p>
      <w:pPr>
        <w:adjustRightInd w:val="0"/>
        <w:snapToGrid w:val="0"/>
        <w:spacing w:line="305" w:lineRule="auto"/>
        <w:ind w:firstLine="660" w:firstLineChars="200"/>
        <w:rPr>
          <w:rFonts w:ascii="方正仿宋简体" w:hAnsi="方正仿宋简体" w:eastAsia="方正仿宋简体" w:cs="方正仿宋简体"/>
          <w:kern w:val="0"/>
          <w:sz w:val="33"/>
          <w:szCs w:val="33"/>
          <w:shd w:val="clear" w:color="auto" w:fill="FFFFFF"/>
          <w:lang w:val="zh-CN"/>
        </w:rPr>
      </w:pPr>
      <w:r>
        <w:rPr>
          <w:rFonts w:hint="eastAsia" w:ascii="方正仿宋简体" w:hAnsi="方正仿宋简体" w:eastAsia="方正仿宋简体" w:cs="方正仿宋简体"/>
          <w:kern w:val="0"/>
          <w:sz w:val="33"/>
          <w:szCs w:val="33"/>
          <w:shd w:val="clear" w:color="auto" w:fill="FFFFFF"/>
          <w:lang w:val="zh-CN"/>
        </w:rPr>
        <w:t>（一）部门财政资金收入情况。</w:t>
      </w:r>
    </w:p>
    <w:p>
      <w:pPr>
        <w:adjustRightInd w:val="0"/>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2021年财政拨款3718.29万元，上年结转507.74万元，收入合计4226.03万元。</w:t>
      </w:r>
    </w:p>
    <w:p>
      <w:pPr>
        <w:adjustRightInd w:val="0"/>
        <w:snapToGrid w:val="0"/>
        <w:spacing w:line="305" w:lineRule="auto"/>
        <w:ind w:firstLine="660" w:firstLineChars="200"/>
        <w:rPr>
          <w:rFonts w:ascii="方正仿宋简体" w:hAnsi="方正仿宋简体" w:eastAsia="方正仿宋简体" w:cs="方正仿宋简体"/>
          <w:kern w:val="0"/>
          <w:sz w:val="33"/>
          <w:szCs w:val="33"/>
          <w:shd w:val="clear" w:color="auto" w:fill="FFFFFF"/>
          <w:lang w:val="zh-CN"/>
        </w:rPr>
      </w:pPr>
      <w:r>
        <w:rPr>
          <w:rFonts w:hint="eastAsia" w:ascii="方正仿宋简体" w:hAnsi="方正仿宋简体" w:eastAsia="方正仿宋简体" w:cs="方正仿宋简体"/>
          <w:kern w:val="0"/>
          <w:sz w:val="33"/>
          <w:szCs w:val="33"/>
          <w:shd w:val="clear" w:color="auto" w:fill="FFFFFF"/>
          <w:lang w:val="zh-CN"/>
        </w:rPr>
        <w:t>（二）部门财政资金支出情况。</w:t>
      </w:r>
    </w:p>
    <w:p>
      <w:pPr>
        <w:adjustRightInd w:val="0"/>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2021年财政拨款支出4226.03万元，年末无结转</w:t>
      </w:r>
    </w:p>
    <w:p>
      <w:pPr>
        <w:adjustRightInd w:val="0"/>
        <w:snapToGrid w:val="0"/>
        <w:spacing w:line="305" w:lineRule="auto"/>
        <w:ind w:firstLine="660" w:firstLineChars="200"/>
        <w:rPr>
          <w:rFonts w:ascii="方正仿宋简体" w:hAnsi="方正仿宋简体" w:eastAsia="方正仿宋简体" w:cs="方正仿宋简体"/>
          <w:kern w:val="0"/>
          <w:sz w:val="33"/>
          <w:szCs w:val="33"/>
          <w:shd w:val="clear" w:color="auto" w:fill="FFFFFF"/>
        </w:rPr>
      </w:pPr>
      <w:r>
        <w:rPr>
          <w:rFonts w:hint="eastAsia" w:ascii="方正黑体简体" w:hAnsi="方正黑体简体" w:eastAsia="方正黑体简体" w:cs="方正黑体简体"/>
          <w:kern w:val="0"/>
          <w:sz w:val="33"/>
          <w:szCs w:val="33"/>
          <w:shd w:val="clear" w:color="auto" w:fill="FFFFFF"/>
        </w:rPr>
        <w:t>三、部门整体预算绩效管理情况</w:t>
      </w:r>
      <w:r>
        <w:rPr>
          <w:rFonts w:hint="eastAsia" w:ascii="方正仿宋简体" w:hAnsi="方正仿宋简体" w:eastAsia="方正仿宋简体" w:cs="方正仿宋简体"/>
          <w:kern w:val="0"/>
          <w:sz w:val="33"/>
          <w:szCs w:val="33"/>
          <w:shd w:val="clear" w:color="auto" w:fill="FFFFFF"/>
        </w:rPr>
        <w:t>（涉及到有专项预算的部门，专项预算项目自评报告作为附件报送；特定目标类部门预算项目绩效目标自评表作为附表报送）</w:t>
      </w:r>
    </w:p>
    <w:p>
      <w:pPr>
        <w:adjustRightInd w:val="0"/>
        <w:snapToGrid w:val="0"/>
        <w:spacing w:line="305" w:lineRule="auto"/>
        <w:ind w:firstLine="663" w:firstLineChars="200"/>
        <w:rPr>
          <w:rFonts w:ascii="方正楷体简体" w:hAnsi="方正楷体简体" w:eastAsia="方正楷体简体" w:cs="方正楷体简体"/>
          <w:b/>
          <w:sz w:val="33"/>
          <w:szCs w:val="33"/>
        </w:rPr>
      </w:pPr>
      <w:r>
        <w:rPr>
          <w:rFonts w:hint="eastAsia" w:ascii="方正楷体简体" w:hAnsi="方正楷体简体" w:eastAsia="方正楷体简体" w:cs="方正楷体简体"/>
          <w:b/>
          <w:sz w:val="33"/>
          <w:szCs w:val="33"/>
        </w:rPr>
        <w:t>（一）部门预算管理。</w:t>
      </w:r>
    </w:p>
    <w:p>
      <w:pPr>
        <w:adjustRightInd w:val="0"/>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统筹兼顾、突出重点、量力而行。将单位预算收支全部纳入绩效管理，预算执行无违规记录。</w:t>
      </w:r>
    </w:p>
    <w:p>
      <w:pPr>
        <w:adjustRightInd w:val="0"/>
        <w:snapToGrid w:val="0"/>
        <w:spacing w:line="305" w:lineRule="auto"/>
        <w:ind w:firstLine="663" w:firstLineChars="200"/>
        <w:rPr>
          <w:rFonts w:ascii="方正楷体简体" w:hAnsi="方正楷体简体" w:eastAsia="方正楷体简体" w:cs="方正楷体简体"/>
          <w:b/>
          <w:sz w:val="33"/>
          <w:szCs w:val="33"/>
        </w:rPr>
      </w:pPr>
      <w:r>
        <w:rPr>
          <w:rFonts w:hint="eastAsia" w:ascii="方正楷体简体" w:hAnsi="方正楷体简体" w:eastAsia="方正楷体简体" w:cs="方正楷体简体"/>
          <w:b/>
          <w:sz w:val="33"/>
          <w:szCs w:val="33"/>
        </w:rPr>
        <w:t>（二）专项预算管理。</w:t>
      </w:r>
    </w:p>
    <w:p>
      <w:pPr>
        <w:adjustRightInd w:val="0"/>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专项预算项目程序严密、规划合理、结果符合、专项预算绩效目标完成良好、实施绩效考核、预算执行无违规记录。</w:t>
      </w:r>
    </w:p>
    <w:p>
      <w:pPr>
        <w:adjustRightInd w:val="0"/>
        <w:snapToGrid w:val="0"/>
        <w:spacing w:line="305" w:lineRule="auto"/>
        <w:ind w:firstLine="663" w:firstLineChars="200"/>
        <w:rPr>
          <w:rFonts w:ascii="方正仿宋简体" w:hAnsi="方正仿宋简体" w:eastAsia="方正仿宋简体" w:cs="方正仿宋简体"/>
          <w:b/>
          <w:sz w:val="33"/>
          <w:szCs w:val="33"/>
        </w:rPr>
      </w:pPr>
      <w:r>
        <w:rPr>
          <w:rFonts w:hint="eastAsia" w:ascii="方正楷体简体" w:hAnsi="方正楷体简体" w:eastAsia="方正楷体简体" w:cs="方正楷体简体"/>
          <w:b/>
          <w:sz w:val="33"/>
          <w:szCs w:val="33"/>
        </w:rPr>
        <w:t>（三）结果应用情况。</w:t>
      </w:r>
    </w:p>
    <w:p>
      <w:pPr>
        <w:adjustRightInd w:val="0"/>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实施绩效考核，考核结果应用到个人绩效工资分配。对实施不良未达到绩效考评的项目予以批评，责令限期整改。</w:t>
      </w:r>
    </w:p>
    <w:p>
      <w:pPr>
        <w:pStyle w:val="5"/>
        <w:adjustRightInd w:val="0"/>
        <w:snapToGrid w:val="0"/>
        <w:spacing w:before="0" w:after="0" w:line="305" w:lineRule="auto"/>
        <w:ind w:firstLine="660" w:firstLineChars="200"/>
        <w:rPr>
          <w:rFonts w:ascii="方正黑体简体" w:hAnsi="方正黑体简体" w:eastAsia="方正黑体简体" w:cs="方正黑体简体"/>
          <w:b w:val="0"/>
          <w:bCs w:val="0"/>
          <w:sz w:val="33"/>
          <w:szCs w:val="33"/>
        </w:rPr>
      </w:pPr>
      <w:bookmarkStart w:id="117" w:name="_Toc2821"/>
      <w:r>
        <w:rPr>
          <w:rFonts w:hint="eastAsia" w:ascii="方正黑体简体" w:hAnsi="方正黑体简体" w:eastAsia="方正黑体简体" w:cs="方正黑体简体"/>
          <w:b w:val="0"/>
          <w:bCs w:val="0"/>
          <w:sz w:val="33"/>
          <w:szCs w:val="33"/>
        </w:rPr>
        <w:t>四、评价结论及建议</w:t>
      </w:r>
      <w:bookmarkEnd w:id="117"/>
    </w:p>
    <w:p>
      <w:pPr>
        <w:adjustRightInd w:val="0"/>
        <w:snapToGrid w:val="0"/>
        <w:spacing w:line="305" w:lineRule="auto"/>
        <w:ind w:firstLine="663" w:firstLineChars="200"/>
        <w:rPr>
          <w:rFonts w:ascii="方正楷体简体" w:hAnsi="方正楷体简体" w:eastAsia="方正楷体简体" w:cs="方正楷体简体"/>
          <w:b/>
          <w:sz w:val="33"/>
          <w:szCs w:val="33"/>
        </w:rPr>
      </w:pPr>
      <w:r>
        <w:rPr>
          <w:rFonts w:hint="eastAsia" w:ascii="方正楷体简体" w:hAnsi="方正楷体简体" w:eastAsia="方正楷体简体" w:cs="方正楷体简体"/>
          <w:b/>
          <w:sz w:val="33"/>
          <w:szCs w:val="33"/>
        </w:rPr>
        <w:t>（一）评价结论。</w:t>
      </w:r>
    </w:p>
    <w:p>
      <w:pPr>
        <w:adjustRightInd w:val="0"/>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总体良好</w:t>
      </w:r>
    </w:p>
    <w:p>
      <w:pPr>
        <w:adjustRightInd w:val="0"/>
        <w:snapToGrid w:val="0"/>
        <w:spacing w:line="305" w:lineRule="auto"/>
        <w:ind w:firstLine="663" w:firstLineChars="200"/>
        <w:rPr>
          <w:rFonts w:ascii="方正楷体简体" w:hAnsi="方正楷体简体" w:eastAsia="方正楷体简体" w:cs="方正楷体简体"/>
          <w:b/>
          <w:sz w:val="33"/>
          <w:szCs w:val="33"/>
        </w:rPr>
      </w:pPr>
      <w:r>
        <w:rPr>
          <w:rFonts w:hint="eastAsia" w:ascii="方正楷体简体" w:hAnsi="方正楷体简体" w:eastAsia="方正楷体简体" w:cs="方正楷体简体"/>
          <w:b/>
          <w:sz w:val="33"/>
          <w:szCs w:val="33"/>
        </w:rPr>
        <w:t>（二）存在问题。</w:t>
      </w:r>
    </w:p>
    <w:p>
      <w:pPr>
        <w:adjustRightInd w:val="0"/>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部分项目实施进度滞后。</w:t>
      </w:r>
    </w:p>
    <w:p>
      <w:pPr>
        <w:adjustRightInd w:val="0"/>
        <w:snapToGrid w:val="0"/>
        <w:spacing w:line="305" w:lineRule="auto"/>
        <w:ind w:firstLine="663" w:firstLineChars="200"/>
        <w:rPr>
          <w:rFonts w:ascii="方正楷体简体" w:hAnsi="方正楷体简体" w:eastAsia="方正楷体简体" w:cs="方正楷体简体"/>
          <w:b/>
          <w:sz w:val="33"/>
          <w:szCs w:val="33"/>
        </w:rPr>
      </w:pPr>
      <w:r>
        <w:rPr>
          <w:rFonts w:hint="eastAsia" w:ascii="方正楷体简体" w:hAnsi="方正楷体简体" w:eastAsia="方正楷体简体" w:cs="方正楷体简体"/>
          <w:b/>
          <w:sz w:val="33"/>
          <w:szCs w:val="33"/>
        </w:rPr>
        <w:t>（三）改进建议。</w:t>
      </w:r>
    </w:p>
    <w:p>
      <w:pPr>
        <w:adjustRightInd w:val="0"/>
        <w:snapToGrid w:val="0"/>
        <w:spacing w:line="305" w:lineRule="auto"/>
        <w:ind w:firstLine="660" w:firstLineChars="200"/>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严格按进度执行预算，对个别执行不力的项目采取跟踪措施，督促完成绩效目标。</w:t>
      </w:r>
    </w:p>
    <w:p>
      <w:pPr>
        <w:pStyle w:val="2"/>
        <w:adjustRightInd w:val="0"/>
        <w:snapToGrid w:val="0"/>
        <w:spacing w:before="93" w:line="305" w:lineRule="auto"/>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shd w:val="clear" w:color="auto" w:fill="FFFFFF"/>
          <w:lang w:val="zh-CN"/>
        </w:rPr>
        <w:t>附件</w:t>
      </w:r>
      <w:r>
        <w:rPr>
          <w:rFonts w:hint="eastAsia" w:ascii="方正仿宋简体" w:hAnsi="方正仿宋简体" w:eastAsia="方正仿宋简体" w:cs="方正仿宋简体"/>
          <w:sz w:val="33"/>
          <w:szCs w:val="33"/>
          <w:shd w:val="clear" w:color="auto" w:fill="FFFFFF"/>
        </w:rPr>
        <w:t>1</w:t>
      </w:r>
    </w:p>
    <w:p>
      <w:pPr>
        <w:adjustRightInd w:val="0"/>
        <w:snapToGrid w:val="0"/>
        <w:spacing w:line="305" w:lineRule="auto"/>
        <w:ind w:firstLine="883"/>
        <w:jc w:val="center"/>
        <w:rPr>
          <w:rFonts w:hint="eastAsia" w:ascii="方正小标宋_GBK" w:hAnsi="方正小标宋_GBK" w:eastAsia="方正小标宋_GBK" w:cs="方正小标宋_GBK"/>
          <w:sz w:val="33"/>
          <w:szCs w:val="33"/>
          <w:lang w:val="zh-CN"/>
        </w:rPr>
      </w:pPr>
      <w:r>
        <w:rPr>
          <w:rFonts w:hint="eastAsia" w:ascii="方正小标宋_GBK" w:hAnsi="方正小标宋_GBK" w:eastAsia="方正小标宋_GBK" w:cs="方正小标宋_GBK"/>
          <w:sz w:val="33"/>
          <w:szCs w:val="33"/>
        </w:rPr>
        <w:t>2021年</w:t>
      </w:r>
      <w:r>
        <w:rPr>
          <w:rFonts w:hint="eastAsia" w:ascii="方正小标宋_GBK" w:hAnsi="方正小标宋_GBK" w:eastAsia="方正小标宋_GBK" w:cs="方正小标宋_GBK"/>
          <w:sz w:val="33"/>
          <w:szCs w:val="33"/>
          <w:lang w:val="zh-CN"/>
        </w:rPr>
        <w:t>专项预算项目支出绩效自评报告</w:t>
      </w:r>
    </w:p>
    <w:p>
      <w:pPr>
        <w:adjustRightInd w:val="0"/>
        <w:snapToGrid w:val="0"/>
        <w:spacing w:line="305" w:lineRule="auto"/>
        <w:ind w:firstLine="883"/>
        <w:jc w:val="center"/>
        <w:rPr>
          <w:rFonts w:ascii="方正仿宋简体" w:hAnsi="方正仿宋简体" w:eastAsia="方正仿宋简体" w:cs="方正仿宋简体"/>
          <w:sz w:val="33"/>
          <w:szCs w:val="33"/>
        </w:rPr>
      </w:pPr>
      <w:r>
        <w:rPr>
          <w:rFonts w:hint="eastAsia" w:ascii="方正仿宋简体" w:hAnsi="方正仿宋简体" w:eastAsia="方正仿宋简体" w:cs="方正仿宋简体"/>
          <w:kern w:val="0"/>
          <w:sz w:val="33"/>
          <w:szCs w:val="33"/>
        </w:rPr>
        <w:t>“农业农村部攀枝花金沙江干热河谷区农业科学观测实验站”项目</w:t>
      </w:r>
    </w:p>
    <w:p>
      <w:pPr>
        <w:adjustRightInd w:val="0"/>
        <w:snapToGrid w:val="0"/>
        <w:spacing w:line="305" w:lineRule="auto"/>
        <w:ind w:firstLine="636" w:firstLineChars="193"/>
        <w:rPr>
          <w:rFonts w:ascii="方正黑体简体" w:hAnsi="方正黑体简体" w:eastAsia="方正黑体简体" w:cs="方正黑体简体"/>
          <w:sz w:val="33"/>
          <w:szCs w:val="33"/>
        </w:rPr>
      </w:pPr>
      <w:r>
        <w:rPr>
          <w:rFonts w:hint="eastAsia" w:ascii="方正黑体简体" w:hAnsi="方正黑体简体" w:eastAsia="方正黑体简体" w:cs="方正黑体简体"/>
          <w:sz w:val="33"/>
          <w:szCs w:val="33"/>
        </w:rPr>
        <w:t>一、项目概况</w:t>
      </w:r>
    </w:p>
    <w:p>
      <w:pPr>
        <w:adjustRightInd w:val="0"/>
        <w:snapToGrid w:val="0"/>
        <w:spacing w:line="305" w:lineRule="auto"/>
        <w:ind w:firstLine="639" w:firstLineChars="193"/>
        <w:rPr>
          <w:rFonts w:ascii="方正楷体简体" w:hAnsi="方正楷体简体" w:eastAsia="方正楷体简体" w:cs="方正楷体简体"/>
          <w:b/>
          <w:bCs/>
          <w:sz w:val="33"/>
          <w:szCs w:val="33"/>
        </w:rPr>
      </w:pPr>
      <w:r>
        <w:rPr>
          <w:rFonts w:hint="eastAsia" w:ascii="方正楷体简体" w:hAnsi="方正楷体简体" w:eastAsia="方正楷体简体" w:cs="方正楷体简体"/>
          <w:b/>
          <w:bCs/>
          <w:sz w:val="33"/>
          <w:szCs w:val="33"/>
        </w:rPr>
        <w:t>（一）项目基本情况。</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bCs/>
          <w:sz w:val="33"/>
          <w:szCs w:val="33"/>
        </w:rPr>
        <w:t>2018年11月26日四川省农业农村厅</w:t>
      </w:r>
      <w:r>
        <w:rPr>
          <w:rFonts w:hint="eastAsia" w:ascii="方正仿宋简体" w:hAnsi="方正仿宋简体" w:eastAsia="方正仿宋简体" w:cs="方正仿宋简体"/>
          <w:sz w:val="33"/>
          <w:szCs w:val="33"/>
        </w:rPr>
        <w:t>向攀枝花市农林科学研究院</w:t>
      </w:r>
      <w:r>
        <w:rPr>
          <w:rFonts w:hint="eastAsia" w:ascii="方正仿宋简体" w:hAnsi="方正仿宋简体" w:eastAsia="方正仿宋简体" w:cs="方正仿宋简体"/>
          <w:bCs/>
          <w:sz w:val="33"/>
          <w:szCs w:val="33"/>
        </w:rPr>
        <w:t>下达《关于农业农村部攀枝花金沙江干热河谷区农业科学观察实验站可行性研究报告的批复》（川农函〔2018〕58号）。</w:t>
      </w:r>
      <w:r>
        <w:rPr>
          <w:rFonts w:hint="eastAsia" w:ascii="方正仿宋简体" w:hAnsi="方正仿宋简体" w:eastAsia="方正仿宋简体" w:cs="方正仿宋简体"/>
          <w:sz w:val="33"/>
          <w:szCs w:val="33"/>
        </w:rPr>
        <w:t>原则同意攀枝花市农林科学研究院“农业农村部攀枝花金沙江干热河谷区农业科学观测实验站”项目。</w:t>
      </w:r>
      <w:r>
        <w:rPr>
          <w:rFonts w:hint="eastAsia" w:ascii="方正仿宋简体" w:hAnsi="方正仿宋简体" w:eastAsia="方正仿宋简体" w:cs="方正仿宋简体"/>
          <w:bCs/>
          <w:sz w:val="33"/>
          <w:szCs w:val="33"/>
        </w:rPr>
        <w:t>项目</w:t>
      </w:r>
      <w:r>
        <w:rPr>
          <w:rFonts w:hint="eastAsia" w:ascii="方正仿宋简体" w:hAnsi="方正仿宋简体" w:eastAsia="方正仿宋简体" w:cs="方正仿宋简体"/>
          <w:sz w:val="33"/>
          <w:szCs w:val="33"/>
        </w:rPr>
        <w:t>主要建设内容为:新建智能温室768平米、沟渠980米、围栏1000米。购置冷冻干燥机、超低温冰箱、野外植物生理生态监控系统等仪器设备及农机具45台(套)。总投资1207万元，其中中央投资1097万元，地方配套110万元。请据此批复，抓紧委托具有相应资质的勘察设计单位编制项目初步设计和概算，报我厅审批。</w:t>
      </w:r>
      <w:r>
        <w:rPr>
          <w:rFonts w:hint="eastAsia" w:ascii="方正仿宋简体" w:hAnsi="方正仿宋简体" w:eastAsia="方正仿宋简体" w:cs="方正仿宋简体"/>
          <w:bCs/>
          <w:sz w:val="33"/>
          <w:szCs w:val="33"/>
        </w:rPr>
        <w:t>攀枝花市农林科学研究院按照项目批复要求立即着手开展各项工作，遴选“农业部南京设计院”做项目初设和概算，并于2019年10月9日接受省厅组织的专家评审，2019年12月3日攀枝花市农业农村局转发省厅下达初设批复。</w:t>
      </w:r>
      <w:r>
        <w:rPr>
          <w:rFonts w:hint="eastAsia" w:ascii="方正仿宋简体" w:hAnsi="方正仿宋简体" w:eastAsia="方正仿宋简体" w:cs="方正仿宋简体"/>
          <w:sz w:val="33"/>
          <w:szCs w:val="33"/>
        </w:rPr>
        <w:t>初步设计和概算编制要严格执行《关于党政机关停止新建楼堂馆所和清理办公用房的通知》(中办发(2013]17号)要求，不得将楼堂馆所等纳入建设内容。请严格按照农业基本建设项目管理规定，做好项目组织实施工作，每月28日之前通过农业建设项目信息系统填报截止当月底项目进度、资金支出等相关信息。同时，按照国家发展改革委《关于做好农口中央预算内投资总结工作的通知》要求，请分别于当年7月3日和下年1月3日前，正式报送项目半年和全年总结，总结材料包括投资安排及到位情况、项目实施进展情况、监管措施、项目效益、存在的困难和问题、有关建议等内容。</w:t>
      </w:r>
    </w:p>
    <w:p>
      <w:pPr>
        <w:adjustRightInd w:val="0"/>
        <w:snapToGrid w:val="0"/>
        <w:spacing w:line="305" w:lineRule="auto"/>
        <w:ind w:firstLine="639" w:firstLineChars="193"/>
        <w:rPr>
          <w:rFonts w:ascii="方正仿宋简体" w:hAnsi="方正仿宋简体" w:eastAsia="方正仿宋简体" w:cs="方正仿宋简体"/>
          <w:b/>
          <w:bCs/>
          <w:sz w:val="33"/>
          <w:szCs w:val="33"/>
        </w:rPr>
      </w:pPr>
      <w:r>
        <w:rPr>
          <w:rFonts w:hint="eastAsia" w:ascii="方正仿宋简体" w:hAnsi="方正仿宋简体" w:eastAsia="方正仿宋简体" w:cs="方正仿宋简体"/>
          <w:b/>
          <w:bCs/>
          <w:sz w:val="33"/>
          <w:szCs w:val="33"/>
        </w:rPr>
        <w:t>（二）项目绩效目标。</w:t>
      </w:r>
    </w:p>
    <w:tbl>
      <w:tblPr>
        <w:tblStyle w:val="12"/>
        <w:tblW w:w="8719" w:type="dxa"/>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898"/>
        <w:gridCol w:w="7821"/>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82" w:hRule="atLeast"/>
        </w:trPr>
        <w:tc>
          <w:tcPr>
            <w:tcW w:w="89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序号</w:t>
            </w:r>
          </w:p>
        </w:tc>
        <w:tc>
          <w:tcPr>
            <w:tcW w:w="7821" w:type="dxa"/>
            <w:tcBorders>
              <w:top w:val="single" w:color="auto" w:sz="4" w:space="0"/>
              <w:left w:val="nil"/>
              <w:bottom w:val="single" w:color="auto" w:sz="4" w:space="0"/>
              <w:right w:val="single" w:color="auto" w:sz="4" w:space="0"/>
            </w:tcBorders>
            <w:vAlign w:val="center"/>
          </w:tcPr>
          <w:p>
            <w:pPr>
              <w:spacing w:line="360" w:lineRule="exact"/>
              <w:ind w:firstLine="540" w:firstLineChars="193"/>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任务</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82" w:hRule="atLeast"/>
        </w:trPr>
        <w:tc>
          <w:tcPr>
            <w:tcW w:w="89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1</w:t>
            </w:r>
          </w:p>
        </w:tc>
        <w:tc>
          <w:tcPr>
            <w:tcW w:w="7821" w:type="dxa"/>
            <w:tcBorders>
              <w:top w:val="single" w:color="auto" w:sz="4" w:space="0"/>
              <w:left w:val="nil"/>
              <w:bottom w:val="single" w:color="auto" w:sz="4" w:space="0"/>
              <w:right w:val="single" w:color="auto" w:sz="4" w:space="0"/>
            </w:tcBorders>
            <w:vAlign w:val="center"/>
          </w:tcPr>
          <w:p>
            <w:pPr>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新建智能温室768平方米。</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82" w:hRule="atLeast"/>
        </w:trPr>
        <w:tc>
          <w:tcPr>
            <w:tcW w:w="89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2</w:t>
            </w:r>
          </w:p>
        </w:tc>
        <w:tc>
          <w:tcPr>
            <w:tcW w:w="7821" w:type="dxa"/>
            <w:tcBorders>
              <w:top w:val="single" w:color="auto" w:sz="4" w:space="0"/>
              <w:left w:val="nil"/>
              <w:bottom w:val="single" w:color="auto" w:sz="4" w:space="0"/>
              <w:right w:val="single" w:color="auto" w:sz="4" w:space="0"/>
            </w:tcBorders>
            <w:vAlign w:val="center"/>
          </w:tcPr>
          <w:p>
            <w:pPr>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新建围栏1000米。</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126" w:hRule="atLeast"/>
        </w:trPr>
        <w:tc>
          <w:tcPr>
            <w:tcW w:w="89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3</w:t>
            </w:r>
          </w:p>
        </w:tc>
        <w:tc>
          <w:tcPr>
            <w:tcW w:w="7821" w:type="dxa"/>
            <w:tcBorders>
              <w:top w:val="single" w:color="auto" w:sz="4" w:space="0"/>
              <w:left w:val="nil"/>
              <w:bottom w:val="single" w:color="auto" w:sz="4" w:space="0"/>
              <w:right w:val="single" w:color="auto" w:sz="4" w:space="0"/>
            </w:tcBorders>
            <w:vAlign w:val="center"/>
          </w:tcPr>
          <w:p>
            <w:pPr>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新建沟渠 980 米于2020年10月9日本项目属地管理单位攀枝花市农业农村局同意将19.6万元沟渠建设内容变更为科研综合实验楼维修改造。</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126" w:hRule="atLeast"/>
        </w:trPr>
        <w:tc>
          <w:tcPr>
            <w:tcW w:w="89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4</w:t>
            </w:r>
          </w:p>
        </w:tc>
        <w:tc>
          <w:tcPr>
            <w:tcW w:w="7821" w:type="dxa"/>
            <w:tcBorders>
              <w:top w:val="single" w:color="auto" w:sz="4" w:space="0"/>
              <w:left w:val="nil"/>
              <w:bottom w:val="single" w:color="auto" w:sz="4" w:space="0"/>
              <w:right w:val="single" w:color="auto" w:sz="4" w:space="0"/>
            </w:tcBorders>
            <w:vAlign w:val="center"/>
          </w:tcPr>
          <w:p>
            <w:pPr>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购置冷冻干燥机、超低温冰箱、野外植物生理生态监控系统、扫描电子显微镜、测色仪、自动气象站、物联网/ 数据获取与处理系统等仪器设备及农机具45台（套）。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730" w:hRule="atLeast"/>
        </w:trPr>
        <w:tc>
          <w:tcPr>
            <w:tcW w:w="89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5</w:t>
            </w:r>
          </w:p>
        </w:tc>
        <w:tc>
          <w:tcPr>
            <w:tcW w:w="7821" w:type="dxa"/>
            <w:tcBorders>
              <w:top w:val="single" w:color="auto" w:sz="4" w:space="0"/>
              <w:left w:val="nil"/>
              <w:bottom w:val="single" w:color="auto" w:sz="4" w:space="0"/>
              <w:right w:val="single" w:color="auto" w:sz="4" w:space="0"/>
            </w:tcBorders>
            <w:vAlign w:val="center"/>
          </w:tcPr>
          <w:p>
            <w:pPr>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新购45台（套）仪器设备，以期在热带作物种质收集评价与创新方面、热带作物产量与品质形成的生物学基础方面、热带作物新品种培育选育方面、热带作物新品种培育选育方面等方面提供科学调查、观测和记载，获取农业科学原始资料和基础数据，为热带作物质收集评价与创新相关领域、生物学与遗传资源利用、热带作物营养与生态调控和新品种培育选育方向等研究服务。热带作物种植不但要追求产量，而且要追求品种、品质、特色及高档精品。面对市场成熟化的今天，我们必须要有精益求精的精神。“工欲善其事必先利其器”，拥有先进完备的设备，对我们今后的科研至关重要。</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64" w:hRule="atLeast"/>
        </w:trPr>
        <w:tc>
          <w:tcPr>
            <w:tcW w:w="89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6</w:t>
            </w:r>
          </w:p>
        </w:tc>
        <w:tc>
          <w:tcPr>
            <w:tcW w:w="7821" w:type="dxa"/>
            <w:tcBorders>
              <w:top w:val="single" w:color="auto" w:sz="4" w:space="0"/>
              <w:left w:val="nil"/>
              <w:bottom w:val="single" w:color="auto" w:sz="4" w:space="0"/>
              <w:right w:val="single" w:color="auto" w:sz="4" w:space="0"/>
            </w:tcBorders>
            <w:vAlign w:val="center"/>
          </w:tcPr>
          <w:p>
            <w:pPr>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所有工程建设均采用了招投标程序，工程预算、结算、竣工验收等环节符合基本建设规定。</w:t>
            </w:r>
          </w:p>
        </w:tc>
      </w:tr>
    </w:tbl>
    <w:p>
      <w:pPr>
        <w:adjustRightInd w:val="0"/>
        <w:snapToGrid w:val="0"/>
        <w:spacing w:line="305" w:lineRule="auto"/>
        <w:ind w:firstLine="639" w:firstLineChars="193"/>
        <w:rPr>
          <w:rFonts w:ascii="方正楷体简体" w:hAnsi="方正楷体简体" w:eastAsia="方正楷体简体" w:cs="方正楷体简体"/>
          <w:b/>
          <w:bCs/>
          <w:sz w:val="33"/>
          <w:szCs w:val="33"/>
        </w:rPr>
      </w:pPr>
      <w:r>
        <w:rPr>
          <w:rFonts w:hint="eastAsia" w:ascii="方正楷体简体" w:hAnsi="方正楷体简体" w:eastAsia="方正楷体简体" w:cs="方正楷体简体"/>
          <w:b/>
          <w:bCs/>
          <w:sz w:val="33"/>
          <w:szCs w:val="33"/>
        </w:rPr>
        <w:t>（三）项目自评步骤及方法。</w:t>
      </w:r>
    </w:p>
    <w:p>
      <w:pPr>
        <w:spacing w:line="305" w:lineRule="auto"/>
        <w:ind w:firstLine="639" w:firstLineChars="193"/>
        <w:rPr>
          <w:rFonts w:ascii="方正仿宋简体" w:hAnsi="方正仿宋简体" w:eastAsia="方正仿宋简体" w:cs="方正仿宋简体"/>
          <w:b/>
          <w:kern w:val="0"/>
          <w:sz w:val="33"/>
          <w:szCs w:val="33"/>
        </w:rPr>
      </w:pPr>
      <w:r>
        <w:rPr>
          <w:rFonts w:hint="eastAsia" w:ascii="方正仿宋简体" w:hAnsi="方正仿宋简体" w:eastAsia="方正仿宋简体" w:cs="方正仿宋简体"/>
          <w:b/>
          <w:kern w:val="0"/>
          <w:sz w:val="33"/>
          <w:szCs w:val="33"/>
        </w:rPr>
        <w:t>一是检查自我加压，坚持高标准、高起点、严要求做好工作谋划</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第一是在编写项目可研时，邀请长期为热带作物学科群做可研的海南农垦设计院做可研，可研的高度、深度符合我国热带作物科研未来发展方向，对项目建成后我院热带作物科研指明了方向。第二是在编写项目初设时，既实事求是邀请本地有资质的设计单位对基建内容进行现场踏勘、设计，又邀请全国知名的“农业部南京设计院”为项目做整体初设，确保初设的合理性、科学性、先进性。第三是在仪器设备选型中，主动邀请高校、科研单位长期从事检测的知名专家为项目仪器选型做咨询，保证仪器设备的实用性和先进性。</w:t>
      </w:r>
    </w:p>
    <w:p>
      <w:pPr>
        <w:spacing w:line="305" w:lineRule="auto"/>
        <w:ind w:firstLine="639" w:firstLineChars="193"/>
        <w:rPr>
          <w:rFonts w:ascii="方正仿宋简体" w:hAnsi="方正仿宋简体" w:eastAsia="方正仿宋简体" w:cs="方正仿宋简体"/>
          <w:b/>
          <w:kern w:val="0"/>
          <w:sz w:val="33"/>
          <w:szCs w:val="33"/>
        </w:rPr>
      </w:pPr>
      <w:r>
        <w:rPr>
          <w:rFonts w:hint="eastAsia" w:ascii="方正仿宋简体" w:hAnsi="方正仿宋简体" w:eastAsia="方正仿宋简体" w:cs="方正仿宋简体"/>
          <w:b/>
          <w:kern w:val="0"/>
          <w:sz w:val="33"/>
          <w:szCs w:val="33"/>
        </w:rPr>
        <w:t xml:space="preserve">二是检查主动对接协调，寻求各方支持情况 </w:t>
      </w:r>
    </w:p>
    <w:p>
      <w:pPr>
        <w:spacing w:line="305" w:lineRule="auto"/>
        <w:ind w:firstLine="636" w:firstLineChars="193"/>
        <w:rPr>
          <w:rFonts w:ascii="方正仿宋简体" w:hAnsi="方正仿宋简体" w:eastAsia="方正仿宋简体" w:cs="方正仿宋简体"/>
          <w:kern w:val="0"/>
          <w:sz w:val="33"/>
          <w:szCs w:val="33"/>
        </w:rPr>
      </w:pPr>
      <w:r>
        <w:rPr>
          <w:rFonts w:hint="eastAsia" w:ascii="方正仿宋简体" w:hAnsi="方正仿宋简体" w:eastAsia="方正仿宋简体" w:cs="方正仿宋简体"/>
          <w:color w:val="000000"/>
          <w:sz w:val="33"/>
          <w:szCs w:val="33"/>
        </w:rPr>
        <w:t>第一是在项目申报前期，积极向攀枝花市政府分管农业的副市长汇报，并请副市长向农业农村部部领导、司局领导汇报。第二是加强与中国热带农业科院、学科群重点实验室（热科院生物所）及本学科群其他实验室（站）的对接联系。第三是加强与省农业农村厅科教处、计财处等相关处室的对接联系。第四是加强与攀枝花市发改委</w:t>
      </w:r>
      <w:r>
        <w:rPr>
          <w:rFonts w:hint="eastAsia" w:ascii="方正仿宋简体" w:hAnsi="方正仿宋简体" w:eastAsia="方正仿宋简体" w:cs="方正仿宋简体"/>
          <w:kern w:val="0"/>
          <w:sz w:val="33"/>
          <w:szCs w:val="33"/>
        </w:rPr>
        <w:t>、市农业农村局、市财政局等单位的对接联系。</w:t>
      </w:r>
    </w:p>
    <w:p>
      <w:pPr>
        <w:spacing w:line="305" w:lineRule="auto"/>
        <w:ind w:firstLine="639" w:firstLineChars="193"/>
        <w:rPr>
          <w:rFonts w:ascii="方正仿宋简体" w:hAnsi="方正仿宋简体" w:eastAsia="方正仿宋简体" w:cs="方正仿宋简体"/>
          <w:b/>
          <w:kern w:val="0"/>
          <w:sz w:val="33"/>
          <w:szCs w:val="33"/>
        </w:rPr>
      </w:pPr>
      <w:r>
        <w:rPr>
          <w:rFonts w:hint="eastAsia" w:ascii="方正仿宋简体" w:hAnsi="方正仿宋简体" w:eastAsia="方正仿宋简体" w:cs="方正仿宋简体"/>
          <w:b/>
          <w:kern w:val="0"/>
          <w:sz w:val="33"/>
          <w:szCs w:val="33"/>
        </w:rPr>
        <w:t>三是检查招投标及合同管理情况</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根据初设任务指标，项目组成员填写《招投标内容》报项目组组长审批，然后按程序</w:t>
      </w:r>
      <w:r>
        <w:rPr>
          <w:rFonts w:hint="eastAsia" w:ascii="方正仿宋简体" w:hAnsi="方正仿宋简体" w:eastAsia="方正仿宋简体" w:cs="方正仿宋简体"/>
          <w:bCs/>
          <w:color w:val="000000"/>
          <w:sz w:val="33"/>
          <w:szCs w:val="33"/>
        </w:rPr>
        <w:t>遴选代理机构</w:t>
      </w:r>
      <w:r>
        <w:rPr>
          <w:rFonts w:hint="eastAsia" w:ascii="方正仿宋简体" w:hAnsi="方正仿宋简体" w:eastAsia="方正仿宋简体" w:cs="方正仿宋简体"/>
          <w:color w:val="000000"/>
          <w:sz w:val="33"/>
          <w:szCs w:val="33"/>
        </w:rPr>
        <w:t>对初设任务进行招投标。合同由项目组成员具体经办，拟定初稿后由项目负责人审阅修改，再报院律师顾问审查无问题后，院长签字并盖章才生效，并由专人保管。</w:t>
      </w:r>
    </w:p>
    <w:p>
      <w:pPr>
        <w:spacing w:line="305" w:lineRule="auto"/>
        <w:ind w:firstLine="639" w:firstLineChars="193"/>
        <w:rPr>
          <w:rFonts w:ascii="方正仿宋简体" w:hAnsi="方正仿宋简体" w:eastAsia="方正仿宋简体" w:cs="方正仿宋简体"/>
          <w:b/>
          <w:kern w:val="0"/>
          <w:sz w:val="33"/>
          <w:szCs w:val="33"/>
        </w:rPr>
      </w:pPr>
      <w:r>
        <w:rPr>
          <w:rFonts w:hint="eastAsia" w:ascii="方正仿宋简体" w:hAnsi="方正仿宋简体" w:eastAsia="方正仿宋简体" w:cs="方正仿宋简体"/>
          <w:b/>
          <w:kern w:val="0"/>
          <w:sz w:val="33"/>
          <w:szCs w:val="33"/>
        </w:rPr>
        <w:t>四是检查工程质量情况</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项目组成立工程质量领导小组，由项目负责人任组长，项目组成员及施工队负责人为主要成员，各自担负相关职责。进行全方位质量管理，监督，检查，所有工程建设均采用了招投标程序，工程预算、结算、竣工验收等环节，确保工程质量且验收合格率为100%。</w:t>
      </w:r>
    </w:p>
    <w:p>
      <w:pPr>
        <w:spacing w:line="305" w:lineRule="auto"/>
        <w:ind w:firstLine="639" w:firstLineChars="193"/>
        <w:rPr>
          <w:rFonts w:ascii="方正仿宋简体" w:hAnsi="方正仿宋简体" w:eastAsia="方正仿宋简体" w:cs="方正仿宋简体"/>
          <w:b/>
          <w:kern w:val="0"/>
          <w:sz w:val="33"/>
          <w:szCs w:val="33"/>
        </w:rPr>
      </w:pPr>
      <w:r>
        <w:rPr>
          <w:rFonts w:hint="eastAsia" w:ascii="方正仿宋简体" w:hAnsi="方正仿宋简体" w:eastAsia="方正仿宋简体" w:cs="方正仿宋简体"/>
          <w:b/>
          <w:kern w:val="0"/>
          <w:sz w:val="33"/>
          <w:szCs w:val="33"/>
        </w:rPr>
        <w:t>五是检查竣工验收情况</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针对初设任务的每一项内容建设完成后，及时组织相关专家进行验收，在工程竣工、设备交付验收合格后，按合同约定，才能支付相关款项。</w:t>
      </w:r>
    </w:p>
    <w:p>
      <w:pPr>
        <w:spacing w:line="305" w:lineRule="auto"/>
        <w:ind w:firstLine="639" w:firstLineChars="193"/>
        <w:rPr>
          <w:rFonts w:ascii="方正仿宋简体" w:hAnsi="方正仿宋简体" w:eastAsia="方正仿宋简体" w:cs="方正仿宋简体"/>
          <w:b/>
          <w:kern w:val="0"/>
          <w:sz w:val="33"/>
          <w:szCs w:val="33"/>
        </w:rPr>
      </w:pPr>
      <w:r>
        <w:rPr>
          <w:rFonts w:hint="eastAsia" w:ascii="方正仿宋简体" w:hAnsi="方正仿宋简体" w:eastAsia="方正仿宋简体" w:cs="方正仿宋简体"/>
          <w:b/>
          <w:kern w:val="0"/>
          <w:sz w:val="33"/>
          <w:szCs w:val="33"/>
        </w:rPr>
        <w:t>六是检查运行使用情况</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为保证科研工作的顺利开展，保障仪器设备安全运行和保持良好的工作状态，实验室科研人员必须遵守实验室安全操作规程。</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项目在中央财政的支持下，新采购45台（套）科研急需的中高端仪器设备，提升了我院检测分析能力，提高科研深度，增强了科技创新能力，提高了科技人员的业务水平，增强了服务三农的能力，对我院科研能力的提升和人才培养起到了重要作用，同时开展广泛的社会服务和仪器设备共享，将为区域农业科技高地建设必将起到核心作用，项目具有广泛的应用前景。</w:t>
      </w:r>
    </w:p>
    <w:p>
      <w:pPr>
        <w:adjustRightInd w:val="0"/>
        <w:snapToGrid w:val="0"/>
        <w:spacing w:line="305" w:lineRule="auto"/>
        <w:ind w:firstLine="636" w:firstLineChars="193"/>
        <w:rPr>
          <w:rFonts w:ascii="方正黑体简体" w:hAnsi="方正黑体简体" w:eastAsia="方正黑体简体" w:cs="方正黑体简体"/>
          <w:sz w:val="33"/>
          <w:szCs w:val="33"/>
        </w:rPr>
      </w:pPr>
      <w:r>
        <w:rPr>
          <w:rFonts w:hint="eastAsia" w:ascii="方正黑体简体" w:hAnsi="方正黑体简体" w:eastAsia="方正黑体简体" w:cs="方正黑体简体"/>
          <w:sz w:val="33"/>
          <w:szCs w:val="33"/>
        </w:rPr>
        <w:t>二、项目资金申报及使用情况</w:t>
      </w:r>
    </w:p>
    <w:p>
      <w:pPr>
        <w:adjustRightInd w:val="0"/>
        <w:snapToGrid w:val="0"/>
        <w:spacing w:line="305" w:lineRule="auto"/>
        <w:ind w:firstLine="639" w:firstLineChars="193"/>
        <w:rPr>
          <w:rFonts w:ascii="方正楷体简体" w:hAnsi="方正楷体简体" w:eastAsia="方正楷体简体" w:cs="方正楷体简体"/>
          <w:b/>
          <w:bCs/>
          <w:sz w:val="33"/>
          <w:szCs w:val="33"/>
        </w:rPr>
      </w:pPr>
      <w:r>
        <w:rPr>
          <w:rFonts w:hint="eastAsia" w:ascii="方正楷体简体" w:hAnsi="方正楷体简体" w:eastAsia="方正楷体简体" w:cs="方正楷体简体"/>
          <w:b/>
          <w:bCs/>
          <w:sz w:val="33"/>
          <w:szCs w:val="33"/>
        </w:rPr>
        <w:t>（一）项目资金申报及批复情况。</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项目资金申报、批复及预算调整等程序严格按相关规定顺利办理。</w:t>
      </w:r>
    </w:p>
    <w:p>
      <w:pPr>
        <w:adjustRightInd w:val="0"/>
        <w:snapToGrid w:val="0"/>
        <w:spacing w:line="305" w:lineRule="auto"/>
        <w:ind w:firstLine="639" w:firstLineChars="193"/>
        <w:rPr>
          <w:rFonts w:ascii="方正楷体简体" w:hAnsi="方正楷体简体" w:eastAsia="方正楷体简体" w:cs="方正楷体简体"/>
          <w:b/>
          <w:bCs/>
          <w:sz w:val="33"/>
          <w:szCs w:val="33"/>
        </w:rPr>
      </w:pPr>
      <w:r>
        <w:rPr>
          <w:rFonts w:hint="eastAsia" w:ascii="方正楷体简体" w:hAnsi="方正楷体简体" w:eastAsia="方正楷体简体" w:cs="方正楷体简体"/>
          <w:b/>
          <w:bCs/>
          <w:sz w:val="33"/>
          <w:szCs w:val="33"/>
        </w:rPr>
        <w:t>（二）资金计划、到位及使用情况</w:t>
      </w:r>
    </w:p>
    <w:p>
      <w:pPr>
        <w:adjustRightInd w:val="0"/>
        <w:snapToGrid w:val="0"/>
        <w:spacing w:line="305" w:lineRule="auto"/>
        <w:ind w:right="-393" w:rightChars="-187"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1．项目资金计划情况</w:t>
      </w:r>
    </w:p>
    <w:p>
      <w:pPr>
        <w:adjustRightInd w:val="0"/>
        <w:snapToGrid w:val="0"/>
        <w:spacing w:line="305" w:lineRule="auto"/>
        <w:ind w:right="-393" w:rightChars="-187"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根据川农函〔2018〕58 号文件批复，该项目建设项目总投资1207万元，其中:田间工程81万元，仪器设备购置1035万元，工程建设其他费用6.96万元,预备费24.04万元。</w:t>
      </w:r>
    </w:p>
    <w:p>
      <w:pPr>
        <w:adjustRightInd w:val="0"/>
        <w:snapToGrid w:val="0"/>
        <w:spacing w:line="305" w:lineRule="auto"/>
        <w:ind w:right="-393" w:rightChars="-187"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资金筹措:中央投资1097万元，地方配套110万元。</w:t>
      </w:r>
    </w:p>
    <w:p>
      <w:pPr>
        <w:adjustRightInd w:val="0"/>
        <w:snapToGrid w:val="0"/>
        <w:spacing w:line="305" w:lineRule="auto"/>
        <w:ind w:right="-393" w:rightChars="-187"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2．资金到位情况</w:t>
      </w:r>
    </w:p>
    <w:p>
      <w:pPr>
        <w:adjustRightInd w:val="0"/>
        <w:snapToGrid w:val="0"/>
        <w:spacing w:line="305" w:lineRule="auto"/>
        <w:ind w:right="-393" w:rightChars="-187"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我院于2019年12月收到投资预算资金700.00万元（攀财资投教【2019】114号文）；2020年5月3日收到攀枝花市级财政配套资金110.00万元（攀财资库【2020】1号文）；2020年12月收到项目资金397.00万元（攀财资投【2020】111号文）。</w:t>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3．项目资金完成情况</w:t>
      </w:r>
      <w:r>
        <w:rPr>
          <w:rFonts w:hint="eastAsia" w:ascii="方正仿宋简体" w:hAnsi="方正仿宋简体" w:eastAsia="方正仿宋简体" w:cs="方正仿宋简体"/>
          <w:sz w:val="33"/>
          <w:szCs w:val="33"/>
        </w:rPr>
        <w:tab/>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截至2022年4月30日止。“攀枝花金沙江干热河谷区观测实验站项目”累计完成</w:t>
      </w:r>
      <w:r>
        <w:rPr>
          <w:rFonts w:hint="eastAsia" w:ascii="方正仿宋简体" w:hAnsi="方正仿宋简体" w:eastAsia="方正仿宋简体" w:cs="方正仿宋简体"/>
          <w:kern w:val="0"/>
          <w:sz w:val="33"/>
          <w:szCs w:val="33"/>
        </w:rPr>
        <w:t>1067.68</w:t>
      </w:r>
      <w:r>
        <w:rPr>
          <w:rFonts w:hint="eastAsia" w:ascii="方正仿宋简体" w:hAnsi="方正仿宋简体" w:eastAsia="方正仿宋简体" w:cs="方正仿宋简体"/>
          <w:sz w:val="33"/>
          <w:szCs w:val="33"/>
        </w:rPr>
        <w:t>万元。</w:t>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4．项目资金支付情况</w:t>
      </w:r>
    </w:p>
    <w:p>
      <w:pPr>
        <w:pStyle w:val="2"/>
        <w:tabs>
          <w:tab w:val="left" w:pos="0"/>
        </w:tabs>
        <w:spacing w:beforeLines="0" w:line="305" w:lineRule="auto"/>
        <w:ind w:right="-420" w:rightChars="-200" w:firstLine="636" w:firstLineChars="193"/>
        <w:rPr>
          <w:rFonts w:hint="eastAsia"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截至2022年4月30日止。“攀枝花金沙江干热河谷区观测实验站项目”累计支付资金</w:t>
      </w:r>
      <w:r>
        <w:rPr>
          <w:rFonts w:hint="eastAsia" w:ascii="方正仿宋简体" w:hAnsi="方正仿宋简体" w:eastAsia="方正仿宋简体" w:cs="方正仿宋简体"/>
          <w:kern w:val="0"/>
          <w:sz w:val="33"/>
          <w:szCs w:val="33"/>
        </w:rPr>
        <w:t>1067.68万元，应付未付的项目资金80.24万元，合计应支付资金1147.92万元，</w:t>
      </w:r>
      <w:r>
        <w:rPr>
          <w:rFonts w:hint="eastAsia" w:ascii="方正仿宋简体" w:hAnsi="方正仿宋简体" w:eastAsia="方正仿宋简体" w:cs="方正仿宋简体"/>
          <w:sz w:val="33"/>
          <w:szCs w:val="33"/>
        </w:rPr>
        <w:t>结余资金59.08万元。项目资金使用情况如下表：</w:t>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p>
    <w:p>
      <w:pPr>
        <w:pStyle w:val="3"/>
        <w:ind w:left="7260" w:hanging="7260" w:hangingChars="2200"/>
        <w:rPr>
          <w:rFonts w:hint="eastAsia" w:ascii="方正仿宋简体" w:hAnsi="方正仿宋简体" w:eastAsia="方正仿宋简体" w:cs="方正仿宋简体"/>
          <w:sz w:val="33"/>
          <w:szCs w:val="33"/>
          <w:lang w:val="en-US" w:eastAsia="zh-CN"/>
        </w:rPr>
      </w:pPr>
      <w:r>
        <w:rPr>
          <w:rFonts w:hint="eastAsia" w:ascii="方正仿宋简体" w:hAnsi="方正仿宋简体" w:eastAsia="方正仿宋简体" w:cs="方正仿宋简体"/>
          <w:sz w:val="33"/>
          <w:szCs w:val="33"/>
        </w:rPr>
        <w:t>攀枝花金沙江干热河谷区观测实验站项目</w:t>
      </w:r>
      <w:r>
        <w:rPr>
          <w:rFonts w:hint="eastAsia" w:ascii="方正仿宋简体" w:hAnsi="方正仿宋简体" w:eastAsia="方正仿宋简体" w:cs="方正仿宋简体"/>
          <w:sz w:val="33"/>
          <w:szCs w:val="33"/>
          <w:lang w:eastAsia="zh-CN"/>
        </w:rPr>
        <w:t>资金使用明细表</w:t>
      </w:r>
      <w:r>
        <w:rPr>
          <w:rFonts w:hint="eastAsia" w:ascii="方正仿宋简体" w:hAnsi="方正仿宋简体" w:eastAsia="方正仿宋简体" w:cs="方正仿宋简体"/>
          <w:sz w:val="33"/>
          <w:szCs w:val="33"/>
          <w:lang w:val="en-US" w:eastAsia="zh-CN"/>
        </w:rPr>
        <w:t xml:space="preserve">                    </w:t>
      </w:r>
    </w:p>
    <w:p>
      <w:pPr>
        <w:pStyle w:val="3"/>
        <w:ind w:left="7254" w:leftChars="3297" w:hanging="330" w:hangingChars="100"/>
        <w:rPr>
          <w:rFonts w:hint="eastAsia" w:eastAsia="方正仿宋简体"/>
          <w:lang w:val="en-US" w:eastAsia="zh-CN"/>
        </w:rPr>
      </w:pPr>
      <w:r>
        <w:rPr>
          <w:rFonts w:hint="eastAsia" w:ascii="方正仿宋简体" w:hAnsi="方正仿宋简体" w:eastAsia="方正仿宋简体" w:cs="方正仿宋简体"/>
          <w:sz w:val="33"/>
          <w:szCs w:val="33"/>
          <w:lang w:val="en-US" w:eastAsia="zh-CN"/>
        </w:rPr>
        <w:t>单位：元</w:t>
      </w:r>
    </w:p>
    <w:tbl>
      <w:tblPr>
        <w:tblStyle w:val="12"/>
        <w:tblW w:w="9999" w:type="dxa"/>
        <w:tblInd w:w="-561" w:type="dxa"/>
        <w:tblLayout w:type="fixed"/>
        <w:tblCellMar>
          <w:top w:w="0" w:type="dxa"/>
          <w:left w:w="108" w:type="dxa"/>
          <w:bottom w:w="0" w:type="dxa"/>
          <w:right w:w="108" w:type="dxa"/>
        </w:tblCellMar>
      </w:tblPr>
      <w:tblGrid>
        <w:gridCol w:w="1538"/>
        <w:gridCol w:w="1080"/>
        <w:gridCol w:w="1457"/>
        <w:gridCol w:w="1374"/>
        <w:gridCol w:w="1505"/>
        <w:gridCol w:w="1457"/>
        <w:gridCol w:w="1588"/>
      </w:tblGrid>
      <w:tr>
        <w:tblPrEx>
          <w:tblCellMar>
            <w:top w:w="0" w:type="dxa"/>
            <w:left w:w="108" w:type="dxa"/>
            <w:bottom w:w="0" w:type="dxa"/>
            <w:right w:w="108" w:type="dxa"/>
          </w:tblCellMar>
        </w:tblPrEx>
        <w:trPr>
          <w:trHeight w:val="741" w:hRule="atLeast"/>
        </w:trPr>
        <w:tc>
          <w:tcPr>
            <w:tcW w:w="153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方正仿宋简体" w:hAnsi="方正仿宋简体" w:eastAsia="方正仿宋简体" w:cs="方正仿宋简体"/>
                <w:szCs w:val="21"/>
              </w:rPr>
            </w:pPr>
            <w:r>
              <w:rPr>
                <w:rFonts w:hint="eastAsia" w:ascii="方正仿宋简体" w:hAnsi="方正仿宋简体" w:eastAsia="方正仿宋简体" w:cs="方正仿宋简体"/>
                <w:kern w:val="0"/>
                <w:szCs w:val="21"/>
              </w:rPr>
              <w:t xml:space="preserve">项 </w:t>
            </w:r>
            <w:r>
              <w:rPr>
                <w:rStyle w:val="31"/>
                <w:rFonts w:hint="eastAsia" w:ascii="方正仿宋简体" w:hAnsi="方正仿宋简体" w:eastAsia="方正仿宋简体" w:cs="方正仿宋简体"/>
                <w:color w:val="auto"/>
              </w:rPr>
              <w:t xml:space="preserve"> 目</w:t>
            </w:r>
          </w:p>
        </w:tc>
        <w:tc>
          <w:tcPr>
            <w:tcW w:w="5416" w:type="dxa"/>
            <w:gridSpan w:val="4"/>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szCs w:val="21"/>
              </w:rPr>
            </w:pPr>
            <w:r>
              <w:rPr>
                <w:rFonts w:hint="eastAsia" w:ascii="方正仿宋简体" w:hAnsi="方正仿宋简体" w:eastAsia="方正仿宋简体" w:cs="方正仿宋简体"/>
                <w:kern w:val="0"/>
                <w:szCs w:val="21"/>
              </w:rPr>
              <w:t xml:space="preserve"> </w:t>
            </w:r>
            <w:r>
              <w:rPr>
                <w:rStyle w:val="31"/>
                <w:rFonts w:hint="eastAsia" w:ascii="方正仿宋简体" w:hAnsi="方正仿宋简体" w:eastAsia="方正仿宋简体" w:cs="方正仿宋简体"/>
                <w:color w:val="auto"/>
              </w:rPr>
              <w:t>实际已经支付</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szCs w:val="21"/>
              </w:rPr>
            </w:pPr>
            <w:r>
              <w:rPr>
                <w:rStyle w:val="31"/>
                <w:rFonts w:hint="eastAsia" w:ascii="方正仿宋简体" w:hAnsi="方正仿宋简体" w:eastAsia="方正仿宋简体" w:cs="方正仿宋简体"/>
                <w:color w:val="auto"/>
              </w:rPr>
              <w:t>应付未付部分</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szCs w:val="21"/>
              </w:rPr>
            </w:pPr>
            <w:r>
              <w:rPr>
                <w:rFonts w:hint="eastAsia" w:ascii="方正仿宋简体" w:hAnsi="方正仿宋简体" w:eastAsia="方正仿宋简体" w:cs="方正仿宋简体"/>
                <w:kern w:val="0"/>
                <w:szCs w:val="21"/>
              </w:rPr>
              <w:t>合计</w:t>
            </w:r>
          </w:p>
        </w:tc>
      </w:tr>
      <w:tr>
        <w:tblPrEx>
          <w:tblCellMar>
            <w:top w:w="0" w:type="dxa"/>
            <w:left w:w="108" w:type="dxa"/>
            <w:bottom w:w="0" w:type="dxa"/>
            <w:right w:w="108" w:type="dxa"/>
          </w:tblCellMar>
        </w:tblPrEx>
        <w:trPr>
          <w:trHeight w:val="1107" w:hRule="atLeast"/>
        </w:trPr>
        <w:tc>
          <w:tcPr>
            <w:tcW w:w="1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ind w:firstLine="405" w:firstLineChars="193"/>
              <w:jc w:val="center"/>
              <w:rPr>
                <w:rFonts w:ascii="方正仿宋简体" w:hAnsi="方正仿宋简体" w:eastAsia="方正仿宋简体" w:cs="方正仿宋简体"/>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left"/>
              <w:textAlignment w:val="center"/>
              <w:rPr>
                <w:rFonts w:ascii="方正仿宋简体" w:hAnsi="方正仿宋简体" w:eastAsia="方正仿宋简体" w:cs="方正仿宋简体"/>
                <w:szCs w:val="21"/>
              </w:rPr>
            </w:pPr>
            <w:r>
              <w:rPr>
                <w:rFonts w:hint="eastAsia" w:ascii="方正仿宋简体" w:hAnsi="方正仿宋简体" w:eastAsia="方正仿宋简体" w:cs="方正仿宋简体"/>
                <w:kern w:val="0"/>
                <w:szCs w:val="21"/>
              </w:rPr>
              <w:t xml:space="preserve"> </w:t>
            </w:r>
            <w:r>
              <w:rPr>
                <w:rStyle w:val="31"/>
                <w:rFonts w:hint="eastAsia" w:ascii="方正仿宋简体" w:hAnsi="方正仿宋简体" w:eastAsia="方正仿宋简体" w:cs="方正仿宋简体"/>
                <w:color w:val="auto"/>
              </w:rPr>
              <w:t>2019年度</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left"/>
              <w:textAlignment w:val="center"/>
              <w:rPr>
                <w:rFonts w:ascii="方正仿宋简体" w:hAnsi="方正仿宋简体" w:eastAsia="方正仿宋简体" w:cs="方正仿宋简体"/>
                <w:szCs w:val="21"/>
              </w:rPr>
            </w:pPr>
            <w:r>
              <w:rPr>
                <w:rFonts w:hint="eastAsia" w:ascii="方正仿宋简体" w:hAnsi="方正仿宋简体" w:eastAsia="方正仿宋简体" w:cs="方正仿宋简体"/>
                <w:kern w:val="0"/>
                <w:szCs w:val="21"/>
              </w:rPr>
              <w:t xml:space="preserve"> </w:t>
            </w:r>
            <w:r>
              <w:rPr>
                <w:rStyle w:val="31"/>
                <w:rFonts w:hint="eastAsia" w:ascii="方正仿宋简体" w:hAnsi="方正仿宋简体" w:eastAsia="方正仿宋简体" w:cs="方正仿宋简体"/>
                <w:color w:val="auto"/>
              </w:rPr>
              <w:t>2020年度</w:t>
            </w: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left"/>
              <w:textAlignment w:val="center"/>
              <w:rPr>
                <w:rFonts w:ascii="方正仿宋简体" w:hAnsi="方正仿宋简体" w:eastAsia="方正仿宋简体" w:cs="方正仿宋简体"/>
                <w:szCs w:val="21"/>
              </w:rPr>
            </w:pPr>
            <w:r>
              <w:rPr>
                <w:rFonts w:hint="eastAsia" w:ascii="方正仿宋简体" w:hAnsi="方正仿宋简体" w:eastAsia="方正仿宋简体" w:cs="方正仿宋简体"/>
                <w:kern w:val="0"/>
                <w:szCs w:val="21"/>
              </w:rPr>
              <w:t xml:space="preserve"> </w:t>
            </w:r>
            <w:r>
              <w:rPr>
                <w:rStyle w:val="31"/>
                <w:rFonts w:hint="eastAsia" w:ascii="方正仿宋简体" w:hAnsi="方正仿宋简体" w:eastAsia="方正仿宋简体" w:cs="方正仿宋简体"/>
                <w:color w:val="auto"/>
              </w:rPr>
              <w:t>2021年度</w:t>
            </w: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left"/>
              <w:textAlignment w:val="center"/>
              <w:rPr>
                <w:rFonts w:ascii="方正仿宋简体" w:hAnsi="方正仿宋简体" w:eastAsia="方正仿宋简体" w:cs="方正仿宋简体"/>
                <w:szCs w:val="21"/>
              </w:rPr>
            </w:pPr>
            <w:r>
              <w:rPr>
                <w:rFonts w:hint="eastAsia" w:ascii="方正仿宋简体" w:hAnsi="方正仿宋简体" w:eastAsia="方正仿宋简体" w:cs="方正仿宋简体"/>
                <w:kern w:val="0"/>
                <w:szCs w:val="21"/>
              </w:rPr>
              <w:t xml:space="preserve"> </w:t>
            </w:r>
            <w:r>
              <w:rPr>
                <w:rStyle w:val="31"/>
                <w:rFonts w:hint="eastAsia" w:ascii="方正仿宋简体" w:hAnsi="方正仿宋简体" w:eastAsia="方正仿宋简体" w:cs="方正仿宋简体"/>
                <w:color w:val="auto"/>
              </w:rPr>
              <w:t>小计</w:t>
            </w:r>
          </w:p>
        </w:tc>
        <w:tc>
          <w:tcPr>
            <w:tcW w:w="1457"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405" w:firstLineChars="193"/>
              <w:jc w:val="center"/>
              <w:rPr>
                <w:rFonts w:ascii="方正仿宋简体" w:hAnsi="方正仿宋简体" w:eastAsia="方正仿宋简体" w:cs="方正仿宋简体"/>
                <w:szCs w:val="21"/>
              </w:rPr>
            </w:pPr>
          </w:p>
        </w:tc>
        <w:tc>
          <w:tcPr>
            <w:tcW w:w="1588"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405" w:firstLineChars="193"/>
              <w:jc w:val="center"/>
              <w:rPr>
                <w:rFonts w:ascii="方正仿宋简体" w:hAnsi="方正仿宋简体" w:eastAsia="方正仿宋简体" w:cs="方正仿宋简体"/>
                <w:szCs w:val="21"/>
              </w:rPr>
            </w:pPr>
          </w:p>
        </w:tc>
      </w:tr>
      <w:tr>
        <w:tblPrEx>
          <w:tblCellMar>
            <w:top w:w="0" w:type="dxa"/>
            <w:left w:w="108" w:type="dxa"/>
            <w:bottom w:w="0" w:type="dxa"/>
            <w:right w:w="108" w:type="dxa"/>
          </w:tblCellMar>
        </w:tblPrEx>
        <w:trPr>
          <w:trHeight w:val="375" w:hRule="atLeast"/>
        </w:trPr>
        <w:tc>
          <w:tcPr>
            <w:tcW w:w="153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初设费</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35,000.00</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both"/>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35,000.00</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35,000.00</w:t>
            </w:r>
          </w:p>
        </w:tc>
      </w:tr>
      <w:tr>
        <w:tblPrEx>
          <w:tblCellMar>
            <w:top w:w="0" w:type="dxa"/>
            <w:left w:w="108" w:type="dxa"/>
            <w:bottom w:w="0" w:type="dxa"/>
            <w:right w:w="108" w:type="dxa"/>
          </w:tblCellMar>
        </w:tblPrEx>
        <w:trPr>
          <w:trHeight w:val="375" w:hRule="atLeast"/>
        </w:trPr>
        <w:tc>
          <w:tcPr>
            <w:tcW w:w="153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监理费</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10,500.00</w:t>
            </w: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10,500.00</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10,500.00</w:t>
            </w:r>
          </w:p>
        </w:tc>
      </w:tr>
      <w:tr>
        <w:tblPrEx>
          <w:tblCellMar>
            <w:top w:w="0" w:type="dxa"/>
            <w:left w:w="108" w:type="dxa"/>
            <w:bottom w:w="0" w:type="dxa"/>
            <w:right w:w="108" w:type="dxa"/>
          </w:tblCellMar>
        </w:tblPrEx>
        <w:trPr>
          <w:trHeight w:val="375" w:hRule="atLeast"/>
        </w:trPr>
        <w:tc>
          <w:tcPr>
            <w:tcW w:w="153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项目办公费</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5,457.00</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23,228.50</w:t>
            </w: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3,088.00</w:t>
            </w: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31,773.50</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31,773.50</w:t>
            </w:r>
          </w:p>
        </w:tc>
      </w:tr>
      <w:tr>
        <w:tblPrEx>
          <w:tblCellMar>
            <w:top w:w="0" w:type="dxa"/>
            <w:left w:w="108" w:type="dxa"/>
            <w:bottom w:w="0" w:type="dxa"/>
            <w:right w:w="108" w:type="dxa"/>
          </w:tblCellMar>
        </w:tblPrEx>
        <w:trPr>
          <w:trHeight w:val="375" w:hRule="atLeast"/>
        </w:trPr>
        <w:tc>
          <w:tcPr>
            <w:tcW w:w="153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咨询服务费</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12,500.00</w:t>
            </w: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12,500.00</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4,000.00</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16,500.00</w:t>
            </w:r>
          </w:p>
        </w:tc>
      </w:tr>
      <w:tr>
        <w:tblPrEx>
          <w:tblCellMar>
            <w:top w:w="0" w:type="dxa"/>
            <w:left w:w="108" w:type="dxa"/>
            <w:bottom w:w="0" w:type="dxa"/>
            <w:right w:w="108" w:type="dxa"/>
          </w:tblCellMar>
        </w:tblPrEx>
        <w:trPr>
          <w:trHeight w:val="375" w:hRule="atLeast"/>
        </w:trPr>
        <w:tc>
          <w:tcPr>
            <w:tcW w:w="153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劳务费</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3,300.00</w:t>
            </w: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both"/>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3,300.00</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3,300.00</w:t>
            </w:r>
          </w:p>
        </w:tc>
      </w:tr>
      <w:tr>
        <w:tblPrEx>
          <w:tblCellMar>
            <w:top w:w="0" w:type="dxa"/>
            <w:left w:w="108" w:type="dxa"/>
            <w:bottom w:w="0" w:type="dxa"/>
            <w:right w:w="108" w:type="dxa"/>
          </w:tblCellMar>
        </w:tblPrEx>
        <w:trPr>
          <w:trHeight w:val="375" w:hRule="atLeast"/>
        </w:trPr>
        <w:tc>
          <w:tcPr>
            <w:tcW w:w="153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审计费</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5,800.00</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5,800.00</w:t>
            </w:r>
          </w:p>
        </w:tc>
      </w:tr>
      <w:tr>
        <w:tblPrEx>
          <w:tblCellMar>
            <w:top w:w="0" w:type="dxa"/>
            <w:left w:w="108" w:type="dxa"/>
            <w:bottom w:w="0" w:type="dxa"/>
            <w:right w:w="108" w:type="dxa"/>
          </w:tblCellMar>
        </w:tblPrEx>
        <w:trPr>
          <w:trHeight w:val="375" w:hRule="atLeast"/>
        </w:trPr>
        <w:tc>
          <w:tcPr>
            <w:tcW w:w="153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围栏建设费</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133,278.30</w:t>
            </w: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81,347.00</w:t>
            </w: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214,625.30</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214,625.30</w:t>
            </w:r>
          </w:p>
        </w:tc>
      </w:tr>
      <w:tr>
        <w:tblPrEx>
          <w:tblCellMar>
            <w:top w:w="0" w:type="dxa"/>
            <w:left w:w="108" w:type="dxa"/>
            <w:bottom w:w="0" w:type="dxa"/>
            <w:right w:w="108" w:type="dxa"/>
          </w:tblCellMar>
        </w:tblPrEx>
        <w:trPr>
          <w:trHeight w:val="375" w:hRule="atLeast"/>
        </w:trPr>
        <w:tc>
          <w:tcPr>
            <w:tcW w:w="153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温室维修费</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153,284.55</w:t>
            </w: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229,926.82</w:t>
            </w: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383,211.37</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383,211.37</w:t>
            </w:r>
          </w:p>
        </w:tc>
      </w:tr>
      <w:tr>
        <w:tblPrEx>
          <w:tblCellMar>
            <w:top w:w="0" w:type="dxa"/>
            <w:left w:w="108" w:type="dxa"/>
            <w:bottom w:w="0" w:type="dxa"/>
            <w:right w:w="108" w:type="dxa"/>
          </w:tblCellMar>
        </w:tblPrEx>
        <w:trPr>
          <w:trHeight w:val="375" w:hRule="atLeast"/>
        </w:trPr>
        <w:tc>
          <w:tcPr>
            <w:tcW w:w="153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仪器设备款</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6,245,300.00</w:t>
            </w: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3,170,560.00</w:t>
            </w: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9,415,860.00</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792,640.00</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10,208,500.00</w:t>
            </w:r>
          </w:p>
        </w:tc>
      </w:tr>
      <w:tr>
        <w:tblPrEx>
          <w:tblCellMar>
            <w:top w:w="0" w:type="dxa"/>
            <w:left w:w="108" w:type="dxa"/>
            <w:bottom w:w="0" w:type="dxa"/>
            <w:right w:w="108" w:type="dxa"/>
          </w:tblCellMar>
        </w:tblPrEx>
        <w:trPr>
          <w:trHeight w:val="741" w:hRule="atLeast"/>
        </w:trPr>
        <w:tc>
          <w:tcPr>
            <w:tcW w:w="153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综合楼维修费</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570,000.00</w:t>
            </w: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570,000.00</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570,000.00</w:t>
            </w:r>
          </w:p>
        </w:tc>
      </w:tr>
      <w:tr>
        <w:tblPrEx>
          <w:tblCellMar>
            <w:top w:w="0" w:type="dxa"/>
            <w:left w:w="108" w:type="dxa"/>
            <w:bottom w:w="0" w:type="dxa"/>
            <w:right w:w="108" w:type="dxa"/>
          </w:tblCellMar>
        </w:tblPrEx>
        <w:trPr>
          <w:trHeight w:val="751" w:hRule="atLeast"/>
        </w:trPr>
        <w:tc>
          <w:tcPr>
            <w:tcW w:w="153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405" w:firstLineChars="193"/>
              <w:jc w:val="center"/>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合计</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40,457.00</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6,567,591.35</w:t>
            </w:r>
          </w:p>
        </w:tc>
        <w:tc>
          <w:tcPr>
            <w:tcW w:w="13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4,068,721.82</w:t>
            </w:r>
          </w:p>
        </w:tc>
        <w:tc>
          <w:tcPr>
            <w:tcW w:w="150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10,676,770.17</w:t>
            </w:r>
          </w:p>
        </w:tc>
        <w:tc>
          <w:tcPr>
            <w:tcW w:w="145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802,440.00</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ascii="方正仿宋简体" w:hAnsi="方正仿宋简体" w:eastAsia="方正仿宋简体" w:cs="方正仿宋简体"/>
                <w:kern w:val="0"/>
                <w:szCs w:val="21"/>
              </w:rPr>
            </w:pPr>
            <w:r>
              <w:rPr>
                <w:rFonts w:hint="eastAsia" w:ascii="方正仿宋简体" w:hAnsi="方正仿宋简体" w:eastAsia="方正仿宋简体" w:cs="方正仿宋简体"/>
                <w:kern w:val="0"/>
                <w:szCs w:val="21"/>
              </w:rPr>
              <w:t>11,479,210.17</w:t>
            </w:r>
          </w:p>
        </w:tc>
      </w:tr>
    </w:tbl>
    <w:p>
      <w:pPr>
        <w:adjustRightInd w:val="0"/>
        <w:snapToGrid w:val="0"/>
        <w:spacing w:line="305" w:lineRule="auto"/>
        <w:ind w:firstLine="639" w:firstLineChars="193"/>
        <w:rPr>
          <w:rFonts w:ascii="方正楷体简体" w:hAnsi="方正楷体简体" w:eastAsia="方正楷体简体" w:cs="方正楷体简体"/>
          <w:b/>
          <w:bCs/>
          <w:sz w:val="33"/>
          <w:szCs w:val="33"/>
        </w:rPr>
      </w:pPr>
      <w:r>
        <w:rPr>
          <w:rFonts w:hint="eastAsia" w:ascii="方正楷体简体" w:hAnsi="方正楷体简体" w:eastAsia="方正楷体简体" w:cs="方正楷体简体"/>
          <w:b/>
          <w:bCs/>
          <w:sz w:val="33"/>
          <w:szCs w:val="33"/>
        </w:rPr>
        <w:t>（三）项目财务管理情况。</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我院为公益一类事业单位，对科研经费的管理和使用有着严格规范的制度和程序，我院严格按照中央资金拨付管理办法，建立专账，独立核算，</w:t>
      </w:r>
      <w:r>
        <w:rPr>
          <w:rFonts w:hint="eastAsia" w:ascii="方正仿宋简体" w:hAnsi="方正仿宋简体" w:eastAsia="方正仿宋简体" w:cs="方正仿宋简体"/>
          <w:sz w:val="33"/>
          <w:szCs w:val="33"/>
        </w:rPr>
        <w:t>国库集中支付、严格管理、专款专用，</w:t>
      </w:r>
      <w:r>
        <w:rPr>
          <w:rFonts w:hint="eastAsia" w:ascii="方正仿宋简体" w:hAnsi="方正仿宋简体" w:eastAsia="方正仿宋简体" w:cs="方正仿宋简体"/>
          <w:color w:val="000000"/>
          <w:sz w:val="33"/>
          <w:szCs w:val="33"/>
        </w:rPr>
        <w:t>建立健全各项开支科目。经费支出程序上按照相关财经纪律及我院新修订的《攀枝花市农林科学研究院财务管理办法》（攀农林[2019]56号）进行支出；在仪器设备采购、工程建设上将完全严格按照《招投标法》、《政府采购法》等法律法规进行实施，对未纳入政府集中采购目录和未达到政府采购限额标准的工程、货物和服务支出将按照新修改订的《攀枝花市农林科学研究院非政府采购类项目的采购管理办法》（攀农林[2019]59号）进行实施；外出严格按照新修订的《攀枝花市农林科学研究院差旅费管理试行办法》（攀农林[2019]57号）执行。</w:t>
      </w:r>
    </w:p>
    <w:p>
      <w:pPr>
        <w:adjustRightInd w:val="0"/>
        <w:snapToGrid w:val="0"/>
        <w:spacing w:line="305" w:lineRule="auto"/>
        <w:ind w:firstLine="636" w:firstLineChars="193"/>
        <w:rPr>
          <w:rFonts w:ascii="方正黑体简体" w:hAnsi="方正黑体简体" w:eastAsia="方正黑体简体" w:cs="方正黑体简体"/>
          <w:sz w:val="33"/>
          <w:szCs w:val="33"/>
        </w:rPr>
      </w:pPr>
      <w:r>
        <w:rPr>
          <w:rFonts w:hint="eastAsia" w:ascii="方正黑体简体" w:hAnsi="方正黑体简体" w:eastAsia="方正黑体简体" w:cs="方正黑体简体"/>
          <w:sz w:val="33"/>
          <w:szCs w:val="33"/>
        </w:rPr>
        <w:t>三、项目实施及管理情况</w:t>
      </w:r>
    </w:p>
    <w:p>
      <w:pPr>
        <w:adjustRightInd w:val="0"/>
        <w:snapToGrid w:val="0"/>
        <w:spacing w:line="305" w:lineRule="auto"/>
        <w:ind w:firstLine="639" w:firstLineChars="193"/>
        <w:rPr>
          <w:rFonts w:ascii="方正楷体简体" w:hAnsi="方正楷体简体" w:eastAsia="方正楷体简体" w:cs="方正楷体简体"/>
          <w:b/>
          <w:bCs/>
          <w:sz w:val="33"/>
          <w:szCs w:val="33"/>
        </w:rPr>
      </w:pPr>
      <w:r>
        <w:rPr>
          <w:rFonts w:hint="eastAsia" w:ascii="方正楷体简体" w:hAnsi="方正楷体简体" w:eastAsia="方正楷体简体" w:cs="方正楷体简体"/>
          <w:b/>
          <w:bCs/>
          <w:sz w:val="33"/>
          <w:szCs w:val="33"/>
        </w:rPr>
        <w:t>（一）项目组织架构及实施流程。</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我院成立了以院长为组长的项目建设领导小组，由分管果蔬科研的副院长任领导小组副组长并兼任办公室主任，由分管纪检监察的副书记任副组长并兼任监督小组负责人，并抽调院科技科、办公室、财务室及各业务所优秀科技人员组成领导小组。完善了项目建设组织架构，明确了分工和责任。</w:t>
      </w:r>
    </w:p>
    <w:p>
      <w:pPr>
        <w:adjustRightInd w:val="0"/>
        <w:snapToGrid w:val="0"/>
        <w:spacing w:line="305" w:lineRule="auto"/>
        <w:ind w:firstLine="639" w:firstLineChars="193"/>
        <w:rPr>
          <w:rFonts w:ascii="方正楷体简体" w:hAnsi="方正楷体简体" w:eastAsia="方正楷体简体" w:cs="方正楷体简体"/>
          <w:sz w:val="33"/>
          <w:szCs w:val="33"/>
        </w:rPr>
      </w:pPr>
      <w:r>
        <w:rPr>
          <w:rFonts w:hint="eastAsia" w:ascii="方正楷体简体" w:hAnsi="方正楷体简体" w:eastAsia="方正楷体简体" w:cs="方正楷体简体"/>
          <w:b/>
          <w:bCs/>
          <w:sz w:val="33"/>
          <w:szCs w:val="33"/>
        </w:rPr>
        <w:t>（二）项目管理情况。</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bCs/>
          <w:color w:val="000000"/>
          <w:sz w:val="33"/>
          <w:szCs w:val="33"/>
        </w:rPr>
        <w:t>根据四川省农业农村厅下达《关于农业农村部攀枝花金沙江干热河谷区农业科学观察实验站可行性研究报告的批复》（川农函〔2018〕58号），</w:t>
      </w:r>
      <w:r>
        <w:rPr>
          <w:rFonts w:hint="eastAsia" w:ascii="方正仿宋简体" w:hAnsi="方正仿宋简体" w:eastAsia="方正仿宋简体" w:cs="方正仿宋简体"/>
          <w:color w:val="000000"/>
          <w:sz w:val="33"/>
          <w:szCs w:val="33"/>
        </w:rPr>
        <w:t>2019年12月16日我院成立了攀枝花金沙江干热河谷区观测实验站项目建设领导小组。组长由攀枝花市农林科学研究院法人及院长张洪祥同志担任，领导小组下设办公室、仪器设备组、田间工程组、财务档案组和监督组，并明确了各组组长人选和各组工作职责。项目组严格按照农业基本建设项目管理规定，做好项目组织实施工作，每月21日之前通过农业建设项目信息系统填报截止当月底项目进度、资金支出等相关信息。同时，按照国家发展改革委《关于做好农口中央预算内投资总结工作的通知》要求，分别于当年7月3日和下年1月3日前，正式报送项目半年和全年总结，总结材料包括投资安排及到位情况、项目实施进展情况、监管措施、项目效益、存在的困难和问题、有关建议等内容，审计、督查、巡视等指出问题项目比例均为0。</w:t>
      </w:r>
    </w:p>
    <w:p>
      <w:pPr>
        <w:adjustRightInd w:val="0"/>
        <w:snapToGrid w:val="0"/>
        <w:spacing w:line="305" w:lineRule="auto"/>
        <w:ind w:firstLine="639" w:firstLineChars="193"/>
        <w:rPr>
          <w:rFonts w:ascii="方正楷体简体" w:hAnsi="方正楷体简体" w:eastAsia="方正楷体简体" w:cs="方正楷体简体"/>
          <w:sz w:val="33"/>
          <w:szCs w:val="33"/>
        </w:rPr>
      </w:pPr>
      <w:r>
        <w:rPr>
          <w:rFonts w:hint="eastAsia" w:ascii="方正楷体简体" w:hAnsi="方正楷体简体" w:eastAsia="方正楷体简体" w:cs="方正楷体简体"/>
          <w:b/>
          <w:bCs/>
          <w:sz w:val="33"/>
          <w:szCs w:val="33"/>
        </w:rPr>
        <w:t>（三）项目监管情况。</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第一是自觉接受部、省、市上级单位的指导和监督。第二是主动向其他实验室（站）咨询、学习，学习项目建设成功经验，掌握了解注意事项。</w:t>
      </w:r>
    </w:p>
    <w:p>
      <w:pPr>
        <w:adjustRightInd w:val="0"/>
        <w:snapToGrid w:val="0"/>
        <w:spacing w:line="305" w:lineRule="auto"/>
        <w:ind w:firstLine="636" w:firstLineChars="193"/>
        <w:rPr>
          <w:rFonts w:ascii="方正黑体简体" w:hAnsi="方正黑体简体" w:eastAsia="方正黑体简体" w:cs="方正黑体简体"/>
          <w:sz w:val="33"/>
          <w:szCs w:val="33"/>
        </w:rPr>
      </w:pPr>
      <w:r>
        <w:rPr>
          <w:rFonts w:hint="eastAsia" w:ascii="方正黑体简体" w:hAnsi="方正黑体简体" w:eastAsia="方正黑体简体" w:cs="方正黑体简体"/>
          <w:sz w:val="33"/>
          <w:szCs w:val="33"/>
        </w:rPr>
        <w:t>四、项目绩效情况</w:t>
      </w:r>
      <w:r>
        <w:rPr>
          <w:rFonts w:hint="eastAsia" w:ascii="方正黑体简体" w:hAnsi="方正黑体简体" w:eastAsia="方正黑体简体" w:cs="方正黑体简体"/>
          <w:sz w:val="33"/>
          <w:szCs w:val="33"/>
        </w:rPr>
        <w:tab/>
      </w:r>
    </w:p>
    <w:p>
      <w:pPr>
        <w:adjustRightInd w:val="0"/>
        <w:snapToGrid w:val="0"/>
        <w:spacing w:line="305" w:lineRule="auto"/>
        <w:ind w:firstLine="639" w:firstLineChars="193"/>
        <w:rPr>
          <w:rFonts w:ascii="方正楷体简体" w:hAnsi="方正楷体简体" w:eastAsia="方正楷体简体" w:cs="方正楷体简体"/>
          <w:b/>
          <w:bCs/>
          <w:sz w:val="33"/>
          <w:szCs w:val="33"/>
        </w:rPr>
      </w:pPr>
      <w:r>
        <w:rPr>
          <w:rFonts w:hint="eastAsia" w:ascii="方正楷体简体" w:hAnsi="方正楷体简体" w:eastAsia="方正楷体简体" w:cs="方正楷体简体"/>
          <w:b/>
          <w:bCs/>
          <w:sz w:val="33"/>
          <w:szCs w:val="33"/>
        </w:rPr>
        <w:t>（一）项目完成情况。</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该项目共采购仪器37种40台（套）(其中2020年采购19种20台（套），2021年采购18种20台（套））和5台套农机具。完成实验改造和新建智能温室768平方米、围栏1000米，所有仪器设备均已调试完成，对仪器设备操作的相关人员培训完毕，仪器设备投入正常使用，完成新建智能温室 800 平方米主要用于芒果等种苗繁育，位置在沙沟试验基地东北角。新建围栏1000米用于沙沟试验基地芒果科技示范园和芒果种质资源圃隔离，根据基地道路设置5个围栏出入口，完成实验楼改造，完成目标任务。</w:t>
      </w:r>
    </w:p>
    <w:p>
      <w:pPr>
        <w:spacing w:line="305" w:lineRule="auto"/>
        <w:ind w:firstLine="639" w:firstLineChars="193"/>
        <w:rPr>
          <w:rFonts w:ascii="方正仿宋简体" w:hAnsi="方正仿宋简体" w:eastAsia="方正仿宋简体" w:cs="方正仿宋简体"/>
          <w:b/>
          <w:bCs/>
          <w:sz w:val="33"/>
          <w:szCs w:val="33"/>
        </w:rPr>
      </w:pPr>
      <w:r>
        <w:rPr>
          <w:rFonts w:hint="eastAsia" w:ascii="方正仿宋简体" w:hAnsi="方正仿宋简体" w:eastAsia="方正仿宋简体" w:cs="方正仿宋简体"/>
          <w:b/>
          <w:bCs/>
          <w:sz w:val="33"/>
          <w:szCs w:val="33"/>
        </w:rPr>
        <w:t>2021年年中央预算内投资计划区域绩效目标表</w:t>
      </w:r>
    </w:p>
    <w:tbl>
      <w:tblPr>
        <w:tblStyle w:val="12"/>
        <w:tblW w:w="9100" w:type="dxa"/>
        <w:tblInd w:w="0" w:type="dxa"/>
        <w:tblLayout w:type="autofit"/>
        <w:tblCellMar>
          <w:top w:w="0" w:type="dxa"/>
          <w:left w:w="108" w:type="dxa"/>
          <w:bottom w:w="0" w:type="dxa"/>
          <w:right w:w="108" w:type="dxa"/>
        </w:tblCellMar>
      </w:tblPr>
      <w:tblGrid>
        <w:gridCol w:w="980"/>
        <w:gridCol w:w="1273"/>
        <w:gridCol w:w="1426"/>
        <w:gridCol w:w="1714"/>
        <w:gridCol w:w="2325"/>
        <w:gridCol w:w="1382"/>
      </w:tblGrid>
      <w:tr>
        <w:tblPrEx>
          <w:tblCellMar>
            <w:top w:w="0" w:type="dxa"/>
            <w:left w:w="108" w:type="dxa"/>
            <w:bottom w:w="0" w:type="dxa"/>
            <w:right w:w="108" w:type="dxa"/>
          </w:tblCellMar>
        </w:tblPrEx>
        <w:trPr>
          <w:trHeight w:val="421" w:hRule="atLeast"/>
        </w:trPr>
        <w:tc>
          <w:tcPr>
            <w:tcW w:w="5393"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63" w:firstLineChars="193"/>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专项名称</w:t>
            </w:r>
          </w:p>
        </w:tc>
        <w:tc>
          <w:tcPr>
            <w:tcW w:w="3707" w:type="dxa"/>
            <w:gridSpan w:val="2"/>
            <w:tcBorders>
              <w:top w:val="single" w:color="auto" w:sz="4" w:space="0"/>
              <w:left w:val="nil"/>
              <w:bottom w:val="single" w:color="auto" w:sz="4" w:space="0"/>
              <w:right w:val="single" w:color="auto" w:sz="4" w:space="0"/>
            </w:tcBorders>
            <w:vAlign w:val="center"/>
          </w:tcPr>
          <w:p>
            <w:pPr>
              <w:widowControl/>
              <w:spacing w:line="360" w:lineRule="exact"/>
              <w:ind w:firstLine="463" w:firstLineChars="193"/>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草原防火等其他农业基础设施</w:t>
            </w:r>
          </w:p>
        </w:tc>
      </w:tr>
      <w:tr>
        <w:tblPrEx>
          <w:tblCellMar>
            <w:top w:w="0" w:type="dxa"/>
            <w:left w:w="108" w:type="dxa"/>
            <w:bottom w:w="0" w:type="dxa"/>
            <w:right w:w="108" w:type="dxa"/>
          </w:tblCellMar>
        </w:tblPrEx>
        <w:trPr>
          <w:trHeight w:val="498" w:hRule="atLeast"/>
        </w:trPr>
        <w:tc>
          <w:tcPr>
            <w:tcW w:w="5393" w:type="dxa"/>
            <w:gridSpan w:val="4"/>
            <w:tcBorders>
              <w:top w:val="single" w:color="auto" w:sz="4" w:space="0"/>
              <w:left w:val="single" w:color="auto" w:sz="4" w:space="0"/>
              <w:bottom w:val="single" w:color="auto" w:sz="4" w:space="0"/>
              <w:right w:val="single" w:color="000000" w:sz="4" w:space="0"/>
            </w:tcBorders>
            <w:vAlign w:val="center"/>
          </w:tcPr>
          <w:p>
            <w:pPr>
              <w:widowControl/>
              <w:spacing w:line="360" w:lineRule="exact"/>
              <w:ind w:firstLine="463" w:firstLineChars="193"/>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下达地方或单位</w:t>
            </w:r>
          </w:p>
        </w:tc>
        <w:tc>
          <w:tcPr>
            <w:tcW w:w="3707" w:type="dxa"/>
            <w:gridSpan w:val="2"/>
            <w:tcBorders>
              <w:top w:val="single" w:color="auto" w:sz="4" w:space="0"/>
              <w:left w:val="nil"/>
              <w:bottom w:val="single" w:color="auto" w:sz="4" w:space="0"/>
              <w:right w:val="single" w:color="000000" w:sz="4" w:space="0"/>
            </w:tcBorders>
            <w:vAlign w:val="center"/>
          </w:tcPr>
          <w:p>
            <w:pPr>
              <w:widowControl/>
              <w:spacing w:line="360" w:lineRule="exact"/>
              <w:ind w:firstLine="463" w:firstLineChars="193"/>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攀枝花市</w:t>
            </w:r>
          </w:p>
        </w:tc>
      </w:tr>
      <w:tr>
        <w:tblPrEx>
          <w:tblCellMar>
            <w:top w:w="0" w:type="dxa"/>
            <w:left w:w="108" w:type="dxa"/>
            <w:bottom w:w="0" w:type="dxa"/>
            <w:right w:w="108" w:type="dxa"/>
          </w:tblCellMar>
        </w:tblPrEx>
        <w:trPr>
          <w:trHeight w:val="498" w:hRule="atLeast"/>
        </w:trPr>
        <w:tc>
          <w:tcPr>
            <w:tcW w:w="5393"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63" w:firstLineChars="193"/>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项目总投资（万元）</w:t>
            </w:r>
          </w:p>
        </w:tc>
        <w:tc>
          <w:tcPr>
            <w:tcW w:w="3707" w:type="dxa"/>
            <w:gridSpan w:val="2"/>
            <w:tcBorders>
              <w:top w:val="single" w:color="auto" w:sz="4" w:space="0"/>
              <w:left w:val="nil"/>
              <w:bottom w:val="single" w:color="auto" w:sz="4" w:space="0"/>
              <w:right w:val="single" w:color="auto" w:sz="4" w:space="0"/>
            </w:tcBorders>
            <w:vAlign w:val="center"/>
          </w:tcPr>
          <w:p>
            <w:pPr>
              <w:widowControl/>
              <w:spacing w:line="360" w:lineRule="exact"/>
              <w:ind w:firstLine="463" w:firstLineChars="193"/>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1207</w:t>
            </w:r>
          </w:p>
        </w:tc>
      </w:tr>
      <w:tr>
        <w:tblPrEx>
          <w:tblCellMar>
            <w:top w:w="0" w:type="dxa"/>
            <w:left w:w="108" w:type="dxa"/>
            <w:bottom w:w="0" w:type="dxa"/>
            <w:right w:w="108" w:type="dxa"/>
          </w:tblCellMar>
        </w:tblPrEx>
        <w:trPr>
          <w:trHeight w:val="498" w:hRule="atLeast"/>
        </w:trPr>
        <w:tc>
          <w:tcPr>
            <w:tcW w:w="5393"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63" w:firstLineChars="193"/>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本次安排中央预算内投资（万元）</w:t>
            </w:r>
          </w:p>
        </w:tc>
        <w:tc>
          <w:tcPr>
            <w:tcW w:w="3707" w:type="dxa"/>
            <w:gridSpan w:val="2"/>
            <w:tcBorders>
              <w:top w:val="single" w:color="auto" w:sz="4" w:space="0"/>
              <w:left w:val="nil"/>
              <w:bottom w:val="single" w:color="auto" w:sz="4" w:space="0"/>
              <w:right w:val="single" w:color="auto" w:sz="4" w:space="0"/>
            </w:tcBorders>
            <w:vAlign w:val="center"/>
          </w:tcPr>
          <w:p>
            <w:pPr>
              <w:widowControl/>
              <w:spacing w:line="360" w:lineRule="exact"/>
              <w:ind w:firstLine="463" w:firstLineChars="193"/>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1097</w:t>
            </w:r>
          </w:p>
        </w:tc>
      </w:tr>
      <w:tr>
        <w:tblPrEx>
          <w:tblCellMar>
            <w:top w:w="0" w:type="dxa"/>
            <w:left w:w="108" w:type="dxa"/>
            <w:bottom w:w="0" w:type="dxa"/>
            <w:right w:w="108" w:type="dxa"/>
          </w:tblCellMar>
        </w:tblPrEx>
        <w:trPr>
          <w:trHeight w:val="900" w:hRule="atLeast"/>
        </w:trPr>
        <w:tc>
          <w:tcPr>
            <w:tcW w:w="980" w:type="dxa"/>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总体目标</w:t>
            </w:r>
          </w:p>
        </w:tc>
        <w:tc>
          <w:tcPr>
            <w:tcW w:w="8120" w:type="dxa"/>
            <w:gridSpan w:val="5"/>
            <w:tcBorders>
              <w:top w:val="single" w:color="auto" w:sz="4" w:space="0"/>
              <w:left w:val="nil"/>
              <w:bottom w:val="single" w:color="auto" w:sz="4" w:space="0"/>
              <w:right w:val="single" w:color="000000"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资金预算执行进度与工程进度相匹配；通过项目建设，有效改善农业基础设施和科研条件，基础保障和科技创新能力明显提升。</w:t>
            </w:r>
          </w:p>
        </w:tc>
      </w:tr>
      <w:tr>
        <w:tblPrEx>
          <w:tblCellMar>
            <w:top w:w="0" w:type="dxa"/>
            <w:left w:w="108" w:type="dxa"/>
            <w:bottom w:w="0" w:type="dxa"/>
            <w:right w:w="108" w:type="dxa"/>
          </w:tblCellMar>
        </w:tblPrEx>
        <w:trPr>
          <w:trHeight w:val="600" w:hRule="atLeast"/>
        </w:trPr>
        <w:tc>
          <w:tcPr>
            <w:tcW w:w="980" w:type="dxa"/>
            <w:vMerge w:val="restart"/>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绩效指标</w:t>
            </w:r>
          </w:p>
        </w:tc>
        <w:tc>
          <w:tcPr>
            <w:tcW w:w="1273"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一级</w:t>
            </w:r>
          </w:p>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w:t>
            </w:r>
          </w:p>
        </w:tc>
        <w:tc>
          <w:tcPr>
            <w:tcW w:w="1426"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二级指标</w:t>
            </w:r>
          </w:p>
        </w:tc>
        <w:tc>
          <w:tcPr>
            <w:tcW w:w="4039"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三级指标</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指标值</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restart"/>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实施效果指标</w:t>
            </w:r>
          </w:p>
        </w:tc>
        <w:tc>
          <w:tcPr>
            <w:tcW w:w="1426" w:type="dxa"/>
            <w:vMerge w:val="restart"/>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产出指标</w:t>
            </w:r>
          </w:p>
        </w:tc>
        <w:tc>
          <w:tcPr>
            <w:tcW w:w="1714" w:type="dxa"/>
            <w:vMerge w:val="restart"/>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数量指标</w:t>
            </w:r>
          </w:p>
        </w:tc>
        <w:tc>
          <w:tcPr>
            <w:tcW w:w="2325"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开工项目个数</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714"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2325"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完工项目个数</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714"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质量指标</w:t>
            </w:r>
          </w:p>
        </w:tc>
        <w:tc>
          <w:tcPr>
            <w:tcW w:w="2325"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工程竣工验收合格率</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100%</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714"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时效指标</w:t>
            </w:r>
          </w:p>
        </w:tc>
        <w:tc>
          <w:tcPr>
            <w:tcW w:w="2325"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按进度计划实施情况</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按计划实施</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714"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成本指标</w:t>
            </w:r>
          </w:p>
        </w:tc>
        <w:tc>
          <w:tcPr>
            <w:tcW w:w="2325"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支出投资/批复投资</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≤100%</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restart"/>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效益指标</w:t>
            </w:r>
          </w:p>
        </w:tc>
        <w:tc>
          <w:tcPr>
            <w:tcW w:w="1714"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社会效益指标</w:t>
            </w:r>
          </w:p>
        </w:tc>
        <w:tc>
          <w:tcPr>
            <w:tcW w:w="2325"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基础设施保障和科技创新能力</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提升</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714"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生态效益指标</w:t>
            </w:r>
          </w:p>
        </w:tc>
        <w:tc>
          <w:tcPr>
            <w:tcW w:w="2325"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节能减排和低碳环保水平</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提升</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714"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可持续影响</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指标</w:t>
            </w:r>
          </w:p>
        </w:tc>
        <w:tc>
          <w:tcPr>
            <w:tcW w:w="2325"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完工项目持续发挥作用期限</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≥10年</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满意度指标</w:t>
            </w:r>
          </w:p>
        </w:tc>
        <w:tc>
          <w:tcPr>
            <w:tcW w:w="1714"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服务对象满意度指标</w:t>
            </w:r>
          </w:p>
        </w:tc>
        <w:tc>
          <w:tcPr>
            <w:tcW w:w="2325"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每个项目投诉次数</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≤5次</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restart"/>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过程管理指标</w:t>
            </w:r>
          </w:p>
        </w:tc>
        <w:tc>
          <w:tcPr>
            <w:tcW w:w="1426" w:type="dxa"/>
            <w:vMerge w:val="restart"/>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计划管理指标</w:t>
            </w:r>
          </w:p>
        </w:tc>
        <w:tc>
          <w:tcPr>
            <w:tcW w:w="4039"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投资计划分解（转发）用时达标率</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90%</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4039"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“两个责任”按项目落实到位率</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100%</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restart"/>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资金管理指标</w:t>
            </w:r>
          </w:p>
        </w:tc>
        <w:tc>
          <w:tcPr>
            <w:tcW w:w="4039"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中央预算内投资支付率</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≥85%</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4039"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总投资完成率</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≥85%</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restart"/>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项目管理指标</w:t>
            </w:r>
          </w:p>
        </w:tc>
        <w:tc>
          <w:tcPr>
            <w:tcW w:w="4039"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项目开工率</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≥90%</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4039"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超规模、超标准、超概算项目比例</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≤10%</w:t>
            </w:r>
          </w:p>
        </w:tc>
      </w:tr>
      <w:tr>
        <w:tblPrEx>
          <w:tblCellMar>
            <w:top w:w="0" w:type="dxa"/>
            <w:left w:w="108" w:type="dxa"/>
            <w:bottom w:w="0" w:type="dxa"/>
            <w:right w:w="108" w:type="dxa"/>
          </w:tblCellMar>
        </w:tblPrEx>
        <w:trPr>
          <w:trHeight w:val="600" w:hRule="atLeast"/>
        </w:trPr>
        <w:tc>
          <w:tcPr>
            <w:tcW w:w="980"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273" w:type="dxa"/>
            <w:vMerge w:val="continue"/>
            <w:tcBorders>
              <w:top w:val="nil"/>
              <w:left w:val="single" w:color="auto" w:sz="4" w:space="0"/>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p>
        </w:tc>
        <w:tc>
          <w:tcPr>
            <w:tcW w:w="1426"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监督检查指标</w:t>
            </w:r>
          </w:p>
        </w:tc>
        <w:tc>
          <w:tcPr>
            <w:tcW w:w="4039"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审计、督查、巡视等指出问题项目比例</w:t>
            </w:r>
          </w:p>
        </w:tc>
        <w:tc>
          <w:tcPr>
            <w:tcW w:w="1382" w:type="dxa"/>
            <w:tcBorders>
              <w:top w:val="nil"/>
              <w:left w:val="nil"/>
              <w:bottom w:val="single" w:color="auto" w:sz="4" w:space="0"/>
              <w:right w:val="single" w:color="auto" w:sz="4" w:space="0"/>
            </w:tcBorders>
            <w:vAlign w:val="center"/>
          </w:tcPr>
          <w:p>
            <w:pPr>
              <w:widowControl/>
              <w:spacing w:line="360" w:lineRule="exact"/>
              <w:jc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0</w:t>
            </w:r>
          </w:p>
        </w:tc>
      </w:tr>
    </w:tbl>
    <w:p>
      <w:pPr>
        <w:spacing w:line="305" w:lineRule="auto"/>
        <w:ind w:right="-420" w:rightChars="-200" w:firstLine="636" w:firstLineChars="193"/>
        <w:rPr>
          <w:rFonts w:ascii="方正仿宋简体" w:hAnsi="方正仿宋简体" w:eastAsia="方正仿宋简体" w:cs="方正仿宋简体"/>
          <w:sz w:val="33"/>
          <w:szCs w:val="33"/>
        </w:rPr>
      </w:pPr>
    </w:p>
    <w:p>
      <w:pPr>
        <w:adjustRightInd w:val="0"/>
        <w:snapToGrid w:val="0"/>
        <w:spacing w:line="305" w:lineRule="auto"/>
        <w:ind w:firstLine="639" w:firstLineChars="193"/>
        <w:rPr>
          <w:rFonts w:ascii="方正楷体简体" w:hAnsi="方正楷体简体" w:eastAsia="方正楷体简体" w:cs="方正楷体简体"/>
          <w:b/>
          <w:bCs/>
          <w:sz w:val="33"/>
          <w:szCs w:val="33"/>
        </w:rPr>
      </w:pPr>
      <w:r>
        <w:rPr>
          <w:rFonts w:hint="eastAsia" w:ascii="方正楷体简体" w:hAnsi="方正楷体简体" w:eastAsia="方正楷体简体" w:cs="方正楷体简体"/>
          <w:b/>
          <w:bCs/>
          <w:sz w:val="33"/>
          <w:szCs w:val="33"/>
        </w:rPr>
        <w:t>（二）项目效益情况。</w:t>
      </w:r>
    </w:p>
    <w:p>
      <w:pPr>
        <w:spacing w:line="305" w:lineRule="auto"/>
        <w:ind w:firstLine="639" w:firstLineChars="193"/>
        <w:rPr>
          <w:rFonts w:ascii="方正仿宋简体" w:hAnsi="方正仿宋简体" w:eastAsia="方正仿宋简体" w:cs="方正仿宋简体"/>
          <w:b/>
          <w:color w:val="000000"/>
          <w:sz w:val="33"/>
          <w:szCs w:val="33"/>
        </w:rPr>
      </w:pPr>
      <w:r>
        <w:rPr>
          <w:rFonts w:hint="eastAsia" w:ascii="方正仿宋简体" w:hAnsi="方正仿宋简体" w:eastAsia="方正仿宋简体" w:cs="方正仿宋简体"/>
          <w:b/>
          <w:color w:val="000000"/>
          <w:sz w:val="33"/>
          <w:szCs w:val="33"/>
        </w:rPr>
        <w:t>1、专项绩效目标实现情况</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 xml:space="preserve">2018年11月26日四川省农业农村厅向我院下达了《关于农业农村部攀枝花金沙江干热河谷区农业科学观测实验站可行性研究报告的批复》（川农函〔2018〕58 号）。原则同意我院农业农村部攀枝花金沙江干热河谷区农业科学观测实验站项目。主要建设内容为:新建智能温室768平米、沟渠980米、围栏1000米。购置冷冻干燥机、超低温冰箱、野外植物生理生态监控系统等仪器设备及农机具45台(套)。总投资1207万元，其中中央投资1097万元，地方配套110万元。 </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通过该项项目的实施，我院已经按照川农函〔2018〕58 号文件批复的全部仪器设备及农机具45台(套)全部分三包全部购置完成。所有仪器设备均已调试完成，对仪器设备操作的相关人员培训完毕，仪器设备投入正常使用。</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通过该项项目的实施，我院的工程建设完成了新建智能温室768平米</w:t>
      </w:r>
      <w:r>
        <w:rPr>
          <w:rFonts w:hint="eastAsia" w:ascii="方正仿宋简体" w:hAnsi="方正仿宋简体" w:eastAsia="方正仿宋简体" w:cs="方正仿宋简体"/>
          <w:bCs/>
          <w:sz w:val="33"/>
          <w:szCs w:val="33"/>
        </w:rPr>
        <w:t>、</w:t>
      </w:r>
      <w:r>
        <w:rPr>
          <w:rFonts w:hint="eastAsia" w:ascii="方正仿宋简体" w:hAnsi="方正仿宋简体" w:eastAsia="方正仿宋简体" w:cs="方正仿宋简体"/>
          <w:sz w:val="33"/>
          <w:szCs w:val="33"/>
        </w:rPr>
        <w:t>围栏1000米、沟渠980米建设调剂为</w:t>
      </w:r>
      <w:r>
        <w:rPr>
          <w:rFonts w:hint="eastAsia" w:ascii="方正仿宋简体" w:hAnsi="方正仿宋简体" w:eastAsia="方正仿宋简体" w:cs="方正仿宋简体"/>
          <w:bCs/>
          <w:sz w:val="33"/>
          <w:szCs w:val="33"/>
        </w:rPr>
        <w:t>实验改造</w:t>
      </w:r>
      <w:r>
        <w:rPr>
          <w:rFonts w:hint="eastAsia" w:ascii="方正仿宋简体" w:hAnsi="方正仿宋简体" w:eastAsia="方正仿宋简体" w:cs="方正仿宋简体"/>
          <w:sz w:val="33"/>
          <w:szCs w:val="33"/>
        </w:rPr>
        <w:t>得到了我市主管部门的原则同意。所有工程建设均采用了招投标程序，工程预算、结算、竣工验收等环节符合基本建设规定。</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项目资金完成情况，截至2022年4月30日止。“攀枝花金沙江干热河谷区观测实验站项目”累计支付资金1067.68万元，应付未付的项目资金80.24万元，合计应支付资金1147.92万元，结余资金59.08万元。</w:t>
      </w:r>
    </w:p>
    <w:p>
      <w:pPr>
        <w:spacing w:line="305" w:lineRule="auto"/>
        <w:ind w:firstLine="639" w:firstLineChars="193"/>
        <w:rPr>
          <w:rFonts w:ascii="方正仿宋简体" w:hAnsi="方正仿宋简体" w:eastAsia="方正仿宋简体" w:cs="方正仿宋简体"/>
          <w:b/>
          <w:bCs/>
          <w:color w:val="000000"/>
          <w:sz w:val="33"/>
          <w:szCs w:val="33"/>
        </w:rPr>
      </w:pPr>
      <w:r>
        <w:rPr>
          <w:rFonts w:hint="eastAsia" w:ascii="方正仿宋简体" w:hAnsi="方正仿宋简体" w:eastAsia="方正仿宋简体" w:cs="方正仿宋简体"/>
          <w:b/>
          <w:bCs/>
          <w:color w:val="000000"/>
          <w:sz w:val="33"/>
          <w:szCs w:val="33"/>
        </w:rPr>
        <w:t>2、基础性绩效指标实现情况</w:t>
      </w:r>
    </w:p>
    <w:p>
      <w:pPr>
        <w:spacing w:line="305" w:lineRule="auto"/>
        <w:ind w:right="-420" w:rightChars="-200" w:firstLine="636" w:firstLineChars="193"/>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省农业农村厅文件川农函[2019]877号及攀枝花市农业农村局文件攀农函[2019]166号给项目下达的基础性绩效主要指标为：项目建成后，将有效提升实验室的平台条件，保存芒果等种质资源150～300份，生长观测数据100组以上；培育新品种2～5个，研发相关高产与营养调控技术、病虫害防治技术、抗逆综合技术与无性系繁殖技术3～5个。</w:t>
      </w:r>
    </w:p>
    <w:p>
      <w:pPr>
        <w:spacing w:line="305" w:lineRule="auto"/>
        <w:ind w:right="-420" w:rightChars="-200" w:firstLine="636" w:firstLineChars="193"/>
        <w:rPr>
          <w:rFonts w:ascii="方正仿宋简体" w:hAnsi="方正仿宋简体" w:eastAsia="方正仿宋简体" w:cs="方正仿宋简体"/>
          <w:bCs/>
          <w:sz w:val="33"/>
          <w:szCs w:val="33"/>
        </w:rPr>
      </w:pPr>
      <w:r>
        <w:rPr>
          <w:rFonts w:hint="eastAsia" w:ascii="方正仿宋简体" w:hAnsi="方正仿宋简体" w:eastAsia="方正仿宋简体" w:cs="方正仿宋简体"/>
          <w:bCs/>
          <w:sz w:val="33"/>
          <w:szCs w:val="33"/>
        </w:rPr>
        <w:t>通过本项目的建设，项目已收集、保存芒果品种资源220份，已保存热带特色水果资源65份，已保存油梨品种资源11份，已选育出综合性状优良的芒果资源‘攀育2号’和‘热研16号’（尚未审定，暂定名），已研发出高效生态栽培技术4项。项目建成后，有效提升实验室热带作物种质收集、评价与创新、热带作物产量与品质形成的生物学基础、热带作物新品种的培育、热带作物营养与生态调控的平台条件；保存芒果等种质资源、生长观测数据、培育新品种等方面提供保障；研发相关高产与营养调控技术、病虫害防治技术、抗逆综合技术与无性系繁殖技术等方面有较好的成效，完全完成基础性绩效指标。</w:t>
      </w:r>
    </w:p>
    <w:p>
      <w:pPr>
        <w:spacing w:line="305" w:lineRule="auto"/>
        <w:ind w:firstLine="639" w:firstLineChars="193"/>
        <w:rPr>
          <w:rFonts w:ascii="方正仿宋简体" w:hAnsi="方正仿宋简体" w:eastAsia="方正仿宋简体" w:cs="方正仿宋简体"/>
          <w:b/>
          <w:bCs/>
          <w:color w:val="000000"/>
          <w:sz w:val="33"/>
          <w:szCs w:val="33"/>
        </w:rPr>
      </w:pPr>
      <w:r>
        <w:rPr>
          <w:rFonts w:hint="eastAsia" w:ascii="方正仿宋简体" w:hAnsi="方正仿宋简体" w:eastAsia="方正仿宋简体" w:cs="方正仿宋简体"/>
          <w:b/>
          <w:bCs/>
          <w:color w:val="000000"/>
          <w:sz w:val="33"/>
          <w:szCs w:val="33"/>
        </w:rPr>
        <w:t>3、效益指标完成情况分析</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（1）经济效益</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建成后，通过高产高效栽培技术示范，推广节本增收，可增加农民收入，并提升农产品质量，提高经济附加值，具有很好的经济、环境及社会效益。</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（2）社会效益</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项目建成后，将促进金沙江干热河谷区主要热带果树种质资源的挖掘利用与新品种选育进程，提高相关野外作物保护利用与动态监测与营养调控水平，推动我国热带作物选育种工作的向前发展，推进热作产业的持续健康发展意义重大，同时基础设施保障和科技创新能力得到进一步的提升。</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（3）生态效益</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节能减排和低碳环保水平得到进一步的提升；项目可持续发挥作用服务期限大于10年以上。</w:t>
      </w:r>
    </w:p>
    <w:p>
      <w:pPr>
        <w:spacing w:line="305" w:lineRule="auto"/>
        <w:ind w:firstLine="639" w:firstLineChars="193"/>
        <w:rPr>
          <w:rFonts w:ascii="方正仿宋简体" w:hAnsi="方正仿宋简体" w:eastAsia="方正仿宋简体" w:cs="方正仿宋简体"/>
          <w:b/>
          <w:bCs/>
          <w:color w:val="000000"/>
          <w:sz w:val="33"/>
          <w:szCs w:val="33"/>
        </w:rPr>
      </w:pPr>
      <w:r>
        <w:rPr>
          <w:rFonts w:hint="eastAsia" w:ascii="方正仿宋简体" w:hAnsi="方正仿宋简体" w:eastAsia="方正仿宋简体" w:cs="方正仿宋简体"/>
          <w:b/>
          <w:bCs/>
          <w:color w:val="000000"/>
          <w:sz w:val="33"/>
          <w:szCs w:val="33"/>
        </w:rPr>
        <w:t>4、满意度指标完成情况分析</w:t>
      </w:r>
    </w:p>
    <w:p>
      <w:pPr>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通过项目建设，增强了科技创新能力，提高了科技人员的业务水平，增强了服务三农的能力，提升了服务对象(企业、农民)的满意度，从事创新科技人员获得感进一步增强，满意度进一步提升，整个项目未收到任何投诉。</w:t>
      </w:r>
    </w:p>
    <w:p>
      <w:pPr>
        <w:spacing w:line="305" w:lineRule="auto"/>
        <w:ind w:firstLine="639" w:firstLineChars="193"/>
        <w:rPr>
          <w:rFonts w:ascii="方正仿宋简体" w:hAnsi="方正仿宋简体" w:eastAsia="方正仿宋简体" w:cs="方正仿宋简体"/>
          <w:b/>
          <w:bCs/>
          <w:color w:val="000000"/>
          <w:sz w:val="33"/>
          <w:szCs w:val="33"/>
        </w:rPr>
      </w:pPr>
      <w:r>
        <w:rPr>
          <w:rFonts w:hint="eastAsia" w:ascii="方正仿宋简体" w:hAnsi="方正仿宋简体" w:eastAsia="方正仿宋简体" w:cs="方正仿宋简体"/>
          <w:b/>
          <w:bCs/>
          <w:color w:val="000000"/>
          <w:sz w:val="33"/>
          <w:szCs w:val="33"/>
        </w:rPr>
        <w:t>5、项目实施管理情况</w:t>
      </w:r>
    </w:p>
    <w:p>
      <w:pPr>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bCs/>
          <w:sz w:val="33"/>
          <w:szCs w:val="33"/>
        </w:rPr>
        <w:t>2019年12月16日我院成立了攀枝花金沙江干热河谷区观测</w:t>
      </w:r>
      <w:r>
        <w:rPr>
          <w:rFonts w:hint="eastAsia" w:ascii="方正仿宋简体" w:hAnsi="方正仿宋简体" w:eastAsia="方正仿宋简体" w:cs="方正仿宋简体"/>
          <w:sz w:val="33"/>
          <w:szCs w:val="33"/>
        </w:rPr>
        <w:t>实验站项目建设领导小组。组长由攀枝花市农林科学研究院法人及院长张洪祥同志担任，领导小组下设办公室、仪器设备组、田间工程组、财务档案组和监督组，并明确了各组组长人选和各组工作职责。项目组严格按照农业基本建设项目管理规定，做好项目组织实施工作，每月21日之前通过农业建设项目信息系统填报截止当月底项目进度、资金支出等相关信息。同时，按照国家发展改革委《关于做好农口中央预算内投资总结工作的通知》要求，分别于当年7月3日和下年1月3日前，正式报送项目半年和全年总结，总结材料包括投资安排及到位情况、项目实施进展情况、监管措施、项目效益、存在的困难和问题、有关建议等内容，审计、督查、巡视等指出问题项目比例均为0。</w:t>
      </w:r>
    </w:p>
    <w:p>
      <w:pPr>
        <w:adjustRightInd w:val="0"/>
        <w:snapToGrid w:val="0"/>
        <w:spacing w:line="305" w:lineRule="auto"/>
        <w:ind w:firstLine="636" w:firstLineChars="193"/>
        <w:rPr>
          <w:rFonts w:ascii="方正黑体简体" w:hAnsi="方正黑体简体" w:eastAsia="方正黑体简体" w:cs="方正黑体简体"/>
          <w:sz w:val="33"/>
          <w:szCs w:val="33"/>
        </w:rPr>
      </w:pPr>
      <w:r>
        <w:rPr>
          <w:rFonts w:hint="eastAsia" w:ascii="方正黑体简体" w:hAnsi="方正黑体简体" w:eastAsia="方正黑体简体" w:cs="方正黑体简体"/>
          <w:sz w:val="33"/>
          <w:szCs w:val="33"/>
        </w:rPr>
        <w:t>五、评价结论及建议</w:t>
      </w:r>
    </w:p>
    <w:p>
      <w:pPr>
        <w:adjustRightInd w:val="0"/>
        <w:snapToGrid w:val="0"/>
        <w:spacing w:line="305" w:lineRule="auto"/>
        <w:ind w:firstLine="639" w:firstLineChars="193"/>
        <w:rPr>
          <w:rFonts w:ascii="方正楷体简体" w:hAnsi="方正楷体简体" w:eastAsia="方正楷体简体" w:cs="方正楷体简体"/>
          <w:b/>
          <w:bCs/>
          <w:sz w:val="33"/>
          <w:szCs w:val="33"/>
        </w:rPr>
      </w:pPr>
      <w:r>
        <w:rPr>
          <w:rFonts w:hint="eastAsia" w:ascii="方正楷体简体" w:hAnsi="方正楷体简体" w:eastAsia="方正楷体简体" w:cs="方正楷体简体"/>
          <w:b/>
          <w:bCs/>
          <w:sz w:val="33"/>
          <w:szCs w:val="33"/>
        </w:rPr>
        <w:t>（一）评价结论。</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项目全面完成任务指标。</w:t>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1.我院已经按照川农函〔2018〕58 号文件批复的所有仪器设备分四包全部购置完毕。设备的采购、验收、支付各环节程序恰当、审批完善。我院的设备采购程序符合政府采购的有关规定。</w:t>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2.我院的工程建设采用招投标程序，工程预算、结算、竣工验收等环节符合基本建设规定。</w:t>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3.我院本项目内的建设内容和资金的调剂得到了当地主管部门的同意。</w:t>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4.我院通过本项目的建设，使得实验站在新产品、新技术研究中的科研含量进一步提高。有效提升实验室热带作物种质收集、评价与创新、热带作物产量与品质形成的生物学基础、热带作物新品种的培育、热带作物营养与生态调控的平台条件；保存芒果等种质资源、生长观测数据、培育新品种等方面提供保障；研发相关高产与营养调控技术、病虫害防治技术、抗逆综合技术与无性系繁殖技术等方面有较好的成效。</w:t>
      </w:r>
    </w:p>
    <w:p>
      <w:pPr>
        <w:adjustRightInd w:val="0"/>
        <w:snapToGrid w:val="0"/>
        <w:spacing w:line="305" w:lineRule="auto"/>
        <w:ind w:firstLine="639" w:firstLineChars="193"/>
        <w:rPr>
          <w:rFonts w:ascii="方正楷体简体" w:hAnsi="方正楷体简体" w:eastAsia="方正楷体简体" w:cs="方正楷体简体"/>
          <w:b/>
          <w:bCs/>
          <w:sz w:val="33"/>
          <w:szCs w:val="33"/>
        </w:rPr>
      </w:pPr>
      <w:r>
        <w:rPr>
          <w:rFonts w:hint="eastAsia" w:ascii="方正楷体简体" w:hAnsi="方正楷体简体" w:eastAsia="方正楷体简体" w:cs="方正楷体简体"/>
          <w:b/>
          <w:bCs/>
          <w:sz w:val="33"/>
          <w:szCs w:val="33"/>
        </w:rPr>
        <w:t>（二）存在的问题。</w:t>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1.此次采购的大部分仪器设备是之前没有的，所以设备操作人员对本次采购的设备在使用操作方面还不是太熟悉，分析方法的操作还不熟练，设备维护保养方面还有待加强。</w:t>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2.此次采购的大部分仪器设备都是单台套的，今后在使用过程中一旦出现较大的设备故障，一时不能快速排除，对科研进度会产生一定影响。</w:t>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3.本项目为提升科研条件平台能力建设项目，符合国家相关科研、教学单位采购进口仪器设备免税的文件精神，但我院为市级农业科研单位，不在海关免税的名单中（海关采用列举法，免税名单中只有高校和国家级、省级科研院所），经与攀枝花海关、攀枝花市科技局、四川省科技厅多次对接，仍无法突破。为此造成本项目主要投资为中央预算内投资（来源于税收），但是又需要返交关税、增值税共计80余万元，可能会对中央预算内投资的高效使用造成一定影响。</w:t>
      </w:r>
    </w:p>
    <w:p>
      <w:pPr>
        <w:adjustRightInd w:val="0"/>
        <w:snapToGrid w:val="0"/>
        <w:spacing w:line="305" w:lineRule="auto"/>
        <w:ind w:firstLine="639" w:firstLineChars="193"/>
        <w:rPr>
          <w:rFonts w:ascii="方正楷体简体" w:hAnsi="方正楷体简体" w:eastAsia="方正楷体简体" w:cs="方正楷体简体"/>
          <w:b/>
          <w:bCs/>
          <w:sz w:val="33"/>
          <w:szCs w:val="33"/>
        </w:rPr>
      </w:pPr>
      <w:r>
        <w:rPr>
          <w:rFonts w:hint="eastAsia" w:ascii="方正楷体简体" w:hAnsi="方正楷体简体" w:eastAsia="方正楷体简体" w:cs="方正楷体简体"/>
          <w:b/>
          <w:bCs/>
          <w:sz w:val="33"/>
          <w:szCs w:val="33"/>
        </w:rPr>
        <w:t>（三）相关建议。</w:t>
      </w:r>
    </w:p>
    <w:p>
      <w:pPr>
        <w:adjustRightInd w:val="0"/>
        <w:snapToGrid w:val="0"/>
        <w:spacing w:line="305" w:lineRule="auto"/>
        <w:ind w:right="-420" w:rightChars="-200"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1.有机会多参加仪器设备培训，加大操作人员的培训深度，熟练掌握设备的使用，分析方法的开发以及仪器设备的维护保养工作。</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2.加强仪器操作人员在操作前严格培训，培训合格后方可操作仪器设备。严格按照仪器设备操作规程操作，尽可能避免设备故障的发生。做好仪器设备备品备件的采购工作，避免因短缺备品备件而导致影响科研进度的事件发生。</w:t>
      </w:r>
    </w:p>
    <w:p>
      <w:pPr>
        <w:spacing w:line="305" w:lineRule="auto"/>
        <w:ind w:firstLine="636" w:firstLineChars="193"/>
        <w:rPr>
          <w:rFonts w:ascii="方正仿宋简体" w:hAnsi="方正仿宋简体" w:eastAsia="方正仿宋简体" w:cs="方正仿宋简体"/>
          <w:bCs/>
          <w:color w:val="000000"/>
          <w:sz w:val="33"/>
          <w:szCs w:val="33"/>
        </w:rPr>
      </w:pPr>
      <w:r>
        <w:rPr>
          <w:rFonts w:hint="eastAsia" w:ascii="方正仿宋简体" w:hAnsi="方正仿宋简体" w:eastAsia="方正仿宋简体" w:cs="方正仿宋简体"/>
          <w:bCs/>
          <w:color w:val="000000"/>
          <w:sz w:val="33"/>
          <w:szCs w:val="33"/>
        </w:rPr>
        <w:t>3.本项目只计划了仪器设备购置经费和基建建设经费，没有计划运转经费，建议在项目建设后期由部、厅适当配套仪器设备维护和运行费用。</w:t>
      </w:r>
    </w:p>
    <w:p>
      <w:pPr>
        <w:pStyle w:val="3"/>
        <w:spacing w:line="305" w:lineRule="auto"/>
        <w:rPr>
          <w:rFonts w:ascii="方正仿宋简体" w:hAnsi="方正仿宋简体" w:eastAsia="方正仿宋简体" w:cs="方正仿宋简体"/>
          <w:sz w:val="33"/>
          <w:szCs w:val="33"/>
        </w:rPr>
      </w:pPr>
    </w:p>
    <w:p>
      <w:pPr>
        <w:pStyle w:val="3"/>
        <w:spacing w:line="305" w:lineRule="auto"/>
        <w:ind w:firstLine="636" w:firstLineChars="193"/>
        <w:rPr>
          <w:rFonts w:ascii="方正仿宋简体" w:hAnsi="方正仿宋简体" w:eastAsia="方正仿宋简体" w:cs="方正仿宋简体"/>
          <w:sz w:val="33"/>
          <w:szCs w:val="33"/>
        </w:rPr>
      </w:pPr>
    </w:p>
    <w:p>
      <w:pPr>
        <w:pStyle w:val="3"/>
        <w:spacing w:line="305" w:lineRule="auto"/>
        <w:ind w:firstLine="636" w:firstLineChars="193"/>
        <w:rPr>
          <w:rFonts w:ascii="方正仿宋简体" w:hAnsi="方正仿宋简体" w:eastAsia="方正仿宋简体" w:cs="方正仿宋简体"/>
          <w:sz w:val="33"/>
          <w:szCs w:val="33"/>
        </w:rPr>
      </w:pPr>
    </w:p>
    <w:p>
      <w:pPr>
        <w:pStyle w:val="3"/>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附件2：</w:t>
      </w:r>
    </w:p>
    <w:p>
      <w:pPr>
        <w:spacing w:line="305" w:lineRule="auto"/>
        <w:ind w:firstLine="636" w:firstLineChars="193"/>
        <w:jc w:val="center"/>
        <w:rPr>
          <w:rFonts w:ascii="方正小标宋_GBK" w:hAnsi="方正小标宋_GBK" w:eastAsia="方正小标宋_GBK" w:cs="方正小标宋_GBK"/>
          <w:sz w:val="33"/>
          <w:szCs w:val="33"/>
          <w:lang w:val="zh-CN"/>
        </w:rPr>
      </w:pPr>
      <w:r>
        <w:rPr>
          <w:rFonts w:hint="eastAsia" w:ascii="方正小标宋_GBK" w:hAnsi="方正小标宋_GBK" w:eastAsia="方正小标宋_GBK" w:cs="方正小标宋_GBK"/>
          <w:sz w:val="33"/>
          <w:szCs w:val="33"/>
        </w:rPr>
        <w:t>2021年</w:t>
      </w:r>
      <w:r>
        <w:rPr>
          <w:rFonts w:hint="eastAsia" w:ascii="方正小标宋_GBK" w:hAnsi="方正小标宋_GBK" w:eastAsia="方正小标宋_GBK" w:cs="方正小标宋_GBK"/>
          <w:sz w:val="33"/>
          <w:szCs w:val="33"/>
          <w:lang w:val="zh-CN"/>
        </w:rPr>
        <w:t>专项资金预算项目支出绩效自评报告</w:t>
      </w:r>
    </w:p>
    <w:p>
      <w:pPr>
        <w:pStyle w:val="2"/>
        <w:spacing w:before="93" w:line="305" w:lineRule="auto"/>
        <w:ind w:firstLine="636" w:firstLineChars="193"/>
        <w:jc w:val="center"/>
        <w:rPr>
          <w:rFonts w:ascii="方正仿宋简体" w:hAnsi="方正仿宋简体" w:eastAsia="方正仿宋简体" w:cs="方正仿宋简体"/>
          <w:sz w:val="33"/>
          <w:szCs w:val="33"/>
          <w:lang w:val="zh-CN"/>
        </w:rPr>
      </w:pPr>
      <w:r>
        <w:rPr>
          <w:rFonts w:hint="eastAsia" w:ascii="方正仿宋简体" w:hAnsi="方正仿宋简体" w:eastAsia="方正仿宋简体" w:cs="方正仿宋简体"/>
          <w:sz w:val="33"/>
          <w:szCs w:val="33"/>
          <w:lang w:val="zh-CN"/>
        </w:rPr>
        <w:t>攀枝花市中高山地区特色产业培育示范项目</w:t>
      </w:r>
    </w:p>
    <w:p>
      <w:pPr>
        <w:pStyle w:val="3"/>
        <w:rPr>
          <w:lang w:val="zh-CN"/>
        </w:rPr>
      </w:pPr>
    </w:p>
    <w:p>
      <w:pPr>
        <w:adjustRightInd w:val="0"/>
        <w:snapToGrid w:val="0"/>
        <w:spacing w:line="305" w:lineRule="auto"/>
        <w:ind w:firstLine="636" w:firstLineChars="193"/>
        <w:rPr>
          <w:rFonts w:ascii="方正黑体简体" w:hAnsi="方正黑体简体" w:eastAsia="方正黑体简体" w:cs="方正黑体简体"/>
          <w:sz w:val="33"/>
          <w:szCs w:val="33"/>
          <w:lang w:val="zh-CN"/>
        </w:rPr>
      </w:pPr>
      <w:r>
        <w:rPr>
          <w:rFonts w:hint="eastAsia" w:ascii="方正黑体简体" w:hAnsi="方正黑体简体" w:eastAsia="方正黑体简体" w:cs="方正黑体简体"/>
          <w:sz w:val="33"/>
          <w:szCs w:val="33"/>
        </w:rPr>
        <w:t>一、</w:t>
      </w:r>
      <w:r>
        <w:rPr>
          <w:rFonts w:hint="eastAsia" w:ascii="方正黑体简体" w:hAnsi="方正黑体简体" w:eastAsia="方正黑体简体" w:cs="方正黑体简体"/>
          <w:sz w:val="33"/>
          <w:szCs w:val="33"/>
          <w:lang w:val="zh-CN"/>
        </w:rPr>
        <w:t>项目概况</w:t>
      </w:r>
    </w:p>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r>
        <w:rPr>
          <w:rFonts w:hint="eastAsia" w:ascii="方正楷体简体" w:hAnsi="方正楷体简体" w:eastAsia="方正楷体简体" w:cs="方正楷体简体"/>
          <w:b/>
          <w:sz w:val="33"/>
          <w:szCs w:val="33"/>
          <w:lang w:val="zh-CN"/>
        </w:rPr>
        <w:t>（一）项目基本情况。</w:t>
      </w:r>
    </w:p>
    <w:p>
      <w:pPr>
        <w:adjustRightInd w:val="0"/>
        <w:snapToGrid w:val="0"/>
        <w:spacing w:line="305" w:lineRule="auto"/>
        <w:ind w:firstLine="636" w:firstLineChars="193"/>
        <w:jc w:val="left"/>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攀枝花市财政局 攀枝花市乡村振兴局关于下达 2021 年第一-批市级财政衔接推进乡村振兴补助资金的通知(攀财资农〔2021〕26 号)，下达给市农林科学院专项扶贫资金60万元，主要用于攀枝花市中高山地区特色产业培育示范项目工作。项目组还根据四川省推进中医药强省建设工作领导小组办公室关于印发《四川省中药材产业发展规划( 2018-2025年)》的通知（川中医药强省办发〔2019〕6号），四川省道地药材名录（86种)，魔芋中药才之一开展本项目工作。</w:t>
      </w:r>
    </w:p>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r>
        <w:rPr>
          <w:rFonts w:hint="eastAsia" w:ascii="方正楷体简体" w:hAnsi="方正楷体简体" w:eastAsia="方正楷体简体" w:cs="方正楷体简体"/>
          <w:b/>
          <w:sz w:val="33"/>
          <w:szCs w:val="33"/>
          <w:lang w:val="zh-CN"/>
        </w:rPr>
        <w:t>（二）项目绩效目标。</w:t>
      </w:r>
    </w:p>
    <w:tbl>
      <w:tblPr>
        <w:tblStyle w:val="13"/>
        <w:tblpPr w:leftFromText="180" w:rightFromText="180" w:vertAnchor="text" w:horzAnchor="page" w:tblpX="1778" w:tblpY="610"/>
        <w:tblOverlap w:val="never"/>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567" w:type="dxa"/>
            <w:vAlign w:val="center"/>
          </w:tcPr>
          <w:p>
            <w:pPr>
              <w:adjustRightInd w:val="0"/>
              <w:snapToGrid w:val="0"/>
              <w:spacing w:line="360" w:lineRule="exac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序号</w:t>
            </w:r>
          </w:p>
        </w:tc>
        <w:tc>
          <w:tcPr>
            <w:tcW w:w="8492" w:type="dxa"/>
            <w:vAlign w:val="center"/>
          </w:tcPr>
          <w:p>
            <w:pPr>
              <w:adjustRightInd w:val="0"/>
              <w:snapToGrid w:val="0"/>
              <w:spacing w:line="360" w:lineRule="exact"/>
              <w:ind w:firstLine="540" w:firstLineChars="193"/>
              <w:jc w:val="center"/>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trPr>
        <w:tc>
          <w:tcPr>
            <w:tcW w:w="567" w:type="dxa"/>
          </w:tcPr>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1</w:t>
            </w:r>
          </w:p>
        </w:tc>
        <w:tc>
          <w:tcPr>
            <w:tcW w:w="8492" w:type="dxa"/>
            <w:vAlign w:val="center"/>
          </w:tcPr>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魔芋（中药材）产业：在盐边县国胜乡机房村发展魔芋示范面积300亩。</w:t>
            </w:r>
          </w:p>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其中魔芋核心示范200亩，辐射带动1000亩；林下种植魔芋（中药材）示范100亩，辐射带动1000亩；科技服务3500亩。辐射带动盐边县永兴镇、红果彝族乡等盐边县魔芋及中药材9000亩（含机房村）。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567" w:type="dxa"/>
          </w:tcPr>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2</w:t>
            </w:r>
          </w:p>
        </w:tc>
        <w:tc>
          <w:tcPr>
            <w:tcW w:w="8492" w:type="dxa"/>
            <w:vAlign w:val="center"/>
          </w:tcPr>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温带水果：改造示范（果林下种魔芋）300亩，辐射带动3000亩。</w:t>
            </w:r>
          </w:p>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在米易县新山傈僳族乡新山村开展“温带水果复合型产出功能结构”改造示范樱桃、枇杷等果林下种魔芋，核心示范面积50亩，科技服务魔芋257.5亩，辐射带动米易县攀莲镇、麻陇乡等米易全县“温带水果复合型产出功能结构”改造500余亩（含新山村）。</w:t>
            </w:r>
          </w:p>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在仁和区啊喇乡起查喇村开展“温带水果复合型产出功能结构”改造示范樱桃、桃等果林下种魔芋200亩，科技服务魔芋382亩。</w:t>
            </w:r>
          </w:p>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在仁和区啊喇乡官房村开展“温带水果复合型产出功能结构”改造示范樱桃、桃等果林下种魔芋20亩，科技服务魔芋官房村513.5亩。</w:t>
            </w:r>
          </w:p>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在仁和区平地镇波西村开展“温带水果复合型产出功能结构”改造示范桃、石榴等果林下种魔芋15亩，科技服务魔芋30.6亩。</w:t>
            </w:r>
          </w:p>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在仁和区务本乡乌拉村开展“温带水果复合型产出功能结构”改造示范桃、樱桃等果林下种魔芋15亩，科技服务魔芋25亩。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567" w:type="dxa"/>
            <w:vAlign w:val="center"/>
          </w:tcPr>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3</w:t>
            </w:r>
          </w:p>
        </w:tc>
        <w:tc>
          <w:tcPr>
            <w:tcW w:w="8492" w:type="dxa"/>
            <w:vAlign w:val="center"/>
          </w:tcPr>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制作培训手册5期以上，印制发放2000册以上，制作魔芋教学与示范视频10个以上，现场培训指导70次以上，培训指导人次1500人次以上。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567" w:type="dxa"/>
            <w:vAlign w:val="center"/>
          </w:tcPr>
          <w:p>
            <w:pPr>
              <w:tabs>
                <w:tab w:val="center" w:pos="402"/>
              </w:tabs>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4</w:t>
            </w:r>
          </w:p>
        </w:tc>
        <w:tc>
          <w:tcPr>
            <w:tcW w:w="8492" w:type="dxa"/>
            <w:vAlign w:val="center"/>
          </w:tcPr>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经济指标。核心示范基地魔芋增产15%以上，农户魔芋收入增加20%以上；辐射带动魔芋增产10%以上，农户魔芋收入增加15%以上。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567" w:type="dxa"/>
            <w:vAlign w:val="center"/>
          </w:tcPr>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5</w:t>
            </w:r>
          </w:p>
        </w:tc>
        <w:tc>
          <w:tcPr>
            <w:tcW w:w="8492" w:type="dxa"/>
            <w:vAlign w:val="center"/>
          </w:tcPr>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满意度指标。核心示范基地种魔芋群众满意度≥95%。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567" w:type="dxa"/>
            <w:vAlign w:val="center"/>
          </w:tcPr>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6</w:t>
            </w:r>
          </w:p>
        </w:tc>
        <w:tc>
          <w:tcPr>
            <w:tcW w:w="8492" w:type="dxa"/>
            <w:vAlign w:val="center"/>
          </w:tcPr>
          <w:p>
            <w:pPr>
              <w:adjustRightInd w:val="0"/>
              <w:snapToGrid w:val="0"/>
              <w:spacing w:line="360" w:lineRule="exact"/>
              <w:ind w:firstLine="540" w:firstLineChars="193"/>
              <w:jc w:val="left"/>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示范600亩，辐射带动5000亩。</w:t>
            </w:r>
          </w:p>
        </w:tc>
      </w:tr>
    </w:tbl>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r>
        <w:rPr>
          <w:rFonts w:hint="eastAsia" w:ascii="方正楷体简体" w:hAnsi="方正楷体简体" w:eastAsia="方正楷体简体" w:cs="方正楷体简体"/>
          <w:b/>
          <w:sz w:val="33"/>
          <w:szCs w:val="33"/>
          <w:lang w:val="zh-CN"/>
        </w:rPr>
        <w:t>（三）项目自评步骤及方法。</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一是检查按实施方案执行情况及效果，以及魔芋种植示范情况。二是检查模式探索情况。三是充分调查了解魔芋种植户思想观念转变、生产技术水平提升情况。四是调查群众满意度情况。</w:t>
      </w:r>
    </w:p>
    <w:p>
      <w:pPr>
        <w:adjustRightInd w:val="0"/>
        <w:snapToGrid w:val="0"/>
        <w:spacing w:line="305" w:lineRule="auto"/>
        <w:ind w:firstLine="636" w:firstLineChars="193"/>
        <w:rPr>
          <w:rFonts w:ascii="方正黑体简体" w:hAnsi="方正黑体简体" w:eastAsia="方正黑体简体" w:cs="方正黑体简体"/>
          <w:sz w:val="33"/>
          <w:szCs w:val="33"/>
        </w:rPr>
      </w:pPr>
      <w:r>
        <w:rPr>
          <w:rFonts w:hint="eastAsia" w:ascii="方正黑体简体" w:hAnsi="方正黑体简体" w:eastAsia="方正黑体简体" w:cs="方正黑体简体"/>
          <w:sz w:val="33"/>
          <w:szCs w:val="33"/>
        </w:rPr>
        <w:t>二、项目资金申报及使用情况</w:t>
      </w:r>
    </w:p>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r>
        <w:rPr>
          <w:rFonts w:hint="eastAsia" w:ascii="方正楷体简体" w:hAnsi="方正楷体简体" w:eastAsia="方正楷体简体" w:cs="方正楷体简体"/>
          <w:b/>
          <w:sz w:val="33"/>
          <w:szCs w:val="33"/>
          <w:lang w:val="zh-CN"/>
        </w:rPr>
        <w:t>（一）项目资金申报及批复情况。</w:t>
      </w:r>
    </w:p>
    <w:p>
      <w:pPr>
        <w:adjustRightInd w:val="0"/>
        <w:snapToGrid w:val="0"/>
        <w:spacing w:line="305" w:lineRule="auto"/>
        <w:ind w:firstLine="636" w:firstLineChars="193"/>
        <w:rPr>
          <w:rFonts w:ascii="方正仿宋简体" w:hAnsi="方正仿宋简体" w:eastAsia="方正仿宋简体" w:cs="方正仿宋简体"/>
          <w:sz w:val="33"/>
          <w:szCs w:val="33"/>
          <w:lang w:val="zh-CN"/>
        </w:rPr>
      </w:pPr>
      <w:r>
        <w:rPr>
          <w:rFonts w:hint="eastAsia" w:ascii="方正仿宋简体" w:hAnsi="方正仿宋简体" w:eastAsia="方正仿宋简体" w:cs="方正仿宋简体"/>
          <w:sz w:val="33"/>
          <w:szCs w:val="33"/>
          <w:lang w:val="zh-CN"/>
        </w:rPr>
        <w:t>项目资金申报、批复及预算调整等程序</w:t>
      </w:r>
      <w:r>
        <w:rPr>
          <w:rFonts w:hint="eastAsia" w:ascii="方正仿宋简体" w:hAnsi="方正仿宋简体" w:eastAsia="方正仿宋简体" w:cs="方正仿宋简体"/>
          <w:sz w:val="33"/>
          <w:szCs w:val="33"/>
        </w:rPr>
        <w:t>严格按相关规定顺利办理</w:t>
      </w:r>
      <w:r>
        <w:rPr>
          <w:rFonts w:hint="eastAsia" w:ascii="方正仿宋简体" w:hAnsi="方正仿宋简体" w:eastAsia="方正仿宋简体" w:cs="方正仿宋简体"/>
          <w:sz w:val="33"/>
          <w:szCs w:val="33"/>
          <w:lang w:val="zh-CN"/>
        </w:rPr>
        <w:t>。</w:t>
      </w:r>
    </w:p>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r>
        <w:rPr>
          <w:rFonts w:hint="eastAsia" w:ascii="方正楷体简体" w:hAnsi="方正楷体简体" w:eastAsia="方正楷体简体" w:cs="方正楷体简体"/>
          <w:b/>
          <w:sz w:val="33"/>
          <w:szCs w:val="33"/>
          <w:lang w:val="zh-CN"/>
        </w:rPr>
        <w:t>（二）资金计划、到位及使用情况（可用表格形式反映）。</w:t>
      </w:r>
    </w:p>
    <w:p>
      <w:pPr>
        <w:adjustRightInd w:val="0"/>
        <w:snapToGrid w:val="0"/>
        <w:spacing w:line="305" w:lineRule="auto"/>
        <w:ind w:firstLine="636" w:firstLineChars="193"/>
        <w:rPr>
          <w:rFonts w:ascii="方正仿宋简体" w:hAnsi="方正仿宋简体" w:eastAsia="方正仿宋简体" w:cs="方正仿宋简体"/>
          <w:sz w:val="33"/>
          <w:szCs w:val="33"/>
          <w:lang w:val="zh-CN"/>
        </w:rPr>
      </w:pPr>
      <w:r>
        <w:rPr>
          <w:rFonts w:hint="eastAsia" w:ascii="方正仿宋简体" w:hAnsi="方正仿宋简体" w:eastAsia="方正仿宋简体" w:cs="方正仿宋简体"/>
          <w:sz w:val="33"/>
          <w:szCs w:val="33"/>
          <w:lang w:val="zh-CN"/>
        </w:rPr>
        <w:t>1．资金计划</w:t>
      </w:r>
      <w:r>
        <w:rPr>
          <w:rFonts w:hint="eastAsia" w:ascii="方正仿宋简体" w:hAnsi="方正仿宋简体" w:eastAsia="方正仿宋简体" w:cs="方正仿宋简体"/>
          <w:sz w:val="33"/>
          <w:szCs w:val="33"/>
        </w:rPr>
        <w:t>严格按相关规定制定计划</w:t>
      </w:r>
      <w:r>
        <w:rPr>
          <w:rFonts w:hint="eastAsia" w:ascii="方正仿宋简体" w:hAnsi="方正仿宋简体" w:eastAsia="方正仿宋简体" w:cs="方正仿宋简体"/>
          <w:sz w:val="33"/>
          <w:szCs w:val="33"/>
          <w:lang w:val="zh-CN"/>
        </w:rPr>
        <w:t>。</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lang w:val="zh-CN"/>
        </w:rPr>
        <w:t>2．</w:t>
      </w:r>
      <w:r>
        <w:rPr>
          <w:rFonts w:hint="eastAsia" w:ascii="方正仿宋简体" w:hAnsi="方正仿宋简体" w:eastAsia="方正仿宋简体" w:cs="方正仿宋简体"/>
          <w:sz w:val="33"/>
          <w:szCs w:val="33"/>
        </w:rPr>
        <w:t>计划</w:t>
      </w:r>
      <w:r>
        <w:rPr>
          <w:rFonts w:hint="eastAsia" w:ascii="方正仿宋简体" w:hAnsi="方正仿宋简体" w:eastAsia="方正仿宋简体" w:cs="方正仿宋简体"/>
          <w:sz w:val="33"/>
          <w:szCs w:val="33"/>
          <w:lang w:val="zh-CN"/>
        </w:rPr>
        <w:t>资金</w:t>
      </w:r>
      <w:r>
        <w:rPr>
          <w:rFonts w:hint="eastAsia" w:ascii="方正仿宋简体" w:hAnsi="方正仿宋简体" w:eastAsia="方正仿宋简体" w:cs="方正仿宋简体"/>
          <w:sz w:val="33"/>
          <w:szCs w:val="33"/>
        </w:rPr>
        <w:t>全部</w:t>
      </w:r>
      <w:r>
        <w:rPr>
          <w:rFonts w:hint="eastAsia" w:ascii="方正仿宋简体" w:hAnsi="方正仿宋简体" w:eastAsia="方正仿宋简体" w:cs="方正仿宋简体"/>
          <w:sz w:val="33"/>
          <w:szCs w:val="33"/>
          <w:lang w:val="zh-CN"/>
        </w:rPr>
        <w:t>到位。</w:t>
      </w:r>
      <w:r>
        <w:rPr>
          <w:rFonts w:hint="eastAsia" w:ascii="方正仿宋简体" w:hAnsi="方正仿宋简体" w:eastAsia="方正仿宋简体" w:cs="方正仿宋简体"/>
          <w:sz w:val="33"/>
          <w:szCs w:val="33"/>
        </w:rPr>
        <w:t xml:space="preserve">  </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3、</w:t>
      </w:r>
      <w:r>
        <w:rPr>
          <w:rFonts w:hint="eastAsia" w:ascii="方正仿宋简体" w:hAnsi="方正仿宋简体" w:eastAsia="方正仿宋简体" w:cs="方正仿宋简体"/>
          <w:sz w:val="33"/>
          <w:szCs w:val="33"/>
          <w:lang w:val="zh-CN"/>
        </w:rPr>
        <w:t>按照经费管理规定使用经费，</w:t>
      </w:r>
      <w:r>
        <w:rPr>
          <w:rFonts w:hint="eastAsia" w:ascii="方正仿宋简体" w:hAnsi="方正仿宋简体" w:eastAsia="方正仿宋简体" w:cs="方正仿宋简体"/>
          <w:sz w:val="33"/>
          <w:szCs w:val="33"/>
        </w:rPr>
        <w:t>项目经费60万元，开支6</w:t>
      </w:r>
      <w:r>
        <w:rPr>
          <w:rFonts w:hint="eastAsia" w:ascii="方正仿宋简体" w:hAnsi="方正仿宋简体" w:eastAsia="方正仿宋简体" w:cs="方正仿宋简体"/>
          <w:sz w:val="33"/>
          <w:szCs w:val="33"/>
          <w:lang w:val="en-US" w:eastAsia="zh-CN"/>
        </w:rPr>
        <w:t>0</w:t>
      </w:r>
      <w:r>
        <w:rPr>
          <w:rFonts w:hint="eastAsia" w:ascii="方正仿宋简体" w:hAnsi="方正仿宋简体" w:eastAsia="方正仿宋简体" w:cs="方正仿宋简体"/>
          <w:sz w:val="33"/>
          <w:szCs w:val="33"/>
        </w:rPr>
        <w:t>万元，详见下表。</w:t>
      </w:r>
    </w:p>
    <w:p>
      <w:pPr>
        <w:pStyle w:val="3"/>
        <w:ind w:left="7260" w:hanging="7260" w:hangingChars="2200"/>
        <w:rPr>
          <w:rFonts w:hint="eastAsia" w:ascii="方正仿宋简体" w:hAnsi="方正仿宋简体" w:eastAsia="方正仿宋简体" w:cs="方正仿宋简体"/>
          <w:sz w:val="33"/>
          <w:szCs w:val="33"/>
          <w:lang w:val="zh-CN"/>
        </w:rPr>
      </w:pPr>
    </w:p>
    <w:p>
      <w:pPr>
        <w:pStyle w:val="3"/>
        <w:ind w:left="7260" w:hanging="7260" w:hangingChars="2200"/>
        <w:rPr>
          <w:rFonts w:hint="eastAsia" w:ascii="方正仿宋简体" w:hAnsi="方正仿宋简体" w:eastAsia="方正仿宋简体" w:cs="方正仿宋简体"/>
          <w:sz w:val="33"/>
          <w:szCs w:val="33"/>
          <w:lang w:eastAsia="zh-CN"/>
        </w:rPr>
      </w:pPr>
      <w:r>
        <w:rPr>
          <w:rFonts w:hint="eastAsia" w:ascii="方正仿宋简体" w:hAnsi="方正仿宋简体" w:eastAsia="方正仿宋简体" w:cs="方正仿宋简体"/>
          <w:sz w:val="33"/>
          <w:szCs w:val="33"/>
          <w:lang w:val="zh-CN"/>
        </w:rPr>
        <w:t>攀枝花市中高山地区特色产业培育示范项目</w:t>
      </w:r>
      <w:r>
        <w:rPr>
          <w:rFonts w:hint="eastAsia" w:ascii="方正仿宋简体" w:hAnsi="方正仿宋简体" w:eastAsia="方正仿宋简体" w:cs="方正仿宋简体"/>
          <w:sz w:val="33"/>
          <w:szCs w:val="33"/>
          <w:lang w:eastAsia="zh-CN"/>
        </w:rPr>
        <w:t>使用明细表</w:t>
      </w:r>
    </w:p>
    <w:p>
      <w:pPr>
        <w:pStyle w:val="3"/>
        <w:ind w:left="7260" w:hanging="7260" w:hangingChars="2200"/>
        <w:rPr>
          <w:rFonts w:hint="default" w:ascii="方正仿宋简体" w:hAnsi="方正仿宋简体" w:eastAsia="方正仿宋简体" w:cs="方正仿宋简体"/>
          <w:sz w:val="33"/>
          <w:szCs w:val="33"/>
          <w:lang w:val="en-US" w:eastAsia="zh-CN"/>
        </w:rPr>
      </w:pPr>
      <w:r>
        <w:rPr>
          <w:rFonts w:hint="eastAsia" w:ascii="方正仿宋简体" w:hAnsi="方正仿宋简体" w:eastAsia="方正仿宋简体" w:cs="方正仿宋简体"/>
          <w:sz w:val="33"/>
          <w:szCs w:val="33"/>
          <w:lang w:val="en-US" w:eastAsia="zh-CN"/>
        </w:rPr>
        <w:t xml:space="preserve">                                       单位：万元</w:t>
      </w:r>
    </w:p>
    <w:tbl>
      <w:tblPr>
        <w:tblStyle w:val="12"/>
        <w:tblpPr w:leftFromText="180" w:rightFromText="180" w:vertAnchor="text" w:horzAnchor="page" w:tblpX="1840" w:tblpY="872"/>
        <w:tblOverlap w:val="never"/>
        <w:tblW w:w="86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0"/>
        <w:gridCol w:w="960"/>
        <w:gridCol w:w="1110"/>
        <w:gridCol w:w="1320"/>
        <w:gridCol w:w="1215"/>
        <w:gridCol w:w="923"/>
        <w:gridCol w:w="975"/>
        <w:gridCol w:w="1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7"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印刷费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培训费</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劳务费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维修维护</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委托业务</w:t>
            </w:r>
          </w:p>
        </w:tc>
        <w:tc>
          <w:tcPr>
            <w:tcW w:w="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咨询费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材料费</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支出合计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1.36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1.5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2.95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9.35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6.49</w:t>
            </w:r>
          </w:p>
        </w:tc>
        <w:tc>
          <w:tcPr>
            <w:tcW w:w="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1</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37.35</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kern w:val="0"/>
                <w:sz w:val="22"/>
                <w:szCs w:val="22"/>
                <w:u w:val="none"/>
                <w:lang w:val="en-US" w:eastAsia="zh-CN" w:bidi="ar"/>
              </w:rPr>
            </w:pPr>
            <w:r>
              <w:rPr>
                <w:rFonts w:hint="eastAsia" w:ascii="方正仿宋简体" w:hAnsi="方正仿宋简体" w:eastAsia="方正仿宋简体" w:cs="方正仿宋简体"/>
                <w:i w:val="0"/>
                <w:iCs w:val="0"/>
                <w:color w:val="000000"/>
                <w:kern w:val="0"/>
                <w:sz w:val="22"/>
                <w:szCs w:val="22"/>
                <w:u w:val="none"/>
                <w:lang w:val="en-US" w:eastAsia="zh-CN" w:bidi="ar"/>
              </w:rPr>
              <w:t>60</w:t>
            </w:r>
          </w:p>
        </w:tc>
      </w:tr>
    </w:tbl>
    <w:p>
      <w:pPr>
        <w:pStyle w:val="3"/>
        <w:rPr>
          <w:rFonts w:hint="eastAsia" w:ascii="方正仿宋简体" w:hAnsi="方正仿宋简体" w:eastAsia="方正仿宋简体" w:cs="方正仿宋简体"/>
          <w:sz w:val="33"/>
          <w:szCs w:val="33"/>
          <w:lang w:val="en-US" w:eastAsia="zh-CN"/>
        </w:rPr>
      </w:pPr>
    </w:p>
    <w:p>
      <w:pPr>
        <w:pStyle w:val="3"/>
        <w:ind w:left="7260" w:hanging="7260" w:hangingChars="2200"/>
        <w:rPr>
          <w:rFonts w:ascii="方正楷体简体" w:hAnsi="方正楷体简体" w:eastAsia="方正楷体简体" w:cs="方正楷体简体"/>
          <w:b/>
          <w:sz w:val="33"/>
          <w:szCs w:val="33"/>
          <w:lang w:val="zh-CN"/>
        </w:rPr>
      </w:pPr>
      <w:r>
        <w:rPr>
          <w:rFonts w:hint="eastAsia" w:ascii="方正仿宋简体" w:hAnsi="方正仿宋简体" w:eastAsia="方正仿宋简体" w:cs="方正仿宋简体"/>
          <w:sz w:val="33"/>
          <w:szCs w:val="33"/>
          <w:lang w:val="en-US" w:eastAsia="zh-CN"/>
        </w:rPr>
        <w:t xml:space="preserve">                  </w:t>
      </w:r>
    </w:p>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r>
        <w:rPr>
          <w:rFonts w:hint="eastAsia" w:ascii="方正楷体简体" w:hAnsi="方正楷体简体" w:eastAsia="方正楷体简体" w:cs="方正楷体简体"/>
          <w:b/>
          <w:sz w:val="33"/>
          <w:szCs w:val="33"/>
          <w:lang w:val="zh-CN"/>
        </w:rPr>
        <w:t>（三）项目财务管理情况。</w:t>
      </w:r>
    </w:p>
    <w:p>
      <w:pPr>
        <w:spacing w:line="305" w:lineRule="auto"/>
        <w:ind w:firstLine="636" w:firstLineChars="193"/>
        <w:rPr>
          <w:rFonts w:ascii="方正仿宋简体" w:hAnsi="方正仿宋简体" w:eastAsia="方正仿宋简体" w:cs="方正仿宋简体"/>
          <w:sz w:val="33"/>
          <w:szCs w:val="33"/>
          <w:lang w:val="en-GB"/>
        </w:rPr>
      </w:pPr>
      <w:r>
        <w:rPr>
          <w:rFonts w:hint="eastAsia" w:ascii="方正仿宋简体" w:hAnsi="方正仿宋简体" w:eastAsia="方正仿宋简体" w:cs="方正仿宋简体"/>
          <w:sz w:val="33"/>
          <w:szCs w:val="33"/>
          <w:lang w:val="en-GB"/>
        </w:rPr>
        <w:t>项目承担单位攀枝花市农林科学研究院执行政府会计制度，在项目的资金使用管理上，严格按照相关文件要求单独建帐、国库集中支付、严格管理、专款专用。</w:t>
      </w:r>
    </w:p>
    <w:p>
      <w:pPr>
        <w:adjustRightInd w:val="0"/>
        <w:snapToGrid w:val="0"/>
        <w:spacing w:line="305" w:lineRule="auto"/>
        <w:ind w:firstLine="636" w:firstLineChars="193"/>
        <w:rPr>
          <w:rFonts w:ascii="方正黑体简体" w:hAnsi="方正黑体简体" w:eastAsia="方正黑体简体" w:cs="方正黑体简体"/>
          <w:sz w:val="33"/>
          <w:szCs w:val="33"/>
        </w:rPr>
      </w:pPr>
      <w:r>
        <w:rPr>
          <w:rFonts w:hint="eastAsia" w:ascii="方正黑体简体" w:hAnsi="方正黑体简体" w:eastAsia="方正黑体简体" w:cs="方正黑体简体"/>
          <w:sz w:val="33"/>
          <w:szCs w:val="33"/>
        </w:rPr>
        <w:t>三、项目实施及管理情况</w:t>
      </w:r>
    </w:p>
    <w:p>
      <w:pPr>
        <w:spacing w:line="305" w:lineRule="auto"/>
        <w:ind w:firstLine="636" w:firstLineChars="193"/>
        <w:rPr>
          <w:rFonts w:ascii="方正仿宋简体" w:hAnsi="方正仿宋简体" w:eastAsia="方正仿宋简体" w:cs="方正仿宋简体"/>
          <w:sz w:val="33"/>
          <w:szCs w:val="33"/>
          <w:lang w:val="en-GB"/>
        </w:rPr>
      </w:pPr>
      <w:r>
        <w:rPr>
          <w:rFonts w:hint="eastAsia" w:ascii="方正仿宋简体" w:hAnsi="方正仿宋简体" w:eastAsia="方正仿宋简体" w:cs="方正仿宋简体"/>
          <w:sz w:val="33"/>
          <w:szCs w:val="33"/>
        </w:rPr>
        <w:t>按照《攀枝花市农林科学研究院科研项目管理试行办法》，</w:t>
      </w:r>
      <w:r>
        <w:rPr>
          <w:rFonts w:hint="eastAsia" w:ascii="方正仿宋简体" w:hAnsi="方正仿宋简体" w:eastAsia="方正仿宋简体" w:cs="方正仿宋简体"/>
          <w:sz w:val="33"/>
          <w:szCs w:val="33"/>
          <w:lang w:val="en-GB"/>
        </w:rPr>
        <w:t>在</w:t>
      </w:r>
      <w:r>
        <w:rPr>
          <w:rFonts w:hint="eastAsia" w:ascii="方正仿宋简体" w:hAnsi="方正仿宋简体" w:eastAsia="方正仿宋简体" w:cs="方正仿宋简体"/>
          <w:sz w:val="33"/>
          <w:szCs w:val="33"/>
        </w:rPr>
        <w:t>项目实施过程中，严格</w:t>
      </w:r>
      <w:r>
        <w:rPr>
          <w:rFonts w:hint="eastAsia" w:ascii="方正仿宋简体" w:hAnsi="方正仿宋简体" w:eastAsia="方正仿宋简体" w:cs="方正仿宋简体"/>
          <w:sz w:val="33"/>
          <w:szCs w:val="33"/>
          <w:lang w:val="en-GB"/>
        </w:rPr>
        <w:t>管理。</w:t>
      </w:r>
    </w:p>
    <w:p>
      <w:pPr>
        <w:adjustRightInd w:val="0"/>
        <w:snapToGrid w:val="0"/>
        <w:spacing w:line="305" w:lineRule="auto"/>
        <w:ind w:firstLine="636" w:firstLineChars="193"/>
        <w:rPr>
          <w:rFonts w:ascii="方正黑体简体" w:hAnsi="方正黑体简体" w:eastAsia="方正黑体简体" w:cs="方正黑体简体"/>
          <w:sz w:val="33"/>
          <w:szCs w:val="33"/>
          <w:lang w:val="zh-CN"/>
        </w:rPr>
      </w:pPr>
      <w:r>
        <w:rPr>
          <w:rFonts w:hint="eastAsia" w:ascii="方正黑体简体" w:hAnsi="方正黑体简体" w:eastAsia="方正黑体简体" w:cs="方正黑体简体"/>
          <w:sz w:val="33"/>
          <w:szCs w:val="33"/>
        </w:rPr>
        <w:t>四、项目绩效情况</w:t>
      </w:r>
      <w:r>
        <w:rPr>
          <w:rFonts w:hint="eastAsia" w:ascii="方正黑体简体" w:hAnsi="方正黑体简体" w:eastAsia="方正黑体简体" w:cs="方正黑体简体"/>
          <w:sz w:val="33"/>
          <w:szCs w:val="33"/>
          <w:lang w:val="zh-CN"/>
        </w:rPr>
        <w:tab/>
      </w:r>
    </w:p>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r>
        <w:rPr>
          <w:rFonts w:hint="eastAsia" w:ascii="方正楷体简体" w:hAnsi="方正楷体简体" w:eastAsia="方正楷体简体" w:cs="方正楷体简体"/>
          <w:b/>
          <w:sz w:val="33"/>
          <w:szCs w:val="33"/>
          <w:lang w:val="zh-CN"/>
        </w:rPr>
        <w:t>（一）项目完成情况。</w:t>
      </w:r>
    </w:p>
    <w:p>
      <w:pPr>
        <w:pStyle w:val="2"/>
        <w:spacing w:before="93" w:line="305" w:lineRule="auto"/>
        <w:rPr>
          <w:rFonts w:ascii="方正仿宋简体" w:hAnsi="方正仿宋简体" w:eastAsia="方正仿宋简体" w:cs="方正仿宋简体"/>
          <w:b/>
          <w:bCs/>
          <w:color w:val="000000"/>
          <w:sz w:val="33"/>
          <w:szCs w:val="33"/>
        </w:rPr>
      </w:pPr>
      <w:r>
        <w:rPr>
          <w:rFonts w:hint="eastAsia" w:ascii="方正仿宋简体" w:hAnsi="方正仿宋简体" w:eastAsia="方正仿宋简体" w:cs="方正仿宋简体"/>
          <w:b/>
          <w:bCs/>
          <w:color w:val="000000"/>
          <w:sz w:val="33"/>
          <w:szCs w:val="33"/>
        </w:rPr>
        <w:t>攀枝花市中高山地区特色产业培育示范任务完成情况表</w:t>
      </w:r>
    </w:p>
    <w:tbl>
      <w:tblPr>
        <w:tblStyle w:val="13"/>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3522"/>
        <w:gridCol w:w="3028"/>
        <w:gridCol w:w="1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15" w:type="dxa"/>
            <w:vAlign w:val="center"/>
          </w:tcPr>
          <w:p>
            <w:pPr>
              <w:spacing w:line="360" w:lineRule="exact"/>
              <w:jc w:val="center"/>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序号</w:t>
            </w:r>
          </w:p>
        </w:tc>
        <w:tc>
          <w:tcPr>
            <w:tcW w:w="3522" w:type="dxa"/>
            <w:vAlign w:val="center"/>
          </w:tcPr>
          <w:p>
            <w:pPr>
              <w:spacing w:line="360" w:lineRule="exact"/>
              <w:jc w:val="center"/>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任务</w:t>
            </w:r>
          </w:p>
        </w:tc>
        <w:tc>
          <w:tcPr>
            <w:tcW w:w="3028" w:type="dxa"/>
            <w:vAlign w:val="center"/>
          </w:tcPr>
          <w:p>
            <w:pPr>
              <w:spacing w:line="360" w:lineRule="exact"/>
              <w:jc w:val="center"/>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完成情况</w:t>
            </w:r>
          </w:p>
        </w:tc>
        <w:tc>
          <w:tcPr>
            <w:tcW w:w="1273" w:type="dxa"/>
            <w:vAlign w:val="center"/>
          </w:tcPr>
          <w:p>
            <w:pPr>
              <w:spacing w:line="360" w:lineRule="exact"/>
              <w:jc w:val="center"/>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1" w:hRule="atLeast"/>
        </w:trPr>
        <w:tc>
          <w:tcPr>
            <w:tcW w:w="815" w:type="dxa"/>
            <w:vAlign w:val="center"/>
          </w:tcPr>
          <w:p>
            <w:pPr>
              <w:spacing w:line="360" w:lineRule="exact"/>
              <w:jc w:val="center"/>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1</w:t>
            </w:r>
          </w:p>
        </w:tc>
        <w:tc>
          <w:tcPr>
            <w:tcW w:w="3522" w:type="dxa"/>
            <w:vAlign w:val="center"/>
          </w:tcPr>
          <w:p>
            <w:pPr>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魔芋（中药材）产业：在盐边县国胜乡机房村发展魔芋示范面积300亩。</w:t>
            </w:r>
          </w:p>
          <w:p>
            <w:pPr>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其中魔芋核心示范200亩，辐射带动1000亩；林下种植魔芋（中药材）示范100亩，辐射带动1000亩；科技服务3500亩。辐射带动盐边县永兴镇、红果彝族乡等盐边县魔芋及中药材9000亩（含机房村）。</w:t>
            </w:r>
          </w:p>
          <w:p>
            <w:pPr>
              <w:spacing w:line="360" w:lineRule="exact"/>
              <w:ind w:firstLine="463" w:firstLineChars="193"/>
              <w:rPr>
                <w:rFonts w:ascii="方正仿宋简体" w:hAnsi="方正仿宋简体" w:eastAsia="方正仿宋简体" w:cs="方正仿宋简体"/>
                <w:color w:val="000000"/>
                <w:sz w:val="24"/>
              </w:rPr>
            </w:pPr>
          </w:p>
        </w:tc>
        <w:tc>
          <w:tcPr>
            <w:tcW w:w="3028" w:type="dxa"/>
          </w:tcPr>
          <w:p>
            <w:pPr>
              <w:spacing w:line="360" w:lineRule="exact"/>
              <w:ind w:firstLine="463" w:firstLineChars="193"/>
              <w:jc w:val="lef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魔芋（中药材）产业：在盐边县国胜乡机房村发展魔芋示范面积350亩。</w:t>
            </w:r>
          </w:p>
          <w:p>
            <w:pPr>
              <w:spacing w:line="360" w:lineRule="exact"/>
              <w:ind w:firstLine="463" w:firstLineChars="193"/>
              <w:jc w:val="lef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其中魔芋核心示范250亩，辐射带动1300亩；林下种植魔芋（中药材）示范100亩，辐射带动1200亩；科技服务3550亩。辐射带动盐边县永兴镇、红果彝族乡等盐边县魔芋及中药材1万余亩（含机房村）。</w:t>
            </w:r>
          </w:p>
        </w:tc>
        <w:tc>
          <w:tcPr>
            <w:tcW w:w="1273" w:type="dxa"/>
          </w:tcPr>
          <w:p>
            <w:pPr>
              <w:spacing w:line="360" w:lineRule="exact"/>
              <w:jc w:val="lef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超额完成任务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7" w:hRule="atLeast"/>
        </w:trPr>
        <w:tc>
          <w:tcPr>
            <w:tcW w:w="815" w:type="dxa"/>
            <w:vAlign w:val="center"/>
          </w:tcPr>
          <w:p>
            <w:pPr>
              <w:spacing w:line="360" w:lineRule="exact"/>
              <w:jc w:val="center"/>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2</w:t>
            </w:r>
          </w:p>
        </w:tc>
        <w:tc>
          <w:tcPr>
            <w:tcW w:w="3522" w:type="dxa"/>
            <w:vAlign w:val="center"/>
          </w:tcPr>
          <w:p>
            <w:pPr>
              <w:numPr>
                <w:ilvl w:val="0"/>
                <w:numId w:val="2"/>
              </w:numPr>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温带水果：改造示范（果林下种魔芋）300亩，辐射带动3000亩。</w:t>
            </w:r>
          </w:p>
          <w:p>
            <w:pPr>
              <w:numPr>
                <w:ilvl w:val="0"/>
                <w:numId w:val="2"/>
              </w:numPr>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米易县新山傈僳族乡新山村开展“温带水果复合型产出功能结构”改造示范樱桃、枇杷等果林下种魔芋，核心示范面积50亩，科技服务魔芋257.5亩，辐射带动米易县攀莲镇、麻陇乡等米易全县“温带水果复合型产出功能结构”改造500余亩（含新山村）。</w:t>
            </w:r>
          </w:p>
          <w:p>
            <w:pPr>
              <w:numPr>
                <w:ilvl w:val="0"/>
                <w:numId w:val="2"/>
              </w:numPr>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在仁和区啊喇乡起查喇村开展“温带水果复合型产出功能结构”改造示范樱桃、桃等果林下种魔芋200亩，科技服务魔芋382亩。</w:t>
            </w:r>
          </w:p>
          <w:p>
            <w:pPr>
              <w:numPr>
                <w:ilvl w:val="0"/>
                <w:numId w:val="2"/>
              </w:numPr>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在仁和区啊喇乡官房村开展“温带水果复合型产出功能结构”改造示范樱桃、桃等果林下种魔芋20亩，科技服务魔芋官房村513.5亩。</w:t>
            </w:r>
          </w:p>
          <w:p>
            <w:pPr>
              <w:numPr>
                <w:ilvl w:val="0"/>
                <w:numId w:val="2"/>
              </w:numPr>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在仁和区平地镇波西村开展“温带水果复合型产出功能结构”改造示范桃、石榴等果林下种魔芋15亩，科技服务魔芋30.6亩。</w:t>
            </w:r>
          </w:p>
          <w:p>
            <w:pPr>
              <w:numPr>
                <w:ilvl w:val="0"/>
                <w:numId w:val="2"/>
              </w:numPr>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在仁和区务本乡乌拉村开展“温带水果复合型产出功能结构”改造示范桃、樱桃等果林下种魔芋15亩，科技服务魔芋25亩。</w:t>
            </w:r>
          </w:p>
        </w:tc>
        <w:tc>
          <w:tcPr>
            <w:tcW w:w="3028" w:type="dxa"/>
          </w:tcPr>
          <w:p>
            <w:pPr>
              <w:numPr>
                <w:ilvl w:val="0"/>
                <w:numId w:val="2"/>
              </w:numPr>
              <w:spacing w:line="360" w:lineRule="exact"/>
              <w:ind w:firstLine="463" w:firstLineChars="193"/>
              <w:jc w:val="lef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温带水果：改造示范（林下种魔芋）344亩，辐射带动3100余亩。</w:t>
            </w:r>
          </w:p>
          <w:p>
            <w:pPr>
              <w:numPr>
                <w:ilvl w:val="0"/>
                <w:numId w:val="2"/>
              </w:numPr>
              <w:spacing w:line="360" w:lineRule="exact"/>
              <w:ind w:firstLine="463" w:firstLineChars="193"/>
              <w:jc w:val="lef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米易县新山傈僳族乡新山村开展“温带水果复合型产出功能结构”改造示范樱桃、枇杷等果林下种魔芋，核心示范面积55.6亩，科技服务魔芋280亩，辐射带动米易县攀莲镇、麻陇乡等米易全县“温带水果复合型产出功能结构”改造510余亩（含新山村）。</w:t>
            </w:r>
          </w:p>
          <w:p>
            <w:pPr>
              <w:numPr>
                <w:ilvl w:val="0"/>
                <w:numId w:val="2"/>
              </w:numPr>
              <w:spacing w:line="360" w:lineRule="exact"/>
              <w:ind w:firstLine="463" w:firstLineChars="193"/>
              <w:jc w:val="lef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在仁和区啊喇乡起查喇村开展“温带水果复合型产出功能结构”改造示范樱桃、桃等果林下种魔芋220亩，科技服务魔芋385亩。</w:t>
            </w:r>
          </w:p>
          <w:p>
            <w:pPr>
              <w:numPr>
                <w:ilvl w:val="0"/>
                <w:numId w:val="2"/>
              </w:numPr>
              <w:spacing w:line="360" w:lineRule="exact"/>
              <w:ind w:firstLine="463" w:firstLineChars="193"/>
              <w:jc w:val="lef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在仁和区啊喇乡官房村开展“温带水果复合型产出功能结构”改造示范樱桃、桃等果林下种魔芋23亩，科技服务魔芋官房村520亩。</w:t>
            </w:r>
          </w:p>
          <w:p>
            <w:pPr>
              <w:numPr>
                <w:ilvl w:val="0"/>
                <w:numId w:val="2"/>
              </w:numPr>
              <w:spacing w:line="360" w:lineRule="exact"/>
              <w:ind w:firstLine="463" w:firstLineChars="193"/>
              <w:jc w:val="lef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在仁和区平地镇波西村开展“温带水果复合型产出功能结构”改造示范桃、石榴等果林下种魔芋18亩，科技服务魔芋35亩。</w:t>
            </w:r>
          </w:p>
          <w:p>
            <w:pPr>
              <w:numPr>
                <w:ilvl w:val="0"/>
                <w:numId w:val="2"/>
              </w:numPr>
              <w:spacing w:line="360" w:lineRule="exact"/>
              <w:ind w:firstLine="463" w:firstLineChars="193"/>
              <w:jc w:val="lef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在仁和区务本乡乌拉村开展“温带水果复合型产出功能结构”改造示范桃、樱桃等果林下种魔芋20亩，科技服务魔芋30.25亩。</w:t>
            </w:r>
          </w:p>
        </w:tc>
        <w:tc>
          <w:tcPr>
            <w:tcW w:w="1273" w:type="dxa"/>
          </w:tcPr>
          <w:p>
            <w:pPr>
              <w:spacing w:line="360" w:lineRule="exact"/>
              <w:jc w:val="lef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超额完成任务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2" w:hRule="atLeast"/>
        </w:trPr>
        <w:tc>
          <w:tcPr>
            <w:tcW w:w="815" w:type="dxa"/>
            <w:vAlign w:val="center"/>
          </w:tcPr>
          <w:p>
            <w:pPr>
              <w:spacing w:line="360" w:lineRule="exact"/>
              <w:jc w:val="center"/>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3</w:t>
            </w:r>
          </w:p>
        </w:tc>
        <w:tc>
          <w:tcPr>
            <w:tcW w:w="3522" w:type="dxa"/>
            <w:vAlign w:val="center"/>
          </w:tcPr>
          <w:p>
            <w:pPr>
              <w:widowControl/>
              <w:adjustRightInd w:val="0"/>
              <w:snapToGrid w:val="0"/>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制作培训手册5期以上，印制发放2000册以上，制作魔芋教学与示范视频10个以上，现场培训指导70次以上，培训指导人次1500人次以上。</w:t>
            </w:r>
          </w:p>
        </w:tc>
        <w:tc>
          <w:tcPr>
            <w:tcW w:w="3028" w:type="dxa"/>
          </w:tcPr>
          <w:p>
            <w:pPr>
              <w:widowControl/>
              <w:adjustRightInd w:val="0"/>
              <w:snapToGrid w:val="0"/>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制作培训手册9期，印制发放3000册，制作魔芋教学与示范视频11个，现场培训指导180余次，培训指导人次1550余次。</w:t>
            </w:r>
          </w:p>
        </w:tc>
        <w:tc>
          <w:tcPr>
            <w:tcW w:w="1273"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超额完成任务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2" w:hRule="atLeast"/>
        </w:trPr>
        <w:tc>
          <w:tcPr>
            <w:tcW w:w="815" w:type="dxa"/>
            <w:vAlign w:val="center"/>
          </w:tcPr>
          <w:p>
            <w:pPr>
              <w:spacing w:line="360" w:lineRule="exact"/>
              <w:jc w:val="center"/>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4</w:t>
            </w:r>
          </w:p>
        </w:tc>
        <w:tc>
          <w:tcPr>
            <w:tcW w:w="3522" w:type="dxa"/>
            <w:vAlign w:val="center"/>
          </w:tcPr>
          <w:p>
            <w:pPr>
              <w:widowControl/>
              <w:adjustRightInd w:val="0"/>
              <w:snapToGrid w:val="0"/>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经济指标。核心示范基地魔芋增产15%以上，农户魔芋收入增加20%以上；辐射带动魔芋增产10%以上，农户魔芋收入增加15%以上。</w:t>
            </w:r>
          </w:p>
        </w:tc>
        <w:tc>
          <w:tcPr>
            <w:tcW w:w="3028" w:type="dxa"/>
          </w:tcPr>
          <w:p>
            <w:pPr>
              <w:widowControl/>
              <w:adjustRightInd w:val="0"/>
              <w:snapToGrid w:val="0"/>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经济指标。核心示范基地魔芋增产25--360%，农户魔芋收入增加25--300%；辐射带动魔芋增产20--200%，农户魔芋收入增加20--150%。</w:t>
            </w:r>
          </w:p>
        </w:tc>
        <w:tc>
          <w:tcPr>
            <w:tcW w:w="1273"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超额完成任务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15" w:type="dxa"/>
            <w:vAlign w:val="center"/>
          </w:tcPr>
          <w:p>
            <w:pPr>
              <w:spacing w:line="360" w:lineRule="exact"/>
              <w:jc w:val="center"/>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5</w:t>
            </w:r>
          </w:p>
        </w:tc>
        <w:tc>
          <w:tcPr>
            <w:tcW w:w="3522" w:type="dxa"/>
            <w:vAlign w:val="center"/>
          </w:tcPr>
          <w:p>
            <w:pPr>
              <w:widowControl/>
              <w:adjustRightInd w:val="0"/>
              <w:snapToGrid w:val="0"/>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满意度指标。核心示范基地种魔芋群众满意度≥95%。</w:t>
            </w:r>
          </w:p>
          <w:p>
            <w:pPr>
              <w:spacing w:line="360" w:lineRule="exact"/>
              <w:ind w:firstLine="463" w:firstLineChars="193"/>
              <w:rPr>
                <w:rFonts w:ascii="方正仿宋简体" w:hAnsi="方正仿宋简体" w:eastAsia="方正仿宋简体" w:cs="方正仿宋简体"/>
                <w:color w:val="000000"/>
                <w:sz w:val="24"/>
              </w:rPr>
            </w:pPr>
          </w:p>
        </w:tc>
        <w:tc>
          <w:tcPr>
            <w:tcW w:w="3028" w:type="dxa"/>
          </w:tcPr>
          <w:p>
            <w:pPr>
              <w:widowControl/>
              <w:adjustRightInd w:val="0"/>
              <w:snapToGrid w:val="0"/>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满意度指标。核心示范基地种魔芋群众满意度100%。经调研盐边侯文朝等、米易张礼文等、仁和唐定海等100多户魔芋示范户和群众，群众满意度100%。</w:t>
            </w:r>
          </w:p>
        </w:tc>
        <w:tc>
          <w:tcPr>
            <w:tcW w:w="1273"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815" w:type="dxa"/>
            <w:vAlign w:val="center"/>
          </w:tcPr>
          <w:p>
            <w:pPr>
              <w:spacing w:line="360" w:lineRule="exact"/>
              <w:jc w:val="center"/>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6</w:t>
            </w:r>
          </w:p>
        </w:tc>
        <w:tc>
          <w:tcPr>
            <w:tcW w:w="3522" w:type="dxa"/>
            <w:vAlign w:val="center"/>
          </w:tcPr>
          <w:p>
            <w:pPr>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示范600亩，辐射带动5000亩。</w:t>
            </w:r>
          </w:p>
        </w:tc>
        <w:tc>
          <w:tcPr>
            <w:tcW w:w="3028" w:type="dxa"/>
          </w:tcPr>
          <w:p>
            <w:pPr>
              <w:widowControl/>
              <w:adjustRightInd w:val="0"/>
              <w:snapToGrid w:val="0"/>
              <w:spacing w:line="360" w:lineRule="exact"/>
              <w:ind w:firstLine="463" w:firstLineChars="193"/>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示范694亩，辐射带动全市1.2万余亩。</w:t>
            </w:r>
          </w:p>
          <w:p>
            <w:pPr>
              <w:widowControl/>
              <w:adjustRightInd w:val="0"/>
              <w:snapToGrid w:val="0"/>
              <w:spacing w:line="360" w:lineRule="exact"/>
              <w:ind w:firstLine="463" w:firstLineChars="193"/>
              <w:rPr>
                <w:rFonts w:ascii="方正仿宋简体" w:hAnsi="方正仿宋简体" w:eastAsia="方正仿宋简体" w:cs="方正仿宋简体"/>
                <w:color w:val="000000"/>
                <w:sz w:val="24"/>
              </w:rPr>
            </w:pPr>
          </w:p>
        </w:tc>
        <w:tc>
          <w:tcPr>
            <w:tcW w:w="1273"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超额完成任务</w:t>
            </w:r>
          </w:p>
        </w:tc>
      </w:tr>
    </w:tbl>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p>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r>
        <w:rPr>
          <w:rFonts w:hint="eastAsia" w:ascii="方正楷体简体" w:hAnsi="方正楷体简体" w:eastAsia="方正楷体简体" w:cs="方正楷体简体"/>
          <w:b/>
          <w:sz w:val="33"/>
          <w:szCs w:val="33"/>
          <w:lang w:val="zh-CN"/>
        </w:rPr>
        <w:t>（二）项目效益情况。</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巩固和拓展项目组已经成功探索研究出的核桃--魔芋、芒果--魔芋、樱桃--魔芋、桃--魔芋、花椒--魔芋、梨--魔芋、板栗--魔芋、桑椹--魔芋、枇杷--魔芋、松树--魔芋等果林套种模式。</w:t>
      </w:r>
    </w:p>
    <w:p>
      <w:pPr>
        <w:pStyle w:val="2"/>
        <w:spacing w:before="93" w:line="305" w:lineRule="auto"/>
        <w:ind w:firstLine="636" w:firstLineChars="193"/>
        <w:jc w:val="left"/>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1、经济效益如下表</w:t>
      </w:r>
    </w:p>
    <w:p>
      <w:pPr>
        <w:pStyle w:val="2"/>
        <w:spacing w:before="93" w:line="305" w:lineRule="auto"/>
        <w:ind w:firstLine="636" w:firstLineChars="193"/>
        <w:jc w:val="left"/>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测产示范户2021年魔芋价亩产值（元）</w:t>
      </w:r>
    </w:p>
    <w:tbl>
      <w:tblPr>
        <w:tblStyle w:val="13"/>
        <w:tblW w:w="8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6"/>
        <w:gridCol w:w="1037"/>
        <w:gridCol w:w="1108"/>
        <w:gridCol w:w="1625"/>
        <w:gridCol w:w="1038"/>
        <w:gridCol w:w="1038"/>
        <w:gridCol w:w="1038"/>
        <w:gridCol w:w="1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1" w:hRule="atLeast"/>
        </w:trPr>
        <w:tc>
          <w:tcPr>
            <w:tcW w:w="1036"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盐边县国胜乡机房村果林</w:t>
            </w:r>
          </w:p>
        </w:tc>
        <w:tc>
          <w:tcPr>
            <w:tcW w:w="1037"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米易县新山傈僳族乡新山村果林</w:t>
            </w:r>
          </w:p>
        </w:tc>
        <w:tc>
          <w:tcPr>
            <w:tcW w:w="1108"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在仁和区啊喇乡起查喇村果林</w:t>
            </w:r>
          </w:p>
        </w:tc>
        <w:tc>
          <w:tcPr>
            <w:tcW w:w="1625"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在仁和区啊喇乡官房村果林</w:t>
            </w:r>
          </w:p>
        </w:tc>
        <w:tc>
          <w:tcPr>
            <w:tcW w:w="1038"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在仁和区平地镇波西村果林</w:t>
            </w:r>
          </w:p>
        </w:tc>
        <w:tc>
          <w:tcPr>
            <w:tcW w:w="1038"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务本乡乌拉村果林</w:t>
            </w:r>
          </w:p>
        </w:tc>
        <w:tc>
          <w:tcPr>
            <w:tcW w:w="1038"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永兴镇岩门村果林</w:t>
            </w:r>
          </w:p>
        </w:tc>
        <w:tc>
          <w:tcPr>
            <w:tcW w:w="1038"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在仁和区平地镇白拉古村果林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036"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7900</w:t>
            </w:r>
          </w:p>
        </w:tc>
        <w:tc>
          <w:tcPr>
            <w:tcW w:w="1037"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8600</w:t>
            </w:r>
          </w:p>
        </w:tc>
        <w:tc>
          <w:tcPr>
            <w:tcW w:w="1108"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13973</w:t>
            </w:r>
          </w:p>
        </w:tc>
        <w:tc>
          <w:tcPr>
            <w:tcW w:w="1625"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13553.56</w:t>
            </w:r>
          </w:p>
        </w:tc>
        <w:tc>
          <w:tcPr>
            <w:tcW w:w="1038"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8890</w:t>
            </w:r>
          </w:p>
        </w:tc>
        <w:tc>
          <w:tcPr>
            <w:tcW w:w="1038"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9500</w:t>
            </w:r>
          </w:p>
        </w:tc>
        <w:tc>
          <w:tcPr>
            <w:tcW w:w="1038"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9800</w:t>
            </w:r>
          </w:p>
        </w:tc>
        <w:tc>
          <w:tcPr>
            <w:tcW w:w="1038" w:type="dxa"/>
          </w:tcPr>
          <w:p>
            <w:pPr>
              <w:spacing w:line="360" w:lineRule="exact"/>
              <w:rPr>
                <w:rFonts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sz w:val="24"/>
              </w:rPr>
              <w:t>9577</w:t>
            </w:r>
          </w:p>
        </w:tc>
      </w:tr>
    </w:tbl>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上表果林主要是核桃、森林、枇杷、桃、樱桃、板栗等，这些果林大多数是空作或者种了少量玉米、土豆或者其它豆类，对空作的果林套种魔芋，亩增收一般4000--5000余元，有的高达4万余元。果林种魔芋比种玉米、土豆或者其它豆类增收25--400%。尤其是不少核桃户因收捡核桃卖不够工钱，很多核桃户没有核桃收入，但核桃下种魔芋的农户至少也有几千元的魔芋收入。</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2、生态、社会效益。（1）果林套种魔芋，对巩固拓展脱贫攻坚成果、助力乡村振兴具有重要意义。本项目核心示范面积694亩，通过与各区县农技人员以及脱贫村第一书记等村社干部合作，示范推广6000余亩，辐射带动全市1.2万余亩魔芋种植生产。在米易、盐边、仁和区和西区27个乡镇、70个村（脱贫村46个），培养示范户341户。多策并举如现场培训、发资料、制作教学教育视频、建立QQ群、微信群等，来提升村民种植技术、拓展思想观念，群众思想观念有所改变，生产技术水平有所提高，对“果林--魔芋”模式初步有了信心，魔芋产业基地基本形成。如盐边县国胜乡机房村果林--魔芋5000余亩，米易县新山乡新山村280余亩，仁和区啊喇乡起查喇村385亩、官房村520等等。（2）果林套种魔芋果林地产出结构功能得到有效改善，充分利用果林空间或者果林空闲期间，增加亩收入。（3）高干牧草套种魔芋。在盐边县格萨拉乡海拔2800余米以高干牧草为档风墙试种魔芋效果较好（此地从来没有种过魔芋，种植业是土豆、乔麦、燕麦，牧草矮小质量差，比较效益差。），为该地万亩天然草场引进了新的增收希望。</w:t>
      </w:r>
    </w:p>
    <w:p>
      <w:pPr>
        <w:pStyle w:val="2"/>
        <w:spacing w:before="93" w:line="305" w:lineRule="auto"/>
        <w:ind w:firstLine="636" w:firstLineChars="193"/>
        <w:jc w:val="left"/>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3、农户和项目下达单位的满意度。2021年9月下旬，市乡村振兴局组织相关领导与专家进行了现场检查，检查结果满意。经调查示范区内魔芋种植户，满意度100%</w:t>
      </w:r>
    </w:p>
    <w:p>
      <w:pPr>
        <w:adjustRightInd w:val="0"/>
        <w:snapToGrid w:val="0"/>
        <w:spacing w:line="305" w:lineRule="auto"/>
        <w:ind w:firstLine="636" w:firstLineChars="193"/>
        <w:rPr>
          <w:rFonts w:ascii="方正黑体简体" w:hAnsi="方正黑体简体" w:eastAsia="方正黑体简体" w:cs="方正黑体简体"/>
          <w:sz w:val="33"/>
          <w:szCs w:val="33"/>
        </w:rPr>
      </w:pPr>
      <w:r>
        <w:rPr>
          <w:rFonts w:hint="eastAsia" w:ascii="方正黑体简体" w:hAnsi="方正黑体简体" w:eastAsia="方正黑体简体" w:cs="方正黑体简体"/>
          <w:sz w:val="33"/>
          <w:szCs w:val="33"/>
        </w:rPr>
        <w:t>五、评价结论及建议</w:t>
      </w:r>
    </w:p>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r>
        <w:rPr>
          <w:rFonts w:hint="eastAsia" w:ascii="方正楷体简体" w:hAnsi="方正楷体简体" w:eastAsia="方正楷体简体" w:cs="方正楷体简体"/>
          <w:b/>
          <w:sz w:val="33"/>
          <w:szCs w:val="33"/>
          <w:lang w:val="zh-CN"/>
        </w:rPr>
        <w:t>（一）评价结论。</w:t>
      </w:r>
    </w:p>
    <w:p>
      <w:pPr>
        <w:pStyle w:val="2"/>
        <w:spacing w:before="93" w:line="305" w:lineRule="auto"/>
        <w:ind w:firstLine="636" w:firstLineChars="193"/>
        <w:jc w:val="left"/>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项目全面完成任务指标。</w:t>
      </w:r>
    </w:p>
    <w:p>
      <w:pPr>
        <w:pStyle w:val="2"/>
        <w:spacing w:before="93" w:line="305" w:lineRule="auto"/>
        <w:ind w:firstLine="636" w:firstLineChars="193"/>
        <w:jc w:val="left"/>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一是各级领导高度重视和支持</w:t>
      </w:r>
    </w:p>
    <w:p>
      <w:pPr>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经过各级党委政府的协同和项目组成员、村民的一年多的努力，推广精准扶贫福田模式——魔芋产业链项目取得的成果受到了各级领导的重视和支持，相关各级、各位领导极为关心和支持本项目组开展林果套种魔芋工作，市扶贫开发局2017年以来持续支持培育项目组持续开展林果套种魔芋研发工作，邓斌副市长对本项目组林果套种魔芋产业取得的成绩做了亲笔批示。</w:t>
      </w:r>
    </w:p>
    <w:p>
      <w:pPr>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二是主要创新点</w:t>
      </w:r>
    </w:p>
    <w:p>
      <w:pPr>
        <w:spacing w:line="305" w:lineRule="auto"/>
        <w:ind w:firstLine="636" w:firstLineChars="193"/>
        <w:rPr>
          <w:rFonts w:ascii="方正仿宋简体" w:hAnsi="方正仿宋简体" w:eastAsia="方正仿宋简体" w:cs="方正仿宋简体"/>
          <w:color w:val="000000"/>
          <w:sz w:val="33"/>
          <w:szCs w:val="33"/>
          <w:shd w:val="clear" w:color="auto" w:fill="FFFFFF"/>
        </w:rPr>
      </w:pPr>
      <w:r>
        <w:rPr>
          <w:rFonts w:hint="eastAsia" w:ascii="方正仿宋简体" w:hAnsi="方正仿宋简体" w:eastAsia="方正仿宋简体" w:cs="方正仿宋简体"/>
          <w:color w:val="000000"/>
          <w:sz w:val="33"/>
          <w:szCs w:val="33"/>
          <w:shd w:val="clear" w:color="auto" w:fill="FFFFFF"/>
        </w:rPr>
        <w:t>1、成功研制魔芋软腐病绿色防控技术，魔芋发病率控制在5%以内。</w:t>
      </w:r>
    </w:p>
    <w:p>
      <w:pPr>
        <w:spacing w:line="305" w:lineRule="auto"/>
        <w:ind w:firstLine="636" w:firstLineChars="193"/>
        <w:rPr>
          <w:rFonts w:ascii="方正仿宋简体" w:hAnsi="方正仿宋简体" w:eastAsia="方正仿宋简体" w:cs="方正仿宋简体"/>
          <w:color w:val="000000"/>
          <w:sz w:val="33"/>
          <w:szCs w:val="33"/>
          <w:shd w:val="clear" w:color="auto" w:fill="FFFFFF"/>
        </w:rPr>
      </w:pPr>
      <w:r>
        <w:rPr>
          <w:rFonts w:hint="eastAsia" w:ascii="方正仿宋简体" w:hAnsi="方正仿宋简体" w:eastAsia="方正仿宋简体" w:cs="方正仿宋简体"/>
          <w:color w:val="000000"/>
          <w:sz w:val="33"/>
          <w:szCs w:val="33"/>
          <w:shd w:val="clear" w:color="auto" w:fill="FFFFFF"/>
        </w:rPr>
        <w:t xml:space="preserve">2、魔芋新品种引种成功。  </w:t>
      </w:r>
    </w:p>
    <w:p>
      <w:pPr>
        <w:spacing w:line="305" w:lineRule="auto"/>
        <w:ind w:firstLine="636" w:firstLineChars="193"/>
        <w:rPr>
          <w:rFonts w:ascii="方正仿宋简体" w:hAnsi="方正仿宋简体" w:eastAsia="方正仿宋简体" w:cs="方正仿宋简体"/>
          <w:color w:val="000000"/>
          <w:sz w:val="33"/>
          <w:szCs w:val="33"/>
          <w:shd w:val="clear" w:color="auto" w:fill="FFFFFF"/>
        </w:rPr>
      </w:pPr>
      <w:r>
        <w:rPr>
          <w:rFonts w:hint="eastAsia" w:ascii="方正仿宋简体" w:hAnsi="方正仿宋简体" w:eastAsia="方正仿宋简体" w:cs="方正仿宋简体"/>
          <w:color w:val="000000"/>
          <w:sz w:val="33"/>
          <w:szCs w:val="33"/>
          <w:shd w:val="clear" w:color="auto" w:fill="FFFFFF"/>
        </w:rPr>
        <w:t>3、魔芋扩繁技术是普通技术的100-900倍。</w:t>
      </w:r>
    </w:p>
    <w:p>
      <w:pPr>
        <w:spacing w:line="305" w:lineRule="auto"/>
        <w:ind w:firstLine="636" w:firstLineChars="193"/>
        <w:rPr>
          <w:rFonts w:ascii="方正仿宋简体" w:hAnsi="方正仿宋简体" w:eastAsia="方正仿宋简体" w:cs="方正仿宋简体"/>
          <w:color w:val="000000"/>
          <w:sz w:val="33"/>
          <w:szCs w:val="33"/>
          <w:shd w:val="clear" w:color="auto" w:fill="FFFFFF"/>
        </w:rPr>
      </w:pPr>
      <w:r>
        <w:rPr>
          <w:rFonts w:hint="eastAsia" w:ascii="方正仿宋简体" w:hAnsi="方正仿宋简体" w:eastAsia="方正仿宋简体" w:cs="方正仿宋简体"/>
          <w:color w:val="000000"/>
          <w:sz w:val="33"/>
          <w:szCs w:val="33"/>
          <w:shd w:val="clear" w:color="auto" w:fill="FFFFFF"/>
        </w:rPr>
        <w:t>4、扩大了攀枝花魔芋种植区域。</w:t>
      </w:r>
    </w:p>
    <w:p>
      <w:pPr>
        <w:pStyle w:val="2"/>
        <w:spacing w:before="93" w:line="305" w:lineRule="auto"/>
        <w:ind w:firstLine="636" w:firstLineChars="193"/>
        <w:jc w:val="left"/>
        <w:rPr>
          <w:rFonts w:ascii="方正仿宋简体" w:hAnsi="方正仿宋简体" w:eastAsia="方正仿宋简体" w:cs="方正仿宋简体"/>
          <w:color w:val="000000"/>
          <w:sz w:val="33"/>
          <w:szCs w:val="33"/>
          <w:shd w:val="clear" w:color="auto" w:fill="FFFFFF"/>
        </w:rPr>
      </w:pPr>
      <w:r>
        <w:rPr>
          <w:rFonts w:hint="eastAsia" w:ascii="方正仿宋简体" w:hAnsi="方正仿宋简体" w:eastAsia="方正仿宋简体" w:cs="方正仿宋简体"/>
          <w:color w:val="000000"/>
          <w:sz w:val="33"/>
          <w:szCs w:val="33"/>
          <w:shd w:val="clear" w:color="auto" w:fill="FFFFFF"/>
        </w:rPr>
        <w:t>5、成功研制出果林--魔芋套种模式</w:t>
      </w:r>
    </w:p>
    <w:p>
      <w:pPr>
        <w:pStyle w:val="3"/>
        <w:spacing w:line="305" w:lineRule="auto"/>
        <w:ind w:firstLine="636" w:firstLineChars="193"/>
        <w:rPr>
          <w:rFonts w:ascii="方正仿宋简体" w:hAnsi="方正仿宋简体" w:eastAsia="方正仿宋简体" w:cs="方正仿宋简体"/>
          <w:color w:val="000000"/>
          <w:kern w:val="2"/>
          <w:sz w:val="33"/>
          <w:szCs w:val="33"/>
          <w:shd w:val="clear" w:color="auto" w:fill="FFFFFF"/>
        </w:rPr>
      </w:pPr>
      <w:r>
        <w:rPr>
          <w:rFonts w:hint="eastAsia" w:ascii="方正仿宋简体" w:hAnsi="方正仿宋简体" w:eastAsia="方正仿宋简体" w:cs="方正仿宋简体"/>
          <w:color w:val="000000"/>
          <w:sz w:val="33"/>
          <w:szCs w:val="33"/>
          <w:shd w:val="clear" w:color="auto" w:fill="FFFFFF"/>
        </w:rPr>
        <w:t>6、</w:t>
      </w:r>
      <w:r>
        <w:rPr>
          <w:rFonts w:hint="eastAsia" w:ascii="方正仿宋简体" w:hAnsi="方正仿宋简体" w:eastAsia="方正仿宋简体" w:cs="方正仿宋简体"/>
          <w:color w:val="000000"/>
          <w:kern w:val="2"/>
          <w:sz w:val="33"/>
          <w:szCs w:val="33"/>
          <w:shd w:val="clear" w:color="auto" w:fill="FFFFFF"/>
        </w:rPr>
        <w:t>变核桃、芒果等产业市场困境为产业优势----魔芋正好需要遮荫。</w:t>
      </w:r>
    </w:p>
    <w:p>
      <w:pPr>
        <w:pStyle w:val="3"/>
        <w:spacing w:line="305" w:lineRule="auto"/>
        <w:ind w:firstLine="636" w:firstLineChars="193"/>
        <w:rPr>
          <w:rFonts w:ascii="方正仿宋简体" w:hAnsi="方正仿宋简体" w:eastAsia="方正仿宋简体" w:cs="方正仿宋简体"/>
          <w:color w:val="000000"/>
          <w:kern w:val="2"/>
          <w:sz w:val="33"/>
          <w:szCs w:val="33"/>
          <w:shd w:val="clear" w:color="auto" w:fill="FFFFFF"/>
        </w:rPr>
      </w:pPr>
      <w:r>
        <w:rPr>
          <w:rFonts w:hint="eastAsia" w:ascii="方正仿宋简体" w:hAnsi="方正仿宋简体" w:eastAsia="方正仿宋简体" w:cs="方正仿宋简体"/>
          <w:color w:val="000000"/>
          <w:kern w:val="2"/>
          <w:sz w:val="33"/>
          <w:szCs w:val="33"/>
          <w:shd w:val="clear" w:color="auto" w:fill="FFFFFF"/>
        </w:rPr>
        <w:t>7、</w:t>
      </w:r>
      <w:r>
        <w:rPr>
          <w:rFonts w:hint="eastAsia" w:ascii="方正仿宋简体" w:hAnsi="方正仿宋简体" w:eastAsia="方正仿宋简体" w:cs="方正仿宋简体"/>
          <w:color w:val="000000"/>
          <w:sz w:val="33"/>
          <w:szCs w:val="33"/>
          <w:shd w:val="clear" w:color="auto" w:fill="FFFFFF"/>
        </w:rPr>
        <w:t>采用多点大数据发开展研发工作</w:t>
      </w:r>
      <w:r>
        <w:rPr>
          <w:rFonts w:hint="eastAsia" w:ascii="方正仿宋简体" w:hAnsi="方正仿宋简体" w:eastAsia="方正仿宋简体" w:cs="方正仿宋简体"/>
          <w:color w:val="000000"/>
          <w:kern w:val="2"/>
          <w:sz w:val="33"/>
          <w:szCs w:val="33"/>
          <w:shd w:val="clear" w:color="auto" w:fill="FFFFFF"/>
        </w:rPr>
        <w:t>，研发内容所用时间大大缩短</w:t>
      </w:r>
    </w:p>
    <w:p>
      <w:pPr>
        <w:pStyle w:val="3"/>
        <w:spacing w:line="305" w:lineRule="auto"/>
        <w:ind w:firstLine="636" w:firstLineChars="193"/>
        <w:rPr>
          <w:rFonts w:ascii="方正仿宋简体" w:hAnsi="方正仿宋简体" w:eastAsia="方正仿宋简体" w:cs="方正仿宋简体"/>
          <w:color w:val="000000"/>
          <w:kern w:val="2"/>
          <w:sz w:val="33"/>
          <w:szCs w:val="33"/>
          <w:shd w:val="clear" w:color="auto" w:fill="FFFFFF"/>
        </w:rPr>
      </w:pPr>
      <w:r>
        <w:rPr>
          <w:rFonts w:hint="eastAsia" w:ascii="方正仿宋简体" w:hAnsi="方正仿宋简体" w:eastAsia="方正仿宋简体" w:cs="方正仿宋简体"/>
          <w:color w:val="000000"/>
          <w:kern w:val="2"/>
          <w:sz w:val="33"/>
          <w:szCs w:val="33"/>
          <w:shd w:val="clear" w:color="auto" w:fill="FFFFFF"/>
        </w:rPr>
        <w:t>8、四川省第一个也是唯一的一个魔芋项目组建立了魔芋种质资源圃。</w:t>
      </w:r>
    </w:p>
    <w:p>
      <w:pPr>
        <w:pStyle w:val="3"/>
        <w:spacing w:line="305" w:lineRule="auto"/>
        <w:ind w:firstLine="636" w:firstLineChars="193"/>
        <w:rPr>
          <w:rFonts w:ascii="方正仿宋简体" w:hAnsi="方正仿宋简体" w:eastAsia="方正仿宋简体" w:cs="方正仿宋简体"/>
          <w:color w:val="000000"/>
          <w:kern w:val="2"/>
          <w:sz w:val="33"/>
          <w:szCs w:val="33"/>
          <w:shd w:val="clear" w:color="auto" w:fill="FFFFFF"/>
        </w:rPr>
      </w:pPr>
      <w:r>
        <w:rPr>
          <w:rFonts w:hint="eastAsia" w:ascii="方正仿宋简体" w:hAnsi="方正仿宋简体" w:eastAsia="方正仿宋简体" w:cs="方正仿宋简体"/>
          <w:color w:val="000000"/>
          <w:kern w:val="2"/>
          <w:sz w:val="33"/>
          <w:szCs w:val="33"/>
          <w:shd w:val="clear" w:color="auto" w:fill="FFFFFF"/>
        </w:rPr>
        <w:t>9、破解科技、空间和时间难题。制作教学、教育视频，培养示范户和专家助手，破解专家少科技需求量大、村民学习空间与时间等一系列难题</w:t>
      </w:r>
    </w:p>
    <w:p>
      <w:pPr>
        <w:pStyle w:val="3"/>
        <w:spacing w:line="305" w:lineRule="auto"/>
        <w:ind w:firstLine="636" w:firstLineChars="193"/>
        <w:rPr>
          <w:rFonts w:ascii="方正仿宋简体" w:hAnsi="方正仿宋简体" w:eastAsia="方正仿宋简体" w:cs="方正仿宋简体"/>
          <w:color w:val="000000"/>
          <w:kern w:val="2"/>
          <w:sz w:val="33"/>
          <w:szCs w:val="33"/>
          <w:shd w:val="clear" w:color="auto" w:fill="FFFFFF"/>
        </w:rPr>
      </w:pPr>
      <w:r>
        <w:rPr>
          <w:rFonts w:hint="eastAsia" w:ascii="方正仿宋简体" w:hAnsi="方正仿宋简体" w:eastAsia="方正仿宋简体" w:cs="方正仿宋简体"/>
          <w:color w:val="000000"/>
          <w:kern w:val="2"/>
          <w:sz w:val="33"/>
          <w:szCs w:val="33"/>
          <w:shd w:val="clear" w:color="auto" w:fill="FFFFFF"/>
        </w:rPr>
        <w:t>10、揭示花魔芋繁殖规律，纠正错误种植习惯--魔芋必须年年种年年挖。</w:t>
      </w:r>
    </w:p>
    <w:p>
      <w:pPr>
        <w:pStyle w:val="3"/>
        <w:spacing w:line="305" w:lineRule="auto"/>
        <w:ind w:firstLine="636" w:firstLineChars="193"/>
        <w:rPr>
          <w:rFonts w:ascii="方正仿宋简体" w:hAnsi="方正仿宋简体" w:eastAsia="方正仿宋简体" w:cs="方正仿宋简体"/>
          <w:color w:val="000000"/>
          <w:kern w:val="2"/>
          <w:sz w:val="33"/>
          <w:szCs w:val="33"/>
          <w:shd w:val="clear" w:color="auto" w:fill="FFFFFF"/>
        </w:rPr>
      </w:pPr>
      <w:r>
        <w:rPr>
          <w:rFonts w:hint="eastAsia" w:ascii="方正仿宋简体" w:hAnsi="方正仿宋简体" w:eastAsia="方正仿宋简体" w:cs="方正仿宋简体"/>
          <w:color w:val="000000"/>
          <w:kern w:val="2"/>
          <w:sz w:val="33"/>
          <w:szCs w:val="33"/>
          <w:shd w:val="clear" w:color="auto" w:fill="FFFFFF"/>
        </w:rPr>
        <w:t>11、申请发明专利和使用新型专利各1项。</w:t>
      </w:r>
    </w:p>
    <w:p>
      <w:pPr>
        <w:pStyle w:val="3"/>
        <w:spacing w:line="305" w:lineRule="auto"/>
        <w:ind w:firstLine="636" w:firstLineChars="193"/>
        <w:rPr>
          <w:rFonts w:ascii="方正仿宋简体" w:hAnsi="方正仿宋简体" w:eastAsia="方正仿宋简体" w:cs="方正仿宋简体"/>
          <w:color w:val="000000"/>
          <w:kern w:val="2"/>
          <w:sz w:val="33"/>
          <w:szCs w:val="33"/>
          <w:shd w:val="clear" w:color="auto" w:fill="FFFFFF"/>
        </w:rPr>
      </w:pPr>
      <w:r>
        <w:rPr>
          <w:rFonts w:hint="eastAsia" w:ascii="方正仿宋简体" w:hAnsi="方正仿宋简体" w:eastAsia="方正仿宋简体" w:cs="方正仿宋简体"/>
          <w:color w:val="000000"/>
          <w:kern w:val="2"/>
          <w:sz w:val="33"/>
          <w:szCs w:val="33"/>
          <w:shd w:val="clear" w:color="auto" w:fill="FFFFFF"/>
        </w:rPr>
        <w:t>12、突破了花魔芋“不能连作”的传统。</w:t>
      </w:r>
    </w:p>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r>
        <w:rPr>
          <w:rFonts w:hint="eastAsia" w:ascii="方正楷体简体" w:hAnsi="方正楷体简体" w:eastAsia="方正楷体简体" w:cs="方正楷体简体"/>
          <w:b/>
          <w:sz w:val="33"/>
          <w:szCs w:val="33"/>
          <w:lang w:val="zh-CN"/>
        </w:rPr>
        <w:t>（二）存在的问题。</w:t>
      </w:r>
    </w:p>
    <w:p>
      <w:pPr>
        <w:adjustRightInd w:val="0"/>
        <w:snapToGrid w:val="0"/>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bCs/>
          <w:sz w:val="33"/>
          <w:szCs w:val="33"/>
        </w:rPr>
        <w:t>农户思想意识有待提高，坐、靠、等思想比较严重，执行项目难度大。开展此类项目</w:t>
      </w:r>
      <w:r>
        <w:rPr>
          <w:rFonts w:hint="eastAsia" w:ascii="方正仿宋简体" w:hAnsi="方正仿宋简体" w:eastAsia="方正仿宋简体" w:cs="方正仿宋简体"/>
          <w:sz w:val="33"/>
          <w:szCs w:val="33"/>
        </w:rPr>
        <w:t>需要足够量的工作经费，但本项目不能开支工作经费，工作难度大非常大。</w:t>
      </w:r>
    </w:p>
    <w:p>
      <w:pPr>
        <w:adjustRightInd w:val="0"/>
        <w:snapToGrid w:val="0"/>
        <w:spacing w:line="305" w:lineRule="auto"/>
        <w:ind w:firstLine="639" w:firstLineChars="193"/>
        <w:rPr>
          <w:rFonts w:ascii="方正楷体简体" w:hAnsi="方正楷体简体" w:eastAsia="方正楷体简体" w:cs="方正楷体简体"/>
          <w:b/>
          <w:sz w:val="33"/>
          <w:szCs w:val="33"/>
          <w:lang w:val="zh-CN"/>
        </w:rPr>
      </w:pPr>
      <w:r>
        <w:rPr>
          <w:rFonts w:hint="eastAsia" w:ascii="方正楷体简体" w:hAnsi="方正楷体简体" w:eastAsia="方正楷体简体" w:cs="方正楷体简体"/>
          <w:b/>
          <w:sz w:val="33"/>
          <w:szCs w:val="33"/>
          <w:lang w:val="zh-CN"/>
        </w:rPr>
        <w:t>（三）相关建议。</w:t>
      </w:r>
    </w:p>
    <w:p>
      <w:pPr>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攀枝花魔芋产业的潜力巨大。攀枝花有芒果、核桃、樱桃、桃、梨、花椒等经济林果167万余亩、有森林748万余亩都可以种魔芋。它们产业单一，抗市场风险和自然风险力弱。发展果林套种魔芋模式，是攀枝花目前或者是较长一段时间内，最优势的果林产出功能结构模式。</w:t>
      </w:r>
    </w:p>
    <w:p>
      <w:pPr>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攀枝花能种魔芋潜力地至少有200万亩，假设按10万亩珠芽金魔芋计，亩产2吨，年产20万吨，每吨3500元，鲜魔芋产值可达7亿元。魔芋加工厂及其深加工魔芋等产业链发展，产值更为可观，小小魔芋也能发展成大产业。”</w:t>
      </w:r>
    </w:p>
    <w:p>
      <w:pPr>
        <w:pStyle w:val="3"/>
        <w:spacing w:line="305" w:lineRule="auto"/>
        <w:ind w:firstLine="636" w:firstLineChars="193"/>
        <w:rPr>
          <w:rFonts w:ascii="方正仿宋简体" w:hAnsi="方正仿宋简体" w:eastAsia="方正仿宋简体" w:cs="方正仿宋简体"/>
          <w:sz w:val="33"/>
          <w:szCs w:val="33"/>
        </w:rPr>
      </w:pPr>
    </w:p>
    <w:p>
      <w:pPr>
        <w:pStyle w:val="3"/>
        <w:spacing w:line="305" w:lineRule="auto"/>
        <w:ind w:firstLine="636" w:firstLineChars="193"/>
        <w:rPr>
          <w:rFonts w:ascii="方正仿宋简体" w:hAnsi="方正仿宋简体" w:eastAsia="方正仿宋简体" w:cs="方正仿宋简体"/>
          <w:sz w:val="33"/>
          <w:szCs w:val="33"/>
        </w:rPr>
      </w:pPr>
    </w:p>
    <w:p>
      <w:pPr>
        <w:pStyle w:val="3"/>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sz w:val="33"/>
          <w:szCs w:val="33"/>
        </w:rPr>
        <w:t>附件3：</w:t>
      </w:r>
    </w:p>
    <w:p>
      <w:pPr>
        <w:adjustRightInd w:val="0"/>
        <w:snapToGrid w:val="0"/>
        <w:spacing w:line="305" w:lineRule="auto"/>
        <w:ind w:firstLine="636" w:firstLineChars="193"/>
        <w:jc w:val="center"/>
        <w:rPr>
          <w:rFonts w:ascii="方正小标宋_GBK" w:hAnsi="方正小标宋_GBK" w:eastAsia="方正小标宋_GBK" w:cs="方正小标宋_GBK"/>
          <w:sz w:val="33"/>
          <w:szCs w:val="33"/>
        </w:rPr>
      </w:pPr>
      <w:r>
        <w:rPr>
          <w:rFonts w:hint="eastAsia" w:ascii="方正小标宋_GBK" w:hAnsi="方正小标宋_GBK" w:eastAsia="方正小标宋_GBK" w:cs="方正小标宋_GBK"/>
          <w:sz w:val="33"/>
          <w:szCs w:val="33"/>
        </w:rPr>
        <w:t>《四川省奶油果（鳄梨）品种资源圃建设》项目</w:t>
      </w:r>
    </w:p>
    <w:p>
      <w:pPr>
        <w:adjustRightInd w:val="0"/>
        <w:snapToGrid w:val="0"/>
        <w:spacing w:line="305" w:lineRule="auto"/>
        <w:ind w:firstLine="636" w:firstLineChars="193"/>
        <w:jc w:val="center"/>
        <w:rPr>
          <w:rFonts w:ascii="方正小标宋_GBK" w:hAnsi="方正小标宋_GBK" w:eastAsia="方正小标宋_GBK" w:cs="方正小标宋_GBK"/>
          <w:color w:val="000000"/>
          <w:sz w:val="33"/>
          <w:szCs w:val="33"/>
        </w:rPr>
      </w:pPr>
      <w:r>
        <w:rPr>
          <w:rFonts w:hint="eastAsia" w:ascii="方正小标宋_GBK" w:hAnsi="方正小标宋_GBK" w:eastAsia="方正小标宋_GBK" w:cs="方正小标宋_GBK"/>
          <w:sz w:val="33"/>
          <w:szCs w:val="33"/>
        </w:rPr>
        <w:t>支出绩效自评报告</w:t>
      </w:r>
    </w:p>
    <w:p>
      <w:pPr>
        <w:adjustRightInd w:val="0"/>
        <w:snapToGrid w:val="0"/>
        <w:spacing w:line="305" w:lineRule="auto"/>
        <w:ind w:firstLine="636" w:firstLineChars="193"/>
        <w:rPr>
          <w:rFonts w:ascii="方正仿宋简体" w:hAnsi="方正仿宋简体" w:eastAsia="方正仿宋简体" w:cs="方正仿宋简体"/>
          <w:color w:val="000000"/>
          <w:sz w:val="33"/>
          <w:szCs w:val="33"/>
          <w:lang w:val="zh-CN"/>
        </w:rPr>
      </w:pPr>
    </w:p>
    <w:p>
      <w:pPr>
        <w:adjustRightInd w:val="0"/>
        <w:snapToGrid w:val="0"/>
        <w:spacing w:line="305" w:lineRule="auto"/>
        <w:ind w:firstLine="636" w:firstLineChars="193"/>
        <w:rPr>
          <w:rFonts w:ascii="方正黑体简体" w:hAnsi="方正黑体简体" w:eastAsia="方正黑体简体" w:cs="方正黑体简体"/>
          <w:color w:val="000000"/>
          <w:sz w:val="33"/>
          <w:szCs w:val="33"/>
          <w:lang w:val="zh-CN"/>
        </w:rPr>
      </w:pPr>
      <w:r>
        <w:rPr>
          <w:rFonts w:hint="eastAsia" w:ascii="方正黑体简体" w:hAnsi="方正黑体简体" w:eastAsia="方正黑体简体" w:cs="方正黑体简体"/>
          <w:color w:val="000000"/>
          <w:sz w:val="33"/>
          <w:szCs w:val="33"/>
          <w:lang w:val="zh-CN"/>
        </w:rPr>
        <w:t>一、项目概况</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（一）项目基本情况</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四川省奶油果（鳄梨）品种资源圃建设》项目是四川省农业厅于2020年下达给市农林科学院的现代农业发展工程项目，攀枝花市农林科学研究院承担培训、指导30人次；新引进奶油果新品种、新材料5个以上；维护品种资源圃（面积50亩）的健康发展，支持攀西地区奶油果产业发展。</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项目严格按照《四川省财政厅 四川省农业农村厅关于下达 2020年省级财政现代农业发展工程共同财政事权转移支付资金的通知》（川财农〔2020〕 19 号）的要求管理项目资金。对项目实施、资金使用、资金兑付等重点环节进行监督检查，做到规范透明、阳光操作。年度项目建设完成后，及时对项目资金进行审计，确保项目保质保量高效完成。</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2020年，川财农〔2020〕 19号《关于下达2020年省级财政现代农业发展工程共同财政事权                                                                     转移支付资金的通知》附件1、2及攀财资农〔2020〕 19 号《攀枝花市财政局 攀枝花市农业农村局 关于下达 2020 年省级财政现代农业发展工程共同财政事权转移支付资金的通知》附件1、2，下达资金150万元，培训、指导30人次；引进奶油果新品种、新材料5个以上；支付资金执行率≧90%，任务完成期限1年；区域内新型经营主体和农牧民满意度≧80。</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（二）项目绩效目标</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2020年度《四川省奶油果（鳄梨）品种资源圃建设》项目主要内容、绩效目标及分析评价如下。</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完成结果：1. 引进奶油果新品种、新材料10个以上</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2. 培训、指导70人次</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完成质量：1.项目任务指标合格率达到100%</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效益指标：1.资源收集保存数量持续增加</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2.</w:t>
      </w:r>
      <w:r>
        <w:rPr>
          <w:rFonts w:hint="eastAsia" w:ascii="方正仿宋简体" w:hAnsi="方正仿宋简体" w:eastAsia="方正仿宋简体" w:cs="方正仿宋简体"/>
          <w:sz w:val="33"/>
          <w:szCs w:val="33"/>
        </w:rPr>
        <w:t xml:space="preserve"> </w:t>
      </w:r>
      <w:r>
        <w:rPr>
          <w:rFonts w:hint="eastAsia" w:ascii="方正仿宋简体" w:hAnsi="方正仿宋简体" w:eastAsia="方正仿宋简体" w:cs="方正仿宋简体"/>
          <w:color w:val="000000"/>
          <w:sz w:val="33"/>
          <w:szCs w:val="33"/>
        </w:rPr>
        <w:t>奶油果生产面积逐年增加，强力支撑培育新型产业</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3.</w:t>
      </w:r>
      <w:r>
        <w:rPr>
          <w:rFonts w:hint="eastAsia" w:ascii="方正仿宋简体" w:hAnsi="方正仿宋简体" w:eastAsia="方正仿宋简体" w:cs="方正仿宋简体"/>
          <w:sz w:val="33"/>
          <w:szCs w:val="33"/>
        </w:rPr>
        <w:t xml:space="preserve"> </w:t>
      </w:r>
      <w:r>
        <w:rPr>
          <w:rFonts w:hint="eastAsia" w:ascii="方正仿宋简体" w:hAnsi="方正仿宋简体" w:eastAsia="方正仿宋简体" w:cs="方正仿宋简体"/>
          <w:color w:val="000000"/>
          <w:sz w:val="33"/>
          <w:szCs w:val="33"/>
        </w:rPr>
        <w:t>培育了一批懂奶油果栽培技术的领头人</w:t>
      </w:r>
    </w:p>
    <w:p>
      <w:pPr>
        <w:spacing w:line="305" w:lineRule="auto"/>
        <w:ind w:firstLine="636" w:firstLineChars="193"/>
        <w:rPr>
          <w:rFonts w:ascii="方正仿宋简体" w:hAnsi="方正仿宋简体" w:eastAsia="方正仿宋简体" w:cs="方正仿宋简体"/>
          <w:color w:val="000000"/>
          <w:kern w:val="0"/>
          <w:sz w:val="33"/>
          <w:szCs w:val="33"/>
        </w:rPr>
      </w:pPr>
      <w:r>
        <w:rPr>
          <w:rFonts w:hint="eastAsia" w:ascii="方正仿宋简体" w:hAnsi="方正仿宋简体" w:eastAsia="方正仿宋简体" w:cs="方正仿宋简体"/>
          <w:color w:val="000000"/>
          <w:sz w:val="33"/>
          <w:szCs w:val="33"/>
        </w:rPr>
        <w:t>4. 产业影响力持续增加</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5.受益群众满意度达到90%以上</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（三）项目自评步骤及方法</w:t>
      </w:r>
    </w:p>
    <w:p>
      <w:pPr>
        <w:adjustRightInd w:val="0"/>
        <w:snapToGrid w:val="0"/>
        <w:spacing w:line="305" w:lineRule="auto"/>
        <w:ind w:firstLine="639" w:firstLineChars="193"/>
        <w:rPr>
          <w:rFonts w:ascii="方正仿宋简体" w:hAnsi="方正仿宋简体" w:eastAsia="方正仿宋简体" w:cs="方正仿宋简体"/>
          <w:b/>
          <w:color w:val="000000"/>
          <w:sz w:val="33"/>
          <w:szCs w:val="33"/>
        </w:rPr>
      </w:pPr>
      <w:r>
        <w:rPr>
          <w:rFonts w:hint="eastAsia" w:ascii="方正仿宋简体" w:hAnsi="方正仿宋简体" w:eastAsia="方正仿宋简体" w:cs="方正仿宋简体"/>
          <w:b/>
          <w:color w:val="000000"/>
          <w:sz w:val="33"/>
          <w:szCs w:val="33"/>
        </w:rPr>
        <w:t>1.自评步骤</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一是细化指标评价体系。根据项目支出绩效评价工作通知要求，结合我院奶油果品种资源圃建设实际情况设计细化评价指标体系。</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二是开展绩效评价自查。根据奶油果品种资源圃建设具体情况，结合设计细化后的指标评价体系开展自查自评，形成自评报告和绩效评价表。</w:t>
      </w:r>
    </w:p>
    <w:p>
      <w:pPr>
        <w:adjustRightInd w:val="0"/>
        <w:snapToGrid w:val="0"/>
        <w:spacing w:line="305" w:lineRule="auto"/>
        <w:ind w:firstLine="639" w:firstLineChars="193"/>
        <w:rPr>
          <w:rFonts w:ascii="方正仿宋简体" w:hAnsi="方正仿宋简体" w:eastAsia="方正仿宋简体" w:cs="方正仿宋简体"/>
          <w:b/>
          <w:color w:val="000000"/>
          <w:sz w:val="33"/>
          <w:szCs w:val="33"/>
        </w:rPr>
      </w:pPr>
      <w:r>
        <w:rPr>
          <w:rFonts w:hint="eastAsia" w:ascii="方正仿宋简体" w:hAnsi="方正仿宋简体" w:eastAsia="方正仿宋简体" w:cs="方正仿宋简体"/>
          <w:b/>
          <w:color w:val="000000"/>
          <w:sz w:val="33"/>
          <w:szCs w:val="33"/>
        </w:rPr>
        <w:t>2.自评方法</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自评工作主要采用定量与定性相结合的方法。对于可量化的指标，根据财政厅项目支出绩效评价指标体系及技术、管理和工作标准进行细化、量化，赋予相应分值；对于无法量化的指标，根据客观依据判断得分，采用是否评分法。根据奶油果品种资源圃建设目标任务，结合项目实施过程中的具体实际情况综合得出该项目的自评得分。</w:t>
      </w:r>
    </w:p>
    <w:p>
      <w:pPr>
        <w:adjustRightInd w:val="0"/>
        <w:snapToGrid w:val="0"/>
        <w:spacing w:line="305" w:lineRule="auto"/>
        <w:ind w:firstLine="636" w:firstLineChars="193"/>
        <w:rPr>
          <w:rFonts w:ascii="方正黑体简体" w:hAnsi="方正黑体简体" w:eastAsia="方正黑体简体" w:cs="方正黑体简体"/>
          <w:color w:val="000000"/>
          <w:sz w:val="33"/>
          <w:szCs w:val="33"/>
          <w:lang w:val="zh-CN"/>
        </w:rPr>
      </w:pPr>
      <w:r>
        <w:rPr>
          <w:rFonts w:hint="eastAsia" w:ascii="方正黑体简体" w:hAnsi="方正黑体简体" w:eastAsia="方正黑体简体" w:cs="方正黑体简体"/>
          <w:color w:val="000000"/>
          <w:sz w:val="33"/>
          <w:szCs w:val="33"/>
          <w:lang w:val="zh-CN"/>
        </w:rPr>
        <w:t>二、项目资金申报及使用情况</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（一）项目资金申报及批复情况</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2020年项目资金150万元，批复150万元。</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（二）资金计划、到位及使用情况（单位：万元）</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资金计划：项目省级财政投资150万元。</w:t>
      </w:r>
    </w:p>
    <w:p>
      <w:pPr>
        <w:spacing w:line="305" w:lineRule="auto"/>
        <w:ind w:firstLine="636" w:firstLineChars="193"/>
        <w:rPr>
          <w:rFonts w:ascii="方正仿宋简体" w:hAnsi="方正仿宋简体" w:eastAsia="方正仿宋简体" w:cs="方正仿宋简体"/>
          <w:sz w:val="33"/>
          <w:szCs w:val="33"/>
        </w:rPr>
      </w:pPr>
      <w:r>
        <w:rPr>
          <w:rFonts w:hint="eastAsia" w:ascii="方正仿宋简体" w:hAnsi="方正仿宋简体" w:eastAsia="方正仿宋简体" w:cs="方正仿宋简体"/>
          <w:color w:val="000000"/>
          <w:sz w:val="33"/>
          <w:szCs w:val="33"/>
        </w:rPr>
        <w:t>资金到位：</w:t>
      </w:r>
      <w:r>
        <w:rPr>
          <w:rFonts w:hint="eastAsia" w:ascii="方正仿宋简体" w:hAnsi="方正仿宋简体" w:eastAsia="方正仿宋简体" w:cs="方正仿宋简体"/>
          <w:sz w:val="33"/>
          <w:szCs w:val="33"/>
        </w:rPr>
        <w:t xml:space="preserve"> 2020年收拨奶油果科研工作经费150万元。</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sz w:val="33"/>
          <w:szCs w:val="33"/>
        </w:rPr>
        <w:t>使用情况：截止2022年6月</w:t>
      </w:r>
      <w:r>
        <w:rPr>
          <w:rFonts w:ascii="方正仿宋简体" w:hAnsi="方正仿宋简体" w:eastAsia="方正仿宋简体" w:cs="方正仿宋简体"/>
          <w:sz w:val="33"/>
          <w:szCs w:val="33"/>
        </w:rPr>
        <w:t>30</w:t>
      </w:r>
      <w:r>
        <w:rPr>
          <w:rFonts w:hint="eastAsia" w:ascii="方正仿宋简体" w:hAnsi="方正仿宋简体" w:eastAsia="方正仿宋简体" w:cs="方正仿宋简体"/>
          <w:sz w:val="33"/>
          <w:szCs w:val="33"/>
        </w:rPr>
        <w:t>日，奶油果2020年科研工作项目共到位150万元，支出约127万元。</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2020年省级财政资金按计划全部及时足额到位，资金支付与预算及项目实施方案相符，支付范围、支付标准、支付依据合规合法。</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（三）项目财务管理情况</w:t>
      </w:r>
    </w:p>
    <w:p>
      <w:pPr>
        <w:spacing w:line="305" w:lineRule="auto"/>
        <w:ind w:firstLine="636" w:firstLineChars="193"/>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在项目实施过程中，项目严格遵照省财政厅、省农业农村厅的相关规定严格执行。实行先计划审批后报账，专款专用、专人负责，账务处理及时、会计核算规范。</w:t>
      </w:r>
    </w:p>
    <w:p>
      <w:pPr>
        <w:adjustRightInd w:val="0"/>
        <w:snapToGrid w:val="0"/>
        <w:spacing w:line="305" w:lineRule="auto"/>
        <w:ind w:firstLine="636" w:firstLineChars="193"/>
        <w:rPr>
          <w:rFonts w:ascii="方正黑体简体" w:hAnsi="方正黑体简体" w:eastAsia="方正黑体简体" w:cs="方正黑体简体"/>
          <w:color w:val="000000"/>
          <w:sz w:val="33"/>
          <w:szCs w:val="33"/>
        </w:rPr>
      </w:pPr>
      <w:r>
        <w:rPr>
          <w:rFonts w:hint="eastAsia" w:ascii="方正黑体简体" w:hAnsi="方正黑体简体" w:eastAsia="方正黑体简体" w:cs="方正黑体简体"/>
          <w:color w:val="000000"/>
          <w:sz w:val="33"/>
          <w:szCs w:val="33"/>
        </w:rPr>
        <w:t>三、项目实施及管理情况</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（一）项目组织架构及实施流程</w:t>
      </w:r>
    </w:p>
    <w:p>
      <w:pPr>
        <w:spacing w:line="305" w:lineRule="auto"/>
        <w:ind w:firstLine="660" w:firstLineChars="200"/>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1、专项资金分配。省农业农村厅与2020年8月下达财政资金到达我院。资金到达我院后，根据项目实施方案经费预算列出的资金安排原则，提出项目资金安排计划。</w:t>
      </w:r>
    </w:p>
    <w:p>
      <w:pPr>
        <w:adjustRightInd w:val="0"/>
        <w:snapToGrid w:val="0"/>
        <w:spacing w:line="305" w:lineRule="auto"/>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 xml:space="preserve">    2、方案编制审批。我院编制《四川省奶油果（鳄梨）品种资源圃建设项目2020年科研工作实施方案》，报省农业农村厅、市农业农村部门评审、批复，并获通过。</w:t>
      </w:r>
    </w:p>
    <w:p>
      <w:pPr>
        <w:adjustRightInd w:val="0"/>
        <w:snapToGrid w:val="0"/>
        <w:spacing w:line="305" w:lineRule="auto"/>
        <w:ind w:firstLine="720"/>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3、组织项目实施。实施方案批复后，成立以果树专业科技人员为主的项目组负责项目的组织实施，分管副院长亲自监督实施。项目物资采购严格执行政府采购要求和市农林院的非政府采购管理办法，严格落实审批制、合同制、监理制和公示制。</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（二）项目管理情况</w:t>
      </w:r>
    </w:p>
    <w:p>
      <w:pPr>
        <w:adjustRightInd w:val="0"/>
        <w:snapToGrid w:val="0"/>
        <w:spacing w:line="305" w:lineRule="auto"/>
        <w:ind w:firstLine="720"/>
        <w:rPr>
          <w:rFonts w:ascii="方正仿宋简体" w:hAnsi="方正仿宋简体" w:eastAsia="方正仿宋简体" w:cs="方正仿宋简体"/>
          <w:color w:val="000000"/>
          <w:sz w:val="33"/>
          <w:szCs w:val="33"/>
          <w:lang w:val="zh-CN"/>
        </w:rPr>
      </w:pPr>
      <w:r>
        <w:rPr>
          <w:rFonts w:hint="eastAsia" w:ascii="方正仿宋简体" w:hAnsi="方正仿宋简体" w:eastAsia="方正仿宋简体" w:cs="方正仿宋简体"/>
          <w:color w:val="000000"/>
          <w:sz w:val="33"/>
          <w:szCs w:val="33"/>
        </w:rPr>
        <w:t>根据省、市财政主管部门相关办法、文件规定，加强《四川省奶油果（鳄梨）品种资源圃建设》项目管理，将项目管理职责进行了明确和细化；对项目资金支出范围、分配下达、使用管理、监督检查和绩效评价等各个环节进行了规范和明确。</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（三）项目监管情况</w:t>
      </w:r>
    </w:p>
    <w:p>
      <w:pPr>
        <w:spacing w:line="305" w:lineRule="auto"/>
        <w:jc w:val="left"/>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 xml:space="preserve">    根据《四川省财政厅 四川省农业农村厅关于下达 2020年省级财政现代农业发展工程共同财政事权转移支付资金的通知》（川财农〔2020〕 19 号）的要求管理项目资金，结合建设工作实际，不定期对项目进行督促指导，确保工作建设进度和建设质量。</w:t>
      </w:r>
    </w:p>
    <w:p>
      <w:pPr>
        <w:adjustRightInd w:val="0"/>
        <w:snapToGrid w:val="0"/>
        <w:spacing w:line="305" w:lineRule="auto"/>
        <w:ind w:firstLine="720"/>
        <w:rPr>
          <w:rFonts w:ascii="方正黑体简体" w:hAnsi="方正黑体简体" w:eastAsia="方正黑体简体" w:cs="方正黑体简体"/>
          <w:color w:val="000000"/>
          <w:sz w:val="33"/>
          <w:szCs w:val="33"/>
        </w:rPr>
      </w:pPr>
      <w:r>
        <w:rPr>
          <w:rFonts w:hint="eastAsia" w:ascii="方正黑体简体" w:hAnsi="方正黑体简体" w:eastAsia="方正黑体简体" w:cs="方正黑体简体"/>
          <w:color w:val="000000"/>
          <w:sz w:val="33"/>
          <w:szCs w:val="33"/>
        </w:rPr>
        <w:t>四、项目绩效情况</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（一）项目完成情况</w:t>
      </w:r>
    </w:p>
    <w:p>
      <w:pPr>
        <w:adjustRightInd w:val="0"/>
        <w:snapToGrid w:val="0"/>
        <w:spacing w:line="305" w:lineRule="auto"/>
        <w:ind w:firstLine="720"/>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截至12月31日，我院建成奶油果品种资源圃引进新品种、新材料10份，累计收集资源83份；另建隔离圃5亩。除资金使用率滞后，任务指标进度达100%，现正在开展奶油果栽培相关试验，期望对专项试验有所突破。</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（二）项目效益情况</w:t>
      </w:r>
    </w:p>
    <w:p>
      <w:pPr>
        <w:spacing w:line="305" w:lineRule="auto"/>
        <w:ind w:firstLine="660" w:firstLineChars="200"/>
        <w:rPr>
          <w:rFonts w:ascii="方正仿宋简体" w:hAnsi="方正仿宋简体" w:eastAsia="方正仿宋简体" w:cs="方正仿宋简体"/>
          <w:sz w:val="33"/>
          <w:szCs w:val="33"/>
          <w:lang w:val="zh-CN"/>
        </w:rPr>
      </w:pPr>
      <w:r>
        <w:rPr>
          <w:rFonts w:hint="eastAsia" w:ascii="方正仿宋简体" w:hAnsi="方正仿宋简体" w:eastAsia="方正仿宋简体" w:cs="方正仿宋简体"/>
          <w:color w:val="000000"/>
          <w:sz w:val="33"/>
          <w:szCs w:val="33"/>
        </w:rPr>
        <w:t>《四川省奶油果（鳄梨）品种资源圃建设》项目</w:t>
      </w:r>
      <w:r>
        <w:rPr>
          <w:rFonts w:hint="eastAsia" w:ascii="方正仿宋简体" w:hAnsi="方正仿宋简体" w:eastAsia="方正仿宋简体" w:cs="方正仿宋简体"/>
          <w:sz w:val="33"/>
          <w:szCs w:val="33"/>
          <w:lang w:val="zh-CN"/>
        </w:rPr>
        <w:t>具有跨年度实施的特点，2018年主要进行园地建设，新建完善基础设施，2019-2020年大量进行资源引进保存，截止到202</w:t>
      </w:r>
      <w:r>
        <w:rPr>
          <w:rFonts w:hint="eastAsia" w:ascii="方正仿宋简体" w:hAnsi="方正仿宋简体" w:eastAsia="方正仿宋简体" w:cs="方正仿宋简体"/>
          <w:sz w:val="33"/>
          <w:szCs w:val="33"/>
        </w:rPr>
        <w:t>1</w:t>
      </w:r>
      <w:r>
        <w:rPr>
          <w:rFonts w:hint="eastAsia" w:ascii="方正仿宋简体" w:hAnsi="方正仿宋简体" w:eastAsia="方正仿宋简体" w:cs="方正仿宋简体"/>
          <w:sz w:val="33"/>
          <w:szCs w:val="33"/>
          <w:lang w:val="zh-CN"/>
        </w:rPr>
        <w:t>年底，已经累计保存资源83份，今年陆续引进</w:t>
      </w:r>
      <w:r>
        <w:rPr>
          <w:rFonts w:hint="eastAsia" w:ascii="方正仿宋简体" w:hAnsi="方正仿宋简体" w:eastAsia="方正仿宋简体" w:cs="方正仿宋简体"/>
          <w:sz w:val="33"/>
          <w:szCs w:val="33"/>
        </w:rPr>
        <w:t>5份；</w:t>
      </w:r>
      <w:r>
        <w:rPr>
          <w:rFonts w:hint="eastAsia" w:ascii="方正仿宋简体" w:hAnsi="方正仿宋简体" w:eastAsia="方正仿宋简体" w:cs="方正仿宋简体"/>
          <w:sz w:val="33"/>
          <w:szCs w:val="33"/>
          <w:lang w:val="zh-CN"/>
        </w:rPr>
        <w:t>全市奶油果栽培面积达5</w:t>
      </w:r>
      <w:r>
        <w:rPr>
          <w:rFonts w:hint="eastAsia" w:ascii="方正仿宋简体" w:hAnsi="方正仿宋简体" w:eastAsia="方正仿宋简体" w:cs="方正仿宋简体"/>
          <w:sz w:val="33"/>
          <w:szCs w:val="33"/>
        </w:rPr>
        <w:t>3</w:t>
      </w:r>
      <w:r>
        <w:rPr>
          <w:rFonts w:hint="eastAsia" w:ascii="方正仿宋简体" w:hAnsi="方正仿宋简体" w:eastAsia="方正仿宋简体" w:cs="方正仿宋简体"/>
          <w:sz w:val="33"/>
          <w:szCs w:val="33"/>
          <w:lang w:val="zh-CN"/>
        </w:rPr>
        <w:t>00亩，预计2-3年以后，其奶油果栽培面积接近10000亩</w:t>
      </w:r>
      <w:r>
        <w:rPr>
          <w:rFonts w:hint="eastAsia" w:ascii="方正仿宋简体" w:hAnsi="方正仿宋简体" w:eastAsia="方正仿宋简体" w:cs="方正仿宋简体"/>
          <w:sz w:val="33"/>
          <w:szCs w:val="33"/>
        </w:rPr>
        <w:t>，新的产业主体可能出现，水果产业结构更为优化</w:t>
      </w:r>
      <w:r>
        <w:rPr>
          <w:rFonts w:hint="eastAsia" w:ascii="方正仿宋简体" w:hAnsi="方正仿宋简体" w:eastAsia="方正仿宋简体" w:cs="方正仿宋简体"/>
          <w:color w:val="000000"/>
          <w:kern w:val="0"/>
          <w:sz w:val="33"/>
          <w:szCs w:val="33"/>
        </w:rPr>
        <w:t>。</w:t>
      </w:r>
    </w:p>
    <w:p>
      <w:pPr>
        <w:adjustRightInd w:val="0"/>
        <w:snapToGrid w:val="0"/>
        <w:spacing w:line="305" w:lineRule="auto"/>
        <w:ind w:firstLine="720"/>
        <w:rPr>
          <w:rFonts w:ascii="方正黑体简体" w:hAnsi="方正黑体简体" w:eastAsia="方正黑体简体" w:cs="方正黑体简体"/>
          <w:color w:val="000000"/>
          <w:sz w:val="33"/>
          <w:szCs w:val="33"/>
        </w:rPr>
      </w:pPr>
      <w:r>
        <w:rPr>
          <w:rFonts w:hint="eastAsia" w:ascii="方正黑体简体" w:hAnsi="方正黑体简体" w:eastAsia="方正黑体简体" w:cs="方正黑体简体"/>
          <w:color w:val="000000"/>
          <w:sz w:val="33"/>
          <w:szCs w:val="33"/>
        </w:rPr>
        <w:t>五、评价结论及建议</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（一）评价结论</w:t>
      </w:r>
    </w:p>
    <w:p>
      <w:pPr>
        <w:spacing w:line="305" w:lineRule="auto"/>
        <w:ind w:firstLine="660" w:firstLineChars="200"/>
        <w:rPr>
          <w:rFonts w:ascii="方正仿宋简体" w:hAnsi="方正仿宋简体" w:eastAsia="方正仿宋简体" w:cs="方正仿宋简体"/>
          <w:sz w:val="33"/>
          <w:szCs w:val="33"/>
          <w:lang w:val="zh-CN"/>
        </w:rPr>
      </w:pPr>
      <w:r>
        <w:rPr>
          <w:rFonts w:hint="eastAsia" w:ascii="方正仿宋简体" w:hAnsi="方正仿宋简体" w:eastAsia="方正仿宋简体" w:cs="方正仿宋简体"/>
          <w:color w:val="000000"/>
          <w:sz w:val="33"/>
          <w:szCs w:val="33"/>
        </w:rPr>
        <w:t>《四川省奶油果（鳄梨）品种资源圃建设》</w:t>
      </w:r>
      <w:r>
        <w:rPr>
          <w:rFonts w:hint="eastAsia" w:ascii="方正仿宋简体" w:hAnsi="方正仿宋简体" w:eastAsia="方正仿宋简体" w:cs="方正仿宋简体"/>
          <w:sz w:val="33"/>
          <w:szCs w:val="33"/>
          <w:lang w:val="zh-CN"/>
        </w:rPr>
        <w:t>项目</w:t>
      </w:r>
      <w:r>
        <w:rPr>
          <w:rFonts w:hint="eastAsia" w:ascii="方正仿宋简体" w:hAnsi="方正仿宋简体" w:eastAsia="方正仿宋简体" w:cs="方正仿宋简体"/>
          <w:sz w:val="33"/>
          <w:szCs w:val="33"/>
        </w:rPr>
        <w:t>自评得分为</w:t>
      </w:r>
      <w:r>
        <w:rPr>
          <w:rFonts w:hint="eastAsia" w:ascii="方正仿宋简体" w:hAnsi="方正仿宋简体" w:eastAsia="方正仿宋简体" w:cs="方正仿宋简体"/>
          <w:sz w:val="33"/>
          <w:szCs w:val="33"/>
          <w:lang w:val="zh-CN"/>
        </w:rPr>
        <w:t>9</w:t>
      </w:r>
      <w:r>
        <w:rPr>
          <w:rFonts w:hint="eastAsia" w:ascii="方正仿宋简体" w:hAnsi="方正仿宋简体" w:eastAsia="方正仿宋简体" w:cs="方正仿宋简体"/>
          <w:sz w:val="33"/>
          <w:szCs w:val="33"/>
        </w:rPr>
        <w:t>8.0</w:t>
      </w:r>
      <w:r>
        <w:rPr>
          <w:rFonts w:hint="eastAsia" w:ascii="方正仿宋简体" w:hAnsi="方正仿宋简体" w:eastAsia="方正仿宋简体" w:cs="方正仿宋简体"/>
          <w:sz w:val="33"/>
          <w:szCs w:val="33"/>
          <w:lang w:val="zh-CN"/>
        </w:rPr>
        <w:t>分，项目自评为优秀。</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（二）存在的问题</w:t>
      </w:r>
    </w:p>
    <w:p>
      <w:pPr>
        <w:adjustRightInd w:val="0"/>
        <w:snapToGrid w:val="0"/>
        <w:spacing w:line="305" w:lineRule="auto"/>
        <w:ind w:firstLine="720"/>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工作中存在以下突出问题：</w:t>
      </w:r>
    </w:p>
    <w:p>
      <w:pPr>
        <w:adjustRightInd w:val="0"/>
        <w:snapToGrid w:val="0"/>
        <w:spacing w:line="305" w:lineRule="auto"/>
        <w:ind w:firstLine="720"/>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一是资金开支滞后；</w:t>
      </w:r>
    </w:p>
    <w:p>
      <w:pPr>
        <w:spacing w:line="305" w:lineRule="auto"/>
        <w:ind w:firstLine="720"/>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二是受疫情影响，外出考察、交流、引种受限；</w:t>
      </w:r>
    </w:p>
    <w:p>
      <w:pPr>
        <w:spacing w:line="305" w:lineRule="auto"/>
        <w:ind w:firstLine="720"/>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三是项目批复及经费下达迟，严重影响项目年头和年尾的部分工作；</w:t>
      </w:r>
    </w:p>
    <w:p>
      <w:pPr>
        <w:adjustRightInd w:val="0"/>
        <w:snapToGrid w:val="0"/>
        <w:spacing w:line="305" w:lineRule="auto"/>
        <w:ind w:firstLine="639" w:firstLineChars="193"/>
        <w:rPr>
          <w:rFonts w:ascii="方正楷体简体" w:hAnsi="方正楷体简体" w:eastAsia="方正楷体简体" w:cs="方正楷体简体"/>
          <w:b/>
          <w:color w:val="000000"/>
          <w:sz w:val="33"/>
          <w:szCs w:val="33"/>
          <w:lang w:val="zh-CN"/>
        </w:rPr>
      </w:pPr>
      <w:r>
        <w:rPr>
          <w:rFonts w:hint="eastAsia" w:ascii="方正楷体简体" w:hAnsi="方正楷体简体" w:eastAsia="方正楷体简体" w:cs="方正楷体简体"/>
          <w:b/>
          <w:color w:val="000000"/>
          <w:sz w:val="33"/>
          <w:szCs w:val="33"/>
          <w:lang w:val="zh-CN"/>
        </w:rPr>
        <w:t>（三）相关建议</w:t>
      </w:r>
    </w:p>
    <w:p>
      <w:pPr>
        <w:spacing w:line="305" w:lineRule="auto"/>
        <w:ind w:firstLine="646" w:firstLineChars="196"/>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一是给予项目滚动支持，果树项目需要时间积累，要投入很多的人力、物力、财力。</w:t>
      </w:r>
    </w:p>
    <w:p>
      <w:pPr>
        <w:spacing w:line="305" w:lineRule="auto"/>
        <w:ind w:firstLine="646" w:firstLineChars="196"/>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二是在项目经费预算设置时列入差旅费项目，项目组成员开展技术下乡指导、产业调研，与科研同行交流相互取长补短，对促进产业健康发展、人才成长均是积极的。</w:t>
      </w:r>
    </w:p>
    <w:p>
      <w:pPr>
        <w:spacing w:line="305" w:lineRule="auto"/>
        <w:ind w:firstLine="646" w:firstLineChars="196"/>
        <w:rPr>
          <w:rFonts w:ascii="方正仿宋简体" w:hAnsi="方正仿宋简体" w:eastAsia="方正仿宋简体" w:cs="方正仿宋简体"/>
          <w:color w:val="000000"/>
          <w:sz w:val="33"/>
          <w:szCs w:val="33"/>
        </w:rPr>
      </w:pPr>
      <w:r>
        <w:rPr>
          <w:rFonts w:hint="eastAsia" w:ascii="方正仿宋简体" w:hAnsi="方正仿宋简体" w:eastAsia="方正仿宋简体" w:cs="方正仿宋简体"/>
          <w:color w:val="000000"/>
          <w:sz w:val="33"/>
          <w:szCs w:val="33"/>
        </w:rPr>
        <w:t>三是延长项目实施年限，奶油果的生长周期较长，项目一年一申报，不利于项目工作的连续性，也会耽搁时间影响工作的效率。</w:t>
      </w:r>
    </w:p>
    <w:p>
      <w:pPr>
        <w:spacing w:line="305" w:lineRule="auto"/>
        <w:ind w:firstLine="646" w:firstLineChars="196"/>
        <w:rPr>
          <w:lang w:val="zh-CN"/>
        </w:rPr>
      </w:pPr>
      <w:r>
        <w:rPr>
          <w:rFonts w:hint="eastAsia" w:ascii="方正仿宋简体" w:hAnsi="方正仿宋简体" w:eastAsia="方正仿宋简体" w:cs="方正仿宋简体"/>
          <w:color w:val="000000"/>
          <w:sz w:val="33"/>
          <w:szCs w:val="33"/>
        </w:rPr>
        <w:t>四是理顺管理体制。项目工作、项目资金、项目检查等可否在项目下达时列出明确的清单，方便科技人员在工作进行中将数据备案，减少不必要的、重复的资料上报。</w:t>
      </w: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1414" w:hRule="atLeast"/>
        </w:trPr>
        <w:tc>
          <w:tcPr>
            <w:tcW w:w="9577" w:type="dxa"/>
            <w:gridSpan w:val="6"/>
            <w:tcBorders>
              <w:top w:val="nil"/>
              <w:left w:val="nil"/>
              <w:bottom w:val="nil"/>
              <w:right w:val="nil"/>
            </w:tcBorders>
            <w:shd w:val="clear" w:color="auto" w:fill="auto"/>
            <w:vAlign w:val="center"/>
          </w:tcPr>
          <w:p>
            <w:pPr>
              <w:widowControl/>
              <w:adjustRightInd w:val="0"/>
              <w:snapToGrid w:val="0"/>
              <w:spacing w:line="320" w:lineRule="exact"/>
              <w:jc w:val="center"/>
              <w:textAlignment w:val="center"/>
              <w:rPr>
                <w:rFonts w:hint="eastAsia" w:ascii="方正仿宋简体" w:hAnsi="方正仿宋简体" w:eastAsia="方正仿宋简体" w:cs="方正仿宋简体"/>
                <w:b/>
                <w:sz w:val="24"/>
              </w:rPr>
            </w:pPr>
          </w:p>
          <w:p>
            <w:pPr>
              <w:widowControl/>
              <w:adjustRightInd w:val="0"/>
              <w:snapToGrid w:val="0"/>
              <w:spacing w:line="320" w:lineRule="exact"/>
              <w:jc w:val="center"/>
              <w:textAlignment w:val="center"/>
              <w:rPr>
                <w:rFonts w:hint="eastAsia" w:ascii="方正仿宋简体" w:hAnsi="方正仿宋简体" w:eastAsia="方正仿宋简体" w:cs="方正仿宋简体"/>
                <w:b/>
                <w:sz w:val="24"/>
              </w:rPr>
            </w:pPr>
          </w:p>
          <w:p>
            <w:pPr>
              <w:widowControl/>
              <w:adjustRightInd w:val="0"/>
              <w:snapToGrid w:val="0"/>
              <w:spacing w:line="320" w:lineRule="exact"/>
              <w:jc w:val="center"/>
              <w:textAlignment w:val="center"/>
              <w:rPr>
                <w:rFonts w:hint="eastAsia" w:ascii="方正仿宋简体" w:hAnsi="方正仿宋简体" w:eastAsia="方正仿宋简体" w:cs="方正仿宋简体"/>
                <w:b/>
                <w:sz w:val="24"/>
              </w:rPr>
            </w:pPr>
          </w:p>
          <w:p>
            <w:pPr>
              <w:widowControl/>
              <w:adjustRightInd w:val="0"/>
              <w:snapToGrid w:val="0"/>
              <w:spacing w:line="320" w:lineRule="exact"/>
              <w:jc w:val="center"/>
              <w:textAlignment w:val="center"/>
              <w:rPr>
                <w:rFonts w:hint="eastAsia" w:ascii="方正仿宋简体" w:hAnsi="方正仿宋简体" w:eastAsia="方正仿宋简体" w:cs="方正仿宋简体"/>
                <w:b/>
                <w:sz w:val="24"/>
              </w:rPr>
            </w:pPr>
          </w:p>
          <w:p>
            <w:pPr>
              <w:widowControl/>
              <w:adjustRightInd w:val="0"/>
              <w:snapToGrid w:val="0"/>
              <w:spacing w:line="320" w:lineRule="exact"/>
              <w:jc w:val="center"/>
              <w:textAlignment w:val="center"/>
              <w:rPr>
                <w:rFonts w:hint="eastAsia" w:ascii="方正仿宋简体" w:hAnsi="方正仿宋简体" w:eastAsia="方正仿宋简体" w:cs="方正仿宋简体"/>
                <w:b/>
                <w:sz w:val="24"/>
              </w:rPr>
            </w:pPr>
          </w:p>
          <w:p>
            <w:pPr>
              <w:widowControl/>
              <w:adjustRightInd w:val="0"/>
              <w:snapToGrid w:val="0"/>
              <w:spacing w:line="320" w:lineRule="exact"/>
              <w:jc w:val="center"/>
              <w:textAlignment w:val="center"/>
              <w:rPr>
                <w:rFonts w:hint="eastAsia" w:ascii="方正仿宋简体" w:hAnsi="方正仿宋简体" w:eastAsia="方正仿宋简体" w:cs="方正仿宋简体"/>
                <w:b/>
                <w:sz w:val="24"/>
              </w:rPr>
            </w:pPr>
          </w:p>
          <w:p>
            <w:pPr>
              <w:widowControl/>
              <w:adjustRightInd w:val="0"/>
              <w:snapToGrid w:val="0"/>
              <w:spacing w:line="320" w:lineRule="exact"/>
              <w:jc w:val="center"/>
              <w:textAlignment w:val="center"/>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rPr>
              <w:t>2021年特定目标类部门预算项目绩效目标自评</w:t>
            </w:r>
          </w:p>
          <w:p>
            <w:pPr>
              <w:widowControl/>
              <w:ind w:firstLine="1205" w:firstLineChars="500"/>
              <w:jc w:val="both"/>
              <w:textAlignment w:val="center"/>
              <w:rPr>
                <w:rFonts w:ascii="宋体" w:hAnsi="宋体" w:cs="宋体"/>
                <w:b/>
                <w:sz w:val="32"/>
                <w:szCs w:val="32"/>
              </w:rPr>
            </w:pPr>
            <w:r>
              <w:rPr>
                <w:rFonts w:hint="eastAsia" w:ascii="方正仿宋简体" w:hAnsi="方正仿宋简体" w:eastAsia="方正仿宋简体" w:cs="方正仿宋简体"/>
                <w:b/>
                <w:sz w:val="24"/>
              </w:rPr>
              <w:t>“农业农村部攀枝花金沙江干热河谷区农业科学观测实验站”项目</w:t>
            </w:r>
          </w:p>
        </w:tc>
        <w:tc>
          <w:tcPr>
            <w:tcW w:w="234"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4" w:type="dxa"/>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攀枝花市农林科学研究院</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项目预算</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执行情况</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1207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1067.68</w:t>
            </w:r>
          </w:p>
        </w:tc>
      </w:tr>
      <w:tr>
        <w:tblPrEx>
          <w:tblCellMar>
            <w:top w:w="0" w:type="dxa"/>
            <w:left w:w="108" w:type="dxa"/>
            <w:bottom w:w="0" w:type="dxa"/>
            <w:right w:w="108" w:type="dxa"/>
          </w:tblCellMar>
        </w:tblPrEx>
        <w:trPr>
          <w:gridAfter w:val="1"/>
          <w:wAfter w:w="234" w:type="dxa"/>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其中：</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1207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其中：</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1067.68</w:t>
            </w: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r>
      <w:tr>
        <w:tblPrEx>
          <w:tblCellMar>
            <w:top w:w="0" w:type="dxa"/>
            <w:left w:w="108" w:type="dxa"/>
            <w:bottom w:w="0" w:type="dxa"/>
            <w:right w:w="108" w:type="dxa"/>
          </w:tblCellMar>
        </w:tblPrEx>
        <w:trPr>
          <w:gridAfter w:val="1"/>
          <w:wAfter w:w="234" w:type="dxa"/>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年度总体目标</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目标实际完成情况</w:t>
            </w:r>
          </w:p>
        </w:tc>
      </w:tr>
      <w:tr>
        <w:tblPrEx>
          <w:tblCellMar>
            <w:top w:w="0" w:type="dxa"/>
            <w:left w:w="108" w:type="dxa"/>
            <w:bottom w:w="0" w:type="dxa"/>
            <w:right w:w="108" w:type="dxa"/>
          </w:tblCellMar>
        </w:tblPrEx>
        <w:trPr>
          <w:gridAfter w:val="1"/>
          <w:wAfter w:w="234" w:type="dxa"/>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资金预算执行进度与工程进度相匹配；通过项目建设，有效改善农业基础设施和科研条件，基础保障和科技创新能力明显提升。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eastAsia" w:ascii="方正仿宋简体" w:hAnsi="方正仿宋简体" w:eastAsia="方正仿宋简体" w:cs="方正仿宋简体"/>
                <w:kern w:val="0"/>
                <w:sz w:val="24"/>
                <w:lang w:eastAsia="zh-CN"/>
              </w:rPr>
            </w:pPr>
            <w:r>
              <w:rPr>
                <w:rFonts w:hint="eastAsia" w:ascii="方正仿宋简体" w:hAnsi="方正仿宋简体" w:eastAsia="方正仿宋简体" w:cs="方正仿宋简体"/>
                <w:kern w:val="0"/>
                <w:sz w:val="24"/>
                <w:lang w:eastAsia="zh-CN"/>
              </w:rPr>
              <w:t>按进度完成</w:t>
            </w:r>
          </w:p>
        </w:tc>
      </w:tr>
      <w:tr>
        <w:tblPrEx>
          <w:tblCellMar>
            <w:top w:w="0" w:type="dxa"/>
            <w:left w:w="108" w:type="dxa"/>
            <w:bottom w:w="0" w:type="dxa"/>
            <w:right w:w="108" w:type="dxa"/>
          </w:tblCellMar>
        </w:tblPrEx>
        <w:trPr>
          <w:gridAfter w:val="1"/>
          <w:wAfter w:w="234" w:type="dxa"/>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一级</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二级</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三级</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实际完成指标值</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完成</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完工项目个数</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1</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eastAsia="zh-CN"/>
              </w:rPr>
            </w:pPr>
            <w:r>
              <w:rPr>
                <w:rFonts w:hint="eastAsia" w:ascii="方正仿宋简体" w:hAnsi="方正仿宋简体" w:eastAsia="方正仿宋简体" w:cs="方正仿宋简体"/>
                <w:kern w:val="0"/>
                <w:sz w:val="24"/>
                <w:lang w:val="en-US" w:eastAsia="zh-CN"/>
              </w:rPr>
              <w:t>1</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工程竣工验收合格率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100%</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100%</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按进度计划实施情况</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按计划实施</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按计划实施</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支出投资/批复投资</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≤100%</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≤100%</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效益</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基础设施保障和科技创新能力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提升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eastAsia="zh-CN"/>
              </w:rPr>
              <w:t>完成</w:t>
            </w:r>
          </w:p>
        </w:tc>
      </w:tr>
      <w:tr>
        <w:tblPrEx>
          <w:tblCellMar>
            <w:top w:w="0" w:type="dxa"/>
            <w:left w:w="108" w:type="dxa"/>
            <w:bottom w:w="0" w:type="dxa"/>
            <w:right w:w="108" w:type="dxa"/>
          </w:tblCellMar>
        </w:tblPrEx>
        <w:trPr>
          <w:gridAfter w:val="1"/>
          <w:wAfter w:w="234" w:type="dxa"/>
          <w:trHeight w:val="577" w:hRule="atLeast"/>
        </w:trPr>
        <w:tc>
          <w:tcPr>
            <w:tcW w:w="1977"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节能减排和低碳环保水平</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提升</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eastAsia="zh-CN"/>
              </w:rPr>
              <w:t>完成</w:t>
            </w: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完工项目持续发挥作用期限</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≥10年</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eastAsia="zh-CN"/>
              </w:rPr>
            </w:pPr>
            <w:r>
              <w:rPr>
                <w:rFonts w:hint="eastAsia" w:ascii="方正仿宋简体" w:hAnsi="方正仿宋简体" w:eastAsia="方正仿宋简体" w:cs="方正仿宋简体"/>
                <w:kern w:val="0"/>
                <w:sz w:val="24"/>
                <w:lang w:eastAsia="zh-CN"/>
              </w:rPr>
              <w:t>持续影响中</w:t>
            </w:r>
          </w:p>
        </w:tc>
      </w:tr>
      <w:tr>
        <w:tblPrEx>
          <w:tblCellMar>
            <w:top w:w="0" w:type="dxa"/>
            <w:left w:w="108" w:type="dxa"/>
            <w:bottom w:w="0" w:type="dxa"/>
            <w:right w:w="108" w:type="dxa"/>
          </w:tblCellMar>
        </w:tblPrEx>
        <w:trPr>
          <w:gridAfter w:val="1"/>
          <w:wAfter w:w="234" w:type="dxa"/>
          <w:trHeight w:val="530" w:hRule="atLeast"/>
        </w:trPr>
        <w:tc>
          <w:tcPr>
            <w:tcW w:w="1977"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满意</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满意度</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每个项目投诉次数</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≤5次</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0</w:t>
            </w:r>
          </w:p>
        </w:tc>
      </w:tr>
    </w:tbl>
    <w:p>
      <w:pPr>
        <w:pStyle w:val="3"/>
        <w:rPr>
          <w:lang w:val="zh-CN"/>
        </w:rPr>
      </w:pPr>
    </w:p>
    <w:p>
      <w:pPr>
        <w:pStyle w:val="3"/>
        <w:rPr>
          <w:lang w:val="zh-CN"/>
        </w:rPr>
      </w:pPr>
    </w:p>
    <w:p>
      <w:pPr>
        <w:pStyle w:val="3"/>
        <w:rPr>
          <w:lang w:val="zh-CN"/>
        </w:rPr>
      </w:pPr>
    </w:p>
    <w:p>
      <w:pPr>
        <w:pStyle w:val="3"/>
        <w:rPr>
          <w:lang w:val="zh-CN"/>
        </w:rPr>
      </w:pPr>
    </w:p>
    <w:p>
      <w:pPr>
        <w:pStyle w:val="3"/>
        <w:rPr>
          <w:lang w:val="zh-CN"/>
        </w:rPr>
      </w:pPr>
    </w:p>
    <w:p>
      <w:pPr>
        <w:pStyle w:val="3"/>
        <w:rPr>
          <w:lang w:val="zh-CN"/>
        </w:rPr>
      </w:pPr>
    </w:p>
    <w:p>
      <w:pPr>
        <w:pStyle w:val="3"/>
        <w:rPr>
          <w:lang w:val="zh-CN"/>
        </w:rPr>
      </w:pP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678"/>
        <w:gridCol w:w="1300"/>
        <w:gridCol w:w="1844"/>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adjustRightInd w:val="0"/>
              <w:snapToGrid w:val="0"/>
              <w:spacing w:line="320" w:lineRule="exact"/>
              <w:jc w:val="center"/>
              <w:textAlignment w:val="center"/>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rPr>
              <w:t>2021年特定目标类部门预算项目绩效目标自评</w:t>
            </w:r>
          </w:p>
          <w:p>
            <w:pPr>
              <w:widowControl/>
              <w:ind w:firstLine="2650" w:firstLineChars="1100"/>
              <w:jc w:val="both"/>
              <w:textAlignment w:val="center"/>
              <w:rPr>
                <w:rFonts w:ascii="宋体" w:hAnsi="宋体" w:cs="宋体"/>
                <w:b/>
                <w:sz w:val="32"/>
                <w:szCs w:val="32"/>
              </w:rPr>
            </w:pPr>
            <w:r>
              <w:rPr>
                <w:rFonts w:hint="eastAsia" w:ascii="方正仿宋简体" w:hAnsi="方正仿宋简体" w:eastAsia="方正仿宋简体" w:cs="方正仿宋简体"/>
                <w:b/>
                <w:sz w:val="24"/>
                <w:lang w:val="en-US" w:eastAsia="zh-CN"/>
              </w:rPr>
              <w:t>攀枝花市中高山地区特色产业培育示范</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主管部门及代码</w:t>
            </w:r>
          </w:p>
        </w:tc>
        <w:tc>
          <w:tcPr>
            <w:tcW w:w="3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实施单位</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攀枝花市农林科学研究院</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项目预算</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执行情况</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 xml:space="preserve"> 预算数：</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60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 xml:space="preserve"> 执行数：</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60</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其中：</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财政拨款</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60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其中：</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财政拨款</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60</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其他资金</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其他资金</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年度总体目标</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完成情况</w:t>
            </w:r>
          </w:p>
        </w:tc>
        <w:tc>
          <w:tcPr>
            <w:tcW w:w="44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预期目标</w:t>
            </w:r>
          </w:p>
        </w:tc>
        <w:tc>
          <w:tcPr>
            <w:tcW w:w="3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4455"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1、在盐边县国胜乡机房村发展魔芋示范面积300亩。2、改造示范（果林下种魔芋）300亩。</w:t>
            </w:r>
            <w:r>
              <w:rPr>
                <w:rFonts w:hint="eastAsia" w:ascii="方正仿宋简体" w:hAnsi="方正仿宋简体" w:eastAsia="方正仿宋简体" w:cs="方正仿宋简体"/>
                <w:kern w:val="0"/>
                <w:sz w:val="24"/>
                <w:lang w:val="en-US" w:eastAsia="zh-CN"/>
              </w:rPr>
              <w:br w:type="textWrapping"/>
            </w:r>
            <w:r>
              <w:rPr>
                <w:rFonts w:hint="eastAsia" w:ascii="方正仿宋简体" w:hAnsi="方正仿宋简体" w:eastAsia="方正仿宋简体" w:cs="方正仿宋简体"/>
                <w:kern w:val="0"/>
                <w:sz w:val="24"/>
                <w:lang w:val="en-US" w:eastAsia="zh-CN"/>
              </w:rPr>
              <w:t>3、制作培训手册5期以上，印制发放2000册以上，制作魔芋教学与示范视频10个以上，现场培训指导70次以上，培训指导人次1500人次以上。</w:t>
            </w:r>
            <w:r>
              <w:rPr>
                <w:rFonts w:hint="eastAsia" w:ascii="方正仿宋简体" w:hAnsi="方正仿宋简体" w:eastAsia="方正仿宋简体" w:cs="方正仿宋简体"/>
                <w:kern w:val="0"/>
                <w:sz w:val="24"/>
                <w:lang w:val="en-US" w:eastAsia="zh-CN"/>
              </w:rPr>
              <w:br w:type="textWrapping"/>
            </w:r>
            <w:r>
              <w:rPr>
                <w:rFonts w:hint="eastAsia" w:ascii="方正仿宋简体" w:hAnsi="方正仿宋简体" w:eastAsia="方正仿宋简体" w:cs="方正仿宋简体"/>
                <w:kern w:val="0"/>
                <w:sz w:val="24"/>
                <w:lang w:val="en-US" w:eastAsia="zh-CN"/>
              </w:rPr>
              <w:t>4、核心示范基地魔芋增产15%以上。5、核心示范基地种魔芋群众满意度≥95%。</w:t>
            </w:r>
            <w:r>
              <w:rPr>
                <w:rFonts w:hint="eastAsia" w:ascii="方正仿宋简体" w:hAnsi="方正仿宋简体" w:eastAsia="方正仿宋简体" w:cs="方正仿宋简体"/>
                <w:kern w:val="0"/>
                <w:sz w:val="24"/>
                <w:lang w:val="en-US" w:eastAsia="zh-CN"/>
              </w:rPr>
              <w:br w:type="textWrapping"/>
            </w:r>
            <w:r>
              <w:rPr>
                <w:rFonts w:hint="eastAsia" w:ascii="方正仿宋简体" w:hAnsi="方正仿宋简体" w:eastAsia="方正仿宋简体" w:cs="方正仿宋简体"/>
                <w:kern w:val="0"/>
                <w:sz w:val="24"/>
                <w:lang w:val="en-US" w:eastAsia="zh-CN"/>
              </w:rPr>
              <w:t>6、示范600亩。</w:t>
            </w:r>
          </w:p>
        </w:tc>
        <w:tc>
          <w:tcPr>
            <w:tcW w:w="314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eastAsia" w:ascii="方正仿宋简体" w:hAnsi="方正仿宋简体" w:eastAsia="方正仿宋简体" w:cs="方正仿宋简体"/>
                <w:kern w:val="0"/>
                <w:sz w:val="24"/>
                <w:lang w:eastAsia="zh-CN"/>
              </w:rPr>
            </w:pPr>
            <w:r>
              <w:rPr>
                <w:rFonts w:hint="eastAsia" w:ascii="方正仿宋简体" w:hAnsi="方正仿宋简体" w:eastAsia="方正仿宋简体" w:cs="方正仿宋简体"/>
                <w:kern w:val="0"/>
                <w:sz w:val="24"/>
                <w:lang w:eastAsia="zh-CN"/>
              </w:rPr>
              <w:t>全部完成</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一级</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二级</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三级</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预期指标值</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完成</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数量指标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盐边县国胜乡机房村发展魔芋示范面积亩数</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≥300</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350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数量指标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改造示范（果林下种魔芋）亩数</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≥300</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344</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数量指标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制作培训手册期数</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≥5</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9</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数量指标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印制发放册宣传手册</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≥2000</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3000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rPr>
              <w:t>数量指标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制作魔芋教学与示范视频个数</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≥10</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11</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现场培训指导次数</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≥70</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180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培训指导人次</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≥1500</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1550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数量指标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示范亩数</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≥600</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694</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质量指标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1、魔芋示范户生产场地是现场培训课堂，打造成学习技术样板。</w:t>
            </w:r>
            <w:r>
              <w:rPr>
                <w:rFonts w:hint="eastAsia" w:ascii="方正仿宋简体" w:hAnsi="方正仿宋简体" w:eastAsia="方正仿宋简体" w:cs="方正仿宋简体"/>
                <w:kern w:val="0"/>
                <w:sz w:val="24"/>
                <w:lang w:val="en-US" w:eastAsia="zh-CN"/>
              </w:rPr>
              <w:br w:type="textWrapping"/>
            </w:r>
            <w:r>
              <w:rPr>
                <w:rFonts w:hint="eastAsia" w:ascii="方正仿宋简体" w:hAnsi="方正仿宋简体" w:eastAsia="方正仿宋简体" w:cs="方正仿宋简体"/>
                <w:kern w:val="0"/>
                <w:sz w:val="24"/>
                <w:lang w:val="en-US" w:eastAsia="zh-CN"/>
              </w:rPr>
              <w:t>2、被培训村的相应魔芋从业人员产业技术普遍得到提高，思想观念得到转变。</w:t>
            </w:r>
            <w:r>
              <w:rPr>
                <w:rFonts w:hint="eastAsia" w:ascii="方正仿宋简体" w:hAnsi="方正仿宋简体" w:eastAsia="方正仿宋简体" w:cs="方正仿宋简体"/>
                <w:kern w:val="0"/>
                <w:sz w:val="24"/>
                <w:lang w:val="en-US" w:eastAsia="zh-CN"/>
              </w:rPr>
              <w:br w:type="textWrapping"/>
            </w:r>
            <w:r>
              <w:rPr>
                <w:rFonts w:hint="eastAsia" w:ascii="方正仿宋简体" w:hAnsi="方正仿宋简体" w:eastAsia="方正仿宋简体" w:cs="方正仿宋简体"/>
                <w:kern w:val="0"/>
                <w:sz w:val="24"/>
                <w:lang w:val="en-US" w:eastAsia="zh-CN"/>
              </w:rPr>
              <w:t>3、通过科技支撑魔芋产业提升村民“自我造血”功能，保林增收，巩固和发展脱贫攻坚成果。</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以示范户为基础，科学、规范培训、促进魔芋种植保质保量。</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eastAsia="zh-CN"/>
              </w:rPr>
            </w:pPr>
            <w:r>
              <w:rPr>
                <w:rFonts w:hint="eastAsia" w:ascii="方正仿宋简体" w:hAnsi="方正仿宋简体" w:eastAsia="方正仿宋简体" w:cs="方正仿宋简体"/>
                <w:kern w:val="0"/>
                <w:sz w:val="24"/>
                <w:lang w:eastAsia="zh-CN"/>
              </w:rPr>
              <w:t>完成</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时效指标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魔芋产成周期</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1</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1</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成本指标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60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60</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60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效益</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经济效益  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核心示范基地魔芋增产</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≥15%</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25%</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社会效益  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改变村民种植观念改变，科学种魔芋深入人心，减少乱种、乱挖现象。</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eastAsia="zh-CN"/>
              </w:rPr>
            </w:pPr>
            <w:r>
              <w:rPr>
                <w:rFonts w:hint="eastAsia" w:ascii="方正仿宋简体" w:hAnsi="方正仿宋简体" w:eastAsia="方正仿宋简体" w:cs="方正仿宋简体"/>
                <w:kern w:val="0"/>
                <w:sz w:val="24"/>
                <w:lang w:eastAsia="zh-CN"/>
              </w:rPr>
              <w:t>逐步改善</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eastAsia="zh-CN"/>
              </w:rPr>
            </w:pPr>
            <w:r>
              <w:rPr>
                <w:rFonts w:hint="eastAsia" w:ascii="方正仿宋简体" w:hAnsi="方正仿宋简体" w:eastAsia="方正仿宋简体" w:cs="方正仿宋简体"/>
                <w:kern w:val="0"/>
                <w:sz w:val="24"/>
                <w:lang w:eastAsia="zh-CN"/>
              </w:rPr>
              <w:t>完成</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生态效益  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引导村民开展生态、绿色、有机生产方式。</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逐步提升</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eastAsia="zh-CN"/>
              </w:rPr>
            </w:pPr>
            <w:r>
              <w:rPr>
                <w:rFonts w:hint="eastAsia" w:ascii="方正仿宋简体" w:hAnsi="方正仿宋简体" w:eastAsia="方正仿宋简体" w:cs="方正仿宋简体"/>
                <w:kern w:val="0"/>
                <w:sz w:val="24"/>
                <w:lang w:eastAsia="zh-CN"/>
              </w:rPr>
              <w:t>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可持续影响 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持续影响农户种植数量、质量</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逐步提升</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lang w:eastAsia="zh-CN"/>
              </w:rPr>
            </w:pPr>
            <w:r>
              <w:rPr>
                <w:rFonts w:hint="eastAsia" w:ascii="方正仿宋简体" w:hAnsi="方正仿宋简体" w:eastAsia="方正仿宋简体" w:cs="方正仿宋简体"/>
                <w:kern w:val="0"/>
                <w:sz w:val="24"/>
                <w:lang w:eastAsia="zh-CN"/>
              </w:rPr>
              <w:t>完成</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hint="eastAsia" w:ascii="方正仿宋简体" w:hAnsi="方正仿宋简体" w:eastAsia="方正仿宋简体" w:cs="方正仿宋简体"/>
                <w:kern w:val="0"/>
                <w:sz w:val="24"/>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满意</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满意度</w:t>
            </w:r>
          </w:p>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指标</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核心示范基地种魔芋群众满意度</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eastAsia"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lang w:val="en-US" w:eastAsia="zh-CN"/>
              </w:rPr>
              <w:t>≥95%</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hint="default" w:ascii="方正仿宋简体" w:hAnsi="方正仿宋简体" w:eastAsia="方正仿宋简体" w:cs="方正仿宋简体"/>
                <w:kern w:val="0"/>
                <w:sz w:val="24"/>
                <w:lang w:val="en-US" w:eastAsia="zh-CN"/>
              </w:rPr>
            </w:pPr>
            <w:r>
              <w:rPr>
                <w:rFonts w:hint="eastAsia" w:ascii="方正仿宋简体" w:hAnsi="方正仿宋简体" w:eastAsia="方正仿宋简体" w:cs="方正仿宋简体"/>
                <w:kern w:val="0"/>
                <w:sz w:val="24"/>
                <w:lang w:val="en-US" w:eastAsia="zh-CN"/>
              </w:rPr>
              <w:t>100%</w:t>
            </w:r>
          </w:p>
        </w:tc>
      </w:tr>
    </w:tbl>
    <w:p>
      <w:pPr>
        <w:widowControl/>
        <w:spacing w:line="320" w:lineRule="exact"/>
        <w:jc w:val="left"/>
        <w:textAlignment w:val="top"/>
        <w:rPr>
          <w:rFonts w:hint="eastAsia" w:ascii="方正仿宋简体" w:hAnsi="方正仿宋简体" w:eastAsia="方正仿宋简体" w:cs="方正仿宋简体"/>
          <w:kern w:val="0"/>
          <w:sz w:val="24"/>
          <w:lang w:val="zh-CN"/>
        </w:rPr>
      </w:pPr>
    </w:p>
    <w:p>
      <w:pPr>
        <w:widowControl/>
        <w:spacing w:line="320" w:lineRule="exact"/>
        <w:jc w:val="left"/>
        <w:textAlignment w:val="top"/>
        <w:rPr>
          <w:rFonts w:hint="eastAsia" w:ascii="方正仿宋简体" w:hAnsi="方正仿宋简体" w:eastAsia="方正仿宋简体" w:cs="方正仿宋简体"/>
          <w:kern w:val="0"/>
          <w:sz w:val="24"/>
          <w:lang w:val="zh-CN"/>
        </w:rPr>
      </w:pPr>
    </w:p>
    <w:p>
      <w:pPr>
        <w:widowControl/>
        <w:spacing w:line="320" w:lineRule="exact"/>
        <w:jc w:val="left"/>
        <w:textAlignment w:val="top"/>
        <w:rPr>
          <w:rFonts w:hint="eastAsia" w:ascii="方正仿宋简体" w:hAnsi="方正仿宋简体" w:eastAsia="方正仿宋简体" w:cs="方正仿宋简体"/>
          <w:kern w:val="0"/>
          <w:sz w:val="24"/>
          <w:lang w:val="zh-CN"/>
        </w:rPr>
      </w:pPr>
    </w:p>
    <w:p>
      <w:pPr>
        <w:widowControl/>
        <w:spacing w:line="320" w:lineRule="exact"/>
        <w:jc w:val="left"/>
        <w:textAlignment w:val="top"/>
        <w:rPr>
          <w:rFonts w:hint="eastAsia" w:ascii="方正仿宋简体" w:hAnsi="方正仿宋简体" w:eastAsia="方正仿宋简体" w:cs="方正仿宋简体"/>
          <w:kern w:val="0"/>
          <w:sz w:val="24"/>
          <w:lang w:val="zh-CN"/>
        </w:rPr>
      </w:pPr>
    </w:p>
    <w:p>
      <w:pPr>
        <w:widowControl/>
        <w:spacing w:line="320" w:lineRule="exact"/>
        <w:jc w:val="left"/>
        <w:textAlignment w:val="top"/>
        <w:rPr>
          <w:rFonts w:hint="eastAsia" w:ascii="方正仿宋简体" w:hAnsi="方正仿宋简体" w:eastAsia="方正仿宋简体" w:cs="方正仿宋简体"/>
          <w:kern w:val="0"/>
          <w:sz w:val="24"/>
          <w:lang w:val="zh-CN"/>
        </w:rPr>
      </w:pPr>
    </w:p>
    <w:p>
      <w:pPr>
        <w:widowControl/>
        <w:spacing w:line="320" w:lineRule="exact"/>
        <w:jc w:val="left"/>
        <w:textAlignment w:val="top"/>
        <w:rPr>
          <w:rFonts w:hint="eastAsia" w:ascii="方正仿宋简体" w:hAnsi="方正仿宋简体" w:eastAsia="方正仿宋简体" w:cs="方正仿宋简体"/>
          <w:kern w:val="0"/>
          <w:sz w:val="24"/>
          <w:lang w:val="zh-CN"/>
        </w:rPr>
      </w:pP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429"/>
        <w:gridCol w:w="840"/>
        <w:gridCol w:w="1350"/>
        <w:gridCol w:w="1470"/>
        <w:gridCol w:w="3060"/>
        <w:gridCol w:w="1426"/>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vAlign w:val="center"/>
          </w:tcPr>
          <w:p>
            <w:pPr>
              <w:widowControl/>
              <w:adjustRightInd w:val="0"/>
              <w:snapToGrid w:val="0"/>
              <w:spacing w:line="320" w:lineRule="exact"/>
              <w:jc w:val="center"/>
              <w:textAlignment w:val="center"/>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lang w:val="en-US" w:eastAsia="zh-CN"/>
              </w:rPr>
              <w:t>2021年</w:t>
            </w:r>
            <w:r>
              <w:rPr>
                <w:rFonts w:hint="eastAsia" w:ascii="方正仿宋简体" w:hAnsi="方正仿宋简体" w:eastAsia="方正仿宋简体" w:cs="方正仿宋简体"/>
                <w:b/>
                <w:sz w:val="24"/>
              </w:rPr>
              <w:t>特定目标类部门预算项目绩效目标自评</w:t>
            </w:r>
          </w:p>
          <w:p>
            <w:pPr>
              <w:adjustRightInd w:val="0"/>
              <w:snapToGrid w:val="0"/>
              <w:spacing w:line="305" w:lineRule="auto"/>
              <w:ind w:firstLine="465" w:firstLineChars="193"/>
              <w:jc w:val="center"/>
            </w:pPr>
            <w:r>
              <w:rPr>
                <w:rFonts w:hint="eastAsia" w:ascii="方正仿宋简体" w:hAnsi="方正仿宋简体" w:eastAsia="方正仿宋简体" w:cs="方正仿宋简体"/>
                <w:b/>
                <w:sz w:val="24"/>
              </w:rPr>
              <w:t>《四川省奶油果（鳄梨）品种资源圃建设》项目</w:t>
            </w:r>
          </w:p>
        </w:tc>
        <w:tc>
          <w:tcPr>
            <w:tcW w:w="236" w:type="dxa"/>
            <w:tcBorders>
              <w:top w:val="nil"/>
              <w:left w:val="nil"/>
              <w:bottom w:val="nil"/>
              <w:right w:val="nil"/>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b/>
                <w:kern w:val="0"/>
                <w:sz w:val="24"/>
              </w:rPr>
            </w:pPr>
          </w:p>
        </w:tc>
      </w:tr>
      <w:tr>
        <w:tblPrEx>
          <w:tblCellMar>
            <w:top w:w="0" w:type="dxa"/>
            <w:left w:w="108" w:type="dxa"/>
            <w:bottom w:w="0" w:type="dxa"/>
            <w:right w:w="108" w:type="dxa"/>
          </w:tblCellMar>
        </w:tblPrEx>
        <w:trPr>
          <w:gridAfter w:val="1"/>
          <w:wAfter w:w="236" w:type="dxa"/>
          <w:trHeight w:val="254" w:hRule="atLeast"/>
        </w:trPr>
        <w:tc>
          <w:tcPr>
            <w:tcW w:w="2269"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主管部门及代码</w:t>
            </w:r>
          </w:p>
        </w:tc>
        <w:tc>
          <w:tcPr>
            <w:tcW w:w="2820"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实施单位</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攀枝花市农林科学研究院</w:t>
            </w:r>
          </w:p>
        </w:tc>
      </w:tr>
      <w:tr>
        <w:tblPrEx>
          <w:tblCellMar>
            <w:top w:w="0" w:type="dxa"/>
            <w:left w:w="108" w:type="dxa"/>
            <w:bottom w:w="0" w:type="dxa"/>
            <w:right w:w="108" w:type="dxa"/>
          </w:tblCellMar>
        </w:tblPrEx>
        <w:trPr>
          <w:gridAfter w:val="1"/>
          <w:wAfter w:w="236" w:type="dxa"/>
          <w:trHeight w:val="341" w:hRule="atLeast"/>
        </w:trPr>
        <w:tc>
          <w:tcPr>
            <w:tcW w:w="226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项目预算</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执行情况</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（万元）</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预算数：</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150</w:t>
            </w: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执行数：</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127</w:t>
            </w:r>
          </w:p>
        </w:tc>
      </w:tr>
      <w:tr>
        <w:tblPrEx>
          <w:tblCellMar>
            <w:top w:w="0" w:type="dxa"/>
            <w:left w:w="108" w:type="dxa"/>
            <w:bottom w:w="0" w:type="dxa"/>
            <w:right w:w="108" w:type="dxa"/>
          </w:tblCellMar>
        </w:tblPrEx>
        <w:trPr>
          <w:gridAfter w:val="1"/>
          <w:wAfter w:w="236" w:type="dxa"/>
          <w:trHeight w:val="555" w:hRule="atLeast"/>
        </w:trPr>
        <w:tc>
          <w:tcPr>
            <w:tcW w:w="2269" w:type="dxa"/>
            <w:gridSpan w:val="2"/>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其中：</w:t>
            </w:r>
          </w:p>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财政拨款</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150</w:t>
            </w: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其中：</w:t>
            </w:r>
          </w:p>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财政拨款</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127</w:t>
            </w:r>
          </w:p>
        </w:tc>
      </w:tr>
      <w:tr>
        <w:tblPrEx>
          <w:tblCellMar>
            <w:top w:w="0" w:type="dxa"/>
            <w:left w:w="108" w:type="dxa"/>
            <w:bottom w:w="0" w:type="dxa"/>
            <w:right w:w="108" w:type="dxa"/>
          </w:tblCellMar>
        </w:tblPrEx>
        <w:trPr>
          <w:gridAfter w:val="1"/>
          <w:wAfter w:w="236" w:type="dxa"/>
          <w:trHeight w:val="341" w:hRule="atLeast"/>
        </w:trPr>
        <w:tc>
          <w:tcPr>
            <w:tcW w:w="2269" w:type="dxa"/>
            <w:gridSpan w:val="2"/>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其他资金</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其他资金</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p>
        </w:tc>
      </w:tr>
      <w:tr>
        <w:tblPrEx>
          <w:tblCellMar>
            <w:top w:w="0" w:type="dxa"/>
            <w:left w:w="108" w:type="dxa"/>
            <w:bottom w:w="0" w:type="dxa"/>
            <w:right w:w="108" w:type="dxa"/>
          </w:tblCellMar>
        </w:tblPrEx>
        <w:trPr>
          <w:gridAfter w:val="1"/>
          <w:wAfter w:w="236" w:type="dxa"/>
          <w:trHeight w:val="217" w:hRule="atLeast"/>
        </w:trPr>
        <w:tc>
          <w:tcPr>
            <w:tcW w:w="1429" w:type="dxa"/>
            <w:vMerge w:val="restart"/>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年度总体目标</w:t>
            </w:r>
          </w:p>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完成情况</w:t>
            </w:r>
          </w:p>
        </w:tc>
        <w:tc>
          <w:tcPr>
            <w:tcW w:w="3660"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预期目标</w:t>
            </w:r>
          </w:p>
        </w:tc>
        <w:tc>
          <w:tcPr>
            <w:tcW w:w="4486"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429"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3660"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left"/>
              <w:textAlignment w:val="top"/>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培训、指导30人次；新收集保存奶油果资源5份以上，总保存量达到50份以上。</w:t>
            </w:r>
          </w:p>
        </w:tc>
        <w:tc>
          <w:tcPr>
            <w:tcW w:w="4486"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top"/>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全部完成</w:t>
            </w:r>
          </w:p>
        </w:tc>
      </w:tr>
      <w:tr>
        <w:tblPrEx>
          <w:tblCellMar>
            <w:top w:w="0" w:type="dxa"/>
            <w:left w:w="108" w:type="dxa"/>
            <w:bottom w:w="0" w:type="dxa"/>
            <w:right w:w="108" w:type="dxa"/>
          </w:tblCellMar>
        </w:tblPrEx>
        <w:trPr>
          <w:gridAfter w:val="1"/>
          <w:wAfter w:w="236" w:type="dxa"/>
          <w:trHeight w:val="693" w:hRule="atLeast"/>
        </w:trPr>
        <w:tc>
          <w:tcPr>
            <w:tcW w:w="1429" w:type="dxa"/>
            <w:vMerge w:val="restart"/>
            <w:tcBorders>
              <w:top w:val="single" w:color="000000" w:sz="4" w:space="0"/>
              <w:left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年度绩效指标完成情况</w:t>
            </w:r>
          </w:p>
        </w:tc>
        <w:tc>
          <w:tcPr>
            <w:tcW w:w="840" w:type="dxa"/>
            <w:tcBorders>
              <w:top w:val="single" w:color="000000" w:sz="4" w:space="0"/>
              <w:left w:val="nil"/>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一级</w:t>
            </w:r>
          </w:p>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指标</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二级</w:t>
            </w:r>
          </w:p>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指标</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三级</w:t>
            </w:r>
          </w:p>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指标</w:t>
            </w: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预期指标值</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center"/>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实际完成指标值</w:t>
            </w:r>
          </w:p>
        </w:tc>
      </w:tr>
      <w:tr>
        <w:tblPrEx>
          <w:tblCellMar>
            <w:top w:w="0" w:type="dxa"/>
            <w:left w:w="108" w:type="dxa"/>
            <w:bottom w:w="0" w:type="dxa"/>
            <w:right w:w="108" w:type="dxa"/>
          </w:tblCellMar>
        </w:tblPrEx>
        <w:trPr>
          <w:gridAfter w:val="1"/>
          <w:wAfter w:w="236" w:type="dxa"/>
          <w:trHeight w:val="415" w:hRule="atLeast"/>
        </w:trPr>
        <w:tc>
          <w:tcPr>
            <w:tcW w:w="1429" w:type="dxa"/>
            <w:vMerge w:val="continue"/>
            <w:tcBorders>
              <w:left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840" w:type="dxa"/>
            <w:vMerge w:val="restart"/>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完成</w:t>
            </w:r>
          </w:p>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指标</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数量指标</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培训、指导；引种；</w:t>
            </w: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培训、指导30人次；引种5份</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left"/>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培训、指导469人次，引种10个以上。</w:t>
            </w:r>
          </w:p>
        </w:tc>
      </w:tr>
      <w:tr>
        <w:tblPrEx>
          <w:tblCellMar>
            <w:top w:w="0" w:type="dxa"/>
            <w:left w:w="108" w:type="dxa"/>
            <w:bottom w:w="0" w:type="dxa"/>
            <w:right w:w="108" w:type="dxa"/>
          </w:tblCellMar>
        </w:tblPrEx>
        <w:trPr>
          <w:gridAfter w:val="1"/>
          <w:wAfter w:w="236" w:type="dxa"/>
          <w:trHeight w:val="415" w:hRule="atLeast"/>
        </w:trPr>
        <w:tc>
          <w:tcPr>
            <w:tcW w:w="1429" w:type="dxa"/>
            <w:vMerge w:val="continue"/>
            <w:tcBorders>
              <w:left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质量指标</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嫁接成活</w:t>
            </w: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80%以上</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95%左右</w:t>
            </w:r>
          </w:p>
        </w:tc>
      </w:tr>
      <w:tr>
        <w:tblPrEx>
          <w:tblCellMar>
            <w:top w:w="0" w:type="dxa"/>
            <w:left w:w="108" w:type="dxa"/>
            <w:bottom w:w="0" w:type="dxa"/>
            <w:right w:w="108" w:type="dxa"/>
          </w:tblCellMar>
        </w:tblPrEx>
        <w:trPr>
          <w:gridAfter w:val="1"/>
          <w:wAfter w:w="236" w:type="dxa"/>
          <w:trHeight w:val="415" w:hRule="atLeast"/>
        </w:trPr>
        <w:tc>
          <w:tcPr>
            <w:tcW w:w="1429" w:type="dxa"/>
            <w:vMerge w:val="continue"/>
            <w:tcBorders>
              <w:left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时效指标</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任务完成期限</w:t>
            </w: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1年</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2年</w:t>
            </w:r>
          </w:p>
        </w:tc>
      </w:tr>
      <w:tr>
        <w:tblPrEx>
          <w:tblCellMar>
            <w:top w:w="0" w:type="dxa"/>
            <w:left w:w="108" w:type="dxa"/>
            <w:bottom w:w="0" w:type="dxa"/>
            <w:right w:w="108" w:type="dxa"/>
          </w:tblCellMar>
        </w:tblPrEx>
        <w:trPr>
          <w:gridAfter w:val="1"/>
          <w:wAfter w:w="236" w:type="dxa"/>
          <w:trHeight w:val="480" w:hRule="atLeast"/>
        </w:trPr>
        <w:tc>
          <w:tcPr>
            <w:tcW w:w="1429" w:type="dxa"/>
            <w:vMerge w:val="continue"/>
            <w:tcBorders>
              <w:left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成本指标</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资金使用率</w:t>
            </w: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90%以上</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85%左右</w:t>
            </w:r>
          </w:p>
        </w:tc>
      </w:tr>
      <w:tr>
        <w:tblPrEx>
          <w:tblCellMar>
            <w:top w:w="0" w:type="dxa"/>
            <w:left w:w="108" w:type="dxa"/>
            <w:bottom w:w="0" w:type="dxa"/>
            <w:right w:w="108" w:type="dxa"/>
          </w:tblCellMar>
        </w:tblPrEx>
        <w:trPr>
          <w:gridAfter w:val="1"/>
          <w:wAfter w:w="236" w:type="dxa"/>
          <w:trHeight w:val="480" w:hRule="atLeast"/>
        </w:trPr>
        <w:tc>
          <w:tcPr>
            <w:tcW w:w="1429" w:type="dxa"/>
            <w:vMerge w:val="continue"/>
            <w:tcBorders>
              <w:left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840" w:type="dxa"/>
            <w:vMerge w:val="restart"/>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效益</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指标</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经济效益  指标</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p>
        </w:tc>
      </w:tr>
      <w:tr>
        <w:tblPrEx>
          <w:tblCellMar>
            <w:top w:w="0" w:type="dxa"/>
            <w:left w:w="108" w:type="dxa"/>
            <w:bottom w:w="0" w:type="dxa"/>
            <w:right w:w="108" w:type="dxa"/>
          </w:tblCellMar>
        </w:tblPrEx>
        <w:trPr>
          <w:gridAfter w:val="1"/>
          <w:wAfter w:w="236" w:type="dxa"/>
          <w:trHeight w:val="480" w:hRule="atLeast"/>
        </w:trPr>
        <w:tc>
          <w:tcPr>
            <w:tcW w:w="1429" w:type="dxa"/>
            <w:vMerge w:val="continue"/>
            <w:tcBorders>
              <w:left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社会效益  指标</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产业支撑能力</w:t>
            </w: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left"/>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丰富奶油果品种资源，为生产提供更多品种选择，强力支撑培育新型产业发展</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完成</w:t>
            </w:r>
          </w:p>
        </w:tc>
      </w:tr>
      <w:tr>
        <w:tblPrEx>
          <w:tblCellMar>
            <w:top w:w="0" w:type="dxa"/>
            <w:left w:w="108" w:type="dxa"/>
            <w:bottom w:w="0" w:type="dxa"/>
            <w:right w:w="108" w:type="dxa"/>
          </w:tblCellMar>
        </w:tblPrEx>
        <w:trPr>
          <w:gridAfter w:val="1"/>
          <w:wAfter w:w="236" w:type="dxa"/>
          <w:trHeight w:val="577" w:hRule="atLeast"/>
        </w:trPr>
        <w:tc>
          <w:tcPr>
            <w:tcW w:w="1429" w:type="dxa"/>
            <w:vMerge w:val="continue"/>
            <w:tcBorders>
              <w:left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ind w:left="423" w:leftChars="87" w:hanging="240" w:hangingChars="100"/>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生态效益  指标</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环境影响</w:t>
            </w: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left"/>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奶油果四季常绿、病虫害较其他果树少，化肥农药施用量相对较少，有效保护农业生产环境。</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完成</w:t>
            </w:r>
          </w:p>
        </w:tc>
      </w:tr>
      <w:tr>
        <w:tblPrEx>
          <w:tblCellMar>
            <w:top w:w="0" w:type="dxa"/>
            <w:left w:w="108" w:type="dxa"/>
            <w:bottom w:w="0" w:type="dxa"/>
            <w:right w:w="108" w:type="dxa"/>
          </w:tblCellMar>
        </w:tblPrEx>
        <w:trPr>
          <w:gridAfter w:val="1"/>
          <w:wAfter w:w="236" w:type="dxa"/>
          <w:trHeight w:val="480" w:hRule="atLeast"/>
        </w:trPr>
        <w:tc>
          <w:tcPr>
            <w:tcW w:w="1429" w:type="dxa"/>
            <w:vMerge w:val="continue"/>
            <w:tcBorders>
              <w:left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可持续影响 指标</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产业持续生产能力</w:t>
            </w: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tabs>
                <w:tab w:val="left" w:pos="297"/>
              </w:tabs>
              <w:adjustRightInd w:val="0"/>
              <w:snapToGrid w:val="0"/>
              <w:spacing w:line="320" w:lineRule="exact"/>
              <w:jc w:val="left"/>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资金使用无重大违规违纪问题</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无违规</w:t>
            </w:r>
          </w:p>
        </w:tc>
      </w:tr>
      <w:tr>
        <w:tblPrEx>
          <w:tblCellMar>
            <w:top w:w="0" w:type="dxa"/>
            <w:left w:w="108" w:type="dxa"/>
            <w:bottom w:w="0" w:type="dxa"/>
            <w:right w:w="108" w:type="dxa"/>
          </w:tblCellMar>
        </w:tblPrEx>
        <w:trPr>
          <w:gridAfter w:val="1"/>
          <w:wAfter w:w="236" w:type="dxa"/>
          <w:trHeight w:val="530" w:hRule="atLeast"/>
        </w:trPr>
        <w:tc>
          <w:tcPr>
            <w:tcW w:w="1429" w:type="dxa"/>
            <w:vMerge w:val="continue"/>
            <w:tcBorders>
              <w:left w:val="single" w:color="000000" w:sz="4" w:space="0"/>
              <w:bottom w:val="single" w:color="000000" w:sz="4" w:space="0"/>
              <w:right w:val="single" w:color="000000" w:sz="4" w:space="0"/>
            </w:tcBorders>
            <w:vAlign w:val="center"/>
          </w:tcPr>
          <w:p>
            <w:pPr>
              <w:adjustRightInd w:val="0"/>
              <w:snapToGrid w:val="0"/>
              <w:spacing w:line="320" w:lineRule="exact"/>
              <w:jc w:val="center"/>
              <w:rPr>
                <w:rFonts w:ascii="方正仿宋简体" w:hAnsi="方正仿宋简体" w:eastAsia="方正仿宋简体" w:cs="方正仿宋简体"/>
                <w:sz w:val="24"/>
              </w:rPr>
            </w:pP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满意</w:t>
            </w:r>
            <w:r>
              <w:rPr>
                <w:rFonts w:hint="eastAsia" w:ascii="方正仿宋简体" w:hAnsi="方正仿宋简体" w:eastAsia="方正仿宋简体" w:cs="方正仿宋简体"/>
                <w:kern w:val="0"/>
                <w:sz w:val="24"/>
              </w:rPr>
              <w:br w:type="textWrapping"/>
            </w:r>
            <w:r>
              <w:rPr>
                <w:rFonts w:hint="eastAsia" w:ascii="方正仿宋简体" w:hAnsi="方正仿宋简体" w:eastAsia="方正仿宋简体" w:cs="方正仿宋简体"/>
                <w:kern w:val="0"/>
                <w:sz w:val="24"/>
              </w:rPr>
              <w:t>度指标</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kern w:val="0"/>
                <w:sz w:val="24"/>
              </w:rPr>
            </w:pPr>
            <w:r>
              <w:rPr>
                <w:rFonts w:hint="eastAsia" w:ascii="方正仿宋简体" w:hAnsi="方正仿宋简体" w:eastAsia="方正仿宋简体" w:cs="方正仿宋简体"/>
                <w:kern w:val="0"/>
                <w:sz w:val="24"/>
              </w:rPr>
              <w:t>满意度</w:t>
            </w:r>
          </w:p>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kern w:val="0"/>
                <w:sz w:val="24"/>
              </w:rPr>
              <w:t>指标</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区域内经营主体和农户</w:t>
            </w:r>
          </w:p>
        </w:tc>
        <w:tc>
          <w:tcPr>
            <w:tcW w:w="30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≧80%</w:t>
            </w:r>
          </w:p>
        </w:tc>
        <w:tc>
          <w:tcPr>
            <w:tcW w:w="14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20" w:lineRule="exact"/>
              <w:jc w:val="center"/>
              <w:textAlignment w:val="bottom"/>
              <w:rPr>
                <w:rFonts w:ascii="方正仿宋简体" w:hAnsi="方正仿宋简体" w:eastAsia="方正仿宋简体" w:cs="方正仿宋简体"/>
                <w:sz w:val="24"/>
              </w:rPr>
            </w:pPr>
            <w:r>
              <w:rPr>
                <w:rFonts w:hint="eastAsia" w:ascii="方正仿宋简体" w:hAnsi="方正仿宋简体" w:eastAsia="方正仿宋简体" w:cs="方正仿宋简体"/>
                <w:sz w:val="24"/>
              </w:rPr>
              <w:t>90%以上</w:t>
            </w:r>
          </w:p>
        </w:tc>
      </w:tr>
    </w:tbl>
    <w:p>
      <w:pPr>
        <w:pStyle w:val="3"/>
        <w:spacing w:line="305" w:lineRule="auto"/>
        <w:rPr>
          <w:rFonts w:ascii="方正仿宋简体" w:hAnsi="方正仿宋简体" w:eastAsia="方正仿宋简体" w:cs="方正仿宋简体"/>
          <w:sz w:val="33"/>
          <w:szCs w:val="33"/>
        </w:rPr>
      </w:pPr>
    </w:p>
    <w:p>
      <w:pPr>
        <w:pStyle w:val="3"/>
        <w:spacing w:line="305" w:lineRule="auto"/>
      </w:pPr>
    </w:p>
    <w:p>
      <w:pPr>
        <w:adjustRightInd w:val="0"/>
        <w:snapToGrid w:val="0"/>
        <w:spacing w:line="305" w:lineRule="auto"/>
        <w:outlineLvl w:val="0"/>
        <w:rPr>
          <w:rFonts w:ascii="方正仿宋简体" w:hAnsi="方正仿宋简体" w:eastAsia="方正仿宋简体" w:cs="方正仿宋简体"/>
          <w:b/>
          <w:bCs/>
          <w:sz w:val="33"/>
          <w:szCs w:val="33"/>
        </w:rPr>
      </w:pPr>
      <w:bookmarkStart w:id="118" w:name="_Toc15396618"/>
      <w:bookmarkStart w:id="119" w:name="_Toc16299"/>
    </w:p>
    <w:p>
      <w:pPr>
        <w:adjustRightInd w:val="0"/>
        <w:snapToGrid w:val="0"/>
        <w:spacing w:line="305" w:lineRule="auto"/>
        <w:jc w:val="center"/>
        <w:outlineLvl w:val="0"/>
        <w:rPr>
          <w:rFonts w:ascii="方正仿宋简体" w:hAnsi="方正仿宋简体" w:eastAsia="方正仿宋简体" w:cs="方正仿宋简体"/>
          <w:b/>
          <w:bCs/>
          <w:sz w:val="33"/>
          <w:szCs w:val="33"/>
        </w:rPr>
      </w:pPr>
    </w:p>
    <w:p>
      <w:pPr>
        <w:adjustRightInd w:val="0"/>
        <w:snapToGrid w:val="0"/>
        <w:spacing w:line="305" w:lineRule="auto"/>
        <w:jc w:val="center"/>
        <w:outlineLvl w:val="0"/>
        <w:rPr>
          <w:rFonts w:hint="eastAsia" w:ascii="方正仿宋简体" w:hAnsi="方正仿宋简体" w:eastAsia="方正仿宋简体" w:cs="方正仿宋简体"/>
          <w:b/>
          <w:bCs/>
          <w:sz w:val="33"/>
          <w:szCs w:val="33"/>
        </w:rPr>
      </w:pPr>
    </w:p>
    <w:p>
      <w:pPr>
        <w:adjustRightInd w:val="0"/>
        <w:snapToGrid w:val="0"/>
        <w:spacing w:line="305" w:lineRule="auto"/>
        <w:jc w:val="center"/>
        <w:outlineLvl w:val="0"/>
        <w:rPr>
          <w:rFonts w:hint="eastAsia" w:ascii="方正仿宋简体" w:hAnsi="方正仿宋简体" w:eastAsia="方正仿宋简体" w:cs="方正仿宋简体"/>
          <w:b/>
          <w:bCs/>
          <w:sz w:val="33"/>
          <w:szCs w:val="33"/>
        </w:rPr>
      </w:pPr>
    </w:p>
    <w:p>
      <w:pPr>
        <w:adjustRightInd w:val="0"/>
        <w:snapToGrid w:val="0"/>
        <w:spacing w:line="305" w:lineRule="auto"/>
        <w:jc w:val="center"/>
        <w:outlineLvl w:val="0"/>
        <w:rPr>
          <w:rFonts w:hint="eastAsia" w:ascii="方正仿宋简体" w:hAnsi="方正仿宋简体" w:eastAsia="方正仿宋简体" w:cs="方正仿宋简体"/>
          <w:b/>
          <w:bCs/>
          <w:sz w:val="33"/>
          <w:szCs w:val="33"/>
        </w:rPr>
      </w:pPr>
    </w:p>
    <w:p>
      <w:pPr>
        <w:adjustRightInd w:val="0"/>
        <w:snapToGrid w:val="0"/>
        <w:spacing w:line="305" w:lineRule="auto"/>
        <w:jc w:val="center"/>
        <w:outlineLvl w:val="0"/>
        <w:rPr>
          <w:rFonts w:hint="eastAsia" w:ascii="方正仿宋简体" w:hAnsi="方正仿宋简体" w:eastAsia="方正仿宋简体" w:cs="方正仿宋简体"/>
          <w:b/>
          <w:bCs/>
          <w:sz w:val="33"/>
          <w:szCs w:val="33"/>
        </w:rPr>
      </w:pPr>
    </w:p>
    <w:p>
      <w:pPr>
        <w:adjustRightInd w:val="0"/>
        <w:snapToGrid w:val="0"/>
        <w:spacing w:line="305" w:lineRule="auto"/>
        <w:jc w:val="center"/>
        <w:outlineLvl w:val="0"/>
        <w:rPr>
          <w:rFonts w:hint="eastAsia" w:ascii="方正仿宋简体" w:hAnsi="方正仿宋简体" w:eastAsia="方正仿宋简体" w:cs="方正仿宋简体"/>
          <w:b/>
          <w:bCs/>
          <w:sz w:val="33"/>
          <w:szCs w:val="33"/>
        </w:rPr>
      </w:pPr>
    </w:p>
    <w:p>
      <w:pPr>
        <w:adjustRightInd w:val="0"/>
        <w:snapToGrid w:val="0"/>
        <w:spacing w:line="305" w:lineRule="auto"/>
        <w:jc w:val="center"/>
        <w:outlineLvl w:val="0"/>
        <w:rPr>
          <w:rFonts w:hint="eastAsia" w:ascii="方正仿宋简体" w:hAnsi="方正仿宋简体" w:eastAsia="方正仿宋简体" w:cs="方正仿宋简体"/>
          <w:b/>
          <w:bCs/>
          <w:sz w:val="33"/>
          <w:szCs w:val="33"/>
        </w:rPr>
      </w:pPr>
    </w:p>
    <w:p>
      <w:pPr>
        <w:adjustRightInd w:val="0"/>
        <w:snapToGrid w:val="0"/>
        <w:spacing w:line="305" w:lineRule="auto"/>
        <w:jc w:val="center"/>
        <w:outlineLvl w:val="0"/>
        <w:rPr>
          <w:rFonts w:hint="eastAsia" w:ascii="方正仿宋简体" w:hAnsi="方正仿宋简体" w:eastAsia="方正仿宋简体" w:cs="方正仿宋简体"/>
          <w:b/>
          <w:bCs/>
          <w:sz w:val="33"/>
          <w:szCs w:val="33"/>
        </w:rPr>
      </w:pPr>
    </w:p>
    <w:p>
      <w:pPr>
        <w:adjustRightInd w:val="0"/>
        <w:snapToGrid w:val="0"/>
        <w:spacing w:line="305" w:lineRule="auto"/>
        <w:jc w:val="center"/>
        <w:outlineLvl w:val="0"/>
        <w:rPr>
          <w:rFonts w:hint="eastAsia" w:ascii="方正仿宋简体" w:hAnsi="方正仿宋简体" w:eastAsia="方正仿宋简体" w:cs="方正仿宋简体"/>
          <w:b/>
          <w:bCs/>
          <w:sz w:val="33"/>
          <w:szCs w:val="33"/>
        </w:rPr>
      </w:pPr>
    </w:p>
    <w:p>
      <w:pPr>
        <w:adjustRightInd w:val="0"/>
        <w:snapToGrid w:val="0"/>
        <w:spacing w:line="305" w:lineRule="auto"/>
        <w:jc w:val="center"/>
        <w:outlineLvl w:val="0"/>
        <w:rPr>
          <w:rFonts w:hint="eastAsia" w:ascii="方正仿宋简体" w:hAnsi="方正仿宋简体" w:eastAsia="方正仿宋简体" w:cs="方正仿宋简体"/>
          <w:b/>
          <w:bCs/>
          <w:sz w:val="33"/>
          <w:szCs w:val="33"/>
        </w:rPr>
      </w:pPr>
    </w:p>
    <w:p>
      <w:pPr>
        <w:adjustRightInd w:val="0"/>
        <w:snapToGrid w:val="0"/>
        <w:spacing w:line="305" w:lineRule="auto"/>
        <w:jc w:val="center"/>
        <w:outlineLvl w:val="0"/>
        <w:rPr>
          <w:rFonts w:hint="eastAsia" w:ascii="方正仿宋简体" w:hAnsi="方正仿宋简体" w:eastAsia="方正仿宋简体" w:cs="方正仿宋简体"/>
          <w:b/>
          <w:bCs/>
          <w:sz w:val="33"/>
          <w:szCs w:val="33"/>
        </w:rPr>
      </w:pPr>
    </w:p>
    <w:p>
      <w:pPr>
        <w:pStyle w:val="2"/>
        <w:rPr>
          <w:rFonts w:hint="eastAsia"/>
        </w:rPr>
      </w:pPr>
      <w:bookmarkStart w:id="147" w:name="_GoBack"/>
      <w:bookmarkEnd w:id="147"/>
    </w:p>
    <w:p>
      <w:pPr>
        <w:adjustRightInd w:val="0"/>
        <w:snapToGrid w:val="0"/>
        <w:spacing w:line="305" w:lineRule="auto"/>
        <w:jc w:val="center"/>
        <w:outlineLvl w:val="0"/>
        <w:rPr>
          <w:rFonts w:ascii="方正仿宋简体" w:hAnsi="方正仿宋简体" w:eastAsia="方正仿宋简体" w:cs="方正仿宋简体"/>
          <w:b/>
          <w:bCs/>
          <w:sz w:val="33"/>
          <w:szCs w:val="33"/>
        </w:rPr>
      </w:pPr>
      <w:r>
        <w:rPr>
          <w:rFonts w:hint="eastAsia" w:ascii="方正仿宋简体" w:hAnsi="方正仿宋简体" w:eastAsia="方正仿宋简体" w:cs="方正仿宋简体"/>
          <w:b/>
          <w:bCs/>
          <w:sz w:val="33"/>
          <w:szCs w:val="33"/>
        </w:rPr>
        <w:t>第</w:t>
      </w:r>
      <w:r>
        <w:rPr>
          <w:rStyle w:val="25"/>
          <w:rFonts w:hint="eastAsia" w:ascii="方正仿宋简体" w:hAnsi="方正仿宋简体" w:eastAsia="方正仿宋简体" w:cs="方正仿宋简体"/>
          <w:sz w:val="33"/>
          <w:szCs w:val="33"/>
        </w:rPr>
        <w:t>五部分 附表</w:t>
      </w:r>
      <w:bookmarkEnd w:id="112"/>
      <w:bookmarkEnd w:id="118"/>
      <w:bookmarkEnd w:id="119"/>
      <w:bookmarkStart w:id="120" w:name="_Toc15396619"/>
    </w:p>
    <w:p>
      <w:pPr>
        <w:pStyle w:val="5"/>
        <w:adjustRightInd w:val="0"/>
        <w:snapToGrid w:val="0"/>
        <w:spacing w:line="305" w:lineRule="auto"/>
        <w:rPr>
          <w:rFonts w:ascii="方正仿宋简体" w:hAnsi="方正仿宋简体" w:eastAsia="方正仿宋简体" w:cs="方正仿宋简体"/>
          <w:sz w:val="33"/>
          <w:szCs w:val="33"/>
        </w:rPr>
      </w:pPr>
      <w:bookmarkStart w:id="121" w:name="_Toc24298"/>
      <w:r>
        <w:rPr>
          <w:rFonts w:hint="eastAsia" w:ascii="方正仿宋简体" w:hAnsi="方正仿宋简体" w:eastAsia="方正仿宋简体" w:cs="方正仿宋简体"/>
          <w:b w:val="0"/>
          <w:sz w:val="33"/>
          <w:szCs w:val="33"/>
        </w:rPr>
        <w:t>一、收</w:t>
      </w:r>
      <w:r>
        <w:rPr>
          <w:rStyle w:val="26"/>
          <w:rFonts w:hint="eastAsia" w:ascii="方正仿宋简体" w:hAnsi="方正仿宋简体" w:eastAsia="方正仿宋简体" w:cs="方正仿宋简体"/>
          <w:b w:val="0"/>
          <w:bCs w:val="0"/>
          <w:sz w:val="33"/>
          <w:szCs w:val="33"/>
        </w:rPr>
        <w:t>入支出决算总表</w:t>
      </w:r>
      <w:bookmarkEnd w:id="120"/>
      <w:bookmarkEnd w:id="121"/>
    </w:p>
    <w:p>
      <w:pPr>
        <w:pStyle w:val="5"/>
        <w:adjustRightInd w:val="0"/>
        <w:snapToGrid w:val="0"/>
        <w:spacing w:line="305" w:lineRule="auto"/>
        <w:rPr>
          <w:rFonts w:ascii="方正仿宋简体" w:hAnsi="方正仿宋简体" w:eastAsia="方正仿宋简体" w:cs="方正仿宋简体"/>
          <w:sz w:val="33"/>
          <w:szCs w:val="33"/>
        </w:rPr>
      </w:pPr>
      <w:bookmarkStart w:id="122" w:name="_Toc15396620"/>
      <w:bookmarkStart w:id="123" w:name="_Toc28553"/>
      <w:r>
        <w:rPr>
          <w:rFonts w:hint="eastAsia" w:ascii="方正仿宋简体" w:hAnsi="方正仿宋简体" w:eastAsia="方正仿宋简体" w:cs="方正仿宋简体"/>
          <w:b w:val="0"/>
          <w:sz w:val="33"/>
          <w:szCs w:val="33"/>
        </w:rPr>
        <w:t>二、收</w:t>
      </w:r>
      <w:r>
        <w:rPr>
          <w:rStyle w:val="26"/>
          <w:rFonts w:hint="eastAsia" w:ascii="方正仿宋简体" w:hAnsi="方正仿宋简体" w:eastAsia="方正仿宋简体" w:cs="方正仿宋简体"/>
          <w:b w:val="0"/>
          <w:bCs w:val="0"/>
          <w:sz w:val="33"/>
          <w:szCs w:val="33"/>
        </w:rPr>
        <w:t>入决算表</w:t>
      </w:r>
      <w:bookmarkEnd w:id="122"/>
      <w:bookmarkEnd w:id="123"/>
    </w:p>
    <w:p>
      <w:pPr>
        <w:pStyle w:val="5"/>
        <w:adjustRightInd w:val="0"/>
        <w:snapToGrid w:val="0"/>
        <w:spacing w:line="305" w:lineRule="auto"/>
        <w:rPr>
          <w:rFonts w:ascii="方正仿宋简体" w:hAnsi="方正仿宋简体" w:eastAsia="方正仿宋简体" w:cs="方正仿宋简体"/>
          <w:sz w:val="33"/>
          <w:szCs w:val="33"/>
        </w:rPr>
      </w:pPr>
      <w:bookmarkStart w:id="124" w:name="_Toc16578"/>
      <w:bookmarkStart w:id="125" w:name="_Toc15396621"/>
      <w:r>
        <w:rPr>
          <w:rStyle w:val="26"/>
          <w:rFonts w:hint="eastAsia" w:ascii="方正仿宋简体" w:hAnsi="方正仿宋简体" w:eastAsia="方正仿宋简体" w:cs="方正仿宋简体"/>
          <w:b w:val="0"/>
          <w:bCs w:val="0"/>
          <w:sz w:val="33"/>
          <w:szCs w:val="33"/>
        </w:rPr>
        <w:t>三、</w:t>
      </w:r>
      <w:r>
        <w:rPr>
          <w:rFonts w:hint="eastAsia" w:ascii="方正仿宋简体" w:hAnsi="方正仿宋简体" w:eastAsia="方正仿宋简体" w:cs="方正仿宋简体"/>
          <w:b w:val="0"/>
          <w:sz w:val="33"/>
          <w:szCs w:val="33"/>
        </w:rPr>
        <w:t>支</w:t>
      </w:r>
      <w:r>
        <w:rPr>
          <w:rStyle w:val="26"/>
          <w:rFonts w:hint="eastAsia" w:ascii="方正仿宋简体" w:hAnsi="方正仿宋简体" w:eastAsia="方正仿宋简体" w:cs="方正仿宋简体"/>
          <w:b w:val="0"/>
          <w:bCs w:val="0"/>
          <w:sz w:val="33"/>
          <w:szCs w:val="33"/>
        </w:rPr>
        <w:t>出决算表</w:t>
      </w:r>
      <w:bookmarkEnd w:id="124"/>
      <w:bookmarkEnd w:id="125"/>
    </w:p>
    <w:p>
      <w:pPr>
        <w:pStyle w:val="5"/>
        <w:adjustRightInd w:val="0"/>
        <w:snapToGrid w:val="0"/>
        <w:spacing w:line="305" w:lineRule="auto"/>
        <w:rPr>
          <w:rFonts w:ascii="方正仿宋简体" w:hAnsi="方正仿宋简体" w:eastAsia="方正仿宋简体" w:cs="方正仿宋简体"/>
          <w:b w:val="0"/>
          <w:sz w:val="33"/>
          <w:szCs w:val="33"/>
        </w:rPr>
      </w:pPr>
      <w:bookmarkStart w:id="126" w:name="_Toc6468"/>
      <w:bookmarkStart w:id="127" w:name="_Toc15396622"/>
      <w:r>
        <w:rPr>
          <w:rStyle w:val="26"/>
          <w:rFonts w:hint="eastAsia" w:ascii="方正仿宋简体" w:hAnsi="方正仿宋简体" w:eastAsia="方正仿宋简体" w:cs="方正仿宋简体"/>
          <w:b w:val="0"/>
          <w:bCs w:val="0"/>
          <w:sz w:val="33"/>
          <w:szCs w:val="33"/>
        </w:rPr>
        <w:t>四、</w:t>
      </w:r>
      <w:r>
        <w:rPr>
          <w:rFonts w:hint="eastAsia" w:ascii="方正仿宋简体" w:hAnsi="方正仿宋简体" w:eastAsia="方正仿宋简体" w:cs="方正仿宋简体"/>
          <w:b w:val="0"/>
          <w:sz w:val="33"/>
          <w:szCs w:val="33"/>
        </w:rPr>
        <w:t>财</w:t>
      </w:r>
      <w:r>
        <w:rPr>
          <w:rStyle w:val="26"/>
          <w:rFonts w:hint="eastAsia" w:ascii="方正仿宋简体" w:hAnsi="方正仿宋简体" w:eastAsia="方正仿宋简体" w:cs="方正仿宋简体"/>
          <w:b w:val="0"/>
          <w:bCs w:val="0"/>
          <w:sz w:val="33"/>
          <w:szCs w:val="33"/>
        </w:rPr>
        <w:t>政拨款收入支出决算总表</w:t>
      </w:r>
      <w:bookmarkEnd w:id="126"/>
      <w:bookmarkEnd w:id="127"/>
    </w:p>
    <w:p>
      <w:pPr>
        <w:pStyle w:val="5"/>
        <w:adjustRightInd w:val="0"/>
        <w:snapToGrid w:val="0"/>
        <w:spacing w:line="305" w:lineRule="auto"/>
        <w:rPr>
          <w:rStyle w:val="26"/>
          <w:rFonts w:ascii="方正仿宋简体" w:hAnsi="方正仿宋简体" w:eastAsia="方正仿宋简体" w:cs="方正仿宋简体"/>
          <w:b w:val="0"/>
          <w:bCs w:val="0"/>
          <w:sz w:val="33"/>
          <w:szCs w:val="33"/>
        </w:rPr>
      </w:pPr>
      <w:bookmarkStart w:id="128" w:name="_Toc27371"/>
      <w:bookmarkStart w:id="129" w:name="_Toc15396623"/>
      <w:r>
        <w:rPr>
          <w:rStyle w:val="26"/>
          <w:rFonts w:hint="eastAsia" w:ascii="方正仿宋简体" w:hAnsi="方正仿宋简体" w:eastAsia="方正仿宋简体" w:cs="方正仿宋简体"/>
          <w:b w:val="0"/>
          <w:bCs w:val="0"/>
          <w:sz w:val="33"/>
          <w:szCs w:val="33"/>
        </w:rPr>
        <w:t>五、</w:t>
      </w:r>
      <w:r>
        <w:rPr>
          <w:rFonts w:hint="eastAsia" w:ascii="方正仿宋简体" w:hAnsi="方正仿宋简体" w:eastAsia="方正仿宋简体" w:cs="方正仿宋简体"/>
          <w:b w:val="0"/>
          <w:sz w:val="33"/>
          <w:szCs w:val="33"/>
        </w:rPr>
        <w:t>财</w:t>
      </w:r>
      <w:r>
        <w:rPr>
          <w:rStyle w:val="26"/>
          <w:rFonts w:hint="eastAsia" w:ascii="方正仿宋简体" w:hAnsi="方正仿宋简体" w:eastAsia="方正仿宋简体" w:cs="方正仿宋简体"/>
          <w:b w:val="0"/>
          <w:bCs w:val="0"/>
          <w:sz w:val="33"/>
          <w:szCs w:val="33"/>
        </w:rPr>
        <w:t>政拨款支出决算明细表</w:t>
      </w:r>
      <w:bookmarkEnd w:id="128"/>
      <w:bookmarkEnd w:id="129"/>
      <w:bookmarkStart w:id="130" w:name="_Toc15396624"/>
    </w:p>
    <w:p>
      <w:pPr>
        <w:pStyle w:val="5"/>
        <w:adjustRightInd w:val="0"/>
        <w:snapToGrid w:val="0"/>
        <w:spacing w:line="305" w:lineRule="auto"/>
        <w:rPr>
          <w:rFonts w:ascii="方正仿宋简体" w:hAnsi="方正仿宋简体" w:eastAsia="方正仿宋简体" w:cs="方正仿宋简体"/>
          <w:sz w:val="33"/>
          <w:szCs w:val="33"/>
        </w:rPr>
      </w:pPr>
      <w:bookmarkStart w:id="131" w:name="_Toc25955"/>
      <w:r>
        <w:rPr>
          <w:rStyle w:val="26"/>
          <w:rFonts w:hint="eastAsia" w:ascii="方正仿宋简体" w:hAnsi="方正仿宋简体" w:eastAsia="方正仿宋简体" w:cs="方正仿宋简体"/>
          <w:b w:val="0"/>
          <w:bCs w:val="0"/>
          <w:sz w:val="33"/>
          <w:szCs w:val="33"/>
        </w:rPr>
        <w:t>六、</w:t>
      </w:r>
      <w:r>
        <w:rPr>
          <w:rFonts w:hint="eastAsia" w:ascii="方正仿宋简体" w:hAnsi="方正仿宋简体" w:eastAsia="方正仿宋简体" w:cs="方正仿宋简体"/>
          <w:b w:val="0"/>
          <w:sz w:val="33"/>
          <w:szCs w:val="33"/>
        </w:rPr>
        <w:t>一</w:t>
      </w:r>
      <w:r>
        <w:rPr>
          <w:rStyle w:val="26"/>
          <w:rFonts w:hint="eastAsia" w:ascii="方正仿宋简体" w:hAnsi="方正仿宋简体" w:eastAsia="方正仿宋简体" w:cs="方正仿宋简体"/>
          <w:b w:val="0"/>
          <w:bCs w:val="0"/>
          <w:sz w:val="33"/>
          <w:szCs w:val="33"/>
        </w:rPr>
        <w:t>般公共预算财政拨款支出决算表</w:t>
      </w:r>
      <w:bookmarkEnd w:id="130"/>
      <w:bookmarkEnd w:id="131"/>
    </w:p>
    <w:p>
      <w:pPr>
        <w:pStyle w:val="5"/>
        <w:adjustRightInd w:val="0"/>
        <w:snapToGrid w:val="0"/>
        <w:spacing w:line="305" w:lineRule="auto"/>
        <w:rPr>
          <w:rFonts w:ascii="方正仿宋简体" w:hAnsi="方正仿宋简体" w:eastAsia="方正仿宋简体" w:cs="方正仿宋简体"/>
          <w:sz w:val="33"/>
          <w:szCs w:val="33"/>
        </w:rPr>
      </w:pPr>
      <w:bookmarkStart w:id="132" w:name="_Toc25825"/>
      <w:bookmarkStart w:id="133" w:name="_Toc15396625"/>
      <w:r>
        <w:rPr>
          <w:rStyle w:val="26"/>
          <w:rFonts w:hint="eastAsia" w:ascii="方正仿宋简体" w:hAnsi="方正仿宋简体" w:eastAsia="方正仿宋简体" w:cs="方正仿宋简体"/>
          <w:b w:val="0"/>
          <w:bCs w:val="0"/>
          <w:sz w:val="33"/>
          <w:szCs w:val="33"/>
        </w:rPr>
        <w:t>七、</w:t>
      </w:r>
      <w:r>
        <w:rPr>
          <w:rFonts w:hint="eastAsia" w:ascii="方正仿宋简体" w:hAnsi="方正仿宋简体" w:eastAsia="方正仿宋简体" w:cs="方正仿宋简体"/>
          <w:b w:val="0"/>
          <w:sz w:val="33"/>
          <w:szCs w:val="33"/>
        </w:rPr>
        <w:t>一</w:t>
      </w:r>
      <w:r>
        <w:rPr>
          <w:rStyle w:val="26"/>
          <w:rFonts w:hint="eastAsia" w:ascii="方正仿宋简体" w:hAnsi="方正仿宋简体" w:eastAsia="方正仿宋简体" w:cs="方正仿宋简体"/>
          <w:b w:val="0"/>
          <w:bCs w:val="0"/>
          <w:sz w:val="33"/>
          <w:szCs w:val="33"/>
        </w:rPr>
        <w:t>般公共预算财政拨款支出决算明细表</w:t>
      </w:r>
      <w:bookmarkEnd w:id="132"/>
      <w:bookmarkEnd w:id="133"/>
    </w:p>
    <w:p>
      <w:pPr>
        <w:pStyle w:val="5"/>
        <w:adjustRightInd w:val="0"/>
        <w:snapToGrid w:val="0"/>
        <w:spacing w:line="305" w:lineRule="auto"/>
        <w:rPr>
          <w:rFonts w:ascii="方正仿宋简体" w:hAnsi="方正仿宋简体" w:eastAsia="方正仿宋简体" w:cs="方正仿宋简体"/>
          <w:sz w:val="33"/>
          <w:szCs w:val="33"/>
        </w:rPr>
      </w:pPr>
      <w:bookmarkStart w:id="134" w:name="_Toc15396626"/>
      <w:bookmarkStart w:id="135" w:name="_Toc8737"/>
      <w:r>
        <w:rPr>
          <w:rStyle w:val="26"/>
          <w:rFonts w:hint="eastAsia" w:ascii="方正仿宋简体" w:hAnsi="方正仿宋简体" w:eastAsia="方正仿宋简体" w:cs="方正仿宋简体"/>
          <w:b w:val="0"/>
          <w:bCs w:val="0"/>
          <w:sz w:val="33"/>
          <w:szCs w:val="33"/>
        </w:rPr>
        <w:t>八、</w:t>
      </w:r>
      <w:r>
        <w:rPr>
          <w:rFonts w:hint="eastAsia" w:ascii="方正仿宋简体" w:hAnsi="方正仿宋简体" w:eastAsia="方正仿宋简体" w:cs="方正仿宋简体"/>
          <w:b w:val="0"/>
          <w:sz w:val="33"/>
          <w:szCs w:val="33"/>
        </w:rPr>
        <w:t>一</w:t>
      </w:r>
      <w:r>
        <w:rPr>
          <w:rStyle w:val="26"/>
          <w:rFonts w:hint="eastAsia" w:ascii="方正仿宋简体" w:hAnsi="方正仿宋简体" w:eastAsia="方正仿宋简体" w:cs="方正仿宋简体"/>
          <w:b w:val="0"/>
          <w:bCs w:val="0"/>
          <w:sz w:val="33"/>
          <w:szCs w:val="33"/>
        </w:rPr>
        <w:t>般公共预算财政拨款基本支出决算表</w:t>
      </w:r>
      <w:bookmarkEnd w:id="134"/>
      <w:bookmarkEnd w:id="135"/>
    </w:p>
    <w:p>
      <w:pPr>
        <w:pStyle w:val="5"/>
        <w:adjustRightInd w:val="0"/>
        <w:snapToGrid w:val="0"/>
        <w:spacing w:line="305" w:lineRule="auto"/>
        <w:rPr>
          <w:rFonts w:ascii="方正仿宋简体" w:hAnsi="方正仿宋简体" w:eastAsia="方正仿宋简体" w:cs="方正仿宋简体"/>
          <w:sz w:val="33"/>
          <w:szCs w:val="33"/>
        </w:rPr>
      </w:pPr>
      <w:bookmarkStart w:id="136" w:name="_Toc15396627"/>
      <w:bookmarkStart w:id="137" w:name="_Toc24035"/>
      <w:r>
        <w:rPr>
          <w:rStyle w:val="26"/>
          <w:rFonts w:hint="eastAsia" w:ascii="方正仿宋简体" w:hAnsi="方正仿宋简体" w:eastAsia="方正仿宋简体" w:cs="方正仿宋简体"/>
          <w:b w:val="0"/>
          <w:bCs w:val="0"/>
          <w:sz w:val="33"/>
          <w:szCs w:val="33"/>
        </w:rPr>
        <w:t>九、</w:t>
      </w:r>
      <w:r>
        <w:rPr>
          <w:rFonts w:hint="eastAsia" w:ascii="方正仿宋简体" w:hAnsi="方正仿宋简体" w:eastAsia="方正仿宋简体" w:cs="方正仿宋简体"/>
          <w:b w:val="0"/>
          <w:sz w:val="33"/>
          <w:szCs w:val="33"/>
        </w:rPr>
        <w:t>一</w:t>
      </w:r>
      <w:r>
        <w:rPr>
          <w:rStyle w:val="26"/>
          <w:rFonts w:hint="eastAsia" w:ascii="方正仿宋简体" w:hAnsi="方正仿宋简体" w:eastAsia="方正仿宋简体" w:cs="方正仿宋简体"/>
          <w:b w:val="0"/>
          <w:bCs w:val="0"/>
          <w:sz w:val="33"/>
          <w:szCs w:val="33"/>
        </w:rPr>
        <w:t>般公共预算财政拨款项目支出决算表</w:t>
      </w:r>
      <w:bookmarkEnd w:id="136"/>
      <w:bookmarkEnd w:id="137"/>
    </w:p>
    <w:p>
      <w:pPr>
        <w:pStyle w:val="5"/>
        <w:adjustRightInd w:val="0"/>
        <w:snapToGrid w:val="0"/>
        <w:spacing w:line="305" w:lineRule="auto"/>
        <w:rPr>
          <w:rFonts w:ascii="方正仿宋简体" w:hAnsi="方正仿宋简体" w:eastAsia="方正仿宋简体" w:cs="方正仿宋简体"/>
          <w:sz w:val="33"/>
          <w:szCs w:val="33"/>
        </w:rPr>
      </w:pPr>
      <w:bookmarkStart w:id="138" w:name="_Toc7175"/>
      <w:bookmarkStart w:id="139" w:name="_Toc15396628"/>
      <w:r>
        <w:rPr>
          <w:rStyle w:val="26"/>
          <w:rFonts w:hint="eastAsia" w:ascii="方正仿宋简体" w:hAnsi="方正仿宋简体" w:eastAsia="方正仿宋简体" w:cs="方正仿宋简体"/>
          <w:b w:val="0"/>
          <w:bCs w:val="0"/>
          <w:sz w:val="33"/>
          <w:szCs w:val="33"/>
        </w:rPr>
        <w:t>十、</w:t>
      </w:r>
      <w:r>
        <w:rPr>
          <w:rFonts w:hint="eastAsia" w:ascii="方正仿宋简体" w:hAnsi="方正仿宋简体" w:eastAsia="方正仿宋简体" w:cs="方正仿宋简体"/>
          <w:b w:val="0"/>
          <w:sz w:val="33"/>
          <w:szCs w:val="33"/>
        </w:rPr>
        <w:t>一</w:t>
      </w:r>
      <w:r>
        <w:rPr>
          <w:rStyle w:val="26"/>
          <w:rFonts w:hint="eastAsia" w:ascii="方正仿宋简体" w:hAnsi="方正仿宋简体" w:eastAsia="方正仿宋简体" w:cs="方正仿宋简体"/>
          <w:b w:val="0"/>
          <w:bCs w:val="0"/>
          <w:sz w:val="33"/>
          <w:szCs w:val="33"/>
        </w:rPr>
        <w:t>般公共预算财政拨款“三公”经费支出决算表</w:t>
      </w:r>
      <w:bookmarkEnd w:id="138"/>
      <w:bookmarkEnd w:id="139"/>
    </w:p>
    <w:p>
      <w:pPr>
        <w:pStyle w:val="5"/>
        <w:adjustRightInd w:val="0"/>
        <w:snapToGrid w:val="0"/>
        <w:spacing w:line="305" w:lineRule="auto"/>
        <w:rPr>
          <w:rFonts w:ascii="方正仿宋简体" w:hAnsi="方正仿宋简体" w:eastAsia="方正仿宋简体" w:cs="方正仿宋简体"/>
          <w:sz w:val="33"/>
          <w:szCs w:val="33"/>
        </w:rPr>
      </w:pPr>
      <w:bookmarkStart w:id="140" w:name="_Toc15396629"/>
      <w:bookmarkStart w:id="141" w:name="_Toc27024"/>
      <w:r>
        <w:rPr>
          <w:rStyle w:val="26"/>
          <w:rFonts w:hint="eastAsia" w:ascii="方正仿宋简体" w:hAnsi="方正仿宋简体" w:eastAsia="方正仿宋简体" w:cs="方正仿宋简体"/>
          <w:b w:val="0"/>
          <w:bCs w:val="0"/>
          <w:sz w:val="33"/>
          <w:szCs w:val="33"/>
        </w:rPr>
        <w:t>十一、</w:t>
      </w:r>
      <w:r>
        <w:rPr>
          <w:rFonts w:hint="eastAsia" w:ascii="方正仿宋简体" w:hAnsi="方正仿宋简体" w:eastAsia="方正仿宋简体" w:cs="方正仿宋简体"/>
          <w:b w:val="0"/>
          <w:sz w:val="33"/>
          <w:szCs w:val="33"/>
        </w:rPr>
        <w:t>政</w:t>
      </w:r>
      <w:r>
        <w:rPr>
          <w:rStyle w:val="26"/>
          <w:rFonts w:hint="eastAsia" w:ascii="方正仿宋简体" w:hAnsi="方正仿宋简体" w:eastAsia="方正仿宋简体" w:cs="方正仿宋简体"/>
          <w:b w:val="0"/>
          <w:bCs w:val="0"/>
          <w:sz w:val="33"/>
          <w:szCs w:val="33"/>
        </w:rPr>
        <w:t>府性基金预算财政拨款收入支出决算表</w:t>
      </w:r>
      <w:bookmarkEnd w:id="140"/>
      <w:bookmarkEnd w:id="141"/>
    </w:p>
    <w:p>
      <w:pPr>
        <w:pStyle w:val="5"/>
        <w:adjustRightInd w:val="0"/>
        <w:snapToGrid w:val="0"/>
        <w:spacing w:line="305" w:lineRule="auto"/>
        <w:rPr>
          <w:rFonts w:ascii="方正仿宋简体" w:hAnsi="方正仿宋简体" w:eastAsia="方正仿宋简体" w:cs="方正仿宋简体"/>
          <w:sz w:val="33"/>
          <w:szCs w:val="33"/>
        </w:rPr>
      </w:pPr>
      <w:bookmarkStart w:id="142" w:name="_Toc5258"/>
      <w:bookmarkStart w:id="143" w:name="_Toc15396630"/>
      <w:r>
        <w:rPr>
          <w:rStyle w:val="26"/>
          <w:rFonts w:hint="eastAsia" w:ascii="方正仿宋简体" w:hAnsi="方正仿宋简体" w:eastAsia="方正仿宋简体" w:cs="方正仿宋简体"/>
          <w:b w:val="0"/>
          <w:bCs w:val="0"/>
          <w:sz w:val="33"/>
          <w:szCs w:val="33"/>
        </w:rPr>
        <w:t>十二、</w:t>
      </w:r>
      <w:r>
        <w:rPr>
          <w:rFonts w:hint="eastAsia" w:ascii="方正仿宋简体" w:hAnsi="方正仿宋简体" w:eastAsia="方正仿宋简体" w:cs="方正仿宋简体"/>
          <w:b w:val="0"/>
          <w:sz w:val="33"/>
          <w:szCs w:val="33"/>
        </w:rPr>
        <w:t>政</w:t>
      </w:r>
      <w:r>
        <w:rPr>
          <w:rStyle w:val="26"/>
          <w:rFonts w:hint="eastAsia" w:ascii="方正仿宋简体" w:hAnsi="方正仿宋简体" w:eastAsia="方正仿宋简体" w:cs="方正仿宋简体"/>
          <w:b w:val="0"/>
          <w:bCs w:val="0"/>
          <w:sz w:val="33"/>
          <w:szCs w:val="33"/>
        </w:rPr>
        <w:t>府性基金预算财政拨款“三公”经费支出决算表</w:t>
      </w:r>
      <w:bookmarkEnd w:id="142"/>
      <w:bookmarkEnd w:id="143"/>
    </w:p>
    <w:p>
      <w:pPr>
        <w:pStyle w:val="5"/>
        <w:adjustRightInd w:val="0"/>
        <w:snapToGrid w:val="0"/>
        <w:spacing w:line="305" w:lineRule="auto"/>
        <w:rPr>
          <w:rStyle w:val="26"/>
          <w:rFonts w:ascii="方正仿宋简体" w:hAnsi="方正仿宋简体" w:eastAsia="方正仿宋简体" w:cs="方正仿宋简体"/>
          <w:b w:val="0"/>
          <w:bCs w:val="0"/>
          <w:sz w:val="33"/>
          <w:szCs w:val="33"/>
        </w:rPr>
      </w:pPr>
      <w:bookmarkStart w:id="144" w:name="_Toc15396631"/>
      <w:bookmarkStart w:id="145" w:name="_Toc5777"/>
      <w:r>
        <w:rPr>
          <w:rStyle w:val="26"/>
          <w:rFonts w:hint="eastAsia" w:ascii="方正仿宋简体" w:hAnsi="方正仿宋简体" w:eastAsia="方正仿宋简体" w:cs="方正仿宋简体"/>
          <w:b w:val="0"/>
          <w:bCs w:val="0"/>
          <w:sz w:val="33"/>
          <w:szCs w:val="33"/>
        </w:rPr>
        <w:t>十三、</w:t>
      </w:r>
      <w:r>
        <w:rPr>
          <w:rFonts w:hint="eastAsia" w:ascii="方正仿宋简体" w:hAnsi="方正仿宋简体" w:eastAsia="方正仿宋简体" w:cs="方正仿宋简体"/>
          <w:b w:val="0"/>
          <w:sz w:val="33"/>
          <w:szCs w:val="33"/>
        </w:rPr>
        <w:t>国</w:t>
      </w:r>
      <w:r>
        <w:rPr>
          <w:rStyle w:val="26"/>
          <w:rFonts w:hint="eastAsia" w:ascii="方正仿宋简体" w:hAnsi="方正仿宋简体" w:eastAsia="方正仿宋简体" w:cs="方正仿宋简体"/>
          <w:b w:val="0"/>
          <w:bCs w:val="0"/>
          <w:sz w:val="33"/>
          <w:szCs w:val="33"/>
        </w:rPr>
        <w:t>有资本经营预算财政拨款收入支出决算表</w:t>
      </w:r>
      <w:bookmarkEnd w:id="144"/>
      <w:bookmarkEnd w:id="145"/>
    </w:p>
    <w:p>
      <w:pPr>
        <w:adjustRightInd w:val="0"/>
        <w:snapToGrid w:val="0"/>
        <w:spacing w:line="305" w:lineRule="auto"/>
        <w:rPr>
          <w:rFonts w:ascii="方正仿宋简体" w:hAnsi="方正仿宋简体" w:eastAsia="方正仿宋简体" w:cs="方正仿宋简体"/>
          <w:sz w:val="33"/>
          <w:szCs w:val="33"/>
        </w:rPr>
      </w:pPr>
      <w:bookmarkStart w:id="146" w:name="_Toc3724"/>
      <w:r>
        <w:rPr>
          <w:rStyle w:val="26"/>
          <w:rFonts w:hint="eastAsia" w:ascii="方正仿宋简体" w:hAnsi="方正仿宋简体" w:eastAsia="方正仿宋简体" w:cs="方正仿宋简体"/>
          <w:b w:val="0"/>
          <w:bCs w:val="0"/>
          <w:sz w:val="33"/>
          <w:szCs w:val="33"/>
        </w:rPr>
        <w:t>十四、国有资本经营预算财政拨款支出决算表</w:t>
      </w:r>
      <w:bookmarkEnd w:id="146"/>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panose1 w:val="03000509000000000000"/>
    <w:charset w:val="86"/>
    <w:family w:val="script"/>
    <w:pitch w:val="default"/>
    <w:sig w:usb0="00000001" w:usb1="080E0000" w:usb2="00000000" w:usb3="00000000" w:csb0="00040000" w:csb1="00000000"/>
  </w:font>
  <w:font w:name="方正黑体简体">
    <w:panose1 w:val="03000509000000000000"/>
    <w:charset w:val="86"/>
    <w:family w:val="script"/>
    <w:pitch w:val="default"/>
    <w:sig w:usb0="00000001" w:usb1="080E0000" w:usb2="00000000" w:usb3="00000000" w:csb0="00040000" w:csb1="00000000"/>
  </w:font>
  <w:font w:name="方正楷体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3"/>
          <w:jc w:val="center"/>
        </w:pPr>
        <w:r>
          <w:fldChar w:fldCharType="begin"/>
        </w:r>
        <w:r>
          <w:instrText xml:space="preserve">PAGE   \* MERGEFORMAT</w:instrText>
        </w:r>
        <w:r>
          <w:fldChar w:fldCharType="separate"/>
        </w:r>
        <w:r>
          <w:rPr>
            <w:lang w:val="zh-CN"/>
          </w:rPr>
          <w:t>65</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EC914A"/>
    <w:multiLevelType w:val="singleLevel"/>
    <w:tmpl w:val="A8EC914A"/>
    <w:lvl w:ilvl="0" w:tentative="0">
      <w:start w:val="1"/>
      <w:numFmt w:val="decimal"/>
      <w:suff w:val="nothing"/>
      <w:lvlText w:val="%1、"/>
      <w:lvlJc w:val="left"/>
      <w:pPr>
        <w:ind w:left="0"/>
      </w:p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TM4MTFkMTcyNzA5MzRmMDI0OGNlMTI3ZGEzZTY1MjQ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C7C9B"/>
    <w:rsid w:val="000D0937"/>
    <w:rsid w:val="000D1267"/>
    <w:rsid w:val="000D1D50"/>
    <w:rsid w:val="000D5782"/>
    <w:rsid w:val="000E6613"/>
    <w:rsid w:val="000E7119"/>
    <w:rsid w:val="0011008A"/>
    <w:rsid w:val="00114E9B"/>
    <w:rsid w:val="0011524F"/>
    <w:rsid w:val="00142216"/>
    <w:rsid w:val="00144D6A"/>
    <w:rsid w:val="0014729F"/>
    <w:rsid w:val="00157BAB"/>
    <w:rsid w:val="001654D1"/>
    <w:rsid w:val="00174518"/>
    <w:rsid w:val="0018106D"/>
    <w:rsid w:val="0018682C"/>
    <w:rsid w:val="001877A7"/>
    <w:rsid w:val="00191536"/>
    <w:rsid w:val="00196687"/>
    <w:rsid w:val="001B62F1"/>
    <w:rsid w:val="001C0962"/>
    <w:rsid w:val="001D4736"/>
    <w:rsid w:val="001D7531"/>
    <w:rsid w:val="001E737D"/>
    <w:rsid w:val="001F0592"/>
    <w:rsid w:val="001F0EA2"/>
    <w:rsid w:val="001F7506"/>
    <w:rsid w:val="002006CD"/>
    <w:rsid w:val="00202B36"/>
    <w:rsid w:val="00204B7A"/>
    <w:rsid w:val="00204CDE"/>
    <w:rsid w:val="0021101A"/>
    <w:rsid w:val="00214B44"/>
    <w:rsid w:val="00220536"/>
    <w:rsid w:val="00235629"/>
    <w:rsid w:val="00260C38"/>
    <w:rsid w:val="002616C0"/>
    <w:rsid w:val="00265372"/>
    <w:rsid w:val="002662AA"/>
    <w:rsid w:val="00270814"/>
    <w:rsid w:val="00280496"/>
    <w:rsid w:val="0028324C"/>
    <w:rsid w:val="00294DC9"/>
    <w:rsid w:val="00295495"/>
    <w:rsid w:val="002A31DE"/>
    <w:rsid w:val="002B2613"/>
    <w:rsid w:val="002D6D05"/>
    <w:rsid w:val="002E0E34"/>
    <w:rsid w:val="002F1818"/>
    <w:rsid w:val="002F567B"/>
    <w:rsid w:val="003216A9"/>
    <w:rsid w:val="00335A74"/>
    <w:rsid w:val="0036561B"/>
    <w:rsid w:val="0037013F"/>
    <w:rsid w:val="00380C92"/>
    <w:rsid w:val="00380DD3"/>
    <w:rsid w:val="003A484F"/>
    <w:rsid w:val="003A4883"/>
    <w:rsid w:val="003B0BE0"/>
    <w:rsid w:val="003B0C1B"/>
    <w:rsid w:val="003B688C"/>
    <w:rsid w:val="003C0291"/>
    <w:rsid w:val="003C39AE"/>
    <w:rsid w:val="003C7B60"/>
    <w:rsid w:val="003D0C0F"/>
    <w:rsid w:val="003D1FB2"/>
    <w:rsid w:val="003D66DA"/>
    <w:rsid w:val="003E1310"/>
    <w:rsid w:val="003E6F55"/>
    <w:rsid w:val="003F0361"/>
    <w:rsid w:val="003F44E0"/>
    <w:rsid w:val="00406254"/>
    <w:rsid w:val="004223DE"/>
    <w:rsid w:val="00434489"/>
    <w:rsid w:val="00437085"/>
    <w:rsid w:val="00443880"/>
    <w:rsid w:val="004464F4"/>
    <w:rsid w:val="00471401"/>
    <w:rsid w:val="00473F31"/>
    <w:rsid w:val="0048263A"/>
    <w:rsid w:val="00482E5C"/>
    <w:rsid w:val="00487E5D"/>
    <w:rsid w:val="00490E3F"/>
    <w:rsid w:val="004A711F"/>
    <w:rsid w:val="004B199D"/>
    <w:rsid w:val="004B4690"/>
    <w:rsid w:val="004E0A2D"/>
    <w:rsid w:val="004E206B"/>
    <w:rsid w:val="004E6DF7"/>
    <w:rsid w:val="004F0FBD"/>
    <w:rsid w:val="004F750A"/>
    <w:rsid w:val="00505A47"/>
    <w:rsid w:val="00512FDA"/>
    <w:rsid w:val="00520DA0"/>
    <w:rsid w:val="005342AD"/>
    <w:rsid w:val="00550859"/>
    <w:rsid w:val="00554084"/>
    <w:rsid w:val="005664BB"/>
    <w:rsid w:val="00566FFA"/>
    <w:rsid w:val="0057481D"/>
    <w:rsid w:val="0058486E"/>
    <w:rsid w:val="00585B33"/>
    <w:rsid w:val="0059014D"/>
    <w:rsid w:val="005B5C64"/>
    <w:rsid w:val="005C5337"/>
    <w:rsid w:val="005C6BD0"/>
    <w:rsid w:val="005D1C8B"/>
    <w:rsid w:val="005D3F0E"/>
    <w:rsid w:val="005D468D"/>
    <w:rsid w:val="005D5CED"/>
    <w:rsid w:val="005E4339"/>
    <w:rsid w:val="005F1A4C"/>
    <w:rsid w:val="0060217A"/>
    <w:rsid w:val="00605688"/>
    <w:rsid w:val="006070AF"/>
    <w:rsid w:val="00607E6C"/>
    <w:rsid w:val="006101B1"/>
    <w:rsid w:val="00614E44"/>
    <w:rsid w:val="00616166"/>
    <w:rsid w:val="0062270A"/>
    <w:rsid w:val="00622830"/>
    <w:rsid w:val="00623DA0"/>
    <w:rsid w:val="00630AEF"/>
    <w:rsid w:val="006325F8"/>
    <w:rsid w:val="00633463"/>
    <w:rsid w:val="00634C9A"/>
    <w:rsid w:val="00637893"/>
    <w:rsid w:val="006440E4"/>
    <w:rsid w:val="0066343B"/>
    <w:rsid w:val="00664777"/>
    <w:rsid w:val="0066703F"/>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3692"/>
    <w:rsid w:val="008C4DB1"/>
    <w:rsid w:val="008C4EAF"/>
    <w:rsid w:val="008C5176"/>
    <w:rsid w:val="008C7FD0"/>
    <w:rsid w:val="008E1DE7"/>
    <w:rsid w:val="008E707C"/>
    <w:rsid w:val="008F1162"/>
    <w:rsid w:val="00900B08"/>
    <w:rsid w:val="00902155"/>
    <w:rsid w:val="00902FA3"/>
    <w:rsid w:val="00923564"/>
    <w:rsid w:val="0092392E"/>
    <w:rsid w:val="009315F9"/>
    <w:rsid w:val="00933499"/>
    <w:rsid w:val="00935C98"/>
    <w:rsid w:val="00941696"/>
    <w:rsid w:val="00946945"/>
    <w:rsid w:val="00951248"/>
    <w:rsid w:val="0095152F"/>
    <w:rsid w:val="00954C49"/>
    <w:rsid w:val="00955E37"/>
    <w:rsid w:val="0097099F"/>
    <w:rsid w:val="00971997"/>
    <w:rsid w:val="00971FFC"/>
    <w:rsid w:val="009771B2"/>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07F14"/>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1F9C"/>
    <w:rsid w:val="00A8335C"/>
    <w:rsid w:val="00A91760"/>
    <w:rsid w:val="00A93B00"/>
    <w:rsid w:val="00A93C21"/>
    <w:rsid w:val="00AB5A39"/>
    <w:rsid w:val="00AB64C9"/>
    <w:rsid w:val="00AC3C6A"/>
    <w:rsid w:val="00AD5620"/>
    <w:rsid w:val="00AD656B"/>
    <w:rsid w:val="00AD7C1B"/>
    <w:rsid w:val="00AE16BA"/>
    <w:rsid w:val="00AE1EBE"/>
    <w:rsid w:val="00B03C9D"/>
    <w:rsid w:val="00B060AE"/>
    <w:rsid w:val="00B10517"/>
    <w:rsid w:val="00B14E76"/>
    <w:rsid w:val="00B161B8"/>
    <w:rsid w:val="00B2048C"/>
    <w:rsid w:val="00B21F6C"/>
    <w:rsid w:val="00B310B9"/>
    <w:rsid w:val="00B35F3F"/>
    <w:rsid w:val="00B36CBB"/>
    <w:rsid w:val="00B425E0"/>
    <w:rsid w:val="00B440AA"/>
    <w:rsid w:val="00B44B70"/>
    <w:rsid w:val="00B53C56"/>
    <w:rsid w:val="00B57DAF"/>
    <w:rsid w:val="00B7740E"/>
    <w:rsid w:val="00B77EA6"/>
    <w:rsid w:val="00B81598"/>
    <w:rsid w:val="00B841F1"/>
    <w:rsid w:val="00B944D6"/>
    <w:rsid w:val="00BA60E4"/>
    <w:rsid w:val="00BA6FB3"/>
    <w:rsid w:val="00BB49CE"/>
    <w:rsid w:val="00BB4DF0"/>
    <w:rsid w:val="00BC289F"/>
    <w:rsid w:val="00BC2D50"/>
    <w:rsid w:val="00BC5361"/>
    <w:rsid w:val="00BC5460"/>
    <w:rsid w:val="00BC6B50"/>
    <w:rsid w:val="00BD0E25"/>
    <w:rsid w:val="00BF5BD6"/>
    <w:rsid w:val="00C03E31"/>
    <w:rsid w:val="00C13C43"/>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03CCC"/>
    <w:rsid w:val="00D07EF6"/>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3B8B"/>
    <w:rsid w:val="00DD73B7"/>
    <w:rsid w:val="00DF28BC"/>
    <w:rsid w:val="00DF34B9"/>
    <w:rsid w:val="00DF3664"/>
    <w:rsid w:val="00E01053"/>
    <w:rsid w:val="00E07ACF"/>
    <w:rsid w:val="00E331A1"/>
    <w:rsid w:val="00E33202"/>
    <w:rsid w:val="00E336A9"/>
    <w:rsid w:val="00E3441B"/>
    <w:rsid w:val="00E472B1"/>
    <w:rsid w:val="00E50624"/>
    <w:rsid w:val="00E568DF"/>
    <w:rsid w:val="00E64269"/>
    <w:rsid w:val="00E82267"/>
    <w:rsid w:val="00E853CE"/>
    <w:rsid w:val="00E867B6"/>
    <w:rsid w:val="00EA010F"/>
    <w:rsid w:val="00EA2658"/>
    <w:rsid w:val="00EA2B4A"/>
    <w:rsid w:val="00ED1B63"/>
    <w:rsid w:val="00ED3C1F"/>
    <w:rsid w:val="00ED4085"/>
    <w:rsid w:val="00ED420E"/>
    <w:rsid w:val="00ED6FBE"/>
    <w:rsid w:val="00EE2F57"/>
    <w:rsid w:val="00EF2DE0"/>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A3BAA"/>
    <w:rsid w:val="00FD3CC1"/>
    <w:rsid w:val="00FF1E02"/>
    <w:rsid w:val="00FF30B4"/>
    <w:rsid w:val="066E0107"/>
    <w:rsid w:val="06883E15"/>
    <w:rsid w:val="070E7398"/>
    <w:rsid w:val="07996F6E"/>
    <w:rsid w:val="07BB0F6E"/>
    <w:rsid w:val="0A2032A3"/>
    <w:rsid w:val="0B020A86"/>
    <w:rsid w:val="0B892750"/>
    <w:rsid w:val="0E042776"/>
    <w:rsid w:val="101860EC"/>
    <w:rsid w:val="10C055FF"/>
    <w:rsid w:val="118107EC"/>
    <w:rsid w:val="13D50BC4"/>
    <w:rsid w:val="16BB723D"/>
    <w:rsid w:val="16E618BC"/>
    <w:rsid w:val="19483AB5"/>
    <w:rsid w:val="19E03242"/>
    <w:rsid w:val="1ADD120E"/>
    <w:rsid w:val="1ADF59E9"/>
    <w:rsid w:val="1BE8440E"/>
    <w:rsid w:val="1D155CEE"/>
    <w:rsid w:val="1D8B05A9"/>
    <w:rsid w:val="1F990AC3"/>
    <w:rsid w:val="23860B96"/>
    <w:rsid w:val="240371BF"/>
    <w:rsid w:val="29745239"/>
    <w:rsid w:val="29FD04D3"/>
    <w:rsid w:val="2C8A61B5"/>
    <w:rsid w:val="2DF04E50"/>
    <w:rsid w:val="2F350375"/>
    <w:rsid w:val="319F7F4E"/>
    <w:rsid w:val="32355845"/>
    <w:rsid w:val="33945FB2"/>
    <w:rsid w:val="33D214D0"/>
    <w:rsid w:val="340E5BCB"/>
    <w:rsid w:val="36AA5135"/>
    <w:rsid w:val="375E6EC6"/>
    <w:rsid w:val="37E16F03"/>
    <w:rsid w:val="3D5B3E8D"/>
    <w:rsid w:val="3D98207C"/>
    <w:rsid w:val="3F4779E8"/>
    <w:rsid w:val="3FB737CC"/>
    <w:rsid w:val="3FC32955"/>
    <w:rsid w:val="407A02DD"/>
    <w:rsid w:val="415648A7"/>
    <w:rsid w:val="427E2C23"/>
    <w:rsid w:val="44E268DA"/>
    <w:rsid w:val="4A627F82"/>
    <w:rsid w:val="4A641563"/>
    <w:rsid w:val="4B4F25DA"/>
    <w:rsid w:val="4BE068DB"/>
    <w:rsid w:val="4C6664FB"/>
    <w:rsid w:val="4D577224"/>
    <w:rsid w:val="4EAB630A"/>
    <w:rsid w:val="4ECE2238"/>
    <w:rsid w:val="511132DD"/>
    <w:rsid w:val="560C332E"/>
    <w:rsid w:val="5AF92295"/>
    <w:rsid w:val="5CD71FC4"/>
    <w:rsid w:val="61DE133F"/>
    <w:rsid w:val="63C11BFC"/>
    <w:rsid w:val="659B43A5"/>
    <w:rsid w:val="68EA73C6"/>
    <w:rsid w:val="69332738"/>
    <w:rsid w:val="6A10565D"/>
    <w:rsid w:val="6A901235"/>
    <w:rsid w:val="6ACF5264"/>
    <w:rsid w:val="6AD6402A"/>
    <w:rsid w:val="6C4A05C8"/>
    <w:rsid w:val="6D0A63C2"/>
    <w:rsid w:val="6DB68448"/>
    <w:rsid w:val="6DF55434"/>
    <w:rsid w:val="6E7E3605"/>
    <w:rsid w:val="6E7E7C89"/>
    <w:rsid w:val="6F771E2E"/>
    <w:rsid w:val="6FF5CC65"/>
    <w:rsid w:val="71556004"/>
    <w:rsid w:val="715C0E4B"/>
    <w:rsid w:val="72734D90"/>
    <w:rsid w:val="73AD73D5"/>
    <w:rsid w:val="73B6EB34"/>
    <w:rsid w:val="77162772"/>
    <w:rsid w:val="79EE5BA4"/>
    <w:rsid w:val="7A894339"/>
    <w:rsid w:val="7B3B238A"/>
    <w:rsid w:val="7BA91159"/>
    <w:rsid w:val="7C293957"/>
    <w:rsid w:val="7EEF11D3"/>
    <w:rsid w:val="7F2034EB"/>
    <w:rsid w:val="7FA30C79"/>
    <w:rsid w:val="7FC96657"/>
    <w:rsid w:val="D8D6DB89"/>
    <w:rsid w:val="DB6F4CAB"/>
    <w:rsid w:val="DF6F9789"/>
    <w:rsid w:val="FFBB3B9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2"/>
    <w:qFormat/>
    <w:uiPriority w:val="99"/>
    <w:pPr>
      <w:spacing w:beforeLines="30"/>
    </w:pPr>
    <w:rPr>
      <w:rFonts w:ascii="仿宋_GB2312" w:eastAsia="仿宋_GB2312"/>
      <w:kern w:val="0"/>
      <w:sz w:val="30"/>
    </w:rPr>
  </w:style>
  <w:style w:type="paragraph" w:styleId="3">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8"/>
    <w:semiHidden/>
    <w:unhideWhenUsed/>
    <w:qFormat/>
    <w:uiPriority w:val="99"/>
    <w:rPr>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rPr>
  </w:style>
  <w:style w:type="character" w:styleId="16">
    <w:name w:val="Hyperlink"/>
    <w:basedOn w:val="14"/>
    <w:unhideWhenUsed/>
    <w:qFormat/>
    <w:uiPriority w:val="99"/>
    <w:rPr>
      <w:color w:val="0000FF" w:themeColor="hyperlink"/>
      <w:u w:val="single"/>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3"/>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4"/>
    <w:qFormat/>
    <w:uiPriority w:val="9"/>
    <w:rPr>
      <w:rFonts w:ascii="Times New Roman" w:hAnsi="Times New Roman"/>
      <w:b/>
      <w:bCs/>
      <w:kern w:val="44"/>
      <w:sz w:val="44"/>
      <w:szCs w:val="44"/>
    </w:rPr>
  </w:style>
  <w:style w:type="character" w:customStyle="1" w:styleId="26">
    <w:name w:val="标题 2 Char"/>
    <w:basedOn w:val="14"/>
    <w:link w:val="5"/>
    <w:qFormat/>
    <w:uiPriority w:val="9"/>
    <w:rPr>
      <w:rFonts w:asciiTheme="majorHAnsi" w:hAnsiTheme="majorHAnsi" w:eastAsiaTheme="majorEastAsia" w:cstheme="majorBidi"/>
      <w:b/>
      <w:bCs/>
      <w:kern w:val="2"/>
      <w:sz w:val="32"/>
      <w:szCs w:val="32"/>
    </w:rPr>
  </w:style>
  <w:style w:type="paragraph" w:customStyle="1" w:styleId="27">
    <w:name w:val="TOC 标题1"/>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6"/>
    <w:qFormat/>
    <w:uiPriority w:val="9"/>
    <w:rPr>
      <w:rFonts w:ascii="Times New Roman" w:hAnsi="Times New Roman"/>
      <w:b/>
      <w:bCs/>
      <w:kern w:val="2"/>
      <w:sz w:val="32"/>
      <w:szCs w:val="32"/>
    </w:rPr>
  </w:style>
  <w:style w:type="paragraph" w:customStyle="1" w:styleId="30">
    <w:name w:val="TOC 标题2"/>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font11"/>
    <w:qFormat/>
    <w:uiPriority w:val="0"/>
    <w:rPr>
      <w:rFonts w:ascii="宋体" w:eastAsia="宋体" w:cs="宋体"/>
      <w:color w:val="000000"/>
      <w:sz w:val="21"/>
      <w:szCs w:val="21"/>
      <w:u w:val="none"/>
      <w:lang w:bidi="ar-SA"/>
    </w:rPr>
  </w:style>
  <w:style w:type="character" w:customStyle="1" w:styleId="32">
    <w:name w:val="font31"/>
    <w:basedOn w:val="14"/>
    <w:qFormat/>
    <w:uiPriority w:val="0"/>
    <w:rPr>
      <w:rFonts w:hint="eastAsia" w:ascii="宋体" w:hAnsi="宋体" w:eastAsia="宋体" w:cs="宋体"/>
      <w:color w:val="000000"/>
      <w:sz w:val="24"/>
      <w:szCs w:val="24"/>
      <w:u w:val="none"/>
    </w:rPr>
  </w:style>
  <w:style w:type="character" w:customStyle="1" w:styleId="33">
    <w:name w:val="font61"/>
    <w:basedOn w:val="14"/>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90833333333333"/>
          <c:y val="0.0208333333333333"/>
        </c:manualLayout>
      </c:layout>
      <c:overlay val="0"/>
      <c:spPr>
        <a:noFill/>
        <a:ln>
          <a:noFill/>
        </a:ln>
        <a:effectLst/>
      </c:spPr>
      <c:txPr>
        <a:bodyPr rot="0" spcFirstLastPara="0" vertOverflow="ellipsis" vert="horz" wrap="square" anchor="ctr" anchorCtr="1"/>
        <a:lstStyle/>
        <a:p>
          <a:pPr>
            <a:defRPr lang="zh-CN" sz="1440" b="1" i="0" u="none" strike="noStrike" kern="1200" cap="none" spc="0" normalizeH="0" baseline="0">
              <a:solidFill>
                <a:schemeClr val="tx1"/>
              </a:solidFill>
              <a:uFill>
                <a:solidFill>
                  <a:schemeClr val="tx1"/>
                </a:solidFill>
              </a:uFill>
              <a:latin typeface="+mn-lt"/>
              <a:ea typeface="+mn-ea"/>
              <a:cs typeface="+mn-cs"/>
            </a:defRPr>
          </a:pPr>
        </a:p>
      </c:txPr>
    </c:title>
    <c:autoTitleDeleted val="0"/>
    <c:plotArea>
      <c:layout/>
      <c:barChart>
        <c:barDir val="col"/>
        <c:grouping val="clustered"/>
        <c:varyColors val="0"/>
        <c:ser>
          <c:idx val="0"/>
          <c:order val="0"/>
          <c:tx>
            <c:strRef>
              <c:f>[工作簿1]Sheet1!$B$1</c:f>
              <c:strCache>
                <c:ptCount val="1"/>
                <c:pt idx="0">
                  <c:v>收支决算总计变动情况</c:v>
                </c:pt>
              </c:strCache>
            </c:strRef>
          </c:tx>
          <c:spPr>
            <a:solidFill>
              <a:schemeClr val="accent1"/>
            </a:solidFill>
            <a:ln>
              <a:noFill/>
            </a:ln>
            <a:effectLst/>
          </c:spPr>
          <c:invertIfNegative val="0"/>
          <c:dLbls>
            <c:delete val="1"/>
          </c:dLbls>
          <c:cat>
            <c:strRef>
              <c:f>[工作簿1]Sheet1!$A$2:$A$3</c:f>
              <c:strCache>
                <c:ptCount val="2"/>
                <c:pt idx="0">
                  <c:v>2020收支总决算</c:v>
                </c:pt>
                <c:pt idx="1">
                  <c:v>2021收支总决算</c:v>
                </c:pt>
              </c:strCache>
            </c:strRef>
          </c:cat>
          <c:val>
            <c:numRef>
              <c:f>[工作簿1]Sheet1!$B$2:$B$3</c:f>
              <c:numCache>
                <c:formatCode>General</c:formatCode>
                <c:ptCount val="2"/>
                <c:pt idx="0">
                  <c:v>5307.67</c:v>
                </c:pt>
                <c:pt idx="1">
                  <c:v>4226.03</c:v>
                </c:pt>
              </c:numCache>
            </c:numRef>
          </c:val>
        </c:ser>
        <c:dLbls>
          <c:showLegendKey val="0"/>
          <c:showVal val="0"/>
          <c:showCatName val="0"/>
          <c:showSerName val="0"/>
          <c:showPercent val="0"/>
          <c:showBubbleSize val="0"/>
        </c:dLbls>
        <c:gapWidth val="219"/>
        <c:overlap val="-27"/>
        <c:axId val="433487280"/>
        <c:axId val="433485712"/>
      </c:barChart>
      <c:catAx>
        <c:axId val="43348728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1200" b="1" i="0" u="none" strike="noStrike" kern="1200" cap="none" spc="0" normalizeH="0" baseline="0">
                <a:solidFill>
                  <a:schemeClr val="tx1"/>
                </a:solidFill>
                <a:uFill>
                  <a:solidFill>
                    <a:schemeClr val="tx1"/>
                  </a:solidFill>
                </a:uFill>
                <a:latin typeface="+mn-lt"/>
                <a:ea typeface="+mn-ea"/>
                <a:cs typeface="+mn-cs"/>
              </a:defRPr>
            </a:pPr>
          </a:p>
        </c:txPr>
        <c:crossAx val="433485712"/>
        <c:crosses val="autoZero"/>
        <c:auto val="1"/>
        <c:lblAlgn val="ctr"/>
        <c:lblOffset val="100"/>
        <c:noMultiLvlLbl val="0"/>
      </c:catAx>
      <c:valAx>
        <c:axId val="433485712"/>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1200" b="1" i="0" u="none" strike="noStrike" kern="1200" cap="none" spc="0" normalizeH="0" baseline="0">
                <a:solidFill>
                  <a:schemeClr val="tx1"/>
                </a:solidFill>
                <a:uFill>
                  <a:solidFill>
                    <a:schemeClr val="tx1"/>
                  </a:solidFill>
                </a:uFill>
                <a:latin typeface="+mn-lt"/>
                <a:ea typeface="+mn-ea"/>
                <a:cs typeface="+mn-cs"/>
              </a:defRPr>
            </a:pPr>
          </a:p>
        </c:txPr>
        <c:crossAx val="4334872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1200" b="1" u="none" strike="noStrike" kern="1200" cap="none" spc="0" normalizeH="0">
          <a:solidFill>
            <a:schemeClr val="tx1"/>
          </a:solidFill>
          <a:uFill>
            <a:solidFill>
              <a:schemeClr val="tx1"/>
            </a:solidFill>
          </a:uFill>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600" b="0" i="0" u="none" strike="noStrike" kern="1200" cap="none" spc="50" normalizeH="0" baseline="0">
              <a:solidFill>
                <a:schemeClr val="tx1">
                  <a:lumMod val="65000"/>
                  <a:lumOff val="35000"/>
                </a:schemeClr>
              </a:solidFill>
              <a:latin typeface="+mj-lt"/>
              <a:ea typeface="+mj-ea"/>
              <a:cs typeface="+mj-cs"/>
            </a:defRPr>
          </a:pPr>
        </a:p>
      </c:txPr>
    </c:title>
    <c:autoTitleDeleted val="0"/>
    <c:plotArea>
      <c:layout>
        <c:manualLayout>
          <c:layoutTarget val="inner"/>
          <c:xMode val="edge"/>
          <c:yMode val="edge"/>
          <c:x val="0.0326388888888889"/>
          <c:y val="0.1875"/>
          <c:w val="0.938888888888889"/>
          <c:h val="0.59212962962963"/>
        </c:manualLayout>
      </c:layout>
      <c:pieChart>
        <c:varyColors val="1"/>
        <c:ser>
          <c:idx val="0"/>
          <c:order val="0"/>
          <c:tx>
            <c:strRef>
              <c:f>[工作簿1]Sheet1!$B$7</c:f>
              <c:strCache>
                <c:ptCount val="1"/>
                <c:pt idx="0">
                  <c:v>收入决算结构</c:v>
                </c:pt>
              </c:strCache>
            </c:strRef>
          </c:tx>
          <c:spPr>
            <a:scene3d>
              <a:camera prst="orthographicFront"/>
              <a:lightRig rig="threePt" dir="t"/>
            </a:scene3d>
            <a:sp3d contourW="9525"/>
          </c:spPr>
          <c:explosion val="51"/>
          <c:dPt>
            <c:idx val="0"/>
            <c:bubble3D val="0"/>
            <c:spPr>
              <a:solidFill>
                <a:schemeClr val="accent1">
                  <a:alpha val="70000"/>
                </a:schemeClr>
              </a:solidFill>
              <a:ln>
                <a:noFill/>
              </a:ln>
              <a:effectLst/>
              <a:scene3d>
                <a:camera prst="orthographicFront"/>
                <a:lightRig rig="threePt" dir="t"/>
              </a:scene3d>
              <a:sp3d contourW="9525"/>
            </c:spPr>
          </c:dPt>
          <c:dPt>
            <c:idx val="1"/>
            <c:bubble3D val="0"/>
            <c:spPr>
              <a:solidFill>
                <a:schemeClr val="accent2">
                  <a:alpha val="70000"/>
                </a:schemeClr>
              </a:solidFill>
              <a:ln>
                <a:noFill/>
              </a:ln>
              <a:effectLst/>
              <a:scene3d>
                <a:camera prst="orthographicFront"/>
                <a:lightRig rig="threePt" dir="t"/>
              </a:scene3d>
              <a:sp3d contourW="9525"/>
            </c:spPr>
          </c:dPt>
          <c:dPt>
            <c:idx val="2"/>
            <c:bubble3D val="0"/>
            <c:spPr>
              <a:solidFill>
                <a:schemeClr val="accent3">
                  <a:alpha val="70000"/>
                </a:schemeClr>
              </a:solidFill>
              <a:ln>
                <a:noFill/>
              </a:ln>
              <a:effectLst/>
              <a:scene3d>
                <a:camera prst="orthographicFront"/>
                <a:lightRig rig="threePt" dir="t"/>
              </a:scene3d>
              <a:sp3d contourW="9525"/>
            </c:spPr>
          </c:dPt>
          <c:dLbls>
            <c:dLbl>
              <c:idx val="0"/>
              <c:layout>
                <c:manualLayout>
                  <c:x val="-0.0100728636623878"/>
                  <c:y val="-0.0903367784356312"/>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zh-CN" altLang="en-US"/>
                      <a:t>一般公共预算财政拨款收入</a:t>
                    </a:r>
                    <a:r>
                      <a:rPr lang="en-US" altLang="zh-CN"/>
                      <a:t>92%</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manualLayout>
                      <c:w val="0.299583333333333"/>
                      <c:h val="0.130555555555556"/>
                    </c:manualLayout>
                  </c15:layout>
                </c:ext>
              </c:extLst>
            </c:dLbl>
            <c:dLbl>
              <c:idx val="1"/>
              <c:layout>
                <c:manualLayout>
                  <c:x val="0.310741786192574"/>
                  <c:y val="0.0338302296768302"/>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zh-CN" altLang="en-US"/>
                      <a:t>政府性基金预算财政拨款收入</a:t>
                    </a:r>
                    <a:r>
                      <a:rPr lang="en-US" altLang="zh-CN"/>
                      <a:t>0.13%</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manualLayout>
                      <c:w val="0.290555555555556"/>
                      <c:h val="0.208333333333333"/>
                    </c:manualLayout>
                  </c15:layout>
                </c:ext>
              </c:extLst>
            </c:dLbl>
            <c:dLbl>
              <c:idx val="2"/>
              <c:layout>
                <c:manualLayout>
                  <c:x val="0.0398206789681853"/>
                  <c:y val="-0.176528760646272"/>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zh-CN" altLang="en-US"/>
                      <a:t>其他收入</a:t>
                    </a:r>
                    <a:r>
                      <a:rPr lang="en-US" altLang="zh-CN"/>
                      <a:t>7.87%</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[工作簿1]Sheet1!$A$8:$A$10</c:f>
              <c:strCache>
                <c:ptCount val="3"/>
                <c:pt idx="0">
                  <c:v>一般公共预算财政拨款收入92%</c:v>
                </c:pt>
                <c:pt idx="1">
                  <c:v>政府性基金预算财政拨款收入0.13%</c:v>
                </c:pt>
                <c:pt idx="2">
                  <c:v>其他收入7.87%</c:v>
                </c:pt>
              </c:strCache>
            </c:strRef>
          </c:cat>
          <c:val>
            <c:numRef>
              <c:f>[工作簿1]Sheet1!$B$8:$B$10</c:f>
              <c:numCache>
                <c:formatCode>0%</c:formatCode>
                <c:ptCount val="3"/>
                <c:pt idx="0">
                  <c:v>0.92</c:v>
                </c:pt>
                <c:pt idx="1" c:formatCode="0.00%">
                  <c:v>0.0013</c:v>
                </c:pt>
                <c:pt idx="2" c:formatCode="0.00%">
                  <c:v>0.0787</c:v>
                </c:pt>
              </c:numCache>
            </c:numRef>
          </c:val>
        </c:ser>
        <c:dLbls>
          <c:showLegendKey val="0"/>
          <c:showVal val="1"/>
          <c:showCatName val="0"/>
          <c:showSerName val="0"/>
          <c:showPercent val="0"/>
          <c:showBubbleSize val="0"/>
          <c:showLeaderLines val="1"/>
        </c:dLbls>
        <c:firstSliceAng val="267"/>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lt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600" b="0" i="0" u="none" strike="noStrike" kern="1200" cap="none" spc="50" normalizeH="0" baseline="0">
              <a:solidFill>
                <a:schemeClr val="tx1">
                  <a:lumMod val="65000"/>
                  <a:lumOff val="35000"/>
                </a:schemeClr>
              </a:solidFill>
              <a:latin typeface="+mj-lt"/>
              <a:ea typeface="+mj-ea"/>
              <a:cs typeface="+mj-cs"/>
            </a:defRPr>
          </a:pPr>
        </a:p>
      </c:txPr>
    </c:title>
    <c:autoTitleDeleted val="0"/>
    <c:plotArea>
      <c:layout>
        <c:manualLayout>
          <c:layoutTarget val="inner"/>
          <c:xMode val="edge"/>
          <c:yMode val="edge"/>
          <c:x val="0.0326388888888889"/>
          <c:y val="0.1875"/>
          <c:w val="0.938888888888889"/>
          <c:h val="0.59212962962963"/>
        </c:manualLayout>
      </c:layout>
      <c:pieChart>
        <c:varyColors val="1"/>
        <c:ser>
          <c:idx val="0"/>
          <c:order val="0"/>
          <c:tx>
            <c:strRef>
              <c:f>[工作簿1]Sheet1!$B$7</c:f>
              <c:strCache>
                <c:ptCount val="1"/>
                <c:pt idx="0">
                  <c:v>支出决算结构</c:v>
                </c:pt>
              </c:strCache>
            </c:strRef>
          </c:tx>
          <c:spPr>
            <a:scene3d>
              <a:camera prst="orthographicFront"/>
              <a:lightRig rig="threePt" dir="t"/>
            </a:scene3d>
            <a:sp3d contourW="9525"/>
          </c:spPr>
          <c:explosion val="51"/>
          <c:dPt>
            <c:idx val="0"/>
            <c:bubble3D val="0"/>
            <c:spPr>
              <a:solidFill>
                <a:schemeClr val="accent1">
                  <a:alpha val="70000"/>
                </a:schemeClr>
              </a:solidFill>
              <a:ln>
                <a:noFill/>
              </a:ln>
              <a:effectLst/>
              <a:scene3d>
                <a:camera prst="orthographicFront"/>
                <a:lightRig rig="threePt" dir="t"/>
              </a:scene3d>
              <a:sp3d contourW="9525"/>
            </c:spPr>
          </c:dPt>
          <c:dPt>
            <c:idx val="1"/>
            <c:bubble3D val="0"/>
            <c:spPr>
              <a:solidFill>
                <a:schemeClr val="accent2">
                  <a:alpha val="70000"/>
                </a:schemeClr>
              </a:solidFill>
              <a:ln>
                <a:noFill/>
              </a:ln>
              <a:effectLst/>
              <a:scene3d>
                <a:camera prst="orthographicFront"/>
                <a:lightRig rig="threePt" dir="t"/>
              </a:scene3d>
              <a:sp3d contourW="9525"/>
            </c:spPr>
          </c:dPt>
          <c:dPt>
            <c:idx val="2"/>
            <c:bubble3D val="0"/>
            <c:spPr>
              <a:solidFill>
                <a:schemeClr val="accent3">
                  <a:alpha val="70000"/>
                </a:schemeClr>
              </a:solidFill>
              <a:ln>
                <a:noFill/>
              </a:ln>
              <a:effectLst/>
              <a:scene3d>
                <a:camera prst="orthographicFront"/>
                <a:lightRig rig="threePt" dir="t"/>
              </a:scene3d>
              <a:sp3d contourW="9525"/>
            </c:spPr>
          </c:dPt>
          <c:dLbls>
            <c:dLbl>
              <c:idx val="0"/>
              <c:layout>
                <c:manualLayout>
                  <c:x val="-0.0100728636623878"/>
                  <c:y val="-0.0903367784356312"/>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zh-CN" altLang="en-US"/>
                      <a:t>基本支出</a:t>
                    </a:r>
                    <a:endParaRPr lang="zh-CN" altLang="en-US"/>
                  </a:p>
                  <a:p>
                    <a:pPr>
                      <a:defRPr lang="zh-CN" sz="900" b="0" i="0" u="none" strike="noStrike" kern="1200" baseline="0">
                        <a:solidFill>
                          <a:schemeClr val="tx1">
                            <a:lumMod val="75000"/>
                            <a:lumOff val="25000"/>
                          </a:schemeClr>
                        </a:solidFill>
                        <a:latin typeface="+mn-lt"/>
                        <a:ea typeface="+mn-ea"/>
                        <a:cs typeface="+mn-cs"/>
                      </a:defRPr>
                    </a:pPr>
                    <a:r>
                      <a:rPr lang="en-US" altLang="zh-CN"/>
                      <a:t>64%</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manualLayout>
                      <c:w val="0.299583333333333"/>
                      <c:h val="0.130555555555556"/>
                    </c:manualLayout>
                  </c15:layout>
                </c:ext>
              </c:extLst>
            </c:dLbl>
            <c:dLbl>
              <c:idx val="1"/>
              <c:layout>
                <c:manualLayout>
                  <c:x val="-0.0343508875035516"/>
                  <c:y val="0.0824413407879413"/>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zh-CN" altLang="en-US"/>
                      <a:t>项目支出</a:t>
                    </a:r>
                    <a:endParaRPr lang="zh-CN" altLang="en-US"/>
                  </a:p>
                  <a:p>
                    <a:pPr>
                      <a:defRPr lang="zh-CN" sz="900" b="0" i="0" u="none" strike="noStrike" kern="1200" baseline="0">
                        <a:solidFill>
                          <a:schemeClr val="tx1">
                            <a:lumMod val="75000"/>
                            <a:lumOff val="25000"/>
                          </a:schemeClr>
                        </a:solidFill>
                        <a:latin typeface="+mn-lt"/>
                        <a:ea typeface="+mn-ea"/>
                        <a:cs typeface="+mn-cs"/>
                      </a:defRPr>
                    </a:pPr>
                    <a:r>
                      <a:rPr lang="en-US" altLang="zh-CN"/>
                      <a:t>36%</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manualLayout>
                      <c:w val="0.235694444444444"/>
                      <c:h val="0.138657407407407"/>
                    </c:manualLayout>
                  </c15:layout>
                </c:ext>
              </c:extLst>
            </c:dLbl>
            <c:dLbl>
              <c:idx val="2"/>
              <c:layout>
                <c:manualLayout>
                  <c:x val="0.0398206789681853"/>
                  <c:y val="-0.176528760646272"/>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zh-CN" altLang="en-US"/>
                      <a:t>其他收入</a:t>
                    </a:r>
                    <a:r>
                      <a:rPr lang="en-US" altLang="zh-CN"/>
                      <a:t>7.87%</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[工作簿1]Sheet1!$A$8:$A$10</c:f>
              <c:strCache>
                <c:ptCount val="3"/>
                <c:pt idx="0">
                  <c:v>基本支出</c:v>
                </c:pt>
                <c:pt idx="1">
                  <c:v>项目支出</c:v>
                </c:pt>
              </c:strCache>
            </c:strRef>
          </c:cat>
          <c:val>
            <c:numRef>
              <c:f>[工作簿1]Sheet1!$B$8:$B$10</c:f>
              <c:numCache>
                <c:formatCode>0%</c:formatCode>
                <c:ptCount val="3"/>
                <c:pt idx="0">
                  <c:v>0.64</c:v>
                </c:pt>
                <c:pt idx="1" c:formatCode="0.00%">
                  <c:v>0.36</c:v>
                </c:pt>
              </c:numCache>
            </c:numRef>
          </c:val>
        </c:ser>
        <c:dLbls>
          <c:showLegendKey val="0"/>
          <c:showVal val="1"/>
          <c:showCatName val="0"/>
          <c:showSerName val="0"/>
          <c:showPercent val="0"/>
          <c:showBubbleSize val="0"/>
          <c:showLeaderLines val="1"/>
        </c:dLbls>
        <c:firstSliceAng val="171"/>
      </c:pieChart>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lt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[工作簿1]Sheet1!$B$16</c:f>
              <c:strCache>
                <c:ptCount val="1"/>
                <c:pt idx="0">
                  <c:v>财政拨款收支决算总计变动情况</c:v>
                </c:pt>
              </c:strCache>
            </c:strRef>
          </c:tx>
          <c:spPr>
            <a:solidFill>
              <a:schemeClr val="accent1"/>
            </a:solidFill>
            <a:ln>
              <a:noFill/>
            </a:ln>
            <a:effectLst/>
          </c:spPr>
          <c:invertIfNegative val="0"/>
          <c:dLbls>
            <c:delete val="1"/>
          </c:dLbls>
          <c:cat>
            <c:strRef>
              <c:f>[工作簿1]Sheet1!$A$17:$A$18</c:f>
              <c:strCache>
                <c:ptCount val="2"/>
                <c:pt idx="0">
                  <c:v>财政拨款2020收支总决算</c:v>
                </c:pt>
                <c:pt idx="1">
                  <c:v>财政拨款2021收支总决算</c:v>
                </c:pt>
              </c:strCache>
            </c:strRef>
          </c:cat>
          <c:val>
            <c:numRef>
              <c:f>[工作簿1]Sheet1!$B$17:$B$18</c:f>
              <c:numCache>
                <c:formatCode>General</c:formatCode>
                <c:ptCount val="2"/>
                <c:pt idx="0">
                  <c:v>3718.29</c:v>
                </c:pt>
                <c:pt idx="1">
                  <c:v>3416.1</c:v>
                </c:pt>
              </c:numCache>
            </c:numRef>
          </c:val>
        </c:ser>
        <c:dLbls>
          <c:showLegendKey val="0"/>
          <c:showVal val="0"/>
          <c:showCatName val="0"/>
          <c:showSerName val="0"/>
          <c:showPercent val="0"/>
          <c:showBubbleSize val="0"/>
        </c:dLbls>
        <c:gapWidth val="219"/>
        <c:overlap val="-27"/>
        <c:axId val="429469696"/>
        <c:axId val="523038592"/>
      </c:barChart>
      <c:catAx>
        <c:axId val="42946969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3038592"/>
        <c:crosses val="autoZero"/>
        <c:auto val="1"/>
        <c:lblAlgn val="ctr"/>
        <c:lblOffset val="100"/>
        <c:noMultiLvlLbl val="0"/>
      </c:catAx>
      <c:valAx>
        <c:axId val="523038592"/>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294696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[工作簿1]Sheet1!$B$16</c:f>
              <c:strCache>
                <c:ptCount val="1"/>
                <c:pt idx="0">
                  <c:v>一般公共预算财政拨款支出决算总体情况</c:v>
                </c:pt>
              </c:strCache>
            </c:strRef>
          </c:tx>
          <c:spPr>
            <a:solidFill>
              <a:schemeClr val="accent1"/>
            </a:solidFill>
            <a:ln>
              <a:noFill/>
            </a:ln>
            <a:effectLst/>
          </c:spPr>
          <c:invertIfNegative val="0"/>
          <c:dLbls>
            <c:delete val="1"/>
          </c:dLbls>
          <c:cat>
            <c:strRef>
              <c:f>[工作簿1]Sheet1!$A$17:$A$18</c:f>
              <c:strCache>
                <c:ptCount val="2"/>
                <c:pt idx="0">
                  <c:v>一般公共预算财政拨款2020支出</c:v>
                </c:pt>
                <c:pt idx="1">
                  <c:v>一般公共预算财政拨款2021支出</c:v>
                </c:pt>
              </c:strCache>
            </c:strRef>
          </c:cat>
          <c:val>
            <c:numRef>
              <c:f>[工作簿1]Sheet1!$B$17:$B$18</c:f>
              <c:numCache>
                <c:formatCode>General</c:formatCode>
                <c:ptCount val="2"/>
                <c:pt idx="0">
                  <c:v>4028.46</c:v>
                </c:pt>
                <c:pt idx="1">
                  <c:v>3411.1</c:v>
                </c:pt>
              </c:numCache>
            </c:numRef>
          </c:val>
        </c:ser>
        <c:dLbls>
          <c:showLegendKey val="0"/>
          <c:showVal val="0"/>
          <c:showCatName val="0"/>
          <c:showSerName val="0"/>
          <c:showPercent val="0"/>
          <c:showBubbleSize val="0"/>
        </c:dLbls>
        <c:gapWidth val="219"/>
        <c:overlap val="-27"/>
        <c:axId val="523037808"/>
        <c:axId val="428702944"/>
      </c:barChart>
      <c:catAx>
        <c:axId val="52303780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28702944"/>
        <c:crosses val="autoZero"/>
        <c:auto val="1"/>
        <c:lblAlgn val="ctr"/>
        <c:lblOffset val="100"/>
        <c:noMultiLvlLbl val="0"/>
      </c:catAx>
      <c:valAx>
        <c:axId val="42870294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30378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600" b="1" i="0" u="none" strike="noStrike" kern="1200" cap="all" spc="120" normalizeH="0" baseline="0">
              <a:solidFill>
                <a:schemeClr val="tx1">
                  <a:lumMod val="65000"/>
                  <a:lumOff val="35000"/>
                </a:schemeClr>
              </a:solidFill>
              <a:latin typeface="+mn-lt"/>
              <a:ea typeface="+mn-ea"/>
              <a:cs typeface="+mn-cs"/>
            </a:defRPr>
          </a:pPr>
        </a:p>
      </c:txPr>
    </c:title>
    <c:autoTitleDeleted val="0"/>
    <c:plotArea>
      <c:layout>
        <c:manualLayout>
          <c:layoutTarget val="inner"/>
          <c:xMode val="edge"/>
          <c:yMode val="edge"/>
          <c:x val="0.0305555555555556"/>
          <c:y val="0.165972222222222"/>
          <c:w val="0.938888888888889"/>
          <c:h val="0.604166666666667"/>
        </c:manualLayout>
      </c:layout>
      <c:pieChart>
        <c:varyColors val="1"/>
        <c:ser>
          <c:idx val="0"/>
          <c:order val="0"/>
          <c:tx>
            <c:strRef>
              <c:f>[工作簿1]Sheet1!$B$7</c:f>
              <c:strCache>
                <c:ptCount val="1"/>
                <c:pt idx="0">
                  <c:v>一般公共预算财政拨款支出决算结构情况</c:v>
                </c:pt>
              </c:strCache>
            </c:strRef>
          </c:tx>
          <c:spPr>
            <a:scene3d>
              <a:camera prst="orthographicFront"/>
              <a:lightRig rig="threePt" dir="t"/>
            </a:scene3d>
            <a:sp3d contourW="9525"/>
          </c:spPr>
          <c:explosion val="24"/>
          <c:dPt>
            <c:idx val="0"/>
            <c:bubble3D val="0"/>
            <c:spPr>
              <a:solidFill>
                <a:schemeClr val="accent1"/>
              </a:solidFill>
              <a:ln>
                <a:noFill/>
              </a:ln>
              <a:effectLst/>
              <a:scene3d>
                <a:camera prst="orthographicFront"/>
                <a:lightRig rig="threePt" dir="t"/>
              </a:scene3d>
              <a:sp3d contourW="9525"/>
            </c:spPr>
          </c:dPt>
          <c:dPt>
            <c:idx val="1"/>
            <c:bubble3D val="0"/>
            <c:spPr>
              <a:solidFill>
                <a:schemeClr val="accent2"/>
              </a:solidFill>
              <a:ln>
                <a:noFill/>
              </a:ln>
              <a:effectLst/>
              <a:scene3d>
                <a:camera prst="orthographicFront"/>
                <a:lightRig rig="threePt" dir="t"/>
              </a:scene3d>
              <a:sp3d contourW="9525"/>
            </c:spPr>
          </c:dPt>
          <c:dPt>
            <c:idx val="2"/>
            <c:bubble3D val="0"/>
            <c:spPr>
              <a:solidFill>
                <a:schemeClr val="accent3"/>
              </a:solidFill>
              <a:ln>
                <a:noFill/>
              </a:ln>
              <a:effectLst/>
              <a:scene3d>
                <a:camera prst="orthographicFront"/>
                <a:lightRig rig="threePt" dir="t"/>
              </a:scene3d>
              <a:sp3d contourW="9525"/>
            </c:spPr>
          </c:dPt>
          <c:dPt>
            <c:idx val="3"/>
            <c:bubble3D val="0"/>
            <c:spPr>
              <a:solidFill>
                <a:schemeClr val="accent4"/>
              </a:solidFill>
              <a:ln>
                <a:noFill/>
              </a:ln>
              <a:effectLst/>
              <a:scene3d>
                <a:camera prst="orthographicFront"/>
                <a:lightRig rig="threePt" dir="t"/>
              </a:scene3d>
              <a:sp3d contourW="9525"/>
            </c:spPr>
          </c:dPt>
          <c:dPt>
            <c:idx val="4"/>
            <c:bubble3D val="0"/>
            <c:spPr>
              <a:solidFill>
                <a:schemeClr val="accent5"/>
              </a:solidFill>
              <a:ln>
                <a:noFill/>
              </a:ln>
              <a:effectLst/>
              <a:scene3d>
                <a:camera prst="orthographicFront"/>
                <a:lightRig rig="threePt" dir="t"/>
              </a:scene3d>
              <a:sp3d contourW="9525"/>
            </c:spPr>
          </c:dPt>
          <c:dPt>
            <c:idx val="5"/>
            <c:bubble3D val="0"/>
            <c:spPr>
              <a:solidFill>
                <a:schemeClr val="accent6"/>
              </a:solidFill>
              <a:ln>
                <a:noFill/>
              </a:ln>
              <a:effectLst/>
              <a:scene3d>
                <a:camera prst="orthographicFront"/>
                <a:lightRig rig="threePt" dir="t"/>
              </a:scene3d>
              <a:sp3d contourW="9525"/>
            </c:spPr>
          </c:dPt>
          <c:dLbls>
            <c:dLbl>
              <c:idx val="0"/>
              <c:layout/>
              <c:tx>
                <c:rich>
                  <a:bodyPr rot="0" spcFirstLastPara="1" vertOverflow="clip" vert="horz" wrap="square" lIns="38100" tIns="19050" rIns="38100" bIns="19050" anchor="ctr" anchorCtr="1"/>
                  <a:lstStyle/>
                  <a:p>
                    <a:pPr>
                      <a:defRPr lang="zh-CN" sz="800" b="0" i="0" u="none" strike="noStrike" kern="1200" baseline="0">
                        <a:solidFill>
                          <a:schemeClr val="tx1">
                            <a:lumMod val="50000"/>
                            <a:lumOff val="50000"/>
                          </a:schemeClr>
                        </a:solidFill>
                        <a:latin typeface="+mn-lt"/>
                        <a:ea typeface="+mn-ea"/>
                        <a:cs typeface="+mn-cs"/>
                      </a:defRPr>
                    </a:pPr>
                    <a:r>
                      <a:rPr lang="zh-CN" altLang="en-US"/>
                      <a:t>一般公共服务（类）</a:t>
                    </a:r>
                    <a:endParaRPr lang="zh-CN" altLang="en-US"/>
                  </a:p>
                  <a:p>
                    <a:pPr>
                      <a:defRPr lang="zh-CN" sz="800" b="0" i="0" u="none" strike="noStrike" kern="1200" baseline="0">
                        <a:solidFill>
                          <a:schemeClr val="tx1">
                            <a:lumMod val="50000"/>
                            <a:lumOff val="50000"/>
                          </a:schemeClr>
                        </a:solidFill>
                        <a:latin typeface="+mn-lt"/>
                        <a:ea typeface="+mn-ea"/>
                        <a:cs typeface="+mn-cs"/>
                      </a:defRPr>
                    </a:pPr>
                    <a:r>
                      <a:rPr lang="en-US" altLang="zh-CN"/>
                      <a:t>0.83%</a:t>
                    </a:r>
                    <a:endParaRPr lang="en-US" altLang="zh-CN"/>
                  </a:p>
                </c:rich>
              </c:tx>
              <c:dLblPos val="bestFit"/>
              <c:showLegendKey val="0"/>
              <c:showVal val="1"/>
              <c:showCatName val="1"/>
              <c:showSerName val="0"/>
              <c:showPercent val="0"/>
              <c:showBubbleSize val="0"/>
              <c:separator>
</c:separator>
              <c:extLst>
                <c:ext xmlns:c15="http://schemas.microsoft.com/office/drawing/2012/chart" uri="{CE6537A1-D6FC-4f65-9D91-7224C49458BB}"/>
              </c:extLst>
            </c:dLbl>
            <c:dLbl>
              <c:idx val="1"/>
              <c:layout>
                <c:manualLayout>
                  <c:x val="-0.0342465753424658"/>
                  <c:y val="-0.0755813953488372"/>
                </c:manualLayout>
              </c:layout>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dLbl>
              <c:idx val="2"/>
              <c:layout>
                <c:manualLayout>
                  <c:x val="-0.0479452054794521"/>
                  <c:y val="-0.0784883720930233"/>
                </c:manualLayout>
              </c:layout>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dLbl>
              <c:idx val="3"/>
              <c:layout>
                <c:manualLayout>
                  <c:x val="0.039128662544145"/>
                  <c:y val="-0.00716155142913896"/>
                </c:manualLayout>
              </c:layout>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dLbl>
              <c:idx val="4"/>
              <c:layout>
                <c:manualLayout>
                  <c:x val="0.189782764382908"/>
                  <c:y val="0.00762970498474059"/>
                </c:manualLayout>
              </c:layout>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dLbl>
              <c:idx val="5"/>
              <c:layout>
                <c:manualLayout>
                  <c:x val="0.0516094010078582"/>
                  <c:y val="0.0890250538219499"/>
                </c:manualLayout>
              </c:layout>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spPr>
              <a:noFill/>
              <a:ln>
                <a:noFill/>
              </a:ln>
              <a:effectLst/>
            </c:spPr>
            <c:txPr>
              <a:bodyPr rot="0" spcFirstLastPara="1" vertOverflow="clip" horzOverflow="clip" vert="horz" wrap="square" lIns="38100" tIns="19050" rIns="38100" bIns="19050" anchor="ctr" anchorCtr="1">
                <a:spAutoFit/>
              </a:bodyPr>
              <a:lstStyle/>
              <a:p>
                <a:pPr>
                  <a:defRPr lang="zh-CN" sz="800" b="0" i="0" u="none" strike="noStrike" kern="1200" baseline="0">
                    <a:solidFill>
                      <a:schemeClr val="tx1">
                        <a:lumMod val="50000"/>
                        <a:lumOff val="50000"/>
                      </a:schemeClr>
                    </a:solidFill>
                    <a:latin typeface="+mn-lt"/>
                    <a:ea typeface="+mn-ea"/>
                    <a:cs typeface="+mn-cs"/>
                  </a:defRPr>
                </a:pPr>
              </a:p>
            </c:txPr>
            <c:dLblPos val="bestFit"/>
            <c:showLegendKey val="0"/>
            <c:showVal val="1"/>
            <c:showCatName val="1"/>
            <c:showSerName val="0"/>
            <c:showPercent val="0"/>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[工作簿1]Sheet1!$A$8:$A$13</c:f>
              <c:strCache>
                <c:ptCount val="6"/>
                <c:pt idx="0">
                  <c:v>一般公共服务（类）</c:v>
                </c:pt>
                <c:pt idx="1">
                  <c:v>科学技术（类）</c:v>
                </c:pt>
                <c:pt idx="2">
                  <c:v>社会保障和就业（类）</c:v>
                </c:pt>
                <c:pt idx="3">
                  <c:v>农林水支出</c:v>
                </c:pt>
                <c:pt idx="4">
                  <c:v>城乡社区支出</c:v>
                </c:pt>
                <c:pt idx="5">
                  <c:v>住房保障支出</c:v>
                </c:pt>
              </c:strCache>
            </c:strRef>
          </c:cat>
          <c:val>
            <c:numRef>
              <c:f>[工作簿1]Sheet1!$B$8:$B$13</c:f>
              <c:numCache>
                <c:formatCode>0%</c:formatCode>
                <c:ptCount val="6"/>
                <c:pt idx="0">
                  <c:v>0.0083</c:v>
                </c:pt>
                <c:pt idx="1" c:formatCode="0.00%">
                  <c:v>0.1098</c:v>
                </c:pt>
                <c:pt idx="2" c:formatCode="0.00%">
                  <c:v>0.1295</c:v>
                </c:pt>
                <c:pt idx="3">
                  <c:v>0.59</c:v>
                </c:pt>
                <c:pt idx="4" c:formatCode="0.00%">
                  <c:v>0.1247</c:v>
                </c:pt>
                <c:pt idx="5" c:formatCode="0.00%">
                  <c:v>0.0377</c:v>
                </c:pt>
              </c:numCache>
            </c:numRef>
          </c:val>
        </c:ser>
        <c:dLbls>
          <c:showLegendKey val="0"/>
          <c:showVal val="1"/>
          <c:showCatName val="0"/>
          <c:showSerName val="0"/>
          <c:showPercent val="0"/>
          <c:showBubbleSize val="0"/>
          <c:showLeaderLines val="1"/>
        </c:dLbls>
        <c:firstSliceAng val="232"/>
      </c:pieChart>
      <c:spPr>
        <a:noFill/>
        <a:ln>
          <a:noFill/>
        </a:ln>
        <a:effectLst/>
      </c:spPr>
    </c:plotArea>
    <c:legend>
      <c:legendPos val="t"/>
      <c:layout>
        <c:manualLayout>
          <c:xMode val="edge"/>
          <c:yMode val="edge"/>
          <c:x val="0.0670804487944617"/>
          <c:y val="0.848931841302136"/>
          <c:w val="0.892456433516352"/>
          <c:h val="0.14343845371312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lt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[工作簿1]Sheet1!$B$7</c:f>
              <c:strCache>
                <c:ptCount val="1"/>
                <c:pt idx="0">
                  <c:v>“三公”经费财政拨款支出决算具体情况说明</c:v>
                </c:pt>
              </c:strCache>
            </c:strRef>
          </c:tx>
          <c:spPr>
            <a:scene3d>
              <a:camera prst="orthographicFront"/>
              <a:lightRig rig="threePt" dir="t"/>
            </a:scene3d>
            <a:sp3d contourW="25400"/>
          </c:spPr>
          <c:explosion val="51"/>
          <c:dPt>
            <c:idx val="0"/>
            <c:bubble3D val="0"/>
            <c:spPr>
              <a:solidFill>
                <a:schemeClr val="accent1"/>
              </a:solidFill>
              <a:ln w="25400">
                <a:solidFill>
                  <a:schemeClr val="lt1"/>
                </a:solidFill>
              </a:ln>
              <a:effectLst/>
              <a:scene3d>
                <a:camera prst="orthographicFront"/>
                <a:lightRig rig="threePt" dir="t"/>
              </a:scene3d>
              <a:sp3d contourW="25400"/>
            </c:spPr>
          </c:dPt>
          <c:dPt>
            <c:idx val="1"/>
            <c:bubble3D val="0"/>
            <c:spPr>
              <a:solidFill>
                <a:schemeClr val="accent2"/>
              </a:solidFill>
              <a:ln w="25400">
                <a:solidFill>
                  <a:schemeClr val="lt1"/>
                </a:solidFill>
              </a:ln>
              <a:effectLst/>
              <a:scene3d>
                <a:camera prst="orthographicFront"/>
                <a:lightRig rig="threePt" dir="t"/>
              </a:scene3d>
              <a:sp3d contourW="25400"/>
            </c:spPr>
          </c:dPt>
          <c:dLbls>
            <c:dLbl>
              <c:idx val="0"/>
              <c:layout>
                <c:manualLayout>
                  <c:x val="-0.0145833333333333"/>
                  <c:y val="-0.211805555555556"/>
                </c:manualLayout>
              </c:layout>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dLbl>
              <c:idx val="1"/>
              <c:layout>
                <c:manualLayout>
                  <c:x val="0.0239501589481786"/>
                  <c:y val="-0.107638888888889"/>
                </c:manualLayout>
              </c:layout>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1"/>
            <c:showSerName val="0"/>
            <c:showPercent val="0"/>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[工作簿1]Sheet1!$A$8:$A$9</c:f>
              <c:strCache>
                <c:ptCount val="2"/>
                <c:pt idx="0">
                  <c:v>公务用车购置及运行维护费</c:v>
                </c:pt>
                <c:pt idx="1">
                  <c:v>公务接待费</c:v>
                </c:pt>
              </c:strCache>
            </c:strRef>
          </c:cat>
          <c:val>
            <c:numRef>
              <c:f>[工作簿1]Sheet1!$B$8:$B$9</c:f>
              <c:numCache>
                <c:formatCode>0%</c:formatCode>
                <c:ptCount val="2"/>
                <c:pt idx="0">
                  <c:v>0.94</c:v>
                </c:pt>
                <c:pt idx="1" c:formatCode="0.00%">
                  <c:v>0.06</c:v>
                </c:pt>
              </c:numCache>
            </c:numRef>
          </c:val>
        </c:ser>
        <c:dLbls>
          <c:showLegendKey val="0"/>
          <c:showVal val="0"/>
          <c:showCatName val="1"/>
          <c:showSerName val="0"/>
          <c:showPercent val="0"/>
          <c:showBubbleSize val="0"/>
          <c:showLeaderLines val="1"/>
        </c:dLbls>
        <c:firstSliceAng val="93"/>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70</Pages>
  <Words>4542</Words>
  <Characters>25894</Characters>
  <Lines>215</Lines>
  <Paragraphs>60</Paragraphs>
  <TotalTime>7</TotalTime>
  <ScaleCrop>false</ScaleCrop>
  <LinksUpToDate>false</LinksUpToDate>
  <CharactersWithSpaces>30376</CharactersWithSpaces>
  <Application>WPS Office_12.1.0.15404_F1E327BC-269C-435d-A152-05C5408002CA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2020-08-05T17:49:00Z</dcterms:created>
  <dc:creator>曹颖</dc:creator>
  <cp:lastModifiedBy>聂蓉</cp:lastModifiedBy>
  <cp:lastPrinted>2022-08-09T01:11:00Z</cp:lastPrinted>
  <dcterms:modified xsi:type="dcterms:W3CDTF">2023-10-19T07:34:02Z</dcterms:modified>
  <dc:title>四川省***</dc:title>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75920C9280E2445D882E94BEE2EA37A5</vt:lpwstr>
  </property>
</Properties>
</file>