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597"/>
      <w:bookmarkStart w:id="2" w:name="_Toc15378441"/>
      <w:bookmarkStart w:id="3" w:name="_Toc15396475"/>
      <w:bookmarkStart w:id="4" w:name="_Toc113983563"/>
      <w:bookmarkStart w:id="5" w:name="_Toc15377425"/>
      <w:bookmarkStart w:id="6" w:name="_Toc11593"/>
      <w:bookmarkStart w:id="7" w:name="_Toc15377193"/>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bookmarkEnd w:id="7"/>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8" w:name="_Toc15377426"/>
      <w:bookmarkStart w:id="9" w:name="_Toc10892"/>
      <w:bookmarkStart w:id="10" w:name="_Toc15396476"/>
      <w:bookmarkStart w:id="11" w:name="_Toc15377194"/>
      <w:bookmarkStart w:id="12" w:name="_Toc15378442"/>
      <w:bookmarkStart w:id="13" w:name="_Toc113983564"/>
      <w:bookmarkStart w:id="14" w:name="_Toc15396598"/>
      <w:r>
        <w:rPr>
          <w:rFonts w:hint="eastAsia" w:ascii="方正小标宋简体" w:hAnsi="方正小标宋简体" w:eastAsia="方正小标宋简体" w:cs="方正小标宋简体"/>
          <w:sz w:val="72"/>
          <w:szCs w:val="72"/>
        </w:rPr>
        <w:t>四川省</w:t>
      </w:r>
      <w:bookmarkEnd w:id="0"/>
      <w:bookmarkStart w:id="15" w:name="_Toc15306268"/>
      <w:r>
        <w:rPr>
          <w:rFonts w:hint="eastAsia" w:ascii="方正小标宋简体" w:hAnsi="方正小标宋简体" w:eastAsia="方正小标宋简体" w:cs="方正小标宋简体"/>
          <w:sz w:val="72"/>
          <w:szCs w:val="72"/>
        </w:rPr>
        <w:t>攀枝花市人工影响天气中心（攀枝花市农业气象中心）单位决算</w:t>
      </w:r>
      <w:bookmarkEnd w:id="8"/>
      <w:bookmarkEnd w:id="9"/>
      <w:bookmarkEnd w:id="10"/>
      <w:bookmarkEnd w:id="11"/>
      <w:bookmarkEnd w:id="12"/>
      <w:bookmarkEnd w:id="13"/>
      <w:bookmarkEnd w:id="14"/>
      <w:bookmarkEnd w:id="15"/>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pStyle w:val="10"/>
      </w:pPr>
      <w:r>
        <w:rPr>
          <w:rFonts w:hint="eastAsia"/>
        </w:rPr>
        <w:t>公开时间：2022年9月14日</w:t>
      </w:r>
    </w:p>
    <w:sdt>
      <w:sdtPr>
        <w:rPr>
          <w:rFonts w:ascii="Times New Roman" w:hAnsi="Times New Roman" w:eastAsia="宋体" w:cs="Times New Roman"/>
          <w:b w:val="0"/>
          <w:bCs w:val="0"/>
          <w:color w:val="auto"/>
          <w:kern w:val="2"/>
          <w:sz w:val="21"/>
          <w:szCs w:val="24"/>
          <w:lang w:val="zh-CN"/>
        </w:rPr>
        <w:id w:val="30798905"/>
        <w:docPartObj>
          <w:docPartGallery w:val="Table of Contents"/>
          <w:docPartUnique/>
        </w:docPartObj>
      </w:sdtPr>
      <w:sdtEndPr>
        <w:rPr>
          <w:rFonts w:ascii="Times New Roman" w:hAnsi="Times New Roman" w:eastAsia="宋体" w:cs="Times New Roman"/>
          <w:b w:val="0"/>
          <w:bCs w:val="0"/>
          <w:color w:val="auto"/>
          <w:kern w:val="2"/>
          <w:sz w:val="21"/>
          <w:szCs w:val="24"/>
          <w:lang w:val="en-US"/>
        </w:rPr>
      </w:sdtEndPr>
      <w:sdtContent>
        <w:p>
          <w:r>
            <w:fldChar w:fldCharType="begin"/>
          </w:r>
          <w:r>
            <w:instrText xml:space="preserve"> TOC \o "1-3" \h \z \u </w:instrText>
          </w:r>
          <w:r>
            <w:fldChar w:fldCharType="separate"/>
          </w:r>
        </w:p>
        <w:p>
          <w:pPr>
            <w:pStyle w:val="10"/>
            <w:tabs>
              <w:tab w:val="right" w:leader="dot" w:pos="8306"/>
              <w:tab w:val="clear" w:pos="8296"/>
            </w:tabs>
          </w:pPr>
          <w:r>
            <w:fldChar w:fldCharType="begin"/>
          </w:r>
          <w:r>
            <w:instrText xml:space="preserve"> HYPERLINK \l _Toc13503 </w:instrText>
          </w:r>
          <w:r>
            <w:fldChar w:fldCharType="separate"/>
          </w:r>
          <w:r>
            <w:rPr>
              <w:rFonts w:hint="eastAsia" w:ascii="黑体" w:hAnsi="黑体" w:eastAsia="黑体"/>
            </w:rPr>
            <w:t>第一部分 单位</w:t>
          </w:r>
          <w:r>
            <w:rPr>
              <w:rFonts w:hint="eastAsia" w:ascii="黑体" w:hAnsi="黑体" w:eastAsia="黑体"/>
              <w:bCs w:val="0"/>
            </w:rPr>
            <w:t>概况</w:t>
          </w:r>
          <w:r>
            <w:tab/>
          </w:r>
          <w:r>
            <w:rPr>
              <w:rFonts w:hint="eastAsia"/>
              <w:lang w:val="en-US" w:eastAsia="zh-CN"/>
            </w:rPr>
            <w:t>4</w:t>
          </w:r>
          <w:r>
            <w:fldChar w:fldCharType="end"/>
          </w:r>
        </w:p>
        <w:p>
          <w:pPr>
            <w:pStyle w:val="11"/>
            <w:tabs>
              <w:tab w:val="right" w:leader="dot" w:pos="8306"/>
              <w:tab w:val="clear" w:pos="8296"/>
            </w:tabs>
          </w:pPr>
          <w:r>
            <w:fldChar w:fldCharType="begin"/>
          </w:r>
          <w:r>
            <w:instrText xml:space="preserve"> HYPERLINK \l _Toc2079 </w:instrText>
          </w:r>
          <w:r>
            <w:fldChar w:fldCharType="separate"/>
          </w:r>
          <w:r>
            <w:rPr>
              <w:rFonts w:hint="default" w:ascii="黑体" w:hAnsi="黑体" w:eastAsia="黑体"/>
              <w:bCs w:val="0"/>
            </w:rPr>
            <w:t xml:space="preserve">一、 </w:t>
          </w:r>
          <w:r>
            <w:rPr>
              <w:rFonts w:hint="eastAsia" w:ascii="黑体" w:hAnsi="黑体" w:eastAsia="黑体"/>
              <w:bCs w:val="0"/>
            </w:rPr>
            <w:t>职能简介</w:t>
          </w:r>
          <w:r>
            <w:tab/>
          </w:r>
          <w:r>
            <w:fldChar w:fldCharType="begin"/>
          </w:r>
          <w:r>
            <w:instrText xml:space="preserve"> PAGEREF _Toc2079 \h </w:instrText>
          </w:r>
          <w:r>
            <w:fldChar w:fldCharType="separate"/>
          </w:r>
          <w:r>
            <w:t>4</w:t>
          </w:r>
          <w:r>
            <w:fldChar w:fldCharType="end"/>
          </w:r>
          <w:r>
            <w:fldChar w:fldCharType="end"/>
          </w:r>
        </w:p>
        <w:p>
          <w:pPr>
            <w:pStyle w:val="11"/>
            <w:tabs>
              <w:tab w:val="right" w:leader="dot" w:pos="8306"/>
              <w:tab w:val="clear" w:pos="8296"/>
            </w:tabs>
          </w:pPr>
          <w:r>
            <w:fldChar w:fldCharType="begin"/>
          </w:r>
          <w:r>
            <w:instrText xml:space="preserve"> HYPERLINK \l _Toc4165 </w:instrText>
          </w:r>
          <w:r>
            <w:fldChar w:fldCharType="separate"/>
          </w:r>
          <w:r>
            <w:rPr>
              <w:rFonts w:hint="eastAsia" w:ascii="黑体" w:hAnsi="黑体" w:eastAsia="黑体"/>
            </w:rPr>
            <w:t>二、2021年重点工作完成情况</w:t>
          </w:r>
          <w:r>
            <w:tab/>
          </w:r>
          <w:r>
            <w:fldChar w:fldCharType="begin"/>
          </w:r>
          <w:r>
            <w:instrText xml:space="preserve"> PAGEREF _Toc4165 \h </w:instrText>
          </w:r>
          <w:r>
            <w:fldChar w:fldCharType="separate"/>
          </w:r>
          <w:r>
            <w:t>4</w:t>
          </w:r>
          <w:r>
            <w:fldChar w:fldCharType="end"/>
          </w:r>
          <w:r>
            <w:fldChar w:fldCharType="end"/>
          </w:r>
        </w:p>
        <w:p>
          <w:pPr>
            <w:pStyle w:val="11"/>
            <w:tabs>
              <w:tab w:val="right" w:leader="dot" w:pos="8306"/>
              <w:tab w:val="clear" w:pos="8296"/>
            </w:tabs>
          </w:pPr>
          <w:r>
            <w:fldChar w:fldCharType="begin"/>
          </w:r>
          <w:r>
            <w:instrText xml:space="preserve"> HYPERLINK \l _Toc10350 </w:instrText>
          </w:r>
          <w:r>
            <w:fldChar w:fldCharType="separate"/>
          </w:r>
          <w:r>
            <w:rPr>
              <w:rFonts w:hint="eastAsia" w:ascii="黑体" w:hAnsi="黑体" w:eastAsia="黑体"/>
              <w:lang w:val="en-US" w:eastAsia="zh-CN"/>
            </w:rPr>
            <w:t>三</w:t>
          </w:r>
          <w:r>
            <w:rPr>
              <w:rFonts w:hint="eastAsia" w:ascii="黑体" w:hAnsi="黑体" w:eastAsia="黑体"/>
            </w:rPr>
            <w:t>、</w:t>
          </w:r>
          <w:r>
            <w:rPr>
              <w:rFonts w:hint="eastAsia" w:ascii="黑体" w:hAnsi="黑体" w:eastAsia="黑体"/>
              <w:lang w:val="en-US" w:eastAsia="zh-CN"/>
            </w:rPr>
            <w:t>机构设置</w:t>
          </w:r>
          <w:r>
            <w:tab/>
          </w:r>
          <w:r>
            <w:fldChar w:fldCharType="begin"/>
          </w:r>
          <w:r>
            <w:instrText xml:space="preserve"> PAGEREF _Toc10350 \h </w:instrText>
          </w:r>
          <w:r>
            <w:fldChar w:fldCharType="separate"/>
          </w:r>
          <w:r>
            <w:t>4</w:t>
          </w:r>
          <w:r>
            <w:fldChar w:fldCharType="end"/>
          </w:r>
          <w:r>
            <w:fldChar w:fldCharType="end"/>
          </w:r>
        </w:p>
        <w:p>
          <w:pPr>
            <w:pStyle w:val="10"/>
            <w:tabs>
              <w:tab w:val="right" w:leader="dot" w:pos="8306"/>
              <w:tab w:val="clear" w:pos="8296"/>
            </w:tabs>
          </w:pPr>
          <w:r>
            <w:fldChar w:fldCharType="begin"/>
          </w:r>
          <w:r>
            <w:instrText xml:space="preserve"> HYPERLINK \l _Toc26581 </w:instrText>
          </w:r>
          <w:r>
            <w:fldChar w:fldCharType="separate"/>
          </w:r>
          <w:r>
            <w:rPr>
              <w:rFonts w:hint="eastAsia" w:ascii="黑体" w:hAnsi="黑体" w:eastAsia="黑体"/>
            </w:rPr>
            <w:t>第二部分 2021年度</w:t>
          </w:r>
          <w:r>
            <w:rPr>
              <w:rFonts w:hint="eastAsia" w:ascii="黑体" w:hAnsi="黑体" w:eastAsia="黑体"/>
              <w:bCs/>
            </w:rPr>
            <w:t>单位决算情况说明</w:t>
          </w:r>
          <w:r>
            <w:tab/>
          </w:r>
          <w:r>
            <w:fldChar w:fldCharType="begin"/>
          </w:r>
          <w:r>
            <w:instrText xml:space="preserve"> PAGEREF _Toc26581 \h </w:instrText>
          </w:r>
          <w:r>
            <w:fldChar w:fldCharType="separate"/>
          </w:r>
          <w:r>
            <w:t>5</w:t>
          </w:r>
          <w:r>
            <w:fldChar w:fldCharType="end"/>
          </w:r>
          <w:r>
            <w:fldChar w:fldCharType="end"/>
          </w:r>
        </w:p>
        <w:p>
          <w:pPr>
            <w:pStyle w:val="11"/>
            <w:tabs>
              <w:tab w:val="right" w:leader="dot" w:pos="8306"/>
              <w:tab w:val="clear" w:pos="8296"/>
            </w:tabs>
          </w:pPr>
          <w:r>
            <w:fldChar w:fldCharType="begin"/>
          </w:r>
          <w:r>
            <w:instrText xml:space="preserve"> HYPERLINK \l _Toc1262 </w:instrText>
          </w:r>
          <w:r>
            <w:fldChar w:fldCharType="separate"/>
          </w:r>
          <w:r>
            <w:rPr>
              <w:rFonts w:hint="default" w:ascii="黑体" w:hAnsi="黑体" w:eastAsia="黑体"/>
            </w:rPr>
            <w:t xml:space="preserve">一、 </w:t>
          </w:r>
          <w:r>
            <w:rPr>
              <w:rFonts w:hint="eastAsia" w:ascii="黑体" w:hAnsi="黑体" w:eastAsia="黑体"/>
              <w:szCs w:val="32"/>
            </w:rPr>
            <w:t>收</w:t>
          </w:r>
          <w:r>
            <w:rPr>
              <w:rFonts w:hint="eastAsia" w:ascii="黑体" w:hAnsi="黑体" w:eastAsia="黑体"/>
            </w:rPr>
            <w:t>入支出决算总体情况说明</w:t>
          </w:r>
          <w:r>
            <w:tab/>
          </w:r>
          <w:r>
            <w:fldChar w:fldCharType="begin"/>
          </w:r>
          <w:r>
            <w:instrText xml:space="preserve"> PAGEREF _Toc1262 \h </w:instrText>
          </w:r>
          <w:r>
            <w:fldChar w:fldCharType="separate"/>
          </w:r>
          <w:r>
            <w:t>5</w:t>
          </w:r>
          <w:r>
            <w:fldChar w:fldCharType="end"/>
          </w:r>
          <w:r>
            <w:fldChar w:fldCharType="end"/>
          </w:r>
        </w:p>
        <w:p>
          <w:pPr>
            <w:pStyle w:val="11"/>
            <w:tabs>
              <w:tab w:val="right" w:leader="dot" w:pos="8306"/>
              <w:tab w:val="clear" w:pos="8296"/>
            </w:tabs>
          </w:pPr>
          <w:r>
            <w:fldChar w:fldCharType="begin"/>
          </w:r>
          <w:r>
            <w:instrText xml:space="preserve"> HYPERLINK \l _Toc739 </w:instrText>
          </w:r>
          <w:r>
            <w:fldChar w:fldCharType="separate"/>
          </w:r>
          <w:r>
            <w:rPr>
              <w:rFonts w:hint="default" w:ascii="黑体" w:hAnsi="黑体" w:eastAsia="黑体"/>
            </w:rPr>
            <w:t xml:space="preserve">二、 </w:t>
          </w:r>
          <w:r>
            <w:rPr>
              <w:rFonts w:hint="eastAsia" w:ascii="黑体" w:hAnsi="黑体" w:eastAsia="黑体"/>
              <w:szCs w:val="32"/>
            </w:rPr>
            <w:t>收</w:t>
          </w:r>
          <w:r>
            <w:rPr>
              <w:rFonts w:hint="eastAsia" w:ascii="黑体" w:hAnsi="黑体" w:eastAsia="黑体"/>
            </w:rPr>
            <w:t>入决算情况说明</w:t>
          </w:r>
          <w:r>
            <w:tab/>
          </w:r>
          <w:r>
            <w:fldChar w:fldCharType="begin"/>
          </w:r>
          <w:r>
            <w:instrText xml:space="preserve"> PAGEREF _Toc739 \h </w:instrText>
          </w:r>
          <w:r>
            <w:fldChar w:fldCharType="separate"/>
          </w:r>
          <w:r>
            <w:t>6</w:t>
          </w:r>
          <w:r>
            <w:fldChar w:fldCharType="end"/>
          </w:r>
          <w:r>
            <w:fldChar w:fldCharType="end"/>
          </w:r>
        </w:p>
        <w:p>
          <w:pPr>
            <w:pStyle w:val="11"/>
            <w:tabs>
              <w:tab w:val="right" w:leader="dot" w:pos="8306"/>
              <w:tab w:val="clear" w:pos="8296"/>
            </w:tabs>
          </w:pPr>
          <w:r>
            <w:fldChar w:fldCharType="begin"/>
          </w:r>
          <w:r>
            <w:instrText xml:space="preserve"> HYPERLINK \l _Toc21379 </w:instrText>
          </w:r>
          <w:r>
            <w:fldChar w:fldCharType="separate"/>
          </w:r>
          <w:r>
            <w:rPr>
              <w:rFonts w:hint="default" w:ascii="黑体" w:hAnsi="黑体" w:eastAsia="黑体"/>
            </w:rPr>
            <w:t xml:space="preserve">三、 </w:t>
          </w:r>
          <w:r>
            <w:rPr>
              <w:rFonts w:hint="eastAsia" w:ascii="黑体" w:hAnsi="黑体" w:eastAsia="黑体"/>
              <w:szCs w:val="32"/>
            </w:rPr>
            <w:t>支</w:t>
          </w:r>
          <w:r>
            <w:rPr>
              <w:rFonts w:hint="eastAsia" w:ascii="黑体" w:hAnsi="黑体" w:eastAsia="黑体"/>
            </w:rPr>
            <w:t>出决算情况说明</w:t>
          </w:r>
          <w:r>
            <w:tab/>
          </w:r>
          <w:r>
            <w:fldChar w:fldCharType="begin"/>
          </w:r>
          <w:r>
            <w:instrText xml:space="preserve"> PAGEREF _Toc21379 \h </w:instrText>
          </w:r>
          <w:r>
            <w:fldChar w:fldCharType="separate"/>
          </w:r>
          <w:r>
            <w:t>7</w:t>
          </w:r>
          <w:r>
            <w:fldChar w:fldCharType="end"/>
          </w:r>
          <w:r>
            <w:fldChar w:fldCharType="end"/>
          </w:r>
        </w:p>
        <w:p>
          <w:pPr>
            <w:pStyle w:val="11"/>
            <w:tabs>
              <w:tab w:val="right" w:leader="dot" w:pos="8306"/>
              <w:tab w:val="clear" w:pos="8296"/>
            </w:tabs>
          </w:pPr>
          <w:r>
            <w:fldChar w:fldCharType="begin"/>
          </w:r>
          <w:r>
            <w:instrText xml:space="preserve"> HYPERLINK \l _Toc28964 </w:instrText>
          </w:r>
          <w:r>
            <w:fldChar w:fldCharType="separate"/>
          </w:r>
          <w:r>
            <w:rPr>
              <w:rFonts w:hint="eastAsia" w:ascii="黑体" w:hAnsi="黑体" w:eastAsia="黑体"/>
              <w:szCs w:val="32"/>
            </w:rPr>
            <w:t>四、财</w:t>
          </w:r>
          <w:r>
            <w:rPr>
              <w:rFonts w:hint="eastAsia" w:ascii="黑体" w:hAnsi="黑体" w:eastAsia="黑体"/>
            </w:rPr>
            <w:t>政拨款收入支出决算总体情况说明</w:t>
          </w:r>
          <w:r>
            <w:tab/>
          </w:r>
          <w:r>
            <w:fldChar w:fldCharType="begin"/>
          </w:r>
          <w:r>
            <w:instrText xml:space="preserve"> PAGEREF _Toc28964 \h </w:instrText>
          </w:r>
          <w:r>
            <w:fldChar w:fldCharType="separate"/>
          </w:r>
          <w:r>
            <w:t>7</w:t>
          </w:r>
          <w:r>
            <w:fldChar w:fldCharType="end"/>
          </w:r>
          <w:r>
            <w:fldChar w:fldCharType="end"/>
          </w:r>
        </w:p>
        <w:p>
          <w:pPr>
            <w:pStyle w:val="11"/>
            <w:tabs>
              <w:tab w:val="right" w:leader="dot" w:pos="8306"/>
              <w:tab w:val="clear" w:pos="8296"/>
            </w:tabs>
          </w:pPr>
          <w:r>
            <w:fldChar w:fldCharType="begin"/>
          </w:r>
          <w:r>
            <w:instrText xml:space="preserve"> HYPERLINK \l _Toc24612 </w:instrText>
          </w:r>
          <w:r>
            <w:fldChar w:fldCharType="separate"/>
          </w:r>
          <w:r>
            <w:rPr>
              <w:rFonts w:hint="eastAsia" w:ascii="黑体" w:hAnsi="黑体" w:eastAsia="黑体"/>
              <w:szCs w:val="32"/>
            </w:rPr>
            <w:t>五、一</w:t>
          </w:r>
          <w:r>
            <w:rPr>
              <w:rFonts w:hint="eastAsia" w:ascii="黑体" w:hAnsi="黑体" w:eastAsia="黑体"/>
            </w:rPr>
            <w:t>般公共预算财政拨款支出决算情况说明</w:t>
          </w:r>
          <w:r>
            <w:tab/>
          </w:r>
          <w:r>
            <w:fldChar w:fldCharType="begin"/>
          </w:r>
          <w:r>
            <w:instrText xml:space="preserve"> PAGEREF _Toc24612 \h </w:instrText>
          </w:r>
          <w:r>
            <w:fldChar w:fldCharType="separate"/>
          </w:r>
          <w:r>
            <w:t>8</w:t>
          </w:r>
          <w:r>
            <w:fldChar w:fldCharType="end"/>
          </w:r>
          <w:r>
            <w:fldChar w:fldCharType="end"/>
          </w:r>
        </w:p>
        <w:p>
          <w:pPr>
            <w:pStyle w:val="6"/>
            <w:tabs>
              <w:tab w:val="right" w:leader="dot" w:pos="8306"/>
              <w:tab w:val="clear" w:pos="8296"/>
            </w:tabs>
          </w:pPr>
          <w:r>
            <w:fldChar w:fldCharType="begin"/>
          </w:r>
          <w:r>
            <w:instrText xml:space="preserve"> HYPERLINK \l _Toc6440 </w:instrText>
          </w:r>
          <w:r>
            <w:fldChar w:fldCharType="separate"/>
          </w:r>
          <w:r>
            <w:rPr>
              <w:rFonts w:hint="eastAsia" w:ascii="仿宋" w:hAnsi="仿宋" w:eastAsia="仿宋"/>
              <w:szCs w:val="32"/>
            </w:rPr>
            <w:t>（一）一般公共预算财政拨款支出决算总体情况</w:t>
          </w:r>
          <w:r>
            <w:tab/>
          </w:r>
          <w:r>
            <w:fldChar w:fldCharType="begin"/>
          </w:r>
          <w:r>
            <w:instrText xml:space="preserve"> PAGEREF _Toc6440 \h </w:instrText>
          </w:r>
          <w:r>
            <w:fldChar w:fldCharType="separate"/>
          </w:r>
          <w:r>
            <w:t>9</w:t>
          </w:r>
          <w:r>
            <w:fldChar w:fldCharType="end"/>
          </w:r>
          <w:r>
            <w:fldChar w:fldCharType="end"/>
          </w:r>
        </w:p>
        <w:p>
          <w:pPr>
            <w:pStyle w:val="6"/>
            <w:tabs>
              <w:tab w:val="right" w:leader="dot" w:pos="8306"/>
              <w:tab w:val="clear" w:pos="8296"/>
            </w:tabs>
          </w:pPr>
          <w:r>
            <w:fldChar w:fldCharType="begin"/>
          </w:r>
          <w:r>
            <w:instrText xml:space="preserve"> HYPERLINK \l _Toc28992 </w:instrText>
          </w:r>
          <w:r>
            <w:fldChar w:fldCharType="separate"/>
          </w:r>
          <w:r>
            <w:rPr>
              <w:rFonts w:hint="eastAsia" w:ascii="仿宋" w:hAnsi="仿宋" w:eastAsia="仿宋"/>
              <w:szCs w:val="32"/>
            </w:rPr>
            <w:t>（二）一般公共预算财政拨款支出决算结构情况</w:t>
          </w:r>
          <w:r>
            <w:tab/>
          </w:r>
          <w:r>
            <w:fldChar w:fldCharType="begin"/>
          </w:r>
          <w:r>
            <w:instrText xml:space="preserve"> PAGEREF _Toc28992 \h </w:instrText>
          </w:r>
          <w:r>
            <w:fldChar w:fldCharType="separate"/>
          </w:r>
          <w:r>
            <w:t>9</w:t>
          </w:r>
          <w:r>
            <w:fldChar w:fldCharType="end"/>
          </w:r>
          <w:r>
            <w:fldChar w:fldCharType="end"/>
          </w:r>
        </w:p>
        <w:p>
          <w:pPr>
            <w:pStyle w:val="6"/>
            <w:tabs>
              <w:tab w:val="right" w:leader="dot" w:pos="8306"/>
              <w:tab w:val="clear" w:pos="8296"/>
            </w:tabs>
          </w:pPr>
          <w:r>
            <w:fldChar w:fldCharType="begin"/>
          </w:r>
          <w:r>
            <w:instrText xml:space="preserve"> HYPERLINK \l _Toc24568 </w:instrText>
          </w:r>
          <w:r>
            <w:fldChar w:fldCharType="separate"/>
          </w:r>
          <w:r>
            <w:rPr>
              <w:rFonts w:hint="eastAsia" w:ascii="仿宋" w:hAnsi="仿宋" w:eastAsia="仿宋"/>
              <w:szCs w:val="32"/>
            </w:rPr>
            <w:t>（三）一般公共预算财政拨款支出决算具体情况</w:t>
          </w:r>
          <w:r>
            <w:tab/>
          </w:r>
          <w:r>
            <w:fldChar w:fldCharType="begin"/>
          </w:r>
          <w:r>
            <w:instrText xml:space="preserve"> PAGEREF _Toc24568 \h </w:instrText>
          </w:r>
          <w:r>
            <w:fldChar w:fldCharType="separate"/>
          </w:r>
          <w:r>
            <w:t>10</w:t>
          </w:r>
          <w:r>
            <w:fldChar w:fldCharType="end"/>
          </w:r>
          <w:r>
            <w:fldChar w:fldCharType="end"/>
          </w:r>
        </w:p>
        <w:p>
          <w:pPr>
            <w:pStyle w:val="11"/>
            <w:tabs>
              <w:tab w:val="right" w:leader="dot" w:pos="8306"/>
              <w:tab w:val="clear" w:pos="8296"/>
            </w:tabs>
          </w:pPr>
          <w:r>
            <w:fldChar w:fldCharType="begin"/>
          </w:r>
          <w:r>
            <w:instrText xml:space="preserve"> HYPERLINK \l _Toc15302 </w:instrText>
          </w:r>
          <w:r>
            <w:fldChar w:fldCharType="separate"/>
          </w:r>
          <w:r>
            <w:rPr>
              <w:rFonts w:hint="eastAsia" w:ascii="黑体" w:eastAsia="黑体"/>
              <w:szCs w:val="32"/>
            </w:rPr>
            <w:t>六、</w:t>
          </w:r>
          <w:r>
            <w:rPr>
              <w:rFonts w:hint="eastAsia" w:ascii="黑体" w:hAnsi="黑体" w:eastAsia="黑体"/>
              <w:szCs w:val="32"/>
            </w:rPr>
            <w:t>一</w:t>
          </w:r>
          <w:r>
            <w:rPr>
              <w:rFonts w:hint="eastAsia" w:ascii="黑体" w:hAnsi="黑体" w:eastAsia="黑体"/>
            </w:rPr>
            <w:t>般公共预算财政拨款基本支出决算情况说明</w:t>
          </w:r>
          <w:r>
            <w:tab/>
          </w:r>
          <w:r>
            <w:fldChar w:fldCharType="begin"/>
          </w:r>
          <w:r>
            <w:instrText xml:space="preserve"> PAGEREF _Toc15302 \h </w:instrText>
          </w:r>
          <w:r>
            <w:fldChar w:fldCharType="separate"/>
          </w:r>
          <w:r>
            <w:t>11</w:t>
          </w:r>
          <w:r>
            <w:fldChar w:fldCharType="end"/>
          </w:r>
          <w:r>
            <w:fldChar w:fldCharType="end"/>
          </w:r>
        </w:p>
        <w:p>
          <w:pPr>
            <w:pStyle w:val="11"/>
            <w:tabs>
              <w:tab w:val="right" w:leader="dot" w:pos="8306"/>
              <w:tab w:val="clear" w:pos="8296"/>
            </w:tabs>
          </w:pPr>
          <w:r>
            <w:fldChar w:fldCharType="begin"/>
          </w:r>
          <w:r>
            <w:instrText xml:space="preserve"> HYPERLINK \l _Toc8329 </w:instrText>
          </w:r>
          <w:r>
            <w:fldChar w:fldCharType="separate"/>
          </w:r>
          <w:r>
            <w:rPr>
              <w:rFonts w:hint="eastAsia" w:ascii="黑体" w:eastAsia="黑体"/>
              <w:szCs w:val="32"/>
            </w:rPr>
            <w:t>七、</w:t>
          </w:r>
          <w:r>
            <w:rPr>
              <w:rFonts w:hint="eastAsia" w:ascii="黑体" w:hAnsi="黑体" w:eastAsia="黑体"/>
            </w:rPr>
            <w:t>“三公”经费财政拨款支出决算情况说明</w:t>
          </w:r>
          <w:r>
            <w:tab/>
          </w:r>
          <w:r>
            <w:fldChar w:fldCharType="begin"/>
          </w:r>
          <w:r>
            <w:instrText xml:space="preserve"> PAGEREF _Toc8329 \h </w:instrText>
          </w:r>
          <w:r>
            <w:fldChar w:fldCharType="separate"/>
          </w:r>
          <w:r>
            <w:t>12</w:t>
          </w:r>
          <w:r>
            <w:fldChar w:fldCharType="end"/>
          </w:r>
          <w:r>
            <w:fldChar w:fldCharType="end"/>
          </w:r>
        </w:p>
        <w:p>
          <w:pPr>
            <w:pStyle w:val="6"/>
            <w:tabs>
              <w:tab w:val="right" w:leader="dot" w:pos="8306"/>
              <w:tab w:val="clear" w:pos="8296"/>
            </w:tabs>
          </w:pPr>
          <w:r>
            <w:fldChar w:fldCharType="begin"/>
          </w:r>
          <w:r>
            <w:instrText xml:space="preserve"> HYPERLINK \l _Toc9979 </w:instrText>
          </w:r>
          <w:r>
            <w:fldChar w:fldCharType="separate"/>
          </w:r>
          <w:r>
            <w:rPr>
              <w:rFonts w:hint="eastAsia" w:ascii="仿宋" w:hAnsi="仿宋" w:eastAsia="仿宋"/>
              <w:szCs w:val="32"/>
            </w:rPr>
            <w:t>（一）“三公”经费财政拨款支出决算总体情况说明</w:t>
          </w:r>
          <w:r>
            <w:tab/>
          </w:r>
          <w:r>
            <w:fldChar w:fldCharType="begin"/>
          </w:r>
          <w:r>
            <w:instrText xml:space="preserve"> PAGEREF _Toc9979 \h </w:instrText>
          </w:r>
          <w:r>
            <w:fldChar w:fldCharType="separate"/>
          </w:r>
          <w:r>
            <w:t>12</w:t>
          </w:r>
          <w:r>
            <w:fldChar w:fldCharType="end"/>
          </w:r>
          <w:r>
            <w:fldChar w:fldCharType="end"/>
          </w:r>
        </w:p>
        <w:p>
          <w:pPr>
            <w:pStyle w:val="6"/>
            <w:tabs>
              <w:tab w:val="right" w:leader="dot" w:pos="8306"/>
              <w:tab w:val="clear" w:pos="8296"/>
            </w:tabs>
          </w:pPr>
          <w:r>
            <w:fldChar w:fldCharType="begin"/>
          </w:r>
          <w:r>
            <w:instrText xml:space="preserve"> HYPERLINK \l _Toc19240 </w:instrText>
          </w:r>
          <w:r>
            <w:fldChar w:fldCharType="separate"/>
          </w:r>
          <w:r>
            <w:rPr>
              <w:rFonts w:hint="eastAsia" w:ascii="仿宋" w:hAnsi="仿宋" w:eastAsia="仿宋"/>
              <w:szCs w:val="32"/>
            </w:rPr>
            <w:t>（二）“三公”经费财政拨款支出决算具体情况说明</w:t>
          </w:r>
          <w:r>
            <w:tab/>
          </w:r>
          <w:r>
            <w:fldChar w:fldCharType="begin"/>
          </w:r>
          <w:r>
            <w:instrText xml:space="preserve"> PAGEREF _Toc19240 \h </w:instrText>
          </w:r>
          <w:r>
            <w:fldChar w:fldCharType="separate"/>
          </w:r>
          <w:r>
            <w:t>12</w:t>
          </w:r>
          <w:r>
            <w:fldChar w:fldCharType="end"/>
          </w:r>
          <w:r>
            <w:fldChar w:fldCharType="end"/>
          </w:r>
        </w:p>
        <w:p>
          <w:pPr>
            <w:pStyle w:val="11"/>
            <w:tabs>
              <w:tab w:val="right" w:leader="dot" w:pos="8306"/>
              <w:tab w:val="clear" w:pos="8296"/>
            </w:tabs>
          </w:pPr>
          <w:r>
            <w:fldChar w:fldCharType="begin"/>
          </w:r>
          <w:r>
            <w:instrText xml:space="preserve"> HYPERLINK \l _Toc30470 </w:instrText>
          </w:r>
          <w:r>
            <w:fldChar w:fldCharType="separate"/>
          </w:r>
          <w:r>
            <w:rPr>
              <w:rFonts w:hint="eastAsia" w:ascii="黑体" w:eastAsia="黑体"/>
              <w:szCs w:val="32"/>
            </w:rPr>
            <w:t>八、</w:t>
          </w:r>
          <w:r>
            <w:rPr>
              <w:rFonts w:hint="eastAsia" w:ascii="黑体" w:hAnsi="黑体" w:eastAsia="黑体"/>
            </w:rPr>
            <w:t>政府性基金预算支出决算情况说明</w:t>
          </w:r>
          <w:r>
            <w:tab/>
          </w:r>
          <w:r>
            <w:fldChar w:fldCharType="begin"/>
          </w:r>
          <w:r>
            <w:instrText xml:space="preserve"> PAGEREF _Toc30470 \h </w:instrText>
          </w:r>
          <w:r>
            <w:fldChar w:fldCharType="separate"/>
          </w:r>
          <w:r>
            <w:t>13</w:t>
          </w:r>
          <w:r>
            <w:fldChar w:fldCharType="end"/>
          </w:r>
          <w:r>
            <w:fldChar w:fldCharType="end"/>
          </w:r>
        </w:p>
        <w:p>
          <w:pPr>
            <w:pStyle w:val="11"/>
            <w:tabs>
              <w:tab w:val="right" w:leader="dot" w:pos="8306"/>
              <w:tab w:val="clear" w:pos="8296"/>
            </w:tabs>
          </w:pPr>
          <w:r>
            <w:fldChar w:fldCharType="begin"/>
          </w:r>
          <w:r>
            <w:instrText xml:space="preserve"> HYPERLINK \l _Toc11625 </w:instrText>
          </w:r>
          <w:r>
            <w:fldChar w:fldCharType="separate"/>
          </w:r>
          <w:r>
            <w:rPr>
              <w:rFonts w:hint="eastAsia" w:ascii="黑体" w:hAnsi="黑体" w:eastAsia="黑体"/>
            </w:rPr>
            <w:t>九、 国有资本经营预算支出决算情况说明</w:t>
          </w:r>
          <w:r>
            <w:tab/>
          </w:r>
          <w:r>
            <w:fldChar w:fldCharType="begin"/>
          </w:r>
          <w:r>
            <w:instrText xml:space="preserve"> PAGEREF _Toc11625 \h </w:instrText>
          </w:r>
          <w:r>
            <w:fldChar w:fldCharType="separate"/>
          </w:r>
          <w:r>
            <w:t>13</w:t>
          </w:r>
          <w:r>
            <w:fldChar w:fldCharType="end"/>
          </w:r>
          <w:r>
            <w:fldChar w:fldCharType="end"/>
          </w:r>
        </w:p>
        <w:p>
          <w:pPr>
            <w:pStyle w:val="11"/>
            <w:tabs>
              <w:tab w:val="right" w:leader="dot" w:pos="8306"/>
              <w:tab w:val="clear" w:pos="8296"/>
            </w:tabs>
          </w:pPr>
          <w:r>
            <w:fldChar w:fldCharType="begin"/>
          </w:r>
          <w:r>
            <w:instrText xml:space="preserve"> HYPERLINK \l _Toc4798 </w:instrText>
          </w:r>
          <w:r>
            <w:fldChar w:fldCharType="separate"/>
          </w:r>
          <w:r>
            <w:rPr>
              <w:rFonts w:hint="eastAsia" w:ascii="黑体" w:hAnsi="黑体" w:eastAsia="黑体"/>
            </w:rPr>
            <w:t>十、 其他重要事项的情况说明</w:t>
          </w:r>
          <w:r>
            <w:tab/>
          </w:r>
          <w:r>
            <w:fldChar w:fldCharType="begin"/>
          </w:r>
          <w:r>
            <w:instrText xml:space="preserve"> PAGEREF _Toc4798 \h </w:instrText>
          </w:r>
          <w:r>
            <w:fldChar w:fldCharType="separate"/>
          </w:r>
          <w:r>
            <w:t>14</w:t>
          </w:r>
          <w:r>
            <w:fldChar w:fldCharType="end"/>
          </w:r>
          <w:r>
            <w:fldChar w:fldCharType="end"/>
          </w:r>
        </w:p>
        <w:p>
          <w:pPr>
            <w:pStyle w:val="6"/>
            <w:tabs>
              <w:tab w:val="right" w:leader="dot" w:pos="8306"/>
              <w:tab w:val="clear" w:pos="8296"/>
            </w:tabs>
          </w:pPr>
          <w:r>
            <w:fldChar w:fldCharType="begin"/>
          </w:r>
          <w:r>
            <w:instrText xml:space="preserve"> HYPERLINK \l _Toc26096 </w:instrText>
          </w:r>
          <w:r>
            <w:fldChar w:fldCharType="separate"/>
          </w:r>
          <w:r>
            <w:rPr>
              <w:rFonts w:hint="eastAsia" w:ascii="仿宋" w:hAnsi="仿宋" w:eastAsia="仿宋"/>
              <w:szCs w:val="32"/>
            </w:rPr>
            <w:t>（一）机关运行经费支出情况</w:t>
          </w:r>
          <w:r>
            <w:tab/>
          </w:r>
          <w:r>
            <w:fldChar w:fldCharType="begin"/>
          </w:r>
          <w:r>
            <w:instrText xml:space="preserve"> PAGEREF _Toc26096 \h </w:instrText>
          </w:r>
          <w:r>
            <w:fldChar w:fldCharType="separate"/>
          </w:r>
          <w:r>
            <w:t>14</w:t>
          </w:r>
          <w:r>
            <w:fldChar w:fldCharType="end"/>
          </w:r>
          <w:r>
            <w:fldChar w:fldCharType="end"/>
          </w:r>
        </w:p>
        <w:p>
          <w:pPr>
            <w:pStyle w:val="6"/>
            <w:tabs>
              <w:tab w:val="right" w:leader="dot" w:pos="8306"/>
              <w:tab w:val="clear" w:pos="8296"/>
            </w:tabs>
          </w:pPr>
          <w:r>
            <w:fldChar w:fldCharType="begin"/>
          </w:r>
          <w:r>
            <w:instrText xml:space="preserve"> HYPERLINK \l _Toc19637 </w:instrText>
          </w:r>
          <w:r>
            <w:fldChar w:fldCharType="separate"/>
          </w:r>
          <w:r>
            <w:rPr>
              <w:rFonts w:hint="eastAsia" w:ascii="仿宋" w:hAnsi="仿宋" w:eastAsia="仿宋"/>
              <w:szCs w:val="32"/>
            </w:rPr>
            <w:t>（二）政府采购支出情况</w:t>
          </w:r>
          <w:r>
            <w:tab/>
          </w:r>
          <w:r>
            <w:fldChar w:fldCharType="begin"/>
          </w:r>
          <w:r>
            <w:instrText xml:space="preserve"> PAGEREF _Toc19637 \h </w:instrText>
          </w:r>
          <w:r>
            <w:fldChar w:fldCharType="separate"/>
          </w:r>
          <w:r>
            <w:t>14</w:t>
          </w:r>
          <w:r>
            <w:fldChar w:fldCharType="end"/>
          </w:r>
          <w:r>
            <w:fldChar w:fldCharType="end"/>
          </w:r>
        </w:p>
        <w:p>
          <w:pPr>
            <w:pStyle w:val="6"/>
            <w:tabs>
              <w:tab w:val="right" w:leader="dot" w:pos="8306"/>
              <w:tab w:val="clear" w:pos="8296"/>
            </w:tabs>
          </w:pPr>
          <w:r>
            <w:fldChar w:fldCharType="begin"/>
          </w:r>
          <w:r>
            <w:instrText xml:space="preserve"> HYPERLINK \l _Toc31109 </w:instrText>
          </w:r>
          <w:r>
            <w:fldChar w:fldCharType="separate"/>
          </w:r>
          <w:r>
            <w:rPr>
              <w:rFonts w:hint="eastAsia" w:ascii="仿宋" w:hAnsi="仿宋" w:eastAsia="仿宋"/>
              <w:szCs w:val="32"/>
            </w:rPr>
            <w:t>（三）国有资产占有使用情况</w:t>
          </w:r>
          <w:r>
            <w:tab/>
          </w:r>
          <w:r>
            <w:fldChar w:fldCharType="begin"/>
          </w:r>
          <w:r>
            <w:instrText xml:space="preserve"> PAGEREF _Toc31109 \h </w:instrText>
          </w:r>
          <w:r>
            <w:fldChar w:fldCharType="separate"/>
          </w:r>
          <w:r>
            <w:t>14</w:t>
          </w:r>
          <w:r>
            <w:fldChar w:fldCharType="end"/>
          </w:r>
          <w:r>
            <w:fldChar w:fldCharType="end"/>
          </w:r>
        </w:p>
        <w:p>
          <w:pPr>
            <w:pStyle w:val="6"/>
            <w:tabs>
              <w:tab w:val="right" w:leader="dot" w:pos="8306"/>
              <w:tab w:val="clear" w:pos="8296"/>
            </w:tabs>
          </w:pPr>
          <w:r>
            <w:fldChar w:fldCharType="begin"/>
          </w:r>
          <w:r>
            <w:instrText xml:space="preserve"> HYPERLINK \l _Toc2342 </w:instrText>
          </w:r>
          <w:r>
            <w:fldChar w:fldCharType="separate"/>
          </w:r>
          <w:r>
            <w:rPr>
              <w:rFonts w:hint="eastAsia" w:ascii="仿宋" w:hAnsi="仿宋" w:eastAsia="仿宋"/>
              <w:szCs w:val="32"/>
            </w:rPr>
            <w:t>（四）预算绩效管理情况</w:t>
          </w:r>
          <w:r>
            <w:tab/>
          </w:r>
          <w:r>
            <w:fldChar w:fldCharType="begin"/>
          </w:r>
          <w:r>
            <w:instrText xml:space="preserve"> PAGEREF _Toc2342 \h </w:instrText>
          </w:r>
          <w:r>
            <w:fldChar w:fldCharType="separate"/>
          </w:r>
          <w:r>
            <w:t>14</w:t>
          </w:r>
          <w:r>
            <w:fldChar w:fldCharType="end"/>
          </w:r>
          <w:r>
            <w:fldChar w:fldCharType="end"/>
          </w:r>
        </w:p>
        <w:p>
          <w:pPr>
            <w:pStyle w:val="10"/>
            <w:tabs>
              <w:tab w:val="right" w:leader="dot" w:pos="8306"/>
              <w:tab w:val="clear" w:pos="8296"/>
            </w:tabs>
          </w:pPr>
          <w:r>
            <w:fldChar w:fldCharType="begin"/>
          </w:r>
          <w:r>
            <w:instrText xml:space="preserve"> HYPERLINK \l _Toc11200 </w:instrText>
          </w:r>
          <w:r>
            <w:fldChar w:fldCharType="separate"/>
          </w:r>
          <w:r>
            <w:rPr>
              <w:rFonts w:hint="eastAsia" w:ascii="黑体" w:hAnsi="黑体" w:eastAsia="黑体"/>
              <w:szCs w:val="44"/>
            </w:rPr>
            <w:t>第</w:t>
          </w:r>
          <w:r>
            <w:rPr>
              <w:rFonts w:hint="eastAsia" w:ascii="黑体" w:hAnsi="黑体" w:eastAsia="黑体"/>
            </w:rPr>
            <w:t>四部分 附件</w:t>
          </w:r>
          <w:r>
            <w:tab/>
          </w:r>
          <w:r>
            <w:fldChar w:fldCharType="begin"/>
          </w:r>
          <w:r>
            <w:instrText xml:space="preserve"> PAGEREF _Toc11200 \h </w:instrText>
          </w:r>
          <w:r>
            <w:fldChar w:fldCharType="separate"/>
          </w:r>
          <w:r>
            <w:t>18</w:t>
          </w:r>
          <w:r>
            <w:fldChar w:fldCharType="end"/>
          </w:r>
          <w:r>
            <w:fldChar w:fldCharType="end"/>
          </w:r>
        </w:p>
        <w:p>
          <w:pPr>
            <w:pStyle w:val="10"/>
            <w:tabs>
              <w:tab w:val="right" w:leader="dot" w:pos="8306"/>
              <w:tab w:val="clear" w:pos="8296"/>
            </w:tabs>
          </w:pPr>
          <w:r>
            <w:fldChar w:fldCharType="begin"/>
          </w:r>
          <w:r>
            <w:instrText xml:space="preserve"> HYPERLINK \l _Toc21613 </w:instrText>
          </w:r>
          <w:r>
            <w:fldChar w:fldCharType="separate"/>
          </w:r>
          <w:r>
            <w:rPr>
              <w:rFonts w:hint="eastAsia" w:ascii="黑体" w:hAnsi="黑体" w:eastAsia="黑体"/>
              <w:szCs w:val="44"/>
            </w:rPr>
            <w:t>第</w:t>
          </w:r>
          <w:r>
            <w:rPr>
              <w:rFonts w:hint="eastAsia" w:ascii="黑体" w:hAnsi="黑体" w:eastAsia="黑体"/>
            </w:rPr>
            <w:t>五部分 附表</w:t>
          </w:r>
          <w:r>
            <w:tab/>
          </w:r>
          <w:r>
            <w:fldChar w:fldCharType="begin"/>
          </w:r>
          <w:r>
            <w:instrText xml:space="preserve"> PAGEREF _Toc21613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_Toc23079 </w:instrText>
          </w:r>
          <w:r>
            <w:fldChar w:fldCharType="separate"/>
          </w:r>
          <w:r>
            <w:rPr>
              <w:rFonts w:hint="eastAsia" w:ascii="仿宋" w:hAnsi="仿宋" w:eastAsia="仿宋"/>
            </w:rPr>
            <w:t>一、收</w:t>
          </w:r>
          <w:r>
            <w:rPr>
              <w:rFonts w:hint="eastAsia" w:ascii="仿宋" w:hAnsi="仿宋" w:eastAsia="仿宋"/>
              <w:bCs w:val="0"/>
            </w:rPr>
            <w:t>入支出决算总表</w:t>
          </w:r>
          <w:r>
            <w:tab/>
          </w:r>
          <w:r>
            <w:fldChar w:fldCharType="begin"/>
          </w:r>
          <w:r>
            <w:instrText xml:space="preserve"> PAGEREF _Toc23079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_Toc30248 </w:instrText>
          </w:r>
          <w:r>
            <w:fldChar w:fldCharType="separate"/>
          </w:r>
          <w:r>
            <w:rPr>
              <w:rFonts w:hint="eastAsia" w:ascii="仿宋" w:hAnsi="仿宋" w:eastAsia="仿宋"/>
            </w:rPr>
            <w:t>二、收</w:t>
          </w:r>
          <w:r>
            <w:rPr>
              <w:rFonts w:hint="eastAsia" w:ascii="仿宋" w:hAnsi="仿宋" w:eastAsia="仿宋"/>
              <w:bCs w:val="0"/>
            </w:rPr>
            <w:t>入决算表</w:t>
          </w:r>
          <w:r>
            <w:tab/>
          </w:r>
          <w:r>
            <w:fldChar w:fldCharType="begin"/>
          </w:r>
          <w:r>
            <w:instrText xml:space="preserve"> PAGEREF _Toc30248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_Toc21831 </w:instrText>
          </w:r>
          <w:r>
            <w:fldChar w:fldCharType="separate"/>
          </w:r>
          <w:r>
            <w:rPr>
              <w:rFonts w:hint="eastAsia" w:ascii="仿宋" w:hAnsi="仿宋" w:eastAsia="仿宋"/>
              <w:bCs w:val="0"/>
            </w:rPr>
            <w:t>三、</w:t>
          </w:r>
          <w:r>
            <w:rPr>
              <w:rFonts w:hint="eastAsia" w:ascii="仿宋" w:hAnsi="仿宋" w:eastAsia="仿宋"/>
            </w:rPr>
            <w:t>支</w:t>
          </w:r>
          <w:r>
            <w:rPr>
              <w:rFonts w:hint="eastAsia" w:ascii="仿宋" w:hAnsi="仿宋" w:eastAsia="仿宋"/>
              <w:bCs w:val="0"/>
            </w:rPr>
            <w:t>出决算表</w:t>
          </w:r>
          <w:r>
            <w:tab/>
          </w:r>
          <w:r>
            <w:fldChar w:fldCharType="begin"/>
          </w:r>
          <w:r>
            <w:instrText xml:space="preserve"> PAGEREF _Toc21831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_Toc11890 </w:instrText>
          </w:r>
          <w:r>
            <w:fldChar w:fldCharType="separate"/>
          </w:r>
          <w:r>
            <w:rPr>
              <w:rFonts w:hint="eastAsia" w:ascii="仿宋" w:hAnsi="仿宋" w:eastAsia="仿宋"/>
              <w:bCs w:val="0"/>
            </w:rPr>
            <w:t>四、</w:t>
          </w:r>
          <w:r>
            <w:rPr>
              <w:rFonts w:hint="eastAsia" w:ascii="仿宋" w:hAnsi="仿宋" w:eastAsia="仿宋"/>
            </w:rPr>
            <w:t>财</w:t>
          </w:r>
          <w:r>
            <w:rPr>
              <w:rFonts w:hint="eastAsia" w:ascii="仿宋" w:hAnsi="仿宋" w:eastAsia="仿宋"/>
              <w:bCs w:val="0"/>
            </w:rPr>
            <w:t>政拨款收入支出决算总表</w:t>
          </w:r>
          <w:r>
            <w:tab/>
          </w:r>
          <w:r>
            <w:fldChar w:fldCharType="begin"/>
          </w:r>
          <w:r>
            <w:instrText xml:space="preserve"> PAGEREF _Toc11890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_Toc20366 </w:instrText>
          </w:r>
          <w:r>
            <w:fldChar w:fldCharType="separate"/>
          </w:r>
          <w:r>
            <w:rPr>
              <w:rFonts w:hint="eastAsia" w:ascii="仿宋" w:hAnsi="仿宋" w:eastAsia="仿宋"/>
              <w:bCs w:val="0"/>
            </w:rPr>
            <w:t>五、</w:t>
          </w:r>
          <w:r>
            <w:rPr>
              <w:rFonts w:hint="eastAsia" w:ascii="仿宋" w:hAnsi="仿宋" w:eastAsia="仿宋"/>
            </w:rPr>
            <w:t>财</w:t>
          </w:r>
          <w:r>
            <w:rPr>
              <w:rFonts w:hint="eastAsia" w:ascii="仿宋" w:hAnsi="仿宋" w:eastAsia="仿宋"/>
              <w:bCs w:val="0"/>
            </w:rPr>
            <w:t>政拨款支出决算明细表</w:t>
          </w:r>
          <w:r>
            <w:tab/>
          </w:r>
          <w:r>
            <w:fldChar w:fldCharType="begin"/>
          </w:r>
          <w:r>
            <w:instrText xml:space="preserve"> PAGEREF _Toc20366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_Toc30162 </w:instrText>
          </w:r>
          <w:r>
            <w:fldChar w:fldCharType="separate"/>
          </w:r>
          <w:r>
            <w:rPr>
              <w:rFonts w:hint="eastAsia" w:ascii="仿宋" w:hAnsi="仿宋" w:eastAsia="仿宋"/>
              <w:bCs w:val="0"/>
            </w:rPr>
            <w:t>六、</w:t>
          </w:r>
          <w:r>
            <w:rPr>
              <w:rFonts w:hint="eastAsia" w:ascii="仿宋" w:hAnsi="仿宋" w:eastAsia="仿宋"/>
            </w:rPr>
            <w:t>一</w:t>
          </w:r>
          <w:r>
            <w:rPr>
              <w:rFonts w:hint="eastAsia" w:ascii="仿宋" w:hAnsi="仿宋" w:eastAsia="仿宋"/>
              <w:bCs w:val="0"/>
            </w:rPr>
            <w:t>般公共预算财政拨款支出决算表</w:t>
          </w:r>
          <w:r>
            <w:tab/>
          </w:r>
          <w:r>
            <w:fldChar w:fldCharType="begin"/>
          </w:r>
          <w:r>
            <w:instrText xml:space="preserve"> PAGEREF _Toc30162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_Toc30701 </w:instrText>
          </w:r>
          <w:r>
            <w:fldChar w:fldCharType="separate"/>
          </w:r>
          <w:r>
            <w:rPr>
              <w:rFonts w:hint="eastAsia" w:ascii="仿宋" w:hAnsi="仿宋" w:eastAsia="仿宋"/>
              <w:bCs w:val="0"/>
            </w:rPr>
            <w:t>七、</w:t>
          </w:r>
          <w:r>
            <w:rPr>
              <w:rFonts w:hint="eastAsia" w:ascii="仿宋" w:hAnsi="仿宋" w:eastAsia="仿宋"/>
            </w:rPr>
            <w:t>一</w:t>
          </w:r>
          <w:r>
            <w:rPr>
              <w:rFonts w:hint="eastAsia" w:ascii="仿宋" w:hAnsi="仿宋" w:eastAsia="仿宋"/>
              <w:bCs w:val="0"/>
            </w:rPr>
            <w:t>般公共预算财政拨款支出决算明细表</w:t>
          </w:r>
          <w:r>
            <w:tab/>
          </w:r>
          <w:r>
            <w:fldChar w:fldCharType="begin"/>
          </w:r>
          <w:r>
            <w:instrText xml:space="preserve"> PAGEREF _Toc30701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_Toc7642 </w:instrText>
          </w:r>
          <w:r>
            <w:fldChar w:fldCharType="separate"/>
          </w:r>
          <w:r>
            <w:rPr>
              <w:rFonts w:hint="eastAsia" w:ascii="仿宋" w:hAnsi="仿宋" w:eastAsia="仿宋"/>
              <w:bCs w:val="0"/>
            </w:rPr>
            <w:t>八、</w:t>
          </w:r>
          <w:r>
            <w:rPr>
              <w:rFonts w:hint="eastAsia" w:ascii="仿宋" w:hAnsi="仿宋" w:eastAsia="仿宋"/>
            </w:rPr>
            <w:t>一</w:t>
          </w:r>
          <w:r>
            <w:rPr>
              <w:rFonts w:hint="eastAsia" w:ascii="仿宋" w:hAnsi="仿宋" w:eastAsia="仿宋"/>
              <w:bCs w:val="0"/>
            </w:rPr>
            <w:t>般公共预算财政拨款基本支出决算表</w:t>
          </w:r>
          <w:r>
            <w:tab/>
          </w:r>
          <w:r>
            <w:fldChar w:fldCharType="begin"/>
          </w:r>
          <w:r>
            <w:instrText xml:space="preserve"> PAGEREF _Toc7642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_Toc18057 </w:instrText>
          </w:r>
          <w:r>
            <w:fldChar w:fldCharType="separate"/>
          </w:r>
          <w:r>
            <w:rPr>
              <w:rFonts w:hint="eastAsia" w:ascii="仿宋" w:hAnsi="仿宋" w:eastAsia="仿宋"/>
              <w:bCs w:val="0"/>
            </w:rPr>
            <w:t>九、</w:t>
          </w:r>
          <w:r>
            <w:rPr>
              <w:rFonts w:hint="eastAsia" w:ascii="仿宋" w:hAnsi="仿宋" w:eastAsia="仿宋"/>
            </w:rPr>
            <w:t>一</w:t>
          </w:r>
          <w:r>
            <w:rPr>
              <w:rFonts w:hint="eastAsia" w:ascii="仿宋" w:hAnsi="仿宋" w:eastAsia="仿宋"/>
              <w:bCs w:val="0"/>
            </w:rPr>
            <w:t>般公共预算财政拨款项目支出决算表</w:t>
          </w:r>
          <w:r>
            <w:tab/>
          </w:r>
          <w:r>
            <w:fldChar w:fldCharType="begin"/>
          </w:r>
          <w:r>
            <w:instrText xml:space="preserve"> PAGEREF _Toc18057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_Toc24459 </w:instrText>
          </w:r>
          <w:r>
            <w:fldChar w:fldCharType="separate"/>
          </w:r>
          <w:r>
            <w:rPr>
              <w:rFonts w:hint="eastAsia" w:ascii="仿宋" w:hAnsi="仿宋" w:eastAsia="仿宋"/>
              <w:bCs w:val="0"/>
            </w:rPr>
            <w:t>十、</w:t>
          </w:r>
          <w:r>
            <w:rPr>
              <w:rFonts w:hint="eastAsia" w:ascii="仿宋" w:hAnsi="仿宋" w:eastAsia="仿宋"/>
            </w:rPr>
            <w:t>一</w:t>
          </w:r>
          <w:r>
            <w:rPr>
              <w:rFonts w:hint="eastAsia" w:ascii="仿宋" w:hAnsi="仿宋" w:eastAsia="仿宋"/>
              <w:bCs w:val="0"/>
            </w:rPr>
            <w:t>般公共预算财政拨款“三公”经费支出决算表</w:t>
          </w:r>
          <w:r>
            <w:tab/>
          </w:r>
          <w:r>
            <w:fldChar w:fldCharType="begin"/>
          </w:r>
          <w:r>
            <w:instrText xml:space="preserve"> PAGEREF _Toc24459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_Toc29705 </w:instrText>
          </w:r>
          <w:r>
            <w:fldChar w:fldCharType="separate"/>
          </w:r>
          <w:r>
            <w:rPr>
              <w:rFonts w:hint="eastAsia" w:ascii="仿宋" w:hAnsi="仿宋" w:eastAsia="仿宋"/>
              <w:bCs w:val="0"/>
            </w:rPr>
            <w:t>十一、</w:t>
          </w:r>
          <w:r>
            <w:rPr>
              <w:rFonts w:hint="eastAsia" w:ascii="仿宋" w:hAnsi="仿宋" w:eastAsia="仿宋"/>
            </w:rPr>
            <w:t>政</w:t>
          </w:r>
          <w:r>
            <w:rPr>
              <w:rFonts w:hint="eastAsia" w:ascii="仿宋" w:hAnsi="仿宋" w:eastAsia="仿宋"/>
              <w:bCs w:val="0"/>
            </w:rPr>
            <w:t>府性基金预算财政拨款收入支出决算表</w:t>
          </w:r>
          <w:r>
            <w:tab/>
          </w:r>
          <w:r>
            <w:fldChar w:fldCharType="begin"/>
          </w:r>
          <w:r>
            <w:instrText xml:space="preserve"> PAGEREF _Toc29705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_Toc3569 </w:instrText>
          </w:r>
          <w:r>
            <w:fldChar w:fldCharType="separate"/>
          </w:r>
          <w:r>
            <w:rPr>
              <w:rFonts w:hint="eastAsia" w:ascii="仿宋" w:hAnsi="仿宋" w:eastAsia="仿宋"/>
              <w:bCs w:val="0"/>
            </w:rPr>
            <w:t>十二、</w:t>
          </w:r>
          <w:r>
            <w:rPr>
              <w:rFonts w:hint="eastAsia" w:ascii="仿宋" w:hAnsi="仿宋" w:eastAsia="仿宋"/>
            </w:rPr>
            <w:t>政</w:t>
          </w:r>
          <w:r>
            <w:rPr>
              <w:rFonts w:hint="eastAsia" w:ascii="仿宋" w:hAnsi="仿宋" w:eastAsia="仿宋"/>
              <w:bCs w:val="0"/>
            </w:rPr>
            <w:t>府性基金预算财政拨款“三公”经费支出决算表</w:t>
          </w:r>
          <w:r>
            <w:tab/>
          </w:r>
          <w:r>
            <w:fldChar w:fldCharType="begin"/>
          </w:r>
          <w:r>
            <w:instrText xml:space="preserve"> PAGEREF _Toc3569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_Toc6212 </w:instrText>
          </w:r>
          <w:r>
            <w:fldChar w:fldCharType="separate"/>
          </w:r>
          <w:r>
            <w:rPr>
              <w:rFonts w:hint="eastAsia" w:ascii="仿宋" w:hAnsi="仿宋" w:eastAsia="仿宋"/>
              <w:bCs w:val="0"/>
            </w:rPr>
            <w:t>十三、</w:t>
          </w:r>
          <w:r>
            <w:rPr>
              <w:rFonts w:hint="eastAsia" w:ascii="仿宋" w:hAnsi="仿宋" w:eastAsia="仿宋"/>
            </w:rPr>
            <w:t>国</w:t>
          </w:r>
          <w:r>
            <w:rPr>
              <w:rFonts w:hint="eastAsia" w:ascii="仿宋" w:hAnsi="仿宋" w:eastAsia="仿宋"/>
              <w:bCs w:val="0"/>
            </w:rPr>
            <w:t>有资本经营预算财政拨款收入支出决算表</w:t>
          </w:r>
          <w:r>
            <w:tab/>
          </w:r>
          <w:r>
            <w:fldChar w:fldCharType="begin"/>
          </w:r>
          <w:r>
            <w:instrText xml:space="preserve"> PAGEREF _Toc6212 \h </w:instrText>
          </w:r>
          <w:r>
            <w:fldChar w:fldCharType="separate"/>
          </w:r>
          <w:r>
            <w:t>19</w:t>
          </w:r>
          <w:r>
            <w:fldChar w:fldCharType="end"/>
          </w:r>
          <w:r>
            <w:fldChar w:fldCharType="end"/>
          </w:r>
        </w:p>
        <w:p>
          <w:pPr>
            <w:pStyle w:val="11"/>
            <w:tabs>
              <w:tab w:val="right" w:leader="dot" w:pos="8306"/>
              <w:tab w:val="clear" w:pos="8296"/>
            </w:tabs>
          </w:pPr>
          <w:r>
            <w:fldChar w:fldCharType="begin"/>
          </w:r>
          <w:r>
            <w:instrText xml:space="preserve"> HYPERLINK \l _Toc5787 </w:instrText>
          </w:r>
          <w:r>
            <w:fldChar w:fldCharType="separate"/>
          </w:r>
          <w:r>
            <w:rPr>
              <w:rFonts w:hint="eastAsia" w:ascii="仿宋" w:hAnsi="仿宋" w:eastAsia="仿宋"/>
              <w:bCs w:val="0"/>
            </w:rPr>
            <w:t>十四、国有资本经营预算财政拨款支出决算表</w:t>
          </w:r>
          <w:r>
            <w:tab/>
          </w:r>
          <w:r>
            <w:fldChar w:fldCharType="begin"/>
          </w:r>
          <w:r>
            <w:instrText xml:space="preserve"> PAGEREF _Toc5787 \h </w:instrText>
          </w:r>
          <w:r>
            <w:fldChar w:fldCharType="separate"/>
          </w:r>
          <w:r>
            <w:t>19</w:t>
          </w:r>
          <w:r>
            <w:fldChar w:fldCharType="end"/>
          </w:r>
          <w:r>
            <w:fldChar w:fldCharType="end"/>
          </w:r>
        </w:p>
        <w:p>
          <w:pPr>
            <w:pStyle w:val="30"/>
          </w:pPr>
          <w:r>
            <w:fldChar w:fldCharType="end"/>
          </w:r>
        </w:p>
      </w:sdtContent>
    </w:sdt>
    <w:p>
      <w:pPr>
        <w:pStyle w:val="2"/>
        <w:jc w:val="center"/>
        <w:rPr>
          <w:rFonts w:hint="eastAsia" w:ascii="黑体" w:hAnsi="黑体" w:eastAsia="黑体"/>
          <w:b w:val="0"/>
        </w:rPr>
      </w:pPr>
      <w:bookmarkStart w:id="16" w:name="_Toc15396599"/>
      <w:bookmarkStart w:id="17" w:name="_Toc15377196"/>
      <w:bookmarkStart w:id="18" w:name="_Toc13503"/>
    </w:p>
    <w:p>
      <w:pPr>
        <w:pStyle w:val="2"/>
        <w:jc w:val="center"/>
        <w:rPr>
          <w:rFonts w:hint="eastAsia" w:ascii="黑体" w:hAnsi="黑体" w:eastAsia="黑体"/>
          <w:b w:val="0"/>
        </w:rPr>
      </w:pPr>
    </w:p>
    <w:p>
      <w:pPr>
        <w:rPr>
          <w:rFonts w:hint="eastAsia" w:ascii="黑体" w:hAnsi="黑体" w:eastAsia="黑体"/>
          <w:b w:val="0"/>
        </w:rPr>
      </w:pPr>
    </w:p>
    <w:p>
      <w:pPr>
        <w:rPr>
          <w:rFonts w:hint="eastAsia" w:ascii="黑体" w:hAnsi="黑体" w:eastAsia="黑体"/>
          <w:b w:val="0"/>
        </w:rPr>
      </w:pPr>
    </w:p>
    <w:p>
      <w:pPr>
        <w:rPr>
          <w:rFonts w:hint="eastAsia" w:ascii="黑体" w:hAnsi="黑体" w:eastAsia="黑体"/>
          <w:b w:val="0"/>
        </w:rPr>
      </w:pPr>
    </w:p>
    <w:p>
      <w:pPr>
        <w:rPr>
          <w:rFonts w:hint="eastAsia" w:ascii="黑体" w:hAnsi="黑体" w:eastAsia="黑体"/>
          <w:b w:val="0"/>
        </w:rPr>
      </w:pPr>
    </w:p>
    <w:p>
      <w:pPr>
        <w:rPr>
          <w:rFonts w:hint="eastAsia" w:ascii="黑体" w:hAnsi="黑体" w:eastAsia="黑体"/>
          <w:b w:val="0"/>
        </w:rPr>
      </w:pPr>
    </w:p>
    <w:p>
      <w:pPr>
        <w:pStyle w:val="2"/>
        <w:jc w:val="center"/>
        <w:rPr>
          <w:rFonts w:hint="eastAsia" w:ascii="黑体" w:hAnsi="黑体" w:eastAsia="黑体"/>
          <w:b w:val="0"/>
        </w:rPr>
      </w:pPr>
    </w:p>
    <w:p>
      <w:pPr>
        <w:pStyle w:val="2"/>
        <w:jc w:val="center"/>
        <w:rPr>
          <w:rFonts w:hint="eastAsia" w:ascii="黑体" w:hAnsi="黑体" w:eastAsia="黑体"/>
          <w:b w:val="0"/>
        </w:rPr>
      </w:pPr>
    </w:p>
    <w:p>
      <w:pPr>
        <w:rPr>
          <w:rFonts w:hint="eastAsia" w:ascii="黑体" w:hAnsi="黑体" w:eastAsia="黑体"/>
          <w:b w:val="0"/>
        </w:rPr>
      </w:pPr>
    </w:p>
    <w:p>
      <w:pPr>
        <w:rPr>
          <w:rFonts w:hint="eastAsia" w:ascii="黑体" w:hAnsi="黑体" w:eastAsia="黑体"/>
          <w:b w:val="0"/>
        </w:rPr>
      </w:pPr>
    </w:p>
    <w:p>
      <w:pPr>
        <w:pStyle w:val="2"/>
        <w:jc w:val="center"/>
        <w:rPr>
          <w:rFonts w:hint="eastAsia" w:ascii="黑体" w:hAnsi="黑体" w:eastAsia="黑体"/>
          <w:b w:val="0"/>
          <w:lang w:val="en-US" w:eastAsia="zh-CN"/>
        </w:rPr>
      </w:pPr>
      <w:r>
        <w:rPr>
          <w:rFonts w:hint="eastAsia" w:ascii="黑体" w:hAnsi="黑体" w:eastAsia="黑体"/>
          <w:b w:val="0"/>
          <w:lang w:val="en-US" w:eastAsia="zh-CN"/>
        </w:rPr>
        <w:t xml:space="preserve"> </w:t>
      </w:r>
    </w:p>
    <w:p>
      <w:pPr>
        <w:rPr>
          <w:rFonts w:hint="eastAsia" w:ascii="黑体" w:hAnsi="黑体" w:eastAsia="黑体"/>
          <w:b w:val="0"/>
          <w:lang w:val="en-US" w:eastAsia="zh-CN"/>
        </w:rPr>
      </w:pPr>
    </w:p>
    <w:p>
      <w:pPr>
        <w:rPr>
          <w:rFonts w:hint="eastAsia" w:ascii="黑体" w:hAnsi="黑体" w:eastAsia="黑体"/>
          <w:b w:val="0"/>
          <w:lang w:val="en-US" w:eastAsia="zh-CN"/>
        </w:rPr>
      </w:pPr>
    </w:p>
    <w:p>
      <w:pPr>
        <w:rPr>
          <w:rFonts w:hint="eastAsia" w:ascii="黑体" w:hAnsi="黑体" w:eastAsia="黑体"/>
          <w:b w:val="0"/>
          <w:lang w:val="en-US" w:eastAsia="zh-CN"/>
        </w:rPr>
      </w:pPr>
    </w:p>
    <w:p>
      <w:pPr>
        <w:pStyle w:val="2"/>
        <w:jc w:val="center"/>
        <w:rPr>
          <w:rStyle w:val="24"/>
          <w:rFonts w:ascii="黑体" w:hAnsi="黑体" w:eastAsia="黑体"/>
          <w:b/>
          <w:bCs w:val="0"/>
        </w:rPr>
      </w:pPr>
      <w:r>
        <w:rPr>
          <w:rFonts w:hint="eastAsia" w:ascii="黑体" w:hAnsi="黑体" w:eastAsia="黑体"/>
          <w:b w:val="0"/>
        </w:rPr>
        <w:t>第一部分 单位</w:t>
      </w:r>
      <w:r>
        <w:rPr>
          <w:rStyle w:val="24"/>
          <w:rFonts w:hint="eastAsia" w:ascii="黑体" w:hAnsi="黑体" w:eastAsia="黑体"/>
          <w:b w:val="0"/>
          <w:bCs w:val="0"/>
        </w:rPr>
        <w:t>概况</w:t>
      </w:r>
      <w:bookmarkEnd w:id="16"/>
      <w:bookmarkEnd w:id="17"/>
      <w:bookmarkEnd w:id="18"/>
    </w:p>
    <w:p>
      <w:pPr>
        <w:widowControl/>
        <w:jc w:val="left"/>
        <w:rPr>
          <w:rFonts w:ascii="黑体" w:eastAsia="黑体"/>
          <w:sz w:val="32"/>
          <w:szCs w:val="32"/>
        </w:rPr>
      </w:pPr>
    </w:p>
    <w:p>
      <w:pPr>
        <w:pStyle w:val="3"/>
        <w:numPr>
          <w:ilvl w:val="0"/>
          <w:numId w:val="1"/>
        </w:numPr>
        <w:rPr>
          <w:rStyle w:val="25"/>
          <w:rFonts w:ascii="黑体" w:hAnsi="黑体" w:eastAsia="黑体"/>
          <w:b w:val="0"/>
          <w:bCs w:val="0"/>
        </w:rPr>
      </w:pPr>
      <w:bookmarkStart w:id="19" w:name="_Toc2079"/>
      <w:bookmarkStart w:id="20" w:name="_Toc15377197"/>
      <w:bookmarkStart w:id="21" w:name="_Toc15396600"/>
      <w:r>
        <w:rPr>
          <w:rStyle w:val="25"/>
          <w:rFonts w:hint="eastAsia" w:ascii="黑体" w:hAnsi="黑体" w:eastAsia="黑体"/>
          <w:b w:val="0"/>
          <w:bCs w:val="0"/>
        </w:rPr>
        <w:t>职能简介</w:t>
      </w:r>
      <w:bookmarkEnd w:id="19"/>
    </w:p>
    <w:p>
      <w:pPr>
        <w:pStyle w:val="5"/>
        <w:adjustRightInd w:val="0"/>
        <w:snapToGrid w:val="0"/>
        <w:spacing w:before="93" w:line="600" w:lineRule="exact"/>
        <w:ind w:firstLine="672" w:firstLineChars="210"/>
        <w:rPr>
          <w:rFonts w:ascii="仿宋" w:hAnsi="仿宋" w:eastAsia="仿宋" w:cs="仿宋"/>
          <w:color w:val="000000"/>
          <w:sz w:val="32"/>
          <w:szCs w:val="32"/>
        </w:rPr>
      </w:pPr>
      <w:r>
        <w:rPr>
          <w:rFonts w:hint="eastAsia" w:ascii="仿宋" w:hAnsi="仿宋" w:eastAsia="仿宋" w:cs="仿宋"/>
          <w:color w:val="000000"/>
          <w:sz w:val="32"/>
          <w:szCs w:val="32"/>
        </w:rPr>
        <w:t>攀枝花市人工影响天气中心（攀枝花市农业气象中心）（以下简称人影中心）主要组织实施和指导管理全市人工增雨、人工防雹等工作，为国家建设和社会生活提供人工影响天气服务和人工影响天气作业。</w:t>
      </w:r>
    </w:p>
    <w:p/>
    <w:p>
      <w:pPr>
        <w:pStyle w:val="3"/>
        <w:rPr>
          <w:rFonts w:ascii="黑体" w:hAnsi="黑体" w:eastAsia="黑体"/>
          <w:b w:val="0"/>
        </w:rPr>
      </w:pPr>
      <w:bookmarkStart w:id="22" w:name="_Toc4165"/>
      <w:r>
        <w:rPr>
          <w:rFonts w:hint="eastAsia" w:ascii="黑体" w:hAnsi="黑体" w:eastAsia="黑体"/>
          <w:b w:val="0"/>
        </w:rPr>
        <w:t>二、2021年重点工作</w:t>
      </w:r>
      <w:bookmarkEnd w:id="20"/>
      <w:bookmarkEnd w:id="21"/>
      <w:r>
        <w:rPr>
          <w:rFonts w:hint="eastAsia" w:ascii="黑体" w:hAnsi="黑体" w:eastAsia="黑体"/>
          <w:b w:val="0"/>
        </w:rPr>
        <w:t>完成情况</w:t>
      </w:r>
      <w:bookmarkEnd w:id="22"/>
    </w:p>
    <w:p>
      <w:pPr>
        <w:pStyle w:val="5"/>
        <w:adjustRightInd w:val="0"/>
        <w:snapToGrid w:val="0"/>
        <w:spacing w:before="93" w:line="600" w:lineRule="exact"/>
        <w:ind w:firstLine="672" w:firstLineChars="210"/>
        <w:rPr>
          <w:rFonts w:ascii="仿宋" w:hAnsi="仿宋" w:eastAsia="仿宋"/>
          <w:color w:val="000000"/>
          <w:sz w:val="32"/>
          <w:szCs w:val="32"/>
        </w:rPr>
      </w:pPr>
      <w:r>
        <w:rPr>
          <w:rFonts w:hint="eastAsia" w:ascii="仿宋" w:hAnsi="仿宋" w:eastAsia="仿宋" w:cs="仿宋"/>
          <w:color w:val="000000"/>
          <w:sz w:val="32"/>
          <w:szCs w:val="32"/>
        </w:rPr>
        <w:t>2021年,人影中心完成了攀枝花在中央电视台CCTV-1天气预报栏目全年的播出任务；</w:t>
      </w:r>
      <w:r>
        <w:rPr>
          <w:rFonts w:hint="eastAsia" w:ascii="Times New Roman"/>
          <w:sz w:val="32"/>
          <w:szCs w:val="32"/>
          <w:shd w:val="clear" w:color="auto" w:fill="FFFFFF"/>
        </w:rPr>
        <w:t>在四川卫视全省城市《天气预报》栏目</w:t>
      </w:r>
      <w:r>
        <w:rPr>
          <w:rFonts w:hint="eastAsia" w:ascii="仿宋" w:hAnsi="仿宋" w:eastAsia="仿宋" w:cs="仿宋"/>
          <w:color w:val="000000"/>
          <w:sz w:val="32"/>
          <w:szCs w:val="32"/>
        </w:rPr>
        <w:t>全年的播出任务</w:t>
      </w:r>
      <w:r>
        <w:rPr>
          <w:rFonts w:hint="eastAsia" w:ascii="Times New Roman"/>
          <w:sz w:val="32"/>
          <w:szCs w:val="32"/>
          <w:shd w:val="clear" w:color="auto" w:fill="FFFFFF"/>
        </w:rPr>
        <w:t>。</w:t>
      </w:r>
    </w:p>
    <w:p/>
    <w:p>
      <w:pPr>
        <w:pStyle w:val="3"/>
        <w:rPr>
          <w:rFonts w:hint="default" w:ascii="黑体" w:hAnsi="黑体" w:eastAsia="黑体"/>
          <w:b w:val="0"/>
          <w:lang w:val="en-US" w:eastAsia="zh-CN"/>
        </w:rPr>
      </w:pPr>
      <w:bookmarkStart w:id="23" w:name="_Toc10350"/>
      <w:r>
        <w:rPr>
          <w:rFonts w:hint="eastAsia" w:ascii="黑体" w:hAnsi="黑体" w:eastAsia="黑体"/>
          <w:b w:val="0"/>
          <w:lang w:val="en-US" w:eastAsia="zh-CN"/>
        </w:rPr>
        <w:t>三</w:t>
      </w:r>
      <w:r>
        <w:rPr>
          <w:rFonts w:hint="eastAsia" w:ascii="黑体" w:hAnsi="黑体" w:eastAsia="黑体"/>
          <w:b w:val="0"/>
        </w:rPr>
        <w:t>、</w:t>
      </w:r>
      <w:r>
        <w:rPr>
          <w:rFonts w:hint="eastAsia" w:ascii="黑体" w:hAnsi="黑体" w:eastAsia="黑体"/>
          <w:b w:val="0"/>
          <w:lang w:val="en-US" w:eastAsia="zh-CN"/>
        </w:rPr>
        <w:t>机构设置</w:t>
      </w:r>
      <w:bookmarkEnd w:id="23"/>
    </w:p>
    <w:p>
      <w:pPr>
        <w:pStyle w:val="5"/>
        <w:adjustRightInd w:val="0"/>
        <w:spacing w:before="130" w:line="600" w:lineRule="exact"/>
        <w:ind w:firstLine="672" w:firstLineChars="210"/>
        <w:rPr>
          <w:rFonts w:ascii="Times New Roman"/>
          <w:sz w:val="32"/>
        </w:rPr>
      </w:pPr>
      <w:r>
        <w:rPr>
          <w:rFonts w:hint="eastAsia" w:ascii="Times New Roman"/>
          <w:sz w:val="32"/>
          <w:lang w:eastAsia="zh-CN"/>
        </w:rPr>
        <w:t>人影中心</w:t>
      </w:r>
      <w:r>
        <w:rPr>
          <w:rFonts w:ascii="Times New Roman"/>
          <w:sz w:val="32"/>
        </w:rPr>
        <w:t>下</w:t>
      </w:r>
      <w:r>
        <w:rPr>
          <w:rFonts w:hint="eastAsia" w:ascii="Times New Roman"/>
          <w:sz w:val="32"/>
          <w:lang w:val="en-US" w:eastAsia="zh-CN"/>
        </w:rPr>
        <w:t>设</w:t>
      </w:r>
      <w:r>
        <w:rPr>
          <w:rFonts w:ascii="Times New Roman"/>
          <w:sz w:val="32"/>
        </w:rPr>
        <w:t>独立</w:t>
      </w:r>
      <w:r>
        <w:rPr>
          <w:rFonts w:hint="eastAsia" w:ascii="Times New Roman"/>
          <w:sz w:val="32"/>
          <w:lang w:val="en-US" w:eastAsia="zh-CN"/>
        </w:rPr>
        <w:t>编制机构</w:t>
      </w:r>
      <w:r>
        <w:rPr>
          <w:rFonts w:hint="eastAsia" w:ascii="Times New Roman"/>
          <w:sz w:val="32"/>
        </w:rPr>
        <w:t>0</w:t>
      </w:r>
      <w:r>
        <w:rPr>
          <w:rFonts w:ascii="Times New Roman"/>
          <w:sz w:val="32"/>
        </w:rPr>
        <w:t>个，其中行政</w:t>
      </w:r>
      <w:r>
        <w:rPr>
          <w:rFonts w:hint="eastAsia" w:ascii="Times New Roman"/>
          <w:sz w:val="32"/>
          <w:lang w:val="en-US" w:eastAsia="zh-CN"/>
        </w:rPr>
        <w:t>机构</w:t>
      </w:r>
      <w:r>
        <w:rPr>
          <w:rFonts w:hint="eastAsia" w:ascii="Times New Roman"/>
          <w:sz w:val="32"/>
        </w:rPr>
        <w:t>0</w:t>
      </w:r>
      <w:r>
        <w:rPr>
          <w:rFonts w:ascii="Times New Roman"/>
          <w:sz w:val="32"/>
        </w:rPr>
        <w:t>个，参照公务员法管理的事业</w:t>
      </w:r>
      <w:r>
        <w:rPr>
          <w:rFonts w:hint="eastAsia" w:ascii="Times New Roman"/>
          <w:sz w:val="32"/>
          <w:lang w:val="en-US" w:eastAsia="zh-CN"/>
        </w:rPr>
        <w:t>机构</w:t>
      </w:r>
      <w:r>
        <w:rPr>
          <w:rFonts w:hint="eastAsia" w:ascii="Times New Roman"/>
          <w:sz w:val="32"/>
        </w:rPr>
        <w:t>0</w:t>
      </w:r>
      <w:r>
        <w:rPr>
          <w:rFonts w:ascii="Times New Roman"/>
          <w:sz w:val="32"/>
        </w:rPr>
        <w:t>个，其他事业</w:t>
      </w:r>
      <w:r>
        <w:rPr>
          <w:rFonts w:hint="eastAsia" w:ascii="Times New Roman"/>
          <w:sz w:val="32"/>
          <w:lang w:val="en-US" w:eastAsia="zh-CN"/>
        </w:rPr>
        <w:t>机构</w:t>
      </w:r>
      <w:r>
        <w:rPr>
          <w:rFonts w:hint="eastAsia" w:ascii="Times New Roman"/>
          <w:sz w:val="32"/>
        </w:rPr>
        <w:t>0</w:t>
      </w:r>
      <w:r>
        <w:rPr>
          <w:rFonts w:ascii="Times New Roman"/>
          <w:sz w:val="32"/>
        </w:rPr>
        <w:t>个。</w:t>
      </w:r>
    </w:p>
    <w:p>
      <w:pPr>
        <w:pStyle w:val="5"/>
        <w:adjustRightInd w:val="0"/>
        <w:spacing w:before="130" w:line="600" w:lineRule="exact"/>
        <w:ind w:firstLine="672" w:firstLineChars="210"/>
        <w:rPr>
          <w:rFonts w:hint="default" w:ascii="Times New Roman" w:eastAsia="仿宋_GB2312"/>
          <w:sz w:val="32"/>
          <w:lang w:val="en-US" w:eastAsia="zh-CN"/>
        </w:rPr>
      </w:pPr>
      <w:r>
        <w:rPr>
          <w:rFonts w:hint="eastAsia" w:ascii="Times New Roman"/>
          <w:sz w:val="32"/>
          <w:lang w:val="en-US" w:eastAsia="zh-CN"/>
        </w:rPr>
        <w:t>纳入2021年度单位决算编制范围的独立编制机构包括：无。</w:t>
      </w:r>
    </w:p>
    <w:p>
      <w:pPr>
        <w:widowControl/>
        <w:jc w:val="left"/>
        <w:rPr>
          <w:rFonts w:ascii="仿宋" w:hAnsi="仿宋" w:eastAsia="仿宋"/>
          <w:kern w:val="0"/>
          <w:sz w:val="32"/>
          <w:szCs w:val="32"/>
        </w:rPr>
      </w:pPr>
      <w:r>
        <w:rPr>
          <w:rFonts w:ascii="仿宋" w:hAnsi="仿宋" w:eastAsia="仿宋"/>
          <w:sz w:val="32"/>
          <w:szCs w:val="32"/>
        </w:rPr>
        <w:br w:type="page"/>
      </w:r>
    </w:p>
    <w:p>
      <w:pPr>
        <w:pStyle w:val="2"/>
        <w:ind w:right="440"/>
        <w:jc w:val="center"/>
        <w:rPr>
          <w:rStyle w:val="24"/>
          <w:rFonts w:ascii="黑体" w:hAnsi="黑体" w:eastAsia="黑体"/>
          <w:b w:val="0"/>
          <w:bCs/>
        </w:rPr>
      </w:pPr>
      <w:bookmarkStart w:id="24" w:name="_Toc26581"/>
      <w:bookmarkStart w:id="25" w:name="_Toc15377204"/>
      <w:bookmarkStart w:id="26" w:name="_Toc15396602"/>
      <w:r>
        <w:rPr>
          <w:rFonts w:hint="eastAsia" w:ascii="黑体" w:hAnsi="黑体" w:eastAsia="黑体"/>
          <w:b w:val="0"/>
        </w:rPr>
        <w:t>第二部分 2021年度</w:t>
      </w:r>
      <w:r>
        <w:rPr>
          <w:rStyle w:val="24"/>
          <w:rFonts w:hint="eastAsia" w:ascii="黑体" w:hAnsi="黑体" w:eastAsia="黑体"/>
          <w:b w:val="0"/>
          <w:bCs/>
        </w:rPr>
        <w:t>单位决算情况说明</w:t>
      </w:r>
      <w:bookmarkEnd w:id="24"/>
      <w:bookmarkEnd w:id="25"/>
      <w:bookmarkEnd w:id="26"/>
    </w:p>
    <w:p/>
    <w:p>
      <w:pPr>
        <w:pStyle w:val="23"/>
        <w:numPr>
          <w:ilvl w:val="0"/>
          <w:numId w:val="2"/>
        </w:numPr>
        <w:spacing w:line="600" w:lineRule="exact"/>
        <w:ind w:firstLineChars="0"/>
        <w:outlineLvl w:val="1"/>
        <w:rPr>
          <w:rStyle w:val="25"/>
          <w:rFonts w:ascii="黑体" w:hAnsi="黑体" w:eastAsia="黑体"/>
          <w:b w:val="0"/>
        </w:rPr>
      </w:pPr>
      <w:bookmarkStart w:id="27" w:name="_Toc15396603"/>
      <w:bookmarkStart w:id="28" w:name="_Toc15377205"/>
      <w:bookmarkStart w:id="29" w:name="_Toc1262"/>
      <w:r>
        <w:rPr>
          <w:rFonts w:hint="eastAsia" w:ascii="黑体" w:hAnsi="黑体" w:eastAsia="黑体"/>
          <w:sz w:val="32"/>
          <w:szCs w:val="32"/>
        </w:rPr>
        <w:t>收</w:t>
      </w:r>
      <w:r>
        <w:rPr>
          <w:rStyle w:val="25"/>
          <w:rFonts w:hint="eastAsia" w:ascii="黑体" w:hAnsi="黑体" w:eastAsia="黑体"/>
          <w:b w:val="0"/>
        </w:rPr>
        <w:t>入支出决算总体情况说明</w:t>
      </w:r>
      <w:bookmarkEnd w:id="27"/>
      <w:bookmarkEnd w:id="28"/>
      <w:bookmarkEnd w:id="29"/>
    </w:p>
    <w:p>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2021年度收入总计640.84万元。与2020年相比，收入总计增加120.83万元，增长23.24</w:t>
      </w:r>
      <w:r>
        <w:rPr>
          <w:rFonts w:ascii="仿宋" w:hAnsi="仿宋" w:eastAsia="仿宋"/>
          <w:sz w:val="32"/>
          <w:szCs w:val="32"/>
        </w:rPr>
        <w:t>%</w:t>
      </w:r>
      <w:r>
        <w:rPr>
          <w:rFonts w:hint="eastAsia" w:ascii="仿宋" w:hAnsi="仿宋" w:eastAsia="仿宋"/>
          <w:sz w:val="32"/>
          <w:szCs w:val="32"/>
        </w:rPr>
        <w:t>。主要变动原因是</w:t>
      </w:r>
    </w:p>
    <w:p>
      <w:pPr>
        <w:spacing w:line="600" w:lineRule="exact"/>
        <w:rPr>
          <w:rFonts w:ascii="仿宋" w:hAnsi="仿宋" w:eastAsia="仿宋"/>
          <w:color w:val="000000"/>
          <w:sz w:val="32"/>
          <w:szCs w:val="32"/>
        </w:rPr>
      </w:pPr>
      <w:r>
        <w:rPr>
          <w:rFonts w:hint="eastAsia" w:ascii="仿宋" w:hAnsi="仿宋" w:eastAsia="仿宋" w:cs="仿宋"/>
          <w:sz w:val="32"/>
          <w:szCs w:val="32"/>
        </w:rPr>
        <w:t>2021年征订电视台《天气预报》项目增加130万元。</w:t>
      </w:r>
    </w:p>
    <w:p>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59264" behindDoc="1" locked="0" layoutInCell="1" allowOverlap="1">
            <wp:simplePos x="0" y="0"/>
            <wp:positionH relativeFrom="column">
              <wp:posOffset>459105</wp:posOffset>
            </wp:positionH>
            <wp:positionV relativeFrom="paragraph">
              <wp:posOffset>116205</wp:posOffset>
            </wp:positionV>
            <wp:extent cx="4814570" cy="2939415"/>
            <wp:effectExtent l="19050" t="0" r="23912" b="0"/>
            <wp:wrapTight wrapText="bothSides">
              <wp:wrapPolygon>
                <wp:start x="0" y="0"/>
                <wp:lineTo x="0" y="21600"/>
                <wp:lineTo x="21600" y="21600"/>
                <wp:lineTo x="21600" y="0"/>
                <wp:lineTo x="0" y="0"/>
              </wp:wrapPolygon>
            </wp:wrapTight>
            <wp:docPr id="11" name="对象 9"/>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：收入决算总计变动情况图）（柱状图）</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2021年度支出总计640.84万元。与2020年相比，支出总计增加120.83万元，增长23.24</w:t>
      </w:r>
      <w:r>
        <w:rPr>
          <w:rFonts w:ascii="仿宋" w:hAnsi="仿宋" w:eastAsia="仿宋"/>
          <w:sz w:val="32"/>
          <w:szCs w:val="32"/>
        </w:rPr>
        <w:t>%</w:t>
      </w:r>
      <w:r>
        <w:rPr>
          <w:rFonts w:hint="eastAsia" w:ascii="仿宋" w:hAnsi="仿宋" w:eastAsia="仿宋"/>
          <w:sz w:val="32"/>
          <w:szCs w:val="32"/>
        </w:rPr>
        <w:t>。主要变动原因是</w:t>
      </w:r>
    </w:p>
    <w:p>
      <w:pPr>
        <w:spacing w:line="600" w:lineRule="exact"/>
        <w:rPr>
          <w:rFonts w:ascii="仿宋" w:hAnsi="仿宋" w:eastAsia="仿宋"/>
          <w:color w:val="000000"/>
          <w:sz w:val="32"/>
          <w:szCs w:val="32"/>
        </w:rPr>
      </w:pPr>
      <w:r>
        <w:rPr>
          <w:rFonts w:hint="eastAsia" w:ascii="仿宋" w:hAnsi="仿宋" w:eastAsia="仿宋" w:cs="仿宋"/>
          <w:sz w:val="32"/>
          <w:szCs w:val="32"/>
        </w:rPr>
        <w:t>2021年征订电视台《天气预报》项目增加130万元。</w:t>
      </w:r>
    </w:p>
    <w:p>
      <w:pPr>
        <w:pStyle w:val="5"/>
        <w:spacing w:before="93"/>
      </w:pPr>
    </w:p>
    <w:p>
      <w:pPr>
        <w:pStyle w:val="5"/>
        <w:spacing w:before="93"/>
      </w:pPr>
    </w:p>
    <w:p>
      <w:pPr>
        <w:pStyle w:val="5"/>
        <w:spacing w:before="93"/>
      </w:pPr>
      <w:r>
        <w:rPr>
          <w:rFonts w:hint="eastAsia"/>
        </w:rPr>
        <w:drawing>
          <wp:anchor distT="0" distB="0" distL="114300" distR="114300" simplePos="0" relativeHeight="251660288" behindDoc="1" locked="0" layoutInCell="1" allowOverlap="1">
            <wp:simplePos x="0" y="0"/>
            <wp:positionH relativeFrom="column">
              <wp:posOffset>417830</wp:posOffset>
            </wp:positionH>
            <wp:positionV relativeFrom="paragraph">
              <wp:posOffset>-286385</wp:posOffset>
            </wp:positionV>
            <wp:extent cx="4674870" cy="2820035"/>
            <wp:effectExtent l="19050" t="0" r="14605" b="5080"/>
            <wp:wrapTight wrapText="bothSides">
              <wp:wrapPolygon>
                <wp:start x="0" y="0"/>
                <wp:lineTo x="0" y="21600"/>
                <wp:lineTo x="21600" y="21600"/>
                <wp:lineTo x="21600" y="0"/>
                <wp:lineTo x="0" y="0"/>
              </wp:wrapPolygon>
            </wp:wrapTight>
            <wp:docPr id="14"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pStyle w:val="5"/>
        <w:spacing w:before="93"/>
      </w:pPr>
    </w:p>
    <w:p>
      <w:pPr>
        <w:pStyle w:val="5"/>
        <w:spacing w:before="93"/>
      </w:pPr>
    </w:p>
    <w:p>
      <w:pPr>
        <w:pStyle w:val="5"/>
        <w:spacing w:before="93"/>
      </w:pPr>
    </w:p>
    <w:p>
      <w:pPr>
        <w:pStyle w:val="5"/>
        <w:spacing w:before="93"/>
      </w:pPr>
    </w:p>
    <w:p>
      <w:pPr>
        <w:pStyle w:val="5"/>
        <w:spacing w:before="93"/>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（图2：支出决算总计变动情况图）（柱状图）</w:t>
      </w:r>
    </w:p>
    <w:p>
      <w:pPr>
        <w:pStyle w:val="23"/>
        <w:numPr>
          <w:ilvl w:val="0"/>
          <w:numId w:val="2"/>
        </w:numPr>
        <w:spacing w:line="600" w:lineRule="exact"/>
        <w:ind w:firstLineChars="0"/>
        <w:outlineLvl w:val="1"/>
        <w:rPr>
          <w:rStyle w:val="25"/>
          <w:rFonts w:ascii="黑体" w:hAnsi="黑体" w:eastAsia="黑体"/>
          <w:b w:val="0"/>
        </w:rPr>
      </w:pPr>
      <w:bookmarkStart w:id="30" w:name="_Toc739"/>
      <w:bookmarkStart w:id="31" w:name="_Toc15377206"/>
      <w:bookmarkStart w:id="32" w:name="_Toc15396604"/>
      <w:r>
        <w:rPr>
          <w:rFonts w:hint="eastAsia" w:ascii="黑体" w:hAnsi="黑体" w:eastAsia="黑体"/>
          <w:sz w:val="32"/>
          <w:szCs w:val="32"/>
        </w:rPr>
        <w:t>收</w:t>
      </w:r>
      <w:r>
        <w:rPr>
          <w:rStyle w:val="25"/>
          <w:rFonts w:hint="eastAsia" w:ascii="黑体" w:hAnsi="黑体" w:eastAsia="黑体"/>
          <w:b w:val="0"/>
        </w:rPr>
        <w:t>入决算情况说明</w:t>
      </w:r>
      <w:bookmarkEnd w:id="30"/>
      <w:bookmarkEnd w:id="31"/>
      <w:bookmarkEnd w:id="32"/>
    </w:p>
    <w:p>
      <w:pPr>
        <w:spacing w:line="600" w:lineRule="exact"/>
        <w:ind w:firstLine="640" w:firstLineChars="200"/>
        <w:outlineLvl w:val="1"/>
        <w:rPr>
          <w:rFonts w:ascii="仿宋" w:hAnsi="仿宋" w:eastAsia="仿宋"/>
          <w:sz w:val="32"/>
          <w:szCs w:val="32"/>
        </w:rPr>
      </w:pPr>
      <w:bookmarkStart w:id="33" w:name="_Toc5046"/>
      <w:bookmarkStart w:id="34" w:name="_Toc113983572"/>
      <w:r>
        <w:rPr>
          <w:rFonts w:ascii="仿宋" w:hAnsi="仿宋" w:eastAsia="仿宋"/>
          <w:sz w:val="32"/>
          <w:szCs w:val="32"/>
        </w:rPr>
        <w:t>20</w:t>
      </w:r>
      <w:r>
        <w:rPr>
          <w:rFonts w:hint="eastAsia" w:ascii="仿宋" w:hAnsi="仿宋" w:eastAsia="仿宋"/>
          <w:sz w:val="32"/>
          <w:szCs w:val="32"/>
        </w:rPr>
        <w:t>21年本年收入合计640.84万元，其中：一般公共预算财政拨款收入640.84万元，占100</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；其他收入0万元，占0</w:t>
      </w:r>
      <w:r>
        <w:rPr>
          <w:rFonts w:ascii="仿宋" w:hAnsi="仿宋" w:eastAsia="仿宋"/>
          <w:sz w:val="32"/>
          <w:szCs w:val="32"/>
        </w:rPr>
        <w:t>%</w:t>
      </w:r>
      <w:r>
        <w:rPr>
          <w:rFonts w:hint="eastAsia" w:ascii="仿宋" w:hAnsi="仿宋" w:eastAsia="仿宋"/>
          <w:sz w:val="32"/>
          <w:szCs w:val="32"/>
        </w:rPr>
        <w:t>。</w:t>
      </w:r>
      <w:bookmarkEnd w:id="33"/>
      <w:bookmarkEnd w:id="34"/>
    </w:p>
    <w:p>
      <w:pPr>
        <w:spacing w:line="600" w:lineRule="exact"/>
        <w:outlineLvl w:val="1"/>
        <w:rPr>
          <w:rFonts w:ascii="仿宋" w:hAnsi="仿宋" w:eastAsia="仿宋"/>
          <w:b/>
          <w:sz w:val="32"/>
          <w:szCs w:val="32"/>
        </w:rPr>
      </w:pPr>
      <w:r>
        <w:rPr>
          <w:rFonts w:hint="eastAsia" w:ascii="仿宋" w:hAnsi="仿宋" w:eastAsia="仿宋"/>
          <w:b/>
          <w:sz w:val="32"/>
          <w:szCs w:val="32"/>
        </w:rPr>
        <w:drawing>
          <wp:anchor distT="0" distB="0" distL="114300" distR="114300" simplePos="0" relativeHeight="251661312" behindDoc="1" locked="0" layoutInCell="1" allowOverlap="1">
            <wp:simplePos x="0" y="0"/>
            <wp:positionH relativeFrom="column">
              <wp:posOffset>556260</wp:posOffset>
            </wp:positionH>
            <wp:positionV relativeFrom="paragraph">
              <wp:posOffset>694690</wp:posOffset>
            </wp:positionV>
            <wp:extent cx="4000500" cy="1877695"/>
            <wp:effectExtent l="19050" t="0" r="19050" b="8255"/>
            <wp:wrapTight wrapText="bothSides">
              <wp:wrapPolygon>
                <wp:start x="0" y="0"/>
                <wp:lineTo x="0" y="21600"/>
                <wp:lineTo x="21600" y="21600"/>
                <wp:lineTo x="21600" y="0"/>
                <wp:lineTo x="0" y="0"/>
              </wp:wrapPolygon>
            </wp:wrapTight>
            <wp:docPr id="16" name="图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600" w:lineRule="exact"/>
        <w:ind w:firstLine="640" w:firstLineChars="200"/>
        <w:outlineLvl w:val="1"/>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t>（图3：收入决算结构图）（饼状图）</w:t>
      </w:r>
    </w:p>
    <w:p>
      <w:pPr>
        <w:pStyle w:val="23"/>
        <w:numPr>
          <w:ilvl w:val="0"/>
          <w:numId w:val="2"/>
        </w:numPr>
        <w:spacing w:line="600" w:lineRule="exact"/>
        <w:ind w:firstLineChars="0"/>
        <w:outlineLvl w:val="1"/>
        <w:rPr>
          <w:rStyle w:val="25"/>
          <w:rFonts w:ascii="黑体" w:hAnsi="黑体" w:eastAsia="黑体"/>
          <w:b w:val="0"/>
        </w:rPr>
      </w:pPr>
      <w:bookmarkStart w:id="35" w:name="_Toc15377207"/>
      <w:bookmarkStart w:id="36" w:name="_Toc15396605"/>
      <w:bookmarkStart w:id="37" w:name="_Toc21379"/>
      <w:r>
        <w:rPr>
          <w:rFonts w:hint="eastAsia" w:ascii="黑体" w:hAnsi="黑体" w:eastAsia="黑体"/>
          <w:sz w:val="32"/>
          <w:szCs w:val="32"/>
        </w:rPr>
        <w:t>支</w:t>
      </w:r>
      <w:r>
        <w:rPr>
          <w:rStyle w:val="25"/>
          <w:rFonts w:hint="eastAsia" w:ascii="黑体" w:hAnsi="黑体" w:eastAsia="黑体"/>
          <w:b w:val="0"/>
        </w:rPr>
        <w:t>出决算情况说明</w:t>
      </w:r>
      <w:bookmarkEnd w:id="35"/>
      <w:bookmarkEnd w:id="36"/>
      <w:bookmarkEnd w:id="37"/>
    </w:p>
    <w:p>
      <w:pPr>
        <w:spacing w:line="600" w:lineRule="exact"/>
        <w:ind w:firstLine="640" w:firstLineChars="200"/>
        <w:outlineLvl w:val="1"/>
        <w:rPr>
          <w:rFonts w:ascii="仿宋" w:hAnsi="仿宋" w:eastAsia="仿宋"/>
          <w:sz w:val="32"/>
          <w:szCs w:val="32"/>
        </w:rPr>
      </w:pPr>
      <w:bookmarkStart w:id="38" w:name="_Toc4220"/>
      <w:bookmarkStart w:id="39" w:name="_Toc113983575"/>
      <w:r>
        <w:rPr>
          <w:rFonts w:ascii="仿宋" w:hAnsi="仿宋" w:eastAsia="仿宋"/>
          <w:sz w:val="32"/>
          <w:szCs w:val="32"/>
        </w:rPr>
        <w:t>20</w:t>
      </w:r>
      <w:r>
        <w:rPr>
          <w:rFonts w:hint="eastAsia" w:ascii="仿宋" w:hAnsi="仿宋" w:eastAsia="仿宋"/>
          <w:sz w:val="32"/>
          <w:szCs w:val="32"/>
        </w:rPr>
        <w:t>21年本年支出合计640.84万元，其中：基本支出126.72万元，占19.77</w:t>
      </w:r>
      <w:r>
        <w:rPr>
          <w:rFonts w:ascii="仿宋" w:hAnsi="仿宋" w:eastAsia="仿宋"/>
          <w:sz w:val="32"/>
          <w:szCs w:val="32"/>
        </w:rPr>
        <w:t>%</w:t>
      </w:r>
      <w:r>
        <w:rPr>
          <w:rFonts w:hint="eastAsia" w:ascii="仿宋" w:hAnsi="仿宋" w:eastAsia="仿宋"/>
          <w:sz w:val="32"/>
          <w:szCs w:val="32"/>
        </w:rPr>
        <w:t>；项目支出514.12万元，占80.23</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bookmarkEnd w:id="38"/>
      <w:bookmarkEnd w:id="39"/>
    </w:p>
    <w:p>
      <w:pPr>
        <w:pStyle w:val="5"/>
        <w:spacing w:before="93"/>
      </w:pPr>
      <w:r>
        <w:rPr>
          <w:rFonts w:hint="eastAsia" w:ascii="仿宋" w:hAnsi="仿宋" w:eastAsia="仿宋"/>
          <w:b/>
          <w:sz w:val="32"/>
          <w:szCs w:val="32"/>
        </w:rPr>
        <w:drawing>
          <wp:anchor distT="0" distB="0" distL="114300" distR="114300" simplePos="0" relativeHeight="251662336" behindDoc="1" locked="0" layoutInCell="1" allowOverlap="1">
            <wp:simplePos x="0" y="0"/>
            <wp:positionH relativeFrom="column">
              <wp:posOffset>478790</wp:posOffset>
            </wp:positionH>
            <wp:positionV relativeFrom="paragraph">
              <wp:posOffset>281940</wp:posOffset>
            </wp:positionV>
            <wp:extent cx="5128260" cy="2957195"/>
            <wp:effectExtent l="19050" t="0" r="15240" b="0"/>
            <wp:wrapTight wrapText="bothSides">
              <wp:wrapPolygon>
                <wp:start x="0" y="0"/>
                <wp:lineTo x="0" y="21600"/>
                <wp:lineTo x="21600" y="21600"/>
                <wp:lineTo x="21600" y="0"/>
                <wp:lineTo x="0" y="0"/>
              </wp:wrapPolygon>
            </wp:wrapTight>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（图4：支出决算结构图）（饼状图）</w:t>
      </w:r>
    </w:p>
    <w:p>
      <w:pPr>
        <w:spacing w:line="600" w:lineRule="exact"/>
        <w:ind w:firstLine="640" w:firstLineChars="200"/>
        <w:outlineLvl w:val="1"/>
        <w:rPr>
          <w:rStyle w:val="25"/>
          <w:rFonts w:ascii="黑体" w:hAnsi="黑体" w:eastAsia="黑体"/>
          <w:b w:val="0"/>
        </w:rPr>
      </w:pPr>
      <w:bookmarkStart w:id="40" w:name="_Toc15396606"/>
      <w:bookmarkStart w:id="41" w:name="_Toc15377208"/>
      <w:bookmarkStart w:id="42" w:name="_Toc28964"/>
      <w:r>
        <w:rPr>
          <w:rFonts w:hint="eastAsia" w:ascii="黑体" w:hAnsi="黑体" w:eastAsia="黑体"/>
          <w:sz w:val="32"/>
          <w:szCs w:val="32"/>
        </w:rPr>
        <w:t>四、财</w:t>
      </w:r>
      <w:r>
        <w:rPr>
          <w:rStyle w:val="25"/>
          <w:rFonts w:hint="eastAsia" w:ascii="黑体" w:hAnsi="黑体" w:eastAsia="黑体"/>
          <w:b w:val="0"/>
        </w:rPr>
        <w:t>政拨款收入支出决算总体情况说明</w:t>
      </w:r>
      <w:bookmarkEnd w:id="40"/>
      <w:bookmarkEnd w:id="41"/>
      <w:bookmarkEnd w:id="42"/>
    </w:p>
    <w:p>
      <w:pPr>
        <w:spacing w:line="600" w:lineRule="exact"/>
        <w:rPr>
          <w:rFonts w:ascii="仿宋" w:hAnsi="仿宋" w:eastAsia="仿宋"/>
          <w:color w:val="000000"/>
          <w:sz w:val="32"/>
          <w:szCs w:val="32"/>
        </w:rPr>
      </w:pPr>
      <w:r>
        <w:rPr>
          <w:rFonts w:ascii="仿宋" w:hAnsi="仿宋" w:eastAsia="仿宋"/>
          <w:sz w:val="32"/>
          <w:szCs w:val="32"/>
        </w:rPr>
        <w:t>20</w:t>
      </w:r>
      <w:r>
        <w:rPr>
          <w:rFonts w:hint="eastAsia" w:ascii="仿宋" w:hAnsi="仿宋" w:eastAsia="仿宋"/>
          <w:sz w:val="32"/>
          <w:szCs w:val="32"/>
        </w:rPr>
        <w:t>21年财政拨款收入总计640.84万元。与</w:t>
      </w:r>
      <w:r>
        <w:rPr>
          <w:rFonts w:ascii="仿宋" w:hAnsi="仿宋" w:eastAsia="仿宋"/>
          <w:sz w:val="32"/>
          <w:szCs w:val="32"/>
        </w:rPr>
        <w:t>20</w:t>
      </w:r>
      <w:r>
        <w:rPr>
          <w:rFonts w:hint="eastAsia" w:ascii="仿宋" w:hAnsi="仿宋" w:eastAsia="仿宋"/>
          <w:sz w:val="32"/>
          <w:szCs w:val="32"/>
        </w:rPr>
        <w:t>20年相比，财政拨款收入总计增加120.83万元，增长23.24</w:t>
      </w:r>
      <w:r>
        <w:rPr>
          <w:rFonts w:ascii="仿宋" w:hAnsi="仿宋" w:eastAsia="仿宋"/>
          <w:sz w:val="32"/>
          <w:szCs w:val="32"/>
        </w:rPr>
        <w:t>%</w:t>
      </w:r>
      <w:r>
        <w:rPr>
          <w:rFonts w:hint="eastAsia" w:ascii="仿宋" w:hAnsi="仿宋" w:eastAsia="仿宋"/>
          <w:sz w:val="32"/>
          <w:szCs w:val="32"/>
        </w:rPr>
        <w:t>。主要变动原因</w:t>
      </w:r>
      <w:r>
        <w:rPr>
          <w:rFonts w:hint="eastAsia" w:ascii="仿宋" w:hAnsi="仿宋" w:eastAsia="仿宋" w:cs="仿宋"/>
          <w:sz w:val="32"/>
          <w:szCs w:val="32"/>
        </w:rPr>
        <w:t>2021年征订电视台《天气预报》项目增加130万元。</w:t>
      </w:r>
    </w:p>
    <w:p>
      <w:pPr>
        <w:spacing w:line="600" w:lineRule="exact"/>
        <w:rPr>
          <w:rFonts w:ascii="仿宋" w:hAnsi="仿宋" w:eastAsia="仿宋"/>
          <w:sz w:val="32"/>
          <w:szCs w:val="32"/>
        </w:rPr>
      </w:pPr>
    </w:p>
    <w:p>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63360" behindDoc="1" locked="0" layoutInCell="1" allowOverlap="1">
            <wp:simplePos x="0" y="0"/>
            <wp:positionH relativeFrom="column">
              <wp:posOffset>92075</wp:posOffset>
            </wp:positionH>
            <wp:positionV relativeFrom="paragraph">
              <wp:posOffset>452755</wp:posOffset>
            </wp:positionV>
            <wp:extent cx="4947920" cy="2948940"/>
            <wp:effectExtent l="19050" t="0" r="24130" b="3810"/>
            <wp:wrapTight wrapText="bothSides">
              <wp:wrapPolygon>
                <wp:start x="0" y="0"/>
                <wp:lineTo x="0" y="21600"/>
                <wp:lineTo x="21600" y="21600"/>
                <wp:lineTo x="21600" y="0"/>
                <wp:lineTo x="0" y="0"/>
              </wp:wrapPolygon>
            </wp:wrapTight>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（图5：财政拨款收入决算总计变动情况）（柱状图）</w:t>
      </w:r>
    </w:p>
    <w:p>
      <w:pPr>
        <w:spacing w:line="600" w:lineRule="exact"/>
        <w:rPr>
          <w:rFonts w:ascii="仿宋" w:hAnsi="仿宋" w:eastAsia="仿宋"/>
          <w:color w:val="000000"/>
          <w:sz w:val="32"/>
          <w:szCs w:val="32"/>
        </w:rPr>
      </w:pPr>
      <w:r>
        <w:rPr>
          <w:rFonts w:hint="eastAsia" w:ascii="仿宋" w:hAnsi="仿宋" w:eastAsia="仿宋" w:cs="仿宋"/>
          <w:color w:val="000000"/>
          <w:sz w:val="32"/>
          <w:szCs w:val="32"/>
        </w:rPr>
        <w:drawing>
          <wp:anchor distT="0" distB="0" distL="114300" distR="114300" simplePos="0" relativeHeight="251664384" behindDoc="1" locked="0" layoutInCell="1" allowOverlap="1">
            <wp:simplePos x="0" y="0"/>
            <wp:positionH relativeFrom="column">
              <wp:posOffset>-127635</wp:posOffset>
            </wp:positionH>
            <wp:positionV relativeFrom="paragraph">
              <wp:posOffset>1560830</wp:posOffset>
            </wp:positionV>
            <wp:extent cx="5360035" cy="2743200"/>
            <wp:effectExtent l="19050" t="0" r="12065" b="0"/>
            <wp:wrapTight wrapText="bothSides">
              <wp:wrapPolygon>
                <wp:start x="0" y="0"/>
                <wp:lineTo x="0" y="21600"/>
                <wp:lineTo x="21600" y="21600"/>
                <wp:lineTo x="21600" y="0"/>
                <wp:lineTo x="0" y="0"/>
              </wp:wrapPolygon>
            </wp:wrapTight>
            <wp:docPr id="18" name="图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ascii="仿宋" w:hAnsi="仿宋" w:eastAsia="仿宋" w:cs="仿宋"/>
          <w:color w:val="000000"/>
          <w:sz w:val="32"/>
          <w:szCs w:val="32"/>
        </w:rPr>
        <w:t>2021年度财政拨款支出总计640.84万元，与2020年相比，财政拨款支出总计增加120.83万元，上升</w:t>
      </w:r>
      <w:r>
        <w:rPr>
          <w:rFonts w:hint="eastAsia" w:ascii="仿宋" w:hAnsi="仿宋" w:eastAsia="仿宋" w:cs="仿宋"/>
          <w:sz w:val="32"/>
          <w:szCs w:val="32"/>
        </w:rPr>
        <w:t>23.24%。原因是2021年征订电视台《天气预报》项目增加130万元。</w:t>
      </w:r>
    </w:p>
    <w:p>
      <w:pPr>
        <w:spacing w:line="600" w:lineRule="exact"/>
        <w:ind w:firstLine="640" w:firstLineChars="200"/>
      </w:pPr>
      <w:r>
        <w:rPr>
          <w:rFonts w:hint="eastAsia" w:ascii="仿宋" w:hAnsi="仿宋" w:eastAsia="仿宋"/>
          <w:sz w:val="32"/>
          <w:szCs w:val="32"/>
        </w:rPr>
        <w:t>（图6：财政拨款支出决算总计变动情况）（柱状图）</w:t>
      </w:r>
    </w:p>
    <w:p>
      <w:pPr>
        <w:spacing w:line="600" w:lineRule="exact"/>
        <w:ind w:firstLine="640" w:firstLineChars="200"/>
        <w:outlineLvl w:val="1"/>
        <w:rPr>
          <w:rStyle w:val="25"/>
          <w:rFonts w:ascii="黑体" w:hAnsi="黑体" w:eastAsia="黑体"/>
          <w:b w:val="0"/>
        </w:rPr>
      </w:pPr>
      <w:bookmarkStart w:id="43" w:name="_Toc15377209"/>
      <w:bookmarkStart w:id="44" w:name="_Toc15396607"/>
      <w:bookmarkStart w:id="45" w:name="_Toc24612"/>
      <w:r>
        <w:rPr>
          <w:rFonts w:hint="eastAsia" w:ascii="黑体" w:hAnsi="黑体" w:eastAsia="黑体"/>
          <w:sz w:val="32"/>
          <w:szCs w:val="32"/>
        </w:rPr>
        <w:t>五、</w:t>
      </w:r>
      <w:r>
        <w:rPr>
          <w:rFonts w:hint="eastAsia" w:ascii="黑体" w:hAnsi="黑体" w:eastAsia="黑体"/>
          <w:b/>
          <w:sz w:val="32"/>
          <w:szCs w:val="32"/>
        </w:rPr>
        <w:t>一</w:t>
      </w:r>
      <w:r>
        <w:rPr>
          <w:rStyle w:val="25"/>
          <w:rFonts w:hint="eastAsia" w:ascii="黑体" w:hAnsi="黑体" w:eastAsia="黑体"/>
          <w:b w:val="0"/>
        </w:rPr>
        <w:t>般公共预算财政拨款支出决算情况说明</w:t>
      </w:r>
      <w:bookmarkEnd w:id="43"/>
      <w:bookmarkEnd w:id="44"/>
      <w:bookmarkEnd w:id="45"/>
    </w:p>
    <w:p>
      <w:pPr>
        <w:spacing w:line="600" w:lineRule="exact"/>
        <w:ind w:firstLine="643" w:firstLineChars="200"/>
        <w:outlineLvl w:val="2"/>
        <w:rPr>
          <w:rFonts w:ascii="仿宋" w:hAnsi="仿宋" w:eastAsia="仿宋"/>
          <w:b/>
          <w:sz w:val="32"/>
          <w:szCs w:val="32"/>
        </w:rPr>
      </w:pPr>
      <w:bookmarkStart w:id="46" w:name="_Toc15377210"/>
      <w:bookmarkStart w:id="47" w:name="_Toc6440"/>
      <w:bookmarkStart w:id="48" w:name="_Toc113983579"/>
      <w:r>
        <w:rPr>
          <w:rFonts w:hint="eastAsia" w:ascii="仿宋" w:hAnsi="仿宋" w:eastAsia="仿宋"/>
          <w:b/>
          <w:sz w:val="32"/>
          <w:szCs w:val="32"/>
        </w:rPr>
        <w:t>（一）一般公共预算财政拨款支出决算总体情况</w:t>
      </w:r>
      <w:bookmarkEnd w:id="46"/>
      <w:bookmarkEnd w:id="47"/>
      <w:bookmarkEnd w:id="48"/>
    </w:p>
    <w:p>
      <w:pPr>
        <w:spacing w:line="600" w:lineRule="exact"/>
        <w:ind w:firstLine="640" w:firstLineChars="200"/>
        <w:rPr>
          <w:rFonts w:hint="default" w:ascii="仿宋" w:hAnsi="仿宋" w:eastAsia="仿宋" w:cs="仿宋"/>
          <w:sz w:val="32"/>
          <w:szCs w:val="32"/>
          <w:lang w:val="en-US" w:eastAsia="zh-CN"/>
        </w:rPr>
      </w:pPr>
      <w:r>
        <w:rPr>
          <w:rFonts w:ascii="仿宋" w:hAnsi="仿宋" w:eastAsia="仿宋"/>
          <w:sz w:val="32"/>
          <w:szCs w:val="32"/>
        </w:rPr>
        <w:t>20</w:t>
      </w:r>
      <w:r>
        <w:rPr>
          <w:rFonts w:hint="eastAsia" w:ascii="仿宋" w:hAnsi="仿宋" w:eastAsia="仿宋"/>
          <w:sz w:val="32"/>
          <w:szCs w:val="32"/>
        </w:rPr>
        <w:t>21年一般公共预算财政拨款支出640.84万元，占本年支出合计的100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20年相比，一般公共预算财政拨款支出增加438.83万元，增长217.23%。主要变动原因是</w:t>
      </w:r>
      <w:r>
        <w:rPr>
          <w:rFonts w:hint="eastAsia" w:ascii="仿宋" w:hAnsi="仿宋" w:eastAsia="仿宋" w:cs="仿宋"/>
          <w:sz w:val="32"/>
          <w:szCs w:val="32"/>
        </w:rPr>
        <w:t>2020年中央电视台《天气预报》征订项目由政府性基金预算安排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2021年度支出均由一般公共预算安排。</w:t>
      </w:r>
    </w:p>
    <w:p>
      <w:pPr>
        <w:spacing w:line="600" w:lineRule="exact"/>
        <w:rPr>
          <w:rFonts w:ascii="仿宋" w:hAnsi="仿宋" w:eastAsia="仿宋"/>
          <w:sz w:val="32"/>
          <w:szCs w:val="32"/>
        </w:rPr>
      </w:pPr>
      <w:r>
        <w:rPr>
          <w:rFonts w:ascii="仿宋" w:hAnsi="仿宋" w:eastAsia="仿宋"/>
          <w:sz w:val="32"/>
          <w:szCs w:val="32"/>
        </w:rPr>
        <w:drawing>
          <wp:anchor distT="0" distB="0" distL="114300" distR="114300" simplePos="0" relativeHeight="251665408" behindDoc="0" locked="0" layoutInCell="1" allowOverlap="1">
            <wp:simplePos x="0" y="0"/>
            <wp:positionH relativeFrom="column">
              <wp:posOffset>102870</wp:posOffset>
            </wp:positionH>
            <wp:positionV relativeFrom="paragraph">
              <wp:posOffset>92075</wp:posOffset>
            </wp:positionV>
            <wp:extent cx="4951095" cy="2899410"/>
            <wp:effectExtent l="19050" t="0" r="20955" b="0"/>
            <wp:wrapSquare wrapText="bothSides"/>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ascii="仿宋" w:hAnsi="仿宋" w:eastAsia="仿宋"/>
          <w:sz w:val="32"/>
          <w:szCs w:val="32"/>
        </w:rPr>
        <w:t>（图7：一般公共预算财政拨款支出决算变动情况）（折现图）</w:t>
      </w:r>
    </w:p>
    <w:p>
      <w:pPr>
        <w:spacing w:line="600" w:lineRule="exact"/>
        <w:ind w:firstLine="643" w:firstLineChars="200"/>
        <w:outlineLvl w:val="2"/>
        <w:rPr>
          <w:rFonts w:ascii="仿宋" w:hAnsi="仿宋" w:eastAsia="仿宋"/>
          <w:b/>
          <w:sz w:val="32"/>
          <w:szCs w:val="32"/>
        </w:rPr>
      </w:pPr>
      <w:bookmarkStart w:id="49" w:name="_Toc15377211"/>
      <w:bookmarkStart w:id="50" w:name="_Toc113983580"/>
      <w:bookmarkStart w:id="51" w:name="_Toc28992"/>
      <w:r>
        <w:rPr>
          <w:rFonts w:hint="eastAsia" w:ascii="仿宋" w:hAnsi="仿宋" w:eastAsia="仿宋"/>
          <w:b/>
          <w:sz w:val="32"/>
          <w:szCs w:val="32"/>
        </w:rPr>
        <w:t>（二）一般公共预算财政拨款支出决算结构情况</w:t>
      </w:r>
      <w:bookmarkEnd w:id="49"/>
      <w:bookmarkEnd w:id="50"/>
      <w:bookmarkEnd w:id="51"/>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21年一般公共预算财政拨款支出640.84万元，主要用于以下方面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教育支出（类）</w:t>
      </w:r>
      <w:r>
        <w:rPr>
          <w:rFonts w:hint="eastAsia" w:ascii="仿宋" w:hAnsi="仿宋" w:eastAsia="仿宋"/>
          <w:sz w:val="32"/>
          <w:szCs w:val="32"/>
        </w:rPr>
        <w:t>0万元，占0；</w:t>
      </w:r>
      <w:r>
        <w:rPr>
          <w:rFonts w:hint="eastAsia" w:ascii="仿宋" w:hAnsi="仿宋" w:eastAsia="仿宋"/>
          <w:b/>
          <w:sz w:val="32"/>
          <w:szCs w:val="32"/>
        </w:rPr>
        <w:t>科学技术（类）</w:t>
      </w:r>
      <w:r>
        <w:rPr>
          <w:rFonts w:hint="eastAsia" w:ascii="仿宋" w:hAnsi="仿宋" w:eastAsia="仿宋"/>
          <w:sz w:val="32"/>
          <w:szCs w:val="32"/>
        </w:rPr>
        <w:t>支出0万元，占0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文化旅游体育与传媒（类）支出0万元，占0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支出10.85万元，占1.69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0万元，占0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cs="仿宋"/>
          <w:b/>
          <w:bCs/>
          <w:color w:val="000000"/>
          <w:sz w:val="32"/>
          <w:szCs w:val="32"/>
        </w:rPr>
        <w:t>自然资源海洋气象等（类）</w:t>
      </w:r>
      <w:r>
        <w:rPr>
          <w:rFonts w:hint="eastAsia" w:ascii="仿宋" w:hAnsi="仿宋" w:eastAsia="仿宋" w:cs="仿宋"/>
          <w:color w:val="000000"/>
          <w:sz w:val="32"/>
          <w:szCs w:val="32"/>
        </w:rPr>
        <w:t>支出621.13万元，占96.9</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w:t>
      </w:r>
      <w:r>
        <w:rPr>
          <w:rFonts w:hint="eastAsia" w:ascii="仿宋" w:hAnsi="仿宋" w:eastAsia="仿宋"/>
          <w:sz w:val="32"/>
          <w:szCs w:val="32"/>
        </w:rPr>
        <w:t>住房保障支出8.86万元，占1.38</w:t>
      </w:r>
      <w:r>
        <w:rPr>
          <w:rFonts w:ascii="仿宋" w:hAnsi="仿宋" w:eastAsia="仿宋"/>
          <w:sz w:val="32"/>
          <w:szCs w:val="32"/>
        </w:rPr>
        <w:t>%</w:t>
      </w:r>
      <w:r>
        <w:rPr>
          <w:rFonts w:hint="eastAsia" w:ascii="仿宋" w:hAnsi="仿宋" w:eastAsia="仿宋"/>
          <w:sz w:val="32"/>
          <w:szCs w:val="32"/>
        </w:rPr>
        <w:t>。</w:t>
      </w:r>
    </w:p>
    <w:p>
      <w:pPr>
        <w:pStyle w:val="5"/>
        <w:spacing w:before="93"/>
        <w:rPr>
          <w:rFonts w:ascii="仿宋" w:hAnsi="仿宋" w:eastAsia="仿宋"/>
          <w:sz w:val="32"/>
          <w:szCs w:val="32"/>
        </w:rPr>
      </w:pPr>
      <w:r>
        <w:rPr>
          <w:rFonts w:hint="eastAsia"/>
        </w:rPr>
        <w:drawing>
          <wp:anchor distT="0" distB="0" distL="114300" distR="114300" simplePos="0" relativeHeight="251666432" behindDoc="1" locked="0" layoutInCell="1" allowOverlap="1">
            <wp:simplePos x="0" y="0"/>
            <wp:positionH relativeFrom="column">
              <wp:posOffset>180340</wp:posOffset>
            </wp:positionH>
            <wp:positionV relativeFrom="paragraph">
              <wp:posOffset>191770</wp:posOffset>
            </wp:positionV>
            <wp:extent cx="5285740" cy="3072130"/>
            <wp:effectExtent l="4445" t="4445" r="5715" b="9525"/>
            <wp:wrapTight wrapText="bothSides">
              <wp:wrapPolygon>
                <wp:start x="-18" y="-31"/>
                <wp:lineTo x="-18" y="21533"/>
                <wp:lineTo x="21546" y="21533"/>
                <wp:lineTo x="21546" y="-31"/>
                <wp:lineTo x="-18" y="-31"/>
              </wp:wrapPolygon>
            </wp:wrapTight>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ascii="仿宋" w:hAnsi="仿宋" w:eastAsia="仿宋"/>
          <w:sz w:val="32"/>
          <w:szCs w:val="32"/>
        </w:rPr>
        <w:t>（图8：一般公共预算财政拨款支出决算结构）（柱状图）</w:t>
      </w:r>
    </w:p>
    <w:p>
      <w:pPr>
        <w:spacing w:line="600" w:lineRule="exact"/>
        <w:ind w:firstLine="643" w:firstLineChars="200"/>
        <w:outlineLvl w:val="2"/>
        <w:rPr>
          <w:rFonts w:ascii="仿宋" w:hAnsi="仿宋" w:eastAsia="仿宋"/>
          <w:b/>
          <w:sz w:val="32"/>
          <w:szCs w:val="32"/>
        </w:rPr>
      </w:pPr>
      <w:bookmarkStart w:id="52" w:name="_Toc24568"/>
      <w:bookmarkStart w:id="53" w:name="_Toc15377212"/>
      <w:bookmarkStart w:id="54" w:name="_Toc113983581"/>
      <w:r>
        <w:rPr>
          <w:rFonts w:hint="eastAsia" w:ascii="仿宋" w:hAnsi="仿宋" w:eastAsia="仿宋"/>
          <w:b/>
          <w:sz w:val="32"/>
          <w:szCs w:val="32"/>
        </w:rPr>
        <w:t>（三）一般公共预算财政拨款支出决算具体情况</w:t>
      </w:r>
      <w:bookmarkEnd w:id="52"/>
      <w:bookmarkEnd w:id="53"/>
      <w:bookmarkEnd w:id="54"/>
    </w:p>
    <w:p>
      <w:pPr>
        <w:spacing w:line="600" w:lineRule="exact"/>
        <w:ind w:firstLine="643" w:firstLineChars="200"/>
        <w:outlineLvl w:val="2"/>
        <w:rPr>
          <w:rFonts w:ascii="仿宋" w:hAnsi="仿宋" w:eastAsia="仿宋"/>
          <w:sz w:val="32"/>
          <w:szCs w:val="32"/>
        </w:rPr>
      </w:pPr>
      <w:bookmarkStart w:id="55" w:name="_Toc28033"/>
      <w:bookmarkStart w:id="56" w:name="_Toc15378460"/>
      <w:bookmarkStart w:id="57" w:name="_Toc113983582"/>
      <w:bookmarkStart w:id="58" w:name="_Toc15377444"/>
      <w:bookmarkStart w:id="59" w:name="_Toc15377213"/>
      <w:r>
        <w:rPr>
          <w:rFonts w:hint="eastAsia" w:ascii="仿宋" w:hAnsi="仿宋" w:eastAsia="仿宋"/>
          <w:b/>
          <w:sz w:val="32"/>
          <w:szCs w:val="32"/>
        </w:rPr>
        <w:t>2021年一般公共预算支出决算数为640.84万元</w:t>
      </w:r>
      <w:r>
        <w:rPr>
          <w:rFonts w:hint="eastAsia" w:ascii="仿宋" w:hAnsi="仿宋" w:eastAsia="仿宋"/>
          <w:sz w:val="32"/>
          <w:szCs w:val="32"/>
        </w:rPr>
        <w:t>，</w:t>
      </w:r>
      <w:r>
        <w:rPr>
          <w:rStyle w:val="14"/>
          <w:rFonts w:hint="eastAsia" w:ascii="仿宋" w:hAnsi="仿宋" w:eastAsia="仿宋"/>
          <w:bCs/>
          <w:sz w:val="32"/>
          <w:szCs w:val="32"/>
        </w:rPr>
        <w:t>完成预算100</w:t>
      </w:r>
      <w:r>
        <w:rPr>
          <w:rStyle w:val="14"/>
          <w:rFonts w:ascii="仿宋" w:hAnsi="仿宋" w:eastAsia="仿宋"/>
          <w:bCs/>
          <w:sz w:val="32"/>
          <w:szCs w:val="32"/>
        </w:rPr>
        <w:t>%</w:t>
      </w:r>
      <w:r>
        <w:rPr>
          <w:rStyle w:val="14"/>
          <w:rFonts w:hint="eastAsia" w:ascii="仿宋" w:hAnsi="仿宋" w:eastAsia="仿宋"/>
          <w:bCs/>
          <w:sz w:val="32"/>
          <w:szCs w:val="32"/>
        </w:rPr>
        <w:t>。其中：</w:t>
      </w:r>
      <w:bookmarkEnd w:id="55"/>
      <w:bookmarkEnd w:id="56"/>
      <w:bookmarkEnd w:id="57"/>
      <w:bookmarkEnd w:id="58"/>
      <w:bookmarkEnd w:id="59"/>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1.</w:t>
      </w:r>
      <w:r>
        <w:rPr>
          <w:rStyle w:val="14"/>
          <w:rFonts w:hint="eastAsia" w:ascii="仿宋" w:hAnsi="仿宋" w:eastAsia="仿宋"/>
          <w:bCs/>
          <w:sz w:val="32"/>
          <w:szCs w:val="32"/>
        </w:rPr>
        <w:t>一般公共服务（类）组织事务（款）其他组织事务支出（项）</w:t>
      </w:r>
      <w:r>
        <w:rPr>
          <w:rStyle w:val="14"/>
          <w:rFonts w:ascii="仿宋" w:hAnsi="仿宋" w:eastAsia="仿宋"/>
          <w:bCs/>
          <w:sz w:val="32"/>
          <w:szCs w:val="32"/>
        </w:rPr>
        <w:t>:</w:t>
      </w:r>
      <w:r>
        <w:rPr>
          <w:rStyle w:val="14"/>
          <w:rFonts w:hint="eastAsia" w:ascii="仿宋" w:hAnsi="仿宋" w:eastAsia="仿宋"/>
          <w:b w:val="0"/>
          <w:bCs/>
          <w:sz w:val="32"/>
          <w:szCs w:val="32"/>
        </w:rPr>
        <w:t>支出决算为0万元，完成预算0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2.</w:t>
      </w:r>
      <w:r>
        <w:rPr>
          <w:rStyle w:val="14"/>
          <w:rFonts w:hint="eastAsia" w:ascii="仿宋" w:hAnsi="仿宋" w:eastAsia="仿宋"/>
          <w:bCs/>
          <w:sz w:val="32"/>
          <w:szCs w:val="32"/>
        </w:rPr>
        <w:t>教育（类）（款）（项）</w:t>
      </w:r>
      <w:r>
        <w:rPr>
          <w:rStyle w:val="14"/>
          <w:rFonts w:ascii="仿宋" w:hAnsi="仿宋" w:eastAsia="仿宋"/>
          <w:bCs/>
          <w:sz w:val="32"/>
          <w:szCs w:val="32"/>
        </w:rPr>
        <w:t>:</w:t>
      </w:r>
      <w:r>
        <w:rPr>
          <w:rStyle w:val="14"/>
          <w:rFonts w:hint="eastAsia" w:ascii="仿宋" w:hAnsi="仿宋" w:eastAsia="仿宋"/>
          <w:b w:val="0"/>
          <w:bCs/>
          <w:sz w:val="32"/>
          <w:szCs w:val="32"/>
        </w:rPr>
        <w:t>支出决算为0万元，完成预算0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3.</w:t>
      </w:r>
      <w:r>
        <w:rPr>
          <w:rStyle w:val="14"/>
          <w:rFonts w:hint="eastAsia" w:ascii="仿宋" w:hAnsi="仿宋" w:eastAsia="仿宋"/>
          <w:bCs/>
          <w:sz w:val="32"/>
          <w:szCs w:val="32"/>
        </w:rPr>
        <w:t>科学技术（类）（款）（项）</w:t>
      </w:r>
      <w:r>
        <w:rPr>
          <w:rStyle w:val="14"/>
          <w:rFonts w:ascii="仿宋" w:hAnsi="仿宋" w:eastAsia="仿宋"/>
          <w:bCs/>
          <w:sz w:val="32"/>
          <w:szCs w:val="32"/>
        </w:rPr>
        <w:t>:</w:t>
      </w:r>
      <w:r>
        <w:rPr>
          <w:rStyle w:val="14"/>
          <w:rFonts w:hint="eastAsia" w:ascii="仿宋" w:hAnsi="仿宋" w:eastAsia="仿宋"/>
          <w:b w:val="0"/>
          <w:bCs/>
          <w:sz w:val="32"/>
          <w:szCs w:val="32"/>
        </w:rPr>
        <w:t>支出决算为0万元，完成预算0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4.</w:t>
      </w:r>
      <w:r>
        <w:rPr>
          <w:rStyle w:val="14"/>
          <w:rFonts w:hint="eastAsia" w:ascii="仿宋" w:hAnsi="仿宋" w:eastAsia="仿宋"/>
          <w:bCs/>
          <w:sz w:val="32"/>
          <w:szCs w:val="32"/>
        </w:rPr>
        <w:t>文化旅游体育与传媒（类）（款）（项）</w:t>
      </w:r>
      <w:r>
        <w:rPr>
          <w:rStyle w:val="14"/>
          <w:rFonts w:ascii="仿宋" w:hAnsi="仿宋" w:eastAsia="仿宋"/>
          <w:bCs/>
          <w:sz w:val="32"/>
          <w:szCs w:val="32"/>
        </w:rPr>
        <w:t>:</w:t>
      </w:r>
      <w:r>
        <w:rPr>
          <w:rStyle w:val="14"/>
          <w:rFonts w:hint="eastAsia" w:ascii="仿宋" w:hAnsi="仿宋" w:eastAsia="仿宋"/>
          <w:b w:val="0"/>
          <w:bCs/>
          <w:sz w:val="32"/>
          <w:szCs w:val="32"/>
        </w:rPr>
        <w:t>支出决算为0万元，完成预算0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4"/>
          <w:rFonts w:ascii="仿宋" w:hAnsi="仿宋" w:eastAsia="仿宋"/>
          <w:bCs/>
          <w:sz w:val="32"/>
          <w:szCs w:val="32"/>
        </w:rPr>
        <w:t>5.</w:t>
      </w:r>
      <w:r>
        <w:rPr>
          <w:rStyle w:val="14"/>
          <w:rFonts w:hint="eastAsia" w:ascii="仿宋" w:hAnsi="仿宋" w:eastAsia="仿宋"/>
          <w:bCs/>
          <w:sz w:val="32"/>
          <w:szCs w:val="32"/>
        </w:rPr>
        <w:t>社会保障和就业（类）</w:t>
      </w:r>
      <w:r>
        <w:rPr>
          <w:rStyle w:val="14"/>
          <w:rFonts w:hint="eastAsia" w:ascii="仿宋_GB2312" w:eastAsia="仿宋_GB2312" w:cs="仿宋_GB2312"/>
          <w:color w:val="000000"/>
          <w:sz w:val="32"/>
          <w:szCs w:val="32"/>
        </w:rPr>
        <w:t>行政事业单位养老支出</w:t>
      </w:r>
      <w:r>
        <w:rPr>
          <w:rStyle w:val="14"/>
          <w:rFonts w:hint="eastAsia" w:ascii="仿宋" w:hAnsi="仿宋" w:eastAsia="仿宋"/>
          <w:bCs/>
          <w:sz w:val="32"/>
          <w:szCs w:val="32"/>
        </w:rPr>
        <w:t>（款）</w:t>
      </w:r>
      <w:r>
        <w:rPr>
          <w:rStyle w:val="14"/>
          <w:rFonts w:hint="eastAsia" w:ascii="仿宋_GB2312" w:eastAsia="仿宋_GB2312" w:cs="仿宋_GB2312"/>
          <w:color w:val="000000"/>
          <w:sz w:val="32"/>
          <w:szCs w:val="32"/>
        </w:rPr>
        <w:t>机关事业单位基本养老保险缴费支出</w:t>
      </w:r>
      <w:r>
        <w:rPr>
          <w:rStyle w:val="14"/>
          <w:rFonts w:hint="eastAsia" w:ascii="仿宋" w:hAnsi="仿宋" w:eastAsia="仿宋"/>
          <w:bCs/>
          <w:sz w:val="32"/>
          <w:szCs w:val="32"/>
        </w:rPr>
        <w:t>（项）</w:t>
      </w:r>
      <w:r>
        <w:rPr>
          <w:rStyle w:val="14"/>
          <w:rFonts w:ascii="仿宋" w:hAnsi="仿宋" w:eastAsia="仿宋"/>
          <w:bCs/>
          <w:sz w:val="32"/>
          <w:szCs w:val="32"/>
        </w:rPr>
        <w:t>:</w:t>
      </w:r>
      <w:r>
        <w:rPr>
          <w:rStyle w:val="14"/>
          <w:rFonts w:hint="eastAsia" w:ascii="仿宋" w:hAnsi="仿宋" w:eastAsia="仿宋"/>
          <w:b w:val="0"/>
          <w:bCs/>
          <w:sz w:val="32"/>
          <w:szCs w:val="32"/>
        </w:rPr>
        <w:t>支出决算为10.85万元，完成预算100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Style w:val="14"/>
          <w:rFonts w:ascii="仿宋" w:hAnsi="仿宋" w:eastAsia="仿宋"/>
          <w:b w:val="0"/>
          <w:bCs/>
          <w:sz w:val="32"/>
          <w:szCs w:val="32"/>
        </w:rPr>
      </w:pPr>
      <w:r>
        <w:rPr>
          <w:rStyle w:val="14"/>
          <w:rFonts w:ascii="仿宋" w:hAnsi="仿宋" w:eastAsia="仿宋"/>
          <w:bCs/>
          <w:sz w:val="32"/>
          <w:szCs w:val="32"/>
        </w:rPr>
        <w:t>6.</w:t>
      </w:r>
      <w:r>
        <w:rPr>
          <w:rFonts w:hint="eastAsia" w:ascii="仿宋" w:hAnsi="仿宋" w:eastAsia="仿宋"/>
          <w:b/>
          <w:bCs/>
          <w:sz w:val="32"/>
          <w:szCs w:val="32"/>
        </w:rPr>
        <w:t>卫生健康</w:t>
      </w:r>
      <w:r>
        <w:rPr>
          <w:rStyle w:val="14"/>
          <w:rFonts w:hint="eastAsia" w:ascii="仿宋" w:hAnsi="仿宋" w:eastAsia="仿宋"/>
          <w:bCs/>
          <w:sz w:val="32"/>
          <w:szCs w:val="32"/>
        </w:rPr>
        <w:t>（类）（款）（项）</w:t>
      </w:r>
      <w:r>
        <w:rPr>
          <w:rStyle w:val="14"/>
          <w:rFonts w:ascii="仿宋" w:hAnsi="仿宋" w:eastAsia="仿宋"/>
          <w:bCs/>
          <w:sz w:val="32"/>
          <w:szCs w:val="32"/>
        </w:rPr>
        <w:t>:</w:t>
      </w:r>
      <w:r>
        <w:rPr>
          <w:rStyle w:val="14"/>
          <w:rFonts w:hint="eastAsia" w:ascii="仿宋" w:hAnsi="仿宋" w:eastAsia="仿宋"/>
          <w:b w:val="0"/>
          <w:bCs/>
          <w:sz w:val="32"/>
          <w:szCs w:val="32"/>
        </w:rPr>
        <w:t>支出决算为0万元，完成预算0</w:t>
      </w:r>
      <w:r>
        <w:rPr>
          <w:rStyle w:val="14"/>
          <w:rFonts w:ascii="仿宋" w:hAnsi="仿宋" w:eastAsia="仿宋"/>
          <w:b w:val="0"/>
          <w:bCs/>
          <w:sz w:val="32"/>
          <w:szCs w:val="32"/>
        </w:rPr>
        <w:t>%</w:t>
      </w:r>
      <w:r>
        <w:rPr>
          <w:rStyle w:val="14"/>
          <w:rFonts w:hint="eastAsia" w:ascii="仿宋" w:hAnsi="仿宋" w:eastAsia="仿宋"/>
          <w:b w:val="0"/>
          <w:bCs/>
          <w:sz w:val="32"/>
          <w:szCs w:val="32"/>
        </w:rPr>
        <w:t>，决算数等于预算数。</w:t>
      </w:r>
    </w:p>
    <w:p>
      <w:pPr>
        <w:spacing w:line="600" w:lineRule="exact"/>
        <w:ind w:firstLine="643" w:firstLineChars="200"/>
        <w:rPr>
          <w:rStyle w:val="14"/>
          <w:rFonts w:ascii="仿宋" w:hAnsi="仿宋" w:eastAsia="仿宋"/>
          <w:bCs/>
          <w:sz w:val="32"/>
          <w:szCs w:val="32"/>
        </w:rPr>
      </w:pPr>
      <w:r>
        <w:rPr>
          <w:rStyle w:val="14"/>
          <w:rFonts w:hint="eastAsia" w:ascii="仿宋" w:hAnsi="仿宋" w:eastAsia="仿宋"/>
          <w:bCs/>
          <w:sz w:val="32"/>
          <w:szCs w:val="32"/>
        </w:rPr>
        <w:t>7.自然资源海洋气象等支出（类）气象事务（款）气象事业机构（项）：</w:t>
      </w:r>
      <w:r>
        <w:rPr>
          <w:rStyle w:val="14"/>
          <w:rFonts w:hint="eastAsia" w:ascii="仿宋" w:hAnsi="仿宋" w:eastAsia="仿宋" w:cstheme="minorBidi"/>
          <w:b w:val="0"/>
          <w:bCs/>
          <w:sz w:val="32"/>
          <w:szCs w:val="32"/>
        </w:rPr>
        <w:t>支出决算为107.01万元，完成预算100%，决算数等于预算数</w:t>
      </w:r>
      <w:r>
        <w:rPr>
          <w:rStyle w:val="14"/>
          <w:rFonts w:hint="eastAsia" w:ascii="仿宋" w:hAnsi="仿宋" w:eastAsia="仿宋"/>
          <w:bCs/>
          <w:sz w:val="32"/>
          <w:szCs w:val="32"/>
        </w:rPr>
        <w:t>；自然资源海洋气象等支出（类）气象事务（款）气象服务（项）：</w:t>
      </w:r>
      <w:r>
        <w:rPr>
          <w:rStyle w:val="14"/>
          <w:rFonts w:hint="eastAsia" w:ascii="仿宋" w:hAnsi="仿宋" w:eastAsia="仿宋" w:cstheme="minorBidi"/>
          <w:b w:val="0"/>
          <w:bCs/>
          <w:sz w:val="32"/>
          <w:szCs w:val="32"/>
        </w:rPr>
        <w:t>支出决算为514.12万元，完成预算100%，决算数等于预算数。</w:t>
      </w:r>
    </w:p>
    <w:p>
      <w:pPr>
        <w:spacing w:line="600" w:lineRule="exact"/>
        <w:ind w:firstLine="643" w:firstLineChars="200"/>
        <w:rPr>
          <w:rStyle w:val="14"/>
          <w:rFonts w:ascii="仿宋" w:hAnsi="仿宋" w:eastAsia="仿宋"/>
          <w:bCs/>
          <w:sz w:val="32"/>
          <w:szCs w:val="32"/>
        </w:rPr>
      </w:pPr>
      <w:r>
        <w:rPr>
          <w:rStyle w:val="14"/>
          <w:rFonts w:hint="eastAsia" w:ascii="仿宋" w:hAnsi="仿宋" w:eastAsia="仿宋"/>
          <w:bCs/>
          <w:sz w:val="32"/>
          <w:szCs w:val="32"/>
        </w:rPr>
        <w:t>8.住房保障支出（类）住房改革支出（款）住房公积金（项）：支出决算为8.86万元，完成预算100%，决算数等于预算数。</w:t>
      </w:r>
    </w:p>
    <w:p>
      <w:pPr>
        <w:tabs>
          <w:tab w:val="right" w:pos="8306"/>
        </w:tabs>
        <w:spacing w:line="600" w:lineRule="exact"/>
        <w:ind w:firstLine="640"/>
        <w:outlineLvl w:val="1"/>
        <w:rPr>
          <w:rStyle w:val="25"/>
        </w:rPr>
      </w:pPr>
      <w:bookmarkStart w:id="60" w:name="_Toc15302"/>
      <w:bookmarkStart w:id="61" w:name="_Toc15396608"/>
      <w:bookmarkStart w:id="62"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5"/>
          <w:rFonts w:hint="eastAsia" w:ascii="黑体" w:hAnsi="黑体" w:eastAsia="黑体"/>
          <w:b w:val="0"/>
        </w:rPr>
        <w:t>般公共预算财政拨款基本支出决算情况说明</w:t>
      </w:r>
      <w:bookmarkEnd w:id="60"/>
      <w:bookmarkEnd w:id="61"/>
      <w:bookmarkEnd w:id="62"/>
      <w:r>
        <w:rPr>
          <w:rStyle w:val="25"/>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21年一般公共预算财政拨款基本支出126.72万元，其中：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人员经费112.44万元，主要包括：基本工资、津贴补贴、绩效工资、机关事业单位基本养老保险缴费、职工基本医疗保险缴费、其他社会保障缴费、生活补助、住房公积金等。</w:t>
      </w:r>
      <w:r>
        <w:rPr>
          <w:rFonts w:ascii="仿宋" w:hAnsi="仿宋" w:eastAsia="仿宋"/>
          <w:sz w:val="32"/>
          <w:szCs w:val="32"/>
        </w:rPr>
        <w:br w:type="textWrapping"/>
      </w:r>
      <w:r>
        <w:rPr>
          <w:rFonts w:hint="eastAsia" w:ascii="仿宋" w:hAnsi="仿宋" w:eastAsia="仿宋"/>
          <w:sz w:val="32"/>
          <w:szCs w:val="32"/>
        </w:rPr>
        <w:t>　　公用经费14.28万元，主要包括：办公费、印刷费、水费、电费、邮电费、差旅费、维修（护）费、培训费、公务接待费、工会经费、福利费、公务用车运行维护费、其他交通费。</w:t>
      </w:r>
    </w:p>
    <w:p>
      <w:pPr>
        <w:spacing w:line="600" w:lineRule="exact"/>
        <w:ind w:firstLine="640"/>
        <w:outlineLvl w:val="1"/>
        <w:rPr>
          <w:rStyle w:val="25"/>
          <w:rFonts w:ascii="黑体" w:hAnsi="黑体" w:eastAsia="黑体"/>
          <w:b w:val="0"/>
        </w:rPr>
      </w:pPr>
      <w:bookmarkStart w:id="63" w:name="_Toc15377215"/>
      <w:bookmarkStart w:id="64" w:name="_Toc15396609"/>
      <w:bookmarkStart w:id="65" w:name="_Toc8329"/>
      <w:r>
        <w:rPr>
          <w:rFonts w:hint="eastAsia" w:ascii="黑体" w:eastAsia="黑体"/>
          <w:sz w:val="32"/>
          <w:szCs w:val="32"/>
        </w:rPr>
        <w:t>七、</w:t>
      </w:r>
      <w:r>
        <w:rPr>
          <w:rStyle w:val="25"/>
          <w:rFonts w:hint="eastAsia" w:ascii="黑体" w:hAnsi="黑体" w:eastAsia="黑体"/>
        </w:rPr>
        <w:t>“</w:t>
      </w:r>
      <w:r>
        <w:rPr>
          <w:rStyle w:val="25"/>
          <w:rFonts w:hint="eastAsia" w:ascii="黑体" w:hAnsi="黑体" w:eastAsia="黑体"/>
          <w:b w:val="0"/>
        </w:rPr>
        <w:t>三公”经费财政拨款支出决算情况说明</w:t>
      </w:r>
      <w:bookmarkEnd w:id="63"/>
      <w:bookmarkEnd w:id="64"/>
      <w:bookmarkEnd w:id="65"/>
    </w:p>
    <w:p>
      <w:pPr>
        <w:spacing w:line="600" w:lineRule="exact"/>
        <w:ind w:firstLine="640"/>
        <w:outlineLvl w:val="2"/>
        <w:rPr>
          <w:rFonts w:ascii="仿宋" w:hAnsi="仿宋" w:eastAsia="仿宋"/>
          <w:b/>
          <w:sz w:val="32"/>
          <w:szCs w:val="32"/>
        </w:rPr>
      </w:pPr>
      <w:bookmarkStart w:id="66" w:name="_Toc15377216"/>
      <w:bookmarkStart w:id="67" w:name="_Toc9979"/>
      <w:bookmarkStart w:id="68" w:name="_Toc113983585"/>
      <w:r>
        <w:rPr>
          <w:rFonts w:hint="eastAsia" w:ascii="仿宋" w:hAnsi="仿宋" w:eastAsia="仿宋"/>
          <w:b/>
          <w:sz w:val="32"/>
          <w:szCs w:val="32"/>
        </w:rPr>
        <w:t>（一）“三公”经费财政拨款支出决算总体情况说明</w:t>
      </w:r>
      <w:bookmarkEnd w:id="66"/>
      <w:bookmarkEnd w:id="67"/>
      <w:bookmarkEnd w:id="68"/>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21年“三公”经费财政拨款支出决算为0.54万元，完成预算100</w:t>
      </w:r>
      <w:r>
        <w:rPr>
          <w:rFonts w:ascii="仿宋" w:hAnsi="仿宋" w:eastAsia="仿宋"/>
          <w:sz w:val="32"/>
          <w:szCs w:val="32"/>
        </w:rPr>
        <w:t>%</w:t>
      </w:r>
      <w:r>
        <w:rPr>
          <w:rFonts w:hint="eastAsia" w:ascii="仿宋" w:hAnsi="仿宋" w:eastAsia="仿宋"/>
          <w:sz w:val="32"/>
          <w:szCs w:val="32"/>
        </w:rPr>
        <w:t>，决算数等于预算数。</w:t>
      </w:r>
    </w:p>
    <w:p>
      <w:pPr>
        <w:spacing w:line="600" w:lineRule="exact"/>
        <w:ind w:firstLine="640"/>
        <w:outlineLvl w:val="2"/>
        <w:rPr>
          <w:rFonts w:hint="eastAsia" w:ascii="仿宋" w:hAnsi="仿宋" w:eastAsia="仿宋"/>
          <w:b/>
          <w:sz w:val="32"/>
          <w:szCs w:val="32"/>
        </w:rPr>
      </w:pPr>
      <w:bookmarkStart w:id="69" w:name="_Toc15377217"/>
      <w:bookmarkStart w:id="70" w:name="_Toc19240"/>
      <w:r>
        <w:rPr>
          <w:rFonts w:hint="eastAsia" w:ascii="仿宋" w:hAnsi="仿宋" w:eastAsia="仿宋"/>
          <w:b/>
          <w:sz w:val="32"/>
          <w:szCs w:val="32"/>
        </w:rPr>
        <w:t>（二）“三公”经费财政拨款支出决算具体情况说明</w:t>
      </w:r>
      <w:bookmarkEnd w:id="69"/>
      <w:bookmarkEnd w:id="70"/>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；公务用车购置及运行维护费支出决算0.28万元，占51.85</w:t>
      </w:r>
      <w:r>
        <w:rPr>
          <w:rFonts w:ascii="仿宋" w:hAnsi="仿宋" w:eastAsia="仿宋"/>
          <w:sz w:val="32"/>
          <w:szCs w:val="32"/>
        </w:rPr>
        <w:t>%</w:t>
      </w:r>
      <w:r>
        <w:rPr>
          <w:rFonts w:hint="eastAsia" w:ascii="仿宋" w:hAnsi="仿宋" w:eastAsia="仿宋"/>
          <w:sz w:val="32"/>
          <w:szCs w:val="32"/>
        </w:rPr>
        <w:t>；公务接待费支出决算0.26万元，占48.15</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ascii="仿宋" w:hAnsi="仿宋" w:eastAsia="仿宋"/>
          <w:sz w:val="32"/>
          <w:szCs w:val="32"/>
        </w:rPr>
      </w:pPr>
      <w:r>
        <w:rPr>
          <w:rFonts w:hint="eastAsia" w:ascii="仿宋" w:hAnsi="仿宋" w:eastAsia="仿宋"/>
          <w:sz w:val="32"/>
          <w:szCs w:val="32"/>
        </w:rPr>
        <w:t>（图9：“三公”经费财政拨款支出结构）（饼状图）</w:t>
      </w:r>
    </w:p>
    <w:p>
      <w:pPr>
        <w:spacing w:line="600" w:lineRule="exact"/>
        <w:ind w:firstLine="640"/>
        <w:rPr>
          <w:rFonts w:ascii="仿宋_GB2312" w:eastAsia="仿宋_GB2312"/>
          <w:sz w:val="32"/>
          <w:szCs w:val="32"/>
        </w:rPr>
      </w:pPr>
      <w:r>
        <w:rPr>
          <w:rFonts w:ascii="仿宋_GB2312" w:eastAsia="仿宋_GB2312"/>
          <w:b/>
          <w:sz w:val="32"/>
          <w:szCs w:val="32"/>
        </w:rPr>
        <w:drawing>
          <wp:anchor distT="0" distB="0" distL="114300" distR="114300" simplePos="0" relativeHeight="251667456" behindDoc="1" locked="0" layoutInCell="1" allowOverlap="1">
            <wp:simplePos x="0" y="0"/>
            <wp:positionH relativeFrom="column">
              <wp:posOffset>102870</wp:posOffset>
            </wp:positionH>
            <wp:positionV relativeFrom="paragraph">
              <wp:posOffset>65405</wp:posOffset>
            </wp:positionV>
            <wp:extent cx="4898390" cy="2841625"/>
            <wp:effectExtent l="19050" t="0" r="16510" b="0"/>
            <wp:wrapTight wrapText="bothSides">
              <wp:wrapPolygon>
                <wp:start x="0" y="0"/>
                <wp:lineTo x="0" y="21600"/>
                <wp:lineTo x="21600" y="21600"/>
                <wp:lineTo x="21600" y="0"/>
                <wp:lineTo x="0" y="0"/>
              </wp:wrapPolygon>
            </wp:wrapTight>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rPr>
        <w:t>0万元，</w:t>
      </w:r>
      <w:r>
        <w:rPr>
          <w:rStyle w:val="14"/>
          <w:rFonts w:hint="eastAsia" w:ascii="仿宋" w:hAnsi="仿宋" w:eastAsia="仿宋"/>
          <w:b w:val="0"/>
          <w:bCs/>
          <w:sz w:val="32"/>
          <w:szCs w:val="32"/>
        </w:rPr>
        <w:t>完成预算0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全年安排因公出国（境）团组0次，出国（境）0人。因公出国（境）支出决算比</w:t>
      </w:r>
      <w:r>
        <w:rPr>
          <w:rFonts w:ascii="仿宋_GB2312" w:eastAsia="仿宋_GB2312"/>
          <w:sz w:val="32"/>
          <w:szCs w:val="32"/>
        </w:rPr>
        <w:t>20</w:t>
      </w:r>
      <w:r>
        <w:rPr>
          <w:rFonts w:hint="eastAsia" w:ascii="仿宋_GB2312" w:eastAsia="仿宋_GB2312"/>
          <w:sz w:val="32"/>
          <w:szCs w:val="32"/>
        </w:rPr>
        <w:t>20年增加0万元，增长0</w:t>
      </w:r>
      <w:r>
        <w:rPr>
          <w:rFonts w:ascii="仿宋_GB2312" w:eastAsia="仿宋_GB2312"/>
          <w:sz w:val="32"/>
          <w:szCs w:val="32"/>
        </w:rPr>
        <w:t>%</w:t>
      </w:r>
      <w:r>
        <w:rPr>
          <w:rFonts w:hint="eastAsia" w:ascii="仿宋_GB2312" w:eastAsia="仿宋_GB2312"/>
          <w:sz w:val="32"/>
          <w:szCs w:val="32"/>
        </w:rPr>
        <w:t>。</w:t>
      </w:r>
    </w:p>
    <w:p>
      <w:pPr>
        <w:spacing w:line="600" w:lineRule="exact"/>
        <w:ind w:firstLine="640"/>
        <w:rPr>
          <w:rFonts w:ascii="仿宋_GB2312" w:eastAsia="仿宋_GB2312" w:cs="仿宋_GB2312"/>
          <w:color w:val="000000"/>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rPr>
        <w:t>0.28万元,</w:t>
      </w:r>
      <w:r>
        <w:rPr>
          <w:rStyle w:val="14"/>
          <w:rFonts w:hint="eastAsia" w:ascii="仿宋" w:hAnsi="仿宋" w:eastAsia="仿宋"/>
          <w:b w:val="0"/>
          <w:bCs/>
          <w:sz w:val="32"/>
          <w:szCs w:val="32"/>
        </w:rPr>
        <w:t>完成预算100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20年减少2.32万元，下降89.23</w:t>
      </w:r>
      <w:r>
        <w:rPr>
          <w:rFonts w:ascii="仿宋_GB2312" w:eastAsia="仿宋_GB2312"/>
          <w:sz w:val="32"/>
          <w:szCs w:val="32"/>
        </w:rPr>
        <w:t>%</w:t>
      </w:r>
      <w:r>
        <w:rPr>
          <w:rFonts w:hint="eastAsia" w:ascii="仿宋_GB2312" w:eastAsia="仿宋_GB2312"/>
          <w:sz w:val="32"/>
          <w:szCs w:val="32"/>
        </w:rPr>
        <w:t>。</w:t>
      </w:r>
      <w:r>
        <w:rPr>
          <w:rFonts w:hint="eastAsia" w:ascii="仿宋_GB2312" w:eastAsia="仿宋_GB2312" w:cs="仿宋_GB2312"/>
          <w:color w:val="000000"/>
          <w:sz w:val="32"/>
          <w:szCs w:val="32"/>
        </w:rPr>
        <w:t>主要原因是2021年进一步压减公务用车购置及运行维护费。</w:t>
      </w:r>
    </w:p>
    <w:p>
      <w:pPr>
        <w:spacing w:line="600" w:lineRule="exact"/>
        <w:ind w:firstLine="64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月底，单位共有公务用车1辆，其中：轿车0辆、越野车0辆、载客汽车0辆，其他用车1辆。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rPr>
        <w:t>0.28万元。主要用于人工影响天气作业等所需的公务用车燃料费、维修费、过路过桥费、保险费等支出。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rPr>
        <w:t>0.26万元，</w:t>
      </w:r>
      <w:r>
        <w:rPr>
          <w:rStyle w:val="14"/>
          <w:rFonts w:hint="eastAsia" w:ascii="仿宋" w:hAnsi="仿宋" w:eastAsia="仿宋"/>
          <w:b w:val="0"/>
          <w:bCs/>
          <w:sz w:val="32"/>
          <w:szCs w:val="32"/>
        </w:rPr>
        <w:t>完成预算100</w:t>
      </w:r>
      <w:r>
        <w:rPr>
          <w:rStyle w:val="14"/>
          <w:rFonts w:ascii="仿宋" w:hAnsi="仿宋" w:eastAsia="仿宋"/>
          <w:b w:val="0"/>
          <w:bCs/>
          <w:sz w:val="32"/>
          <w:szCs w:val="32"/>
        </w:rPr>
        <w:t>%</w:t>
      </w:r>
      <w:r>
        <w:rPr>
          <w:rStyle w:val="14"/>
          <w:rFonts w:hint="eastAsia" w:ascii="仿宋" w:hAnsi="仿宋" w:eastAsia="仿宋"/>
          <w:b w:val="0"/>
          <w:bCs/>
          <w:sz w:val="32"/>
          <w:szCs w:val="32"/>
        </w:rPr>
        <w:t>。</w:t>
      </w:r>
      <w:r>
        <w:rPr>
          <w:rFonts w:hint="eastAsia" w:ascii="仿宋_GB2312" w:eastAsia="仿宋_GB2312"/>
          <w:sz w:val="32"/>
          <w:szCs w:val="32"/>
        </w:rPr>
        <w:t>公务接待费支出决算与</w:t>
      </w:r>
      <w:r>
        <w:rPr>
          <w:rFonts w:ascii="仿宋_GB2312" w:eastAsia="仿宋_GB2312"/>
          <w:sz w:val="32"/>
          <w:szCs w:val="32"/>
        </w:rPr>
        <w:t>20</w:t>
      </w:r>
      <w:r>
        <w:rPr>
          <w:rFonts w:hint="eastAsia" w:ascii="仿宋_GB2312" w:eastAsia="仿宋_GB2312"/>
          <w:sz w:val="32"/>
          <w:szCs w:val="32"/>
        </w:rPr>
        <w:t>20年持平。</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sz w:val="32"/>
          <w:szCs w:val="32"/>
        </w:rPr>
        <w:t>0.26</w:t>
      </w:r>
      <w:r>
        <w:rPr>
          <w:rFonts w:hint="eastAsia" w:ascii="仿宋_GB2312" w:eastAsia="仿宋_GB2312"/>
          <w:sz w:val="32"/>
          <w:szCs w:val="32"/>
        </w:rPr>
        <w:t>万元，主要用于人影中心执行公务、开展业务活动开支的交通费、住宿费、用餐费等。国内公务接待3批次，35人次（不包括陪同人员），共计支出0.26万元，具体内容包括：接待南亚所调研费0.11万元，接待四川省农业气象中心0.09万元，接待省人影办、中天火箭厂家人员0.06万元。</w:t>
      </w:r>
    </w:p>
    <w:p>
      <w:pPr>
        <w:spacing w:line="60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sz w:val="32"/>
          <w:szCs w:val="32"/>
        </w:rPr>
        <w:t>0</w:t>
      </w:r>
      <w:r>
        <w:rPr>
          <w:rFonts w:hint="eastAsia" w:ascii="仿宋_GB2312" w:eastAsia="仿宋_GB2312"/>
          <w:sz w:val="32"/>
          <w:szCs w:val="32"/>
        </w:rPr>
        <w:t>万元，外事接待0批次，0人，共计支出0万元</w:t>
      </w:r>
      <w:bookmarkStart w:id="71" w:name="_Toc15377218"/>
      <w:bookmarkStart w:id="72" w:name="_Toc15396610"/>
      <w:r>
        <w:rPr>
          <w:rFonts w:hint="eastAsia" w:ascii="仿宋_GB2312" w:eastAsia="仿宋_GB2312"/>
          <w:sz w:val="32"/>
          <w:szCs w:val="32"/>
        </w:rPr>
        <w:t>。</w:t>
      </w:r>
    </w:p>
    <w:p>
      <w:pPr>
        <w:spacing w:line="600" w:lineRule="exact"/>
        <w:ind w:firstLine="640"/>
        <w:outlineLvl w:val="1"/>
        <w:rPr>
          <w:rStyle w:val="25"/>
          <w:rFonts w:ascii="黑体" w:hAnsi="黑体" w:eastAsia="黑体"/>
        </w:rPr>
      </w:pPr>
      <w:bookmarkStart w:id="73" w:name="_Toc30470"/>
      <w:r>
        <w:rPr>
          <w:rFonts w:hint="eastAsia" w:ascii="黑体" w:eastAsia="黑体"/>
          <w:sz w:val="32"/>
          <w:szCs w:val="32"/>
        </w:rPr>
        <w:t>八、</w:t>
      </w:r>
      <w:r>
        <w:rPr>
          <w:rStyle w:val="25"/>
          <w:rFonts w:hint="eastAsia" w:ascii="黑体" w:hAnsi="黑体" w:eastAsia="黑体"/>
          <w:b w:val="0"/>
        </w:rPr>
        <w:t>政府性基金预算支出决算情况说明</w:t>
      </w:r>
      <w:bookmarkEnd w:id="71"/>
      <w:bookmarkEnd w:id="72"/>
      <w:bookmarkEnd w:id="7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21年政府性基金预算财政拨款支出0万元。</w:t>
      </w:r>
    </w:p>
    <w:p>
      <w:pPr>
        <w:numPr>
          <w:ilvl w:val="0"/>
          <w:numId w:val="3"/>
        </w:numPr>
        <w:spacing w:line="600" w:lineRule="exact"/>
        <w:ind w:firstLine="640"/>
        <w:outlineLvl w:val="1"/>
        <w:rPr>
          <w:rStyle w:val="25"/>
          <w:rFonts w:ascii="黑体" w:hAnsi="黑体" w:eastAsia="黑体"/>
          <w:b w:val="0"/>
        </w:rPr>
      </w:pPr>
      <w:bookmarkStart w:id="74" w:name="_Toc11625"/>
      <w:bookmarkStart w:id="75" w:name="_Toc15396611"/>
      <w:bookmarkStart w:id="76" w:name="_Toc15377219"/>
      <w:r>
        <w:rPr>
          <w:rStyle w:val="25"/>
          <w:rFonts w:hint="eastAsia" w:ascii="黑体" w:hAnsi="黑体" w:eastAsia="黑体"/>
          <w:b w:val="0"/>
        </w:rPr>
        <w:t>国有资本经营预算支出决算情况说明</w:t>
      </w:r>
      <w:bookmarkEnd w:id="74"/>
      <w:bookmarkEnd w:id="75"/>
      <w:bookmarkEnd w:id="76"/>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21年国有资本经营预算财政拨款支出0万元。</w:t>
      </w:r>
    </w:p>
    <w:p>
      <w:pPr>
        <w:numPr>
          <w:ilvl w:val="0"/>
          <w:numId w:val="3"/>
        </w:numPr>
        <w:spacing w:line="600" w:lineRule="exact"/>
        <w:ind w:firstLine="640"/>
        <w:outlineLvl w:val="1"/>
        <w:rPr>
          <w:rStyle w:val="25"/>
          <w:rFonts w:ascii="黑体" w:hAnsi="黑体" w:eastAsia="黑体"/>
          <w:b w:val="0"/>
        </w:rPr>
      </w:pPr>
      <w:bookmarkStart w:id="77" w:name="_Toc4798"/>
      <w:bookmarkStart w:id="78" w:name="_Toc15396612"/>
      <w:bookmarkStart w:id="79" w:name="_Toc15377221"/>
      <w:r>
        <w:rPr>
          <w:rStyle w:val="25"/>
          <w:rFonts w:hint="eastAsia" w:ascii="黑体" w:hAnsi="黑体" w:eastAsia="黑体"/>
          <w:b w:val="0"/>
        </w:rPr>
        <w:t>其他重要事项的情况说明</w:t>
      </w:r>
      <w:bookmarkEnd w:id="77"/>
      <w:bookmarkEnd w:id="78"/>
      <w:bookmarkEnd w:id="79"/>
    </w:p>
    <w:p>
      <w:pPr>
        <w:spacing w:line="600" w:lineRule="exact"/>
        <w:ind w:firstLine="643" w:firstLineChars="200"/>
        <w:outlineLvl w:val="2"/>
        <w:rPr>
          <w:rFonts w:ascii="仿宋" w:hAnsi="仿宋" w:eastAsia="仿宋"/>
          <w:sz w:val="32"/>
          <w:szCs w:val="32"/>
        </w:rPr>
      </w:pPr>
      <w:bookmarkStart w:id="80" w:name="_Toc113983589"/>
      <w:bookmarkStart w:id="81" w:name="_Toc26096"/>
      <w:bookmarkStart w:id="82" w:name="_Toc15377222"/>
      <w:r>
        <w:rPr>
          <w:rFonts w:hint="eastAsia" w:ascii="仿宋" w:hAnsi="仿宋" w:eastAsia="仿宋"/>
          <w:b/>
          <w:sz w:val="32"/>
          <w:szCs w:val="32"/>
        </w:rPr>
        <w:t>（一）机关运行经费支出情况</w:t>
      </w:r>
      <w:bookmarkEnd w:id="80"/>
      <w:bookmarkEnd w:id="81"/>
      <w:bookmarkEnd w:id="82"/>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21年，人影中心机关运行经费支出0万元，与</w:t>
      </w:r>
      <w:r>
        <w:rPr>
          <w:rFonts w:ascii="仿宋_GB2312" w:eastAsia="仿宋_GB2312"/>
          <w:sz w:val="32"/>
          <w:szCs w:val="32"/>
        </w:rPr>
        <w:t>20</w:t>
      </w:r>
      <w:r>
        <w:rPr>
          <w:rFonts w:hint="eastAsia" w:ascii="仿宋_GB2312" w:eastAsia="仿宋_GB2312"/>
          <w:sz w:val="32"/>
          <w:szCs w:val="32"/>
        </w:rPr>
        <w:t>20年决算数持平。</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83" w:name="_Toc19637"/>
      <w:bookmarkStart w:id="84" w:name="_Toc15377223"/>
      <w:bookmarkStart w:id="85" w:name="_Toc113983590"/>
      <w:r>
        <w:rPr>
          <w:rFonts w:hint="eastAsia" w:ascii="仿宋" w:hAnsi="仿宋" w:eastAsia="仿宋"/>
          <w:b/>
          <w:sz w:val="32"/>
          <w:szCs w:val="32"/>
        </w:rPr>
        <w:t>（二）政府采购支出情况</w:t>
      </w:r>
      <w:bookmarkEnd w:id="83"/>
      <w:bookmarkEnd w:id="84"/>
      <w:bookmarkEnd w:id="85"/>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21年，人影中心政府采购支出总额0万元，</w:t>
      </w:r>
      <w:r>
        <w:rPr>
          <w:rFonts w:hint="eastAsia" w:ascii="仿宋_GB2312" w:eastAsia="仿宋_GB2312"/>
          <w:sz w:val="32"/>
          <w:szCs w:val="32"/>
          <w:lang w:val="en-US" w:eastAsia="zh-CN"/>
        </w:rPr>
        <w:t>较</w:t>
      </w:r>
      <w:r>
        <w:rPr>
          <w:rFonts w:ascii="仿宋_GB2312" w:eastAsia="仿宋_GB2312"/>
          <w:sz w:val="32"/>
          <w:szCs w:val="32"/>
        </w:rPr>
        <w:t>20</w:t>
      </w:r>
      <w:r>
        <w:rPr>
          <w:rFonts w:hint="eastAsia" w:ascii="仿宋_GB2312" w:eastAsia="仿宋_GB2312"/>
          <w:sz w:val="32"/>
          <w:szCs w:val="32"/>
        </w:rPr>
        <w:t>20年决算数</w:t>
      </w:r>
      <w:r>
        <w:rPr>
          <w:rFonts w:hint="eastAsia" w:ascii="仿宋_GB2312" w:eastAsia="仿宋_GB2312"/>
          <w:sz w:val="32"/>
          <w:szCs w:val="32"/>
          <w:lang w:val="en-US" w:eastAsia="zh-CN"/>
        </w:rPr>
        <w:t>减少2.66万元</w:t>
      </w:r>
      <w:r>
        <w:rPr>
          <w:rFonts w:hint="eastAsia" w:ascii="仿宋_GB2312" w:eastAsia="仿宋_GB2312"/>
          <w:sz w:val="32"/>
          <w:szCs w:val="32"/>
          <w:lang w:eastAsia="zh-CN"/>
        </w:rPr>
        <w:t>。</w:t>
      </w:r>
      <w:r>
        <w:rPr>
          <w:rFonts w:hint="eastAsia" w:ascii="仿宋_GB2312" w:eastAsia="仿宋_GB2312"/>
          <w:sz w:val="32"/>
          <w:szCs w:val="32"/>
        </w:rPr>
        <w:t>其中：政府采购货物支出0万元、政府采购工程支出0万元、政府采购服务支出</w:t>
      </w:r>
      <w:bookmarkStart w:id="125" w:name="_GoBack"/>
      <w:bookmarkEnd w:id="125"/>
      <w:r>
        <w:rPr>
          <w:rFonts w:hint="eastAsia" w:ascii="仿宋_GB2312" w:eastAsia="仿宋_GB2312"/>
          <w:sz w:val="32"/>
          <w:szCs w:val="32"/>
        </w:rPr>
        <w:t>0万元。授予中小企业合同金额0万元，占政府采购支出总额的0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，其中：授予小微企业合同金额0万元，占政府采购支出总额的0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86" w:name="_Toc31109"/>
      <w:bookmarkStart w:id="87" w:name="_Toc113983591"/>
      <w:bookmarkStart w:id="88" w:name="_Toc15377224"/>
      <w:r>
        <w:rPr>
          <w:rFonts w:hint="eastAsia" w:ascii="仿宋" w:hAnsi="仿宋" w:eastAsia="仿宋"/>
          <w:b/>
          <w:sz w:val="32"/>
          <w:szCs w:val="32"/>
        </w:rPr>
        <w:t>（三）国有资产占有使用情况</w:t>
      </w:r>
      <w:bookmarkEnd w:id="86"/>
      <w:bookmarkEnd w:id="87"/>
      <w:bookmarkEnd w:id="88"/>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日，人影中心共有车辆1辆，其中：主要领导干部用车0辆、机要通信用车0辆、应急保障用车0辆、其他用车1辆。其他用车主要是用于开展人影作业。单价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89" w:name="_Toc2342"/>
      <w:bookmarkStart w:id="90" w:name="_Toc113983592"/>
      <w:r>
        <w:rPr>
          <w:rFonts w:hint="eastAsia" w:ascii="仿宋" w:hAnsi="仿宋" w:eastAsia="仿宋"/>
          <w:b/>
          <w:sz w:val="32"/>
          <w:szCs w:val="32"/>
        </w:rPr>
        <w:t>（四）预算绩效管理情况</w:t>
      </w:r>
      <w:bookmarkEnd w:id="89"/>
      <w:bookmarkEnd w:id="90"/>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人工增雨防雹项目、气象影视编排项目、防雷经费项目、区域气象站维护及农经网运行项目、电视台《天气预报》征订项目等5个项目开展了预算事前绩效评估，对5个项目编制了绩效目标，预算执行过程中，选取5个项目开展绩效监控，年终执行完毕后，对5个项目开展了绩效自评，2021年特定目标类部门预算项目绩效目标自评表见附件（第四部分）。</w:t>
      </w:r>
    </w:p>
    <w:p>
      <w:pPr>
        <w:widowControl/>
        <w:jc w:val="left"/>
        <w:rPr>
          <w:rFonts w:ascii="黑体" w:hAnsi="黑体" w:eastAsia="黑体"/>
          <w:bCs/>
          <w:kern w:val="44"/>
          <w:sz w:val="44"/>
          <w:szCs w:val="44"/>
        </w:rPr>
      </w:pPr>
      <w:r>
        <w:rPr>
          <w:rFonts w:ascii="仿宋_GB2312" w:eastAsia="仿宋_GB2312"/>
          <w:b/>
          <w:sz w:val="32"/>
          <w:szCs w:val="32"/>
        </w:rPr>
        <w:br w:type="page"/>
      </w:r>
      <w:bookmarkStart w:id="91" w:name="_Toc15377225"/>
      <w:bookmarkStart w:id="92" w:name="_Toc15396613"/>
      <w:r>
        <w:rPr>
          <w:rFonts w:hint="eastAsia" w:ascii="黑体" w:hAnsi="黑体" w:eastAsia="黑体"/>
          <w:bCs/>
          <w:kern w:val="44"/>
          <w:sz w:val="44"/>
          <w:szCs w:val="44"/>
        </w:rPr>
        <w:t>第三部分名词解释</w:t>
      </w:r>
      <w:bookmarkEnd w:id="91"/>
      <w:bookmarkEnd w:id="92"/>
    </w:p>
    <w:p>
      <w:pPr>
        <w:spacing w:line="600" w:lineRule="exact"/>
        <w:jc w:val="left"/>
        <w:rPr>
          <w:rFonts w:ascii="宋体"/>
          <w:b/>
          <w:sz w:val="44"/>
          <w:szCs w:val="44"/>
        </w:rPr>
      </w:pPr>
    </w:p>
    <w:p>
      <w:pPr>
        <w:pStyle w:val="22"/>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2.社会保障和就业（类）行政事业单位养老支出（款）机关事业单位基本养老保险缴费支出（项）：指机关事业单位实施养老保险制度由单位缴纳的基本养老保险支出；社会保障和就业（类）抚恤（款）死亡抚恤（项）：指按规定用于烈士和牺牲、病故人员家属的一次性和定期抚恤金以及丧葬补助费。</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3.自然资源海洋气象等（类）气象事务（款）气象事业机构（项）：指气象事业单位的基本支出；自然资源海洋气象等（类）气象事务（款）气象服务（项）：指为社会公众和政府等部门提供气象预报预测服务产品以及为国家安全、防汛抗旱、防雷、人工影响局部天气、农村建设、农牧业生产等提供气象服务方面的支出。</w:t>
      </w:r>
    </w:p>
    <w:p>
      <w:pPr>
        <w:ind w:firstLine="640" w:firstLineChars="200"/>
        <w:rPr>
          <w:rFonts w:ascii="仿宋_GB2312" w:eastAsia="仿宋_GB2312"/>
          <w:color w:val="000000"/>
          <w:sz w:val="32"/>
          <w:szCs w:val="32"/>
        </w:rPr>
      </w:pPr>
      <w:r>
        <w:rPr>
          <w:rFonts w:hint="eastAsia" w:ascii="仿宋_GB2312" w:eastAsia="仿宋_GB2312" w:cs="仿宋_GB2312"/>
          <w:color w:val="000000"/>
          <w:sz w:val="32"/>
          <w:szCs w:val="32"/>
        </w:rPr>
        <w:t>4.住房保障（类）住房改革支出（款）住房公积金（项）：指行政事业单位按人力资源和社会保障部、财政部规定的基本工资和津贴补贴以及规定比例为职工缴纳的住房公积金。</w:t>
      </w:r>
    </w:p>
    <w:p>
      <w:pPr>
        <w:ind w:firstLine="640" w:firstLineChars="200"/>
        <w:rPr>
          <w:rFonts w:ascii="仿宋_GB2312" w:eastAsia="仿宋_GB2312"/>
          <w:sz w:val="32"/>
          <w:szCs w:val="32"/>
        </w:rPr>
      </w:pPr>
      <w:r>
        <w:rPr>
          <w:rFonts w:hint="eastAsia" w:ascii="仿宋_GB2312" w:eastAsia="仿宋_GB2312"/>
          <w:sz w:val="32"/>
          <w:szCs w:val="32"/>
        </w:rPr>
        <w:t>5</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rPr>
        <w:t>6</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7</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8</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Fonts w:ascii="黑体" w:hAnsi="黑体" w:eastAsia="黑体"/>
          <w:bCs/>
          <w:kern w:val="44"/>
          <w:sz w:val="44"/>
          <w:szCs w:val="44"/>
        </w:rPr>
      </w:pPr>
      <w:bookmarkStart w:id="93" w:name="_Toc15377226"/>
      <w:r>
        <w:rPr>
          <w:rFonts w:ascii="宋体"/>
          <w:b/>
          <w:sz w:val="44"/>
          <w:szCs w:val="44"/>
        </w:rPr>
        <w:br w:type="page"/>
      </w:r>
      <w:bookmarkStart w:id="94" w:name="_Toc11200"/>
      <w:bookmarkStart w:id="95" w:name="_Toc15396614"/>
      <w:r>
        <w:rPr>
          <w:rFonts w:hint="eastAsia" w:ascii="黑体" w:hAnsi="黑体" w:eastAsia="黑体"/>
          <w:sz w:val="44"/>
          <w:szCs w:val="44"/>
        </w:rPr>
        <w:t>第</w:t>
      </w:r>
      <w:r>
        <w:rPr>
          <w:rStyle w:val="24"/>
          <w:rFonts w:hint="eastAsia" w:ascii="黑体" w:hAnsi="黑体" w:eastAsia="黑体"/>
          <w:b w:val="0"/>
        </w:rPr>
        <w:t>四部分 附件</w:t>
      </w:r>
      <w:bookmarkEnd w:id="94"/>
      <w:bookmarkEnd w:id="95"/>
    </w:p>
    <w:tbl>
      <w:tblPr>
        <w:tblStyle w:val="12"/>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451"/>
        <w:gridCol w:w="1417"/>
        <w:gridCol w:w="284"/>
        <w:gridCol w:w="1670"/>
        <w:gridCol w:w="236"/>
      </w:tblGrid>
      <w:tr>
        <w:tblPrEx>
          <w:tblCellMar>
            <w:top w:w="0" w:type="dxa"/>
            <w:left w:w="108" w:type="dxa"/>
            <w:bottom w:w="0" w:type="dxa"/>
            <w:right w:w="108" w:type="dxa"/>
          </w:tblCellMar>
        </w:tblPrEx>
        <w:trPr>
          <w:trHeight w:val="675" w:hRule="atLeast"/>
        </w:trPr>
        <w:tc>
          <w:tcPr>
            <w:tcW w:w="9575" w:type="dxa"/>
            <w:gridSpan w:val="7"/>
            <w:tcBorders>
              <w:top w:val="nil"/>
              <w:left w:val="nil"/>
              <w:bottom w:val="nil"/>
              <w:right w:val="nil"/>
            </w:tcBorders>
            <w:shd w:val="clear" w:color="auto" w:fill="auto"/>
            <w:vAlign w:val="center"/>
          </w:tcPr>
          <w:p>
            <w:pPr>
              <w:widowControl/>
              <w:textAlignment w:val="center"/>
              <w:rPr>
                <w:rFonts w:ascii="宋体" w:hAnsi="宋体" w:cs="宋体"/>
                <w:b/>
                <w:sz w:val="32"/>
                <w:szCs w:val="32"/>
              </w:rPr>
            </w:pPr>
            <w:bookmarkStart w:id="96" w:name="_Toc15396618"/>
            <w:r>
              <w:rPr>
                <w:rFonts w:hint="eastAsia" w:ascii="宋体" w:hAnsi="宋体" w:cs="宋体"/>
                <w:b/>
                <w:sz w:val="32"/>
                <w:szCs w:val="32"/>
              </w:rPr>
              <w:t>2021年100万元以上（含）特定目标类部门预算项目绩效目标自评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仿宋_GB2312" w:hAnsi="仿宋_GB2312" w:eastAsia="仿宋_GB2312" w:cs="仿宋_GB2312"/>
                <w:sz w:val="28"/>
                <w:szCs w:val="28"/>
              </w:rPr>
              <w:t>主管部门及代码</w:t>
            </w:r>
          </w:p>
        </w:tc>
        <w:tc>
          <w:tcPr>
            <w:tcW w:w="308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r>
              <w:rPr>
                <w:rFonts w:hint="eastAsia" w:ascii="仿宋_GB2312" w:hAnsi="仿宋_GB2312" w:eastAsia="仿宋_GB2312" w:cs="仿宋_GB2312"/>
                <w:sz w:val="28"/>
                <w:szCs w:val="28"/>
              </w:rPr>
              <w:t>攀枝花市气象局604001</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仿宋_GB2312" w:hAnsi="仿宋_GB2312" w:eastAsia="仿宋_GB2312" w:cs="仿宋_GB2312"/>
                <w:sz w:val="28"/>
                <w:szCs w:val="28"/>
              </w:rPr>
              <w:t>实施单位</w:t>
            </w:r>
          </w:p>
        </w:tc>
        <w:tc>
          <w:tcPr>
            <w:tcW w:w="19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仿宋_GB2312" w:hAnsi="仿宋_GB2312" w:eastAsia="仿宋_GB2312" w:cs="仿宋_GB2312"/>
                <w:sz w:val="28"/>
                <w:szCs w:val="28"/>
              </w:rPr>
              <w:t>人影中心604002</w:t>
            </w:r>
          </w:p>
        </w:tc>
      </w:tr>
      <w:tr>
        <w:tblPrEx>
          <w:tblCellMar>
            <w:top w:w="0" w:type="dxa"/>
            <w:left w:w="108" w:type="dxa"/>
            <w:bottom w:w="0" w:type="dxa"/>
            <w:right w:w="108" w:type="dxa"/>
          </w:tblCellMar>
        </w:tblPrEx>
        <w:trPr>
          <w:gridAfter w:val="1"/>
          <w:wAfter w:w="236" w:type="dxa"/>
          <w:trHeight w:val="390"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仿宋_GB2312" w:hAnsi="仿宋_GB2312" w:eastAsia="仿宋_GB2312" w:cs="仿宋_GB2312"/>
                <w:sz w:val="28"/>
                <w:szCs w:val="28"/>
              </w:rPr>
              <w:t>项目预算</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执行情况</w:t>
            </w:r>
            <w:r>
              <w:rPr>
                <w:rFonts w:hint="eastAsia" w:ascii="仿宋_GB2312" w:hAnsi="仿宋_GB2312" w:eastAsia="仿宋_GB2312" w:cs="仿宋_GB2312"/>
                <w:sz w:val="28"/>
                <w:szCs w:val="28"/>
              </w:rPr>
              <w:br w:type="textWrapping"/>
            </w:r>
            <w:r>
              <w:rPr>
                <w:rFonts w:hint="eastAsia" w:ascii="仿宋_GB2312" w:hAnsi="仿宋_GB2312" w:eastAsia="仿宋_GB2312" w:cs="仿宋_GB2312"/>
                <w:sz w:val="28"/>
                <w:szCs w:val="28"/>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预算数：</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448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执行数：</w:t>
            </w:r>
          </w:p>
        </w:tc>
        <w:tc>
          <w:tcPr>
            <w:tcW w:w="19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448</w:t>
            </w:r>
          </w:p>
        </w:tc>
      </w:tr>
      <w:tr>
        <w:tblPrEx>
          <w:tblCellMar>
            <w:top w:w="0" w:type="dxa"/>
            <w:left w:w="108" w:type="dxa"/>
            <w:bottom w:w="0" w:type="dxa"/>
            <w:right w:w="108" w:type="dxa"/>
          </w:tblCellMar>
        </w:tblPrEx>
        <w:trPr>
          <w:gridAfter w:val="1"/>
          <w:wAfter w:w="236" w:type="dxa"/>
          <w:trHeight w:val="722"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其中：</w:t>
            </w:r>
          </w:p>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财政拨款</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448</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其中：</w:t>
            </w:r>
          </w:p>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财政拨款</w:t>
            </w:r>
          </w:p>
        </w:tc>
        <w:tc>
          <w:tcPr>
            <w:tcW w:w="19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448</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其他资金</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0</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其他资金</w:t>
            </w:r>
          </w:p>
        </w:tc>
        <w:tc>
          <w:tcPr>
            <w:tcW w:w="19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0</w:t>
            </w: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年度总体目标</w:t>
            </w:r>
          </w:p>
          <w:p>
            <w:pPr>
              <w:widowControl/>
              <w:spacing w:line="320" w:lineRule="exact"/>
              <w:jc w:val="center"/>
              <w:textAlignment w:val="bottom"/>
              <w:rPr>
                <w:rFonts w:ascii="宋体" w:hAnsi="宋体" w:cs="宋体"/>
                <w:sz w:val="24"/>
              </w:rPr>
            </w:pPr>
            <w:r>
              <w:rPr>
                <w:rFonts w:hint="eastAsia" w:ascii="仿宋_GB2312" w:hAnsi="仿宋_GB2312" w:eastAsia="仿宋_GB2312" w:cs="仿宋_GB2312"/>
                <w:sz w:val="28"/>
                <w:szCs w:val="28"/>
              </w:rPr>
              <w:t>完成情况</w:t>
            </w:r>
          </w:p>
        </w:tc>
        <w:tc>
          <w:tcPr>
            <w:tcW w:w="422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仿宋_GB2312" w:hAnsi="仿宋_GB2312" w:eastAsia="仿宋_GB2312" w:cs="仿宋_GB2312"/>
                <w:sz w:val="28"/>
                <w:szCs w:val="28"/>
              </w:rPr>
              <w:t>预期目标</w:t>
            </w:r>
          </w:p>
        </w:tc>
        <w:tc>
          <w:tcPr>
            <w:tcW w:w="337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仿宋_GB2312" w:hAnsi="仿宋_GB2312" w:eastAsia="仿宋_GB2312" w:cs="仿宋_GB2312"/>
                <w:sz w:val="28"/>
                <w:szCs w:val="28"/>
              </w:rPr>
              <w:t>目标实际完成情况</w:t>
            </w:r>
          </w:p>
        </w:tc>
      </w:tr>
      <w:tr>
        <w:tblPrEx>
          <w:tblCellMar>
            <w:top w:w="0" w:type="dxa"/>
            <w:left w:w="108" w:type="dxa"/>
            <w:bottom w:w="0" w:type="dxa"/>
            <w:right w:w="108" w:type="dxa"/>
          </w:tblCellMar>
        </w:tblPrEx>
        <w:trPr>
          <w:gridAfter w:val="1"/>
          <w:wAfter w:w="236" w:type="dxa"/>
          <w:trHeight w:val="713"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4228"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仿宋_GB2312" w:hAnsi="仿宋_GB2312" w:eastAsia="仿宋_GB2312" w:cs="仿宋_GB2312"/>
                <w:sz w:val="28"/>
                <w:szCs w:val="28"/>
              </w:rPr>
              <w:t>保障2022年全年天气预报在中央及省电视台顺利播出</w:t>
            </w:r>
          </w:p>
        </w:tc>
        <w:tc>
          <w:tcPr>
            <w:tcW w:w="3371"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仿宋_GB2312" w:hAnsi="仿宋_GB2312" w:eastAsia="仿宋_GB2312" w:cs="仿宋_GB2312"/>
                <w:sz w:val="28"/>
                <w:szCs w:val="28"/>
              </w:rPr>
              <w:t>保障2022年全年天气预报在中央及省电视台顺利播出</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在中央电视台的播出天数</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≥360天</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360天</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在省电视台的播出天数</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≥360天</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360天</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shd w:val="clear" w:color="auto" w:fill="auto"/>
            <w:vAlign w:val="center"/>
          </w:tcPr>
          <w:p>
            <w:pPr>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质量指标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全年按时播出率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≥90%</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textAlignment w:val="bottom"/>
              <w:rPr>
                <w:rFonts w:ascii="仿宋_GB2312" w:hAnsi="仿宋_GB2312" w:eastAsia="仿宋_GB2312" w:cs="仿宋_GB2312"/>
                <w:sz w:val="28"/>
                <w:szCs w:val="28"/>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播出准确率</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≥80%</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80%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中央电视台播出成本</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104.5万/每季度，全年共计418万元</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418万元</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省电视台播出成本</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7.5万/每季度，全年共计30万元</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30万元</w:t>
            </w:r>
          </w:p>
        </w:tc>
      </w:tr>
      <w:tr>
        <w:tblPrEx>
          <w:tblCellMar>
            <w:top w:w="0" w:type="dxa"/>
            <w:left w:w="108" w:type="dxa"/>
            <w:bottom w:w="0" w:type="dxa"/>
            <w:right w:w="108" w:type="dxa"/>
          </w:tblCellMar>
        </w:tblPrEx>
        <w:trPr>
          <w:gridAfter w:val="1"/>
          <w:wAfter w:w="236" w:type="dxa"/>
          <w:trHeight w:val="416"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在全国范围内宣传攀枝花</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宣传影响力进一步扩大</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进一步扩大了宣传影响力</w:t>
            </w: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45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社会公众满意度</w:t>
            </w:r>
          </w:p>
        </w:tc>
        <w:tc>
          <w:tcPr>
            <w:tcW w:w="1701" w:type="dxa"/>
            <w:gridSpan w:val="2"/>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≥90%</w:t>
            </w:r>
          </w:p>
        </w:tc>
        <w:tc>
          <w:tcPr>
            <w:tcW w:w="16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sz w:val="28"/>
                <w:szCs w:val="28"/>
              </w:rPr>
              <w:t>90%</w:t>
            </w:r>
          </w:p>
        </w:tc>
      </w:tr>
    </w:tbl>
    <w:p>
      <w:pPr>
        <w:spacing w:line="600" w:lineRule="exact"/>
        <w:outlineLvl w:val="0"/>
        <w:rPr>
          <w:rFonts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ascii="仿宋" w:hAnsi="仿宋" w:eastAsia="仿宋"/>
        </w:rPr>
      </w:pPr>
      <w:bookmarkStart w:id="97" w:name="_Toc21613"/>
      <w:r>
        <w:rPr>
          <w:rFonts w:hint="eastAsia" w:ascii="黑体" w:hAnsi="黑体" w:eastAsia="黑体"/>
          <w:sz w:val="44"/>
          <w:szCs w:val="44"/>
        </w:rPr>
        <w:t>第</w:t>
      </w:r>
      <w:r>
        <w:rPr>
          <w:rStyle w:val="24"/>
          <w:rFonts w:hint="eastAsia" w:ascii="黑体" w:hAnsi="黑体" w:eastAsia="黑体"/>
          <w:b w:val="0"/>
        </w:rPr>
        <w:t>五部分 附表</w:t>
      </w:r>
      <w:bookmarkEnd w:id="93"/>
      <w:bookmarkEnd w:id="96"/>
      <w:bookmarkEnd w:id="97"/>
      <w:bookmarkStart w:id="98" w:name="_Toc15396619"/>
    </w:p>
    <w:p>
      <w:pPr>
        <w:pStyle w:val="3"/>
        <w:rPr>
          <w:rFonts w:ascii="仿宋" w:hAnsi="仿宋" w:eastAsia="仿宋"/>
        </w:rPr>
      </w:pPr>
      <w:bookmarkStart w:id="99" w:name="_Toc23079"/>
      <w:r>
        <w:rPr>
          <w:rFonts w:hint="eastAsia" w:ascii="仿宋" w:hAnsi="仿宋" w:eastAsia="仿宋"/>
          <w:b w:val="0"/>
        </w:rPr>
        <w:t>一、收</w:t>
      </w:r>
      <w:r>
        <w:rPr>
          <w:rStyle w:val="25"/>
          <w:rFonts w:hint="eastAsia" w:ascii="仿宋" w:hAnsi="仿宋" w:eastAsia="仿宋"/>
          <w:b w:val="0"/>
          <w:bCs w:val="0"/>
        </w:rPr>
        <w:t>入支出决算总表</w:t>
      </w:r>
      <w:bookmarkEnd w:id="98"/>
      <w:bookmarkEnd w:id="99"/>
    </w:p>
    <w:p>
      <w:pPr>
        <w:pStyle w:val="3"/>
        <w:rPr>
          <w:rFonts w:ascii="仿宋" w:hAnsi="仿宋" w:eastAsia="仿宋"/>
        </w:rPr>
      </w:pPr>
      <w:bookmarkStart w:id="100" w:name="_Toc30248"/>
      <w:bookmarkStart w:id="101" w:name="_Toc15396620"/>
      <w:r>
        <w:rPr>
          <w:rFonts w:hint="eastAsia" w:ascii="仿宋" w:hAnsi="仿宋" w:eastAsia="仿宋"/>
          <w:b w:val="0"/>
        </w:rPr>
        <w:t>二、收</w:t>
      </w:r>
      <w:r>
        <w:rPr>
          <w:rStyle w:val="25"/>
          <w:rFonts w:hint="eastAsia" w:ascii="仿宋" w:hAnsi="仿宋" w:eastAsia="仿宋"/>
          <w:b w:val="0"/>
          <w:bCs w:val="0"/>
        </w:rPr>
        <w:t>入决算表</w:t>
      </w:r>
      <w:bookmarkEnd w:id="100"/>
      <w:bookmarkEnd w:id="101"/>
    </w:p>
    <w:p>
      <w:pPr>
        <w:pStyle w:val="3"/>
        <w:rPr>
          <w:rFonts w:ascii="仿宋" w:hAnsi="仿宋" w:eastAsia="仿宋"/>
        </w:rPr>
      </w:pPr>
      <w:bookmarkStart w:id="102" w:name="_Toc15396621"/>
      <w:bookmarkStart w:id="103" w:name="_Toc21831"/>
      <w:r>
        <w:rPr>
          <w:rStyle w:val="25"/>
          <w:rFonts w:hint="eastAsia" w:ascii="仿宋" w:hAnsi="仿宋" w:eastAsia="仿宋"/>
          <w:b w:val="0"/>
          <w:bCs w:val="0"/>
        </w:rPr>
        <w:t>三、</w:t>
      </w:r>
      <w:r>
        <w:rPr>
          <w:rFonts w:hint="eastAsia" w:ascii="仿宋" w:hAnsi="仿宋" w:eastAsia="仿宋"/>
          <w:b w:val="0"/>
        </w:rPr>
        <w:t>支</w:t>
      </w:r>
      <w:r>
        <w:rPr>
          <w:rStyle w:val="25"/>
          <w:rFonts w:hint="eastAsia" w:ascii="仿宋" w:hAnsi="仿宋" w:eastAsia="仿宋"/>
          <w:b w:val="0"/>
          <w:bCs w:val="0"/>
        </w:rPr>
        <w:t>出决算表</w:t>
      </w:r>
      <w:bookmarkEnd w:id="102"/>
      <w:bookmarkEnd w:id="103"/>
    </w:p>
    <w:p>
      <w:pPr>
        <w:pStyle w:val="3"/>
        <w:rPr>
          <w:rFonts w:ascii="仿宋" w:hAnsi="仿宋" w:eastAsia="仿宋"/>
          <w:b w:val="0"/>
        </w:rPr>
      </w:pPr>
      <w:bookmarkStart w:id="104" w:name="_Toc11890"/>
      <w:bookmarkStart w:id="105" w:name="_Toc15396622"/>
      <w:r>
        <w:rPr>
          <w:rStyle w:val="25"/>
          <w:rFonts w:hint="eastAsia" w:ascii="仿宋" w:hAnsi="仿宋" w:eastAsia="仿宋"/>
          <w:b w:val="0"/>
          <w:bCs w:val="0"/>
        </w:rPr>
        <w:t>四、</w:t>
      </w:r>
      <w:r>
        <w:rPr>
          <w:rFonts w:hint="eastAsia" w:ascii="仿宋" w:hAnsi="仿宋" w:eastAsia="仿宋"/>
          <w:b w:val="0"/>
        </w:rPr>
        <w:t>财</w:t>
      </w:r>
      <w:r>
        <w:rPr>
          <w:rStyle w:val="25"/>
          <w:rFonts w:hint="eastAsia" w:ascii="仿宋" w:hAnsi="仿宋" w:eastAsia="仿宋"/>
          <w:b w:val="0"/>
          <w:bCs w:val="0"/>
        </w:rPr>
        <w:t>政拨款收入支出决算总表</w:t>
      </w:r>
      <w:bookmarkEnd w:id="104"/>
      <w:bookmarkEnd w:id="105"/>
    </w:p>
    <w:p>
      <w:pPr>
        <w:pStyle w:val="3"/>
        <w:rPr>
          <w:rStyle w:val="25"/>
          <w:rFonts w:ascii="仿宋" w:hAnsi="仿宋" w:eastAsia="仿宋"/>
          <w:b w:val="0"/>
          <w:bCs w:val="0"/>
        </w:rPr>
      </w:pPr>
      <w:bookmarkStart w:id="106" w:name="_Toc20366"/>
      <w:bookmarkStart w:id="107" w:name="_Toc15396623"/>
      <w:r>
        <w:rPr>
          <w:rStyle w:val="25"/>
          <w:rFonts w:hint="eastAsia" w:ascii="仿宋" w:hAnsi="仿宋" w:eastAsia="仿宋"/>
          <w:b w:val="0"/>
          <w:bCs w:val="0"/>
        </w:rPr>
        <w:t>五、</w:t>
      </w:r>
      <w:r>
        <w:rPr>
          <w:rFonts w:hint="eastAsia" w:ascii="仿宋" w:hAnsi="仿宋" w:eastAsia="仿宋"/>
          <w:b w:val="0"/>
        </w:rPr>
        <w:t>财</w:t>
      </w:r>
      <w:r>
        <w:rPr>
          <w:rStyle w:val="25"/>
          <w:rFonts w:hint="eastAsia" w:ascii="仿宋" w:hAnsi="仿宋" w:eastAsia="仿宋"/>
          <w:b w:val="0"/>
          <w:bCs w:val="0"/>
        </w:rPr>
        <w:t>政拨款支出决算明细表</w:t>
      </w:r>
      <w:bookmarkEnd w:id="106"/>
      <w:bookmarkEnd w:id="107"/>
      <w:bookmarkStart w:id="108" w:name="_Toc15396624"/>
    </w:p>
    <w:p>
      <w:pPr>
        <w:pStyle w:val="3"/>
        <w:rPr>
          <w:rFonts w:ascii="仿宋" w:hAnsi="仿宋" w:eastAsia="仿宋"/>
        </w:rPr>
      </w:pPr>
      <w:bookmarkStart w:id="109" w:name="_Toc30162"/>
      <w:r>
        <w:rPr>
          <w:rStyle w:val="25"/>
          <w:rFonts w:hint="eastAsia" w:ascii="仿宋" w:hAnsi="仿宋" w:eastAsia="仿宋"/>
          <w:b w:val="0"/>
          <w:bCs w:val="0"/>
        </w:rPr>
        <w:t>六、</w:t>
      </w:r>
      <w:r>
        <w:rPr>
          <w:rFonts w:hint="eastAsia" w:ascii="仿宋" w:hAnsi="仿宋" w:eastAsia="仿宋"/>
          <w:b w:val="0"/>
        </w:rPr>
        <w:t>一</w:t>
      </w:r>
      <w:r>
        <w:rPr>
          <w:rStyle w:val="25"/>
          <w:rFonts w:hint="eastAsia" w:ascii="仿宋" w:hAnsi="仿宋" w:eastAsia="仿宋"/>
          <w:b w:val="0"/>
          <w:bCs w:val="0"/>
        </w:rPr>
        <w:t>般公共预算财政拨款支出决算表</w:t>
      </w:r>
      <w:bookmarkEnd w:id="108"/>
      <w:bookmarkEnd w:id="109"/>
    </w:p>
    <w:p>
      <w:pPr>
        <w:pStyle w:val="3"/>
        <w:rPr>
          <w:rFonts w:ascii="仿宋" w:hAnsi="仿宋" w:eastAsia="仿宋"/>
        </w:rPr>
      </w:pPr>
      <w:bookmarkStart w:id="110" w:name="_Toc30701"/>
      <w:bookmarkStart w:id="111" w:name="_Toc15396625"/>
      <w:r>
        <w:rPr>
          <w:rStyle w:val="25"/>
          <w:rFonts w:hint="eastAsia" w:ascii="仿宋" w:hAnsi="仿宋" w:eastAsia="仿宋"/>
          <w:b w:val="0"/>
          <w:bCs w:val="0"/>
        </w:rPr>
        <w:t>七、</w:t>
      </w:r>
      <w:r>
        <w:rPr>
          <w:rFonts w:hint="eastAsia" w:ascii="仿宋" w:hAnsi="仿宋" w:eastAsia="仿宋"/>
          <w:b w:val="0"/>
        </w:rPr>
        <w:t>一</w:t>
      </w:r>
      <w:r>
        <w:rPr>
          <w:rStyle w:val="25"/>
          <w:rFonts w:hint="eastAsia" w:ascii="仿宋" w:hAnsi="仿宋" w:eastAsia="仿宋"/>
          <w:b w:val="0"/>
          <w:bCs w:val="0"/>
        </w:rPr>
        <w:t>般公共预算财政拨款支出决算明细表</w:t>
      </w:r>
      <w:bookmarkEnd w:id="110"/>
      <w:bookmarkEnd w:id="111"/>
    </w:p>
    <w:p>
      <w:pPr>
        <w:pStyle w:val="3"/>
        <w:rPr>
          <w:rFonts w:ascii="仿宋" w:hAnsi="仿宋" w:eastAsia="仿宋"/>
        </w:rPr>
      </w:pPr>
      <w:bookmarkStart w:id="112" w:name="_Toc15396626"/>
      <w:bookmarkStart w:id="113" w:name="_Toc7642"/>
      <w:r>
        <w:rPr>
          <w:rStyle w:val="25"/>
          <w:rFonts w:hint="eastAsia" w:ascii="仿宋" w:hAnsi="仿宋" w:eastAsia="仿宋"/>
          <w:b w:val="0"/>
          <w:bCs w:val="0"/>
        </w:rPr>
        <w:t>八、</w:t>
      </w:r>
      <w:r>
        <w:rPr>
          <w:rFonts w:hint="eastAsia" w:ascii="仿宋" w:hAnsi="仿宋" w:eastAsia="仿宋"/>
          <w:b w:val="0"/>
        </w:rPr>
        <w:t>一</w:t>
      </w:r>
      <w:r>
        <w:rPr>
          <w:rStyle w:val="25"/>
          <w:rFonts w:hint="eastAsia" w:ascii="仿宋" w:hAnsi="仿宋" w:eastAsia="仿宋"/>
          <w:b w:val="0"/>
          <w:bCs w:val="0"/>
        </w:rPr>
        <w:t>般公共预算财政拨款基本支出决算表</w:t>
      </w:r>
      <w:bookmarkEnd w:id="112"/>
      <w:bookmarkEnd w:id="113"/>
    </w:p>
    <w:p>
      <w:pPr>
        <w:pStyle w:val="3"/>
        <w:rPr>
          <w:rFonts w:ascii="仿宋" w:hAnsi="仿宋" w:eastAsia="仿宋"/>
        </w:rPr>
      </w:pPr>
      <w:bookmarkStart w:id="114" w:name="_Toc18057"/>
      <w:bookmarkStart w:id="115" w:name="_Toc15396627"/>
      <w:r>
        <w:rPr>
          <w:rStyle w:val="25"/>
          <w:rFonts w:hint="eastAsia" w:ascii="仿宋" w:hAnsi="仿宋" w:eastAsia="仿宋"/>
          <w:b w:val="0"/>
          <w:bCs w:val="0"/>
        </w:rPr>
        <w:t>九、</w:t>
      </w:r>
      <w:r>
        <w:rPr>
          <w:rFonts w:hint="eastAsia" w:ascii="仿宋" w:hAnsi="仿宋" w:eastAsia="仿宋"/>
          <w:b w:val="0"/>
        </w:rPr>
        <w:t>一</w:t>
      </w:r>
      <w:r>
        <w:rPr>
          <w:rStyle w:val="25"/>
          <w:rFonts w:hint="eastAsia" w:ascii="仿宋" w:hAnsi="仿宋" w:eastAsia="仿宋"/>
          <w:b w:val="0"/>
          <w:bCs w:val="0"/>
        </w:rPr>
        <w:t>般公共预算财政拨款项目支出决算表</w:t>
      </w:r>
      <w:bookmarkEnd w:id="114"/>
      <w:bookmarkEnd w:id="115"/>
    </w:p>
    <w:p>
      <w:pPr>
        <w:pStyle w:val="3"/>
        <w:rPr>
          <w:rFonts w:ascii="仿宋" w:hAnsi="仿宋" w:eastAsia="仿宋"/>
        </w:rPr>
      </w:pPr>
      <w:bookmarkStart w:id="116" w:name="_Toc15396628"/>
      <w:bookmarkStart w:id="117" w:name="_Toc24459"/>
      <w:r>
        <w:rPr>
          <w:rStyle w:val="25"/>
          <w:rFonts w:hint="eastAsia" w:ascii="仿宋" w:hAnsi="仿宋" w:eastAsia="仿宋"/>
          <w:b w:val="0"/>
          <w:bCs w:val="0"/>
        </w:rPr>
        <w:t>十、</w:t>
      </w:r>
      <w:r>
        <w:rPr>
          <w:rFonts w:hint="eastAsia" w:ascii="仿宋" w:hAnsi="仿宋" w:eastAsia="仿宋"/>
          <w:b w:val="0"/>
        </w:rPr>
        <w:t>一</w:t>
      </w:r>
      <w:r>
        <w:rPr>
          <w:rStyle w:val="25"/>
          <w:rFonts w:hint="eastAsia" w:ascii="仿宋" w:hAnsi="仿宋" w:eastAsia="仿宋"/>
          <w:b w:val="0"/>
          <w:bCs w:val="0"/>
        </w:rPr>
        <w:t>般公共预算财政拨款“三公”经费支出决算表</w:t>
      </w:r>
      <w:bookmarkEnd w:id="116"/>
      <w:bookmarkEnd w:id="117"/>
    </w:p>
    <w:p>
      <w:pPr>
        <w:pStyle w:val="3"/>
        <w:rPr>
          <w:rFonts w:ascii="仿宋" w:hAnsi="仿宋" w:eastAsia="仿宋"/>
        </w:rPr>
      </w:pPr>
      <w:bookmarkStart w:id="118" w:name="_Toc29705"/>
      <w:bookmarkStart w:id="119" w:name="_Toc15396629"/>
      <w:r>
        <w:rPr>
          <w:rStyle w:val="25"/>
          <w:rFonts w:hint="eastAsia" w:ascii="仿宋" w:hAnsi="仿宋" w:eastAsia="仿宋"/>
          <w:b w:val="0"/>
          <w:bCs w:val="0"/>
        </w:rPr>
        <w:t>十一、</w:t>
      </w:r>
      <w:r>
        <w:rPr>
          <w:rFonts w:hint="eastAsia" w:ascii="仿宋" w:hAnsi="仿宋" w:eastAsia="仿宋"/>
          <w:b w:val="0"/>
        </w:rPr>
        <w:t>政</w:t>
      </w:r>
      <w:r>
        <w:rPr>
          <w:rStyle w:val="25"/>
          <w:rFonts w:hint="eastAsia" w:ascii="仿宋" w:hAnsi="仿宋" w:eastAsia="仿宋"/>
          <w:b w:val="0"/>
          <w:bCs w:val="0"/>
        </w:rPr>
        <w:t>府性基金预算财政拨款收入支出决算表</w:t>
      </w:r>
      <w:bookmarkEnd w:id="118"/>
      <w:bookmarkEnd w:id="119"/>
    </w:p>
    <w:p>
      <w:pPr>
        <w:pStyle w:val="3"/>
        <w:rPr>
          <w:rFonts w:ascii="仿宋" w:hAnsi="仿宋" w:eastAsia="仿宋"/>
        </w:rPr>
      </w:pPr>
      <w:bookmarkStart w:id="120" w:name="_Toc15396630"/>
      <w:bookmarkStart w:id="121" w:name="_Toc3569"/>
      <w:r>
        <w:rPr>
          <w:rStyle w:val="25"/>
          <w:rFonts w:hint="eastAsia" w:ascii="仿宋" w:hAnsi="仿宋" w:eastAsia="仿宋"/>
          <w:b w:val="0"/>
          <w:bCs w:val="0"/>
        </w:rPr>
        <w:t>十二、</w:t>
      </w:r>
      <w:r>
        <w:rPr>
          <w:rFonts w:hint="eastAsia" w:ascii="仿宋" w:hAnsi="仿宋" w:eastAsia="仿宋"/>
          <w:b w:val="0"/>
        </w:rPr>
        <w:t>政</w:t>
      </w:r>
      <w:r>
        <w:rPr>
          <w:rStyle w:val="25"/>
          <w:rFonts w:hint="eastAsia" w:ascii="仿宋" w:hAnsi="仿宋" w:eastAsia="仿宋"/>
          <w:b w:val="0"/>
          <w:bCs w:val="0"/>
        </w:rPr>
        <w:t>府性基金预算财政拨款“三公”经费支出决算表</w:t>
      </w:r>
      <w:bookmarkEnd w:id="120"/>
      <w:bookmarkEnd w:id="121"/>
    </w:p>
    <w:p>
      <w:pPr>
        <w:pStyle w:val="3"/>
        <w:rPr>
          <w:rStyle w:val="25"/>
          <w:rFonts w:ascii="仿宋" w:hAnsi="仿宋" w:eastAsia="仿宋"/>
          <w:b w:val="0"/>
          <w:bCs w:val="0"/>
        </w:rPr>
      </w:pPr>
      <w:bookmarkStart w:id="122" w:name="_Toc15396631"/>
      <w:bookmarkStart w:id="123" w:name="_Toc6212"/>
      <w:r>
        <w:rPr>
          <w:rStyle w:val="25"/>
          <w:rFonts w:hint="eastAsia" w:ascii="仿宋" w:hAnsi="仿宋" w:eastAsia="仿宋"/>
          <w:b w:val="0"/>
          <w:bCs w:val="0"/>
        </w:rPr>
        <w:t>十三、</w:t>
      </w:r>
      <w:r>
        <w:rPr>
          <w:rFonts w:hint="eastAsia" w:ascii="仿宋" w:hAnsi="仿宋" w:eastAsia="仿宋"/>
          <w:b w:val="0"/>
        </w:rPr>
        <w:t>国</w:t>
      </w:r>
      <w:r>
        <w:rPr>
          <w:rStyle w:val="25"/>
          <w:rFonts w:hint="eastAsia" w:ascii="仿宋" w:hAnsi="仿宋" w:eastAsia="仿宋"/>
          <w:b w:val="0"/>
          <w:bCs w:val="0"/>
        </w:rPr>
        <w:t>有资本经营预算财政拨款收入支出决算表</w:t>
      </w:r>
      <w:bookmarkEnd w:id="122"/>
      <w:bookmarkEnd w:id="123"/>
    </w:p>
    <w:p>
      <w:pPr>
        <w:rPr>
          <w:rFonts w:eastAsia="仿宋"/>
        </w:rPr>
      </w:pPr>
      <w:bookmarkStart w:id="124" w:name="_Toc5787"/>
      <w:r>
        <w:rPr>
          <w:rStyle w:val="25"/>
          <w:rFonts w:hint="eastAsia" w:ascii="仿宋" w:hAnsi="仿宋" w:eastAsia="仿宋"/>
          <w:b w:val="0"/>
          <w:bCs w:val="0"/>
        </w:rPr>
        <w:t>十四、国有资本经营预算财政拨款支出决算表</w:t>
      </w:r>
      <w:bookmarkEnd w:id="124"/>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18</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3676075C"/>
    <w:multiLevelType w:val="multilevel"/>
    <w:tmpl w:val="3676075C"/>
    <w:lvl w:ilvl="0" w:tentative="0">
      <w:start w:val="1"/>
      <w:numFmt w:val="japaneseCounting"/>
      <w:lvlText w:val="%1、"/>
      <w:lvlJc w:val="left"/>
      <w:pPr>
        <w:ind w:left="660" w:hanging="6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IyOWJjNTQyNDE5N2UxZDEwOGU1MDZkMzhiMmU0ZjUifQ=="/>
  </w:docVars>
  <w:rsids>
    <w:rsidRoot w:val="00F1361C"/>
    <w:rsid w:val="00017955"/>
    <w:rsid w:val="000222C6"/>
    <w:rsid w:val="0002549F"/>
    <w:rsid w:val="000468DB"/>
    <w:rsid w:val="0006487A"/>
    <w:rsid w:val="00065F8F"/>
    <w:rsid w:val="00070A43"/>
    <w:rsid w:val="000768F2"/>
    <w:rsid w:val="00083451"/>
    <w:rsid w:val="0009184B"/>
    <w:rsid w:val="00094236"/>
    <w:rsid w:val="0009593C"/>
    <w:rsid w:val="00097322"/>
    <w:rsid w:val="000A4E8A"/>
    <w:rsid w:val="000A6A92"/>
    <w:rsid w:val="000B047F"/>
    <w:rsid w:val="000B5923"/>
    <w:rsid w:val="000B5A48"/>
    <w:rsid w:val="000B6FF3"/>
    <w:rsid w:val="000C3467"/>
    <w:rsid w:val="000C3CA6"/>
    <w:rsid w:val="000D1267"/>
    <w:rsid w:val="000D1D50"/>
    <w:rsid w:val="000D5782"/>
    <w:rsid w:val="000E6613"/>
    <w:rsid w:val="000E7119"/>
    <w:rsid w:val="00112DAF"/>
    <w:rsid w:val="00114E9B"/>
    <w:rsid w:val="00142216"/>
    <w:rsid w:val="00144D6A"/>
    <w:rsid w:val="0014729F"/>
    <w:rsid w:val="00157BAB"/>
    <w:rsid w:val="00162119"/>
    <w:rsid w:val="001654D1"/>
    <w:rsid w:val="00174518"/>
    <w:rsid w:val="0018106D"/>
    <w:rsid w:val="001877A7"/>
    <w:rsid w:val="00191536"/>
    <w:rsid w:val="00196687"/>
    <w:rsid w:val="001969E1"/>
    <w:rsid w:val="001B5C60"/>
    <w:rsid w:val="001C0962"/>
    <w:rsid w:val="001C481C"/>
    <w:rsid w:val="001C5D99"/>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87FD2"/>
    <w:rsid w:val="00294DC9"/>
    <w:rsid w:val="00295495"/>
    <w:rsid w:val="002A31DE"/>
    <w:rsid w:val="002B2613"/>
    <w:rsid w:val="002D6D05"/>
    <w:rsid w:val="002F1818"/>
    <w:rsid w:val="002F567B"/>
    <w:rsid w:val="003009AE"/>
    <w:rsid w:val="00313179"/>
    <w:rsid w:val="00314630"/>
    <w:rsid w:val="003216A9"/>
    <w:rsid w:val="0032305B"/>
    <w:rsid w:val="0033279C"/>
    <w:rsid w:val="00335A74"/>
    <w:rsid w:val="003523E3"/>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E7F3D"/>
    <w:rsid w:val="00406254"/>
    <w:rsid w:val="00414D34"/>
    <w:rsid w:val="004223DE"/>
    <w:rsid w:val="00425C0F"/>
    <w:rsid w:val="00434489"/>
    <w:rsid w:val="00437085"/>
    <w:rsid w:val="00443880"/>
    <w:rsid w:val="004464F4"/>
    <w:rsid w:val="00471401"/>
    <w:rsid w:val="00473F31"/>
    <w:rsid w:val="00473FFA"/>
    <w:rsid w:val="0048263A"/>
    <w:rsid w:val="00487E5D"/>
    <w:rsid w:val="004A711F"/>
    <w:rsid w:val="004B199D"/>
    <w:rsid w:val="004B4690"/>
    <w:rsid w:val="004C3FCF"/>
    <w:rsid w:val="004E0A2D"/>
    <w:rsid w:val="004E206B"/>
    <w:rsid w:val="004E6DF7"/>
    <w:rsid w:val="004F0FBD"/>
    <w:rsid w:val="00505A47"/>
    <w:rsid w:val="00512FDA"/>
    <w:rsid w:val="00520DA0"/>
    <w:rsid w:val="005240BF"/>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75A50"/>
    <w:rsid w:val="00681A31"/>
    <w:rsid w:val="00683E73"/>
    <w:rsid w:val="006A3141"/>
    <w:rsid w:val="006A5E34"/>
    <w:rsid w:val="006B2422"/>
    <w:rsid w:val="006B2B9A"/>
    <w:rsid w:val="006C1937"/>
    <w:rsid w:val="006C5456"/>
    <w:rsid w:val="006F020C"/>
    <w:rsid w:val="007127B7"/>
    <w:rsid w:val="0071798E"/>
    <w:rsid w:val="007416B6"/>
    <w:rsid w:val="007456D3"/>
    <w:rsid w:val="00746F48"/>
    <w:rsid w:val="0075404D"/>
    <w:rsid w:val="0076182A"/>
    <w:rsid w:val="00767B7E"/>
    <w:rsid w:val="007770C3"/>
    <w:rsid w:val="00784D24"/>
    <w:rsid w:val="00785FBA"/>
    <w:rsid w:val="00786E4A"/>
    <w:rsid w:val="007875EB"/>
    <w:rsid w:val="0079426B"/>
    <w:rsid w:val="007B74FF"/>
    <w:rsid w:val="007D1682"/>
    <w:rsid w:val="007D312A"/>
    <w:rsid w:val="007D3F19"/>
    <w:rsid w:val="007E23B0"/>
    <w:rsid w:val="007E23E5"/>
    <w:rsid w:val="007F1991"/>
    <w:rsid w:val="007F2C2F"/>
    <w:rsid w:val="007F55FC"/>
    <w:rsid w:val="007F5665"/>
    <w:rsid w:val="00800112"/>
    <w:rsid w:val="00813348"/>
    <w:rsid w:val="008170B2"/>
    <w:rsid w:val="008253BB"/>
    <w:rsid w:val="0083706E"/>
    <w:rsid w:val="008408F6"/>
    <w:rsid w:val="008423A5"/>
    <w:rsid w:val="008505E2"/>
    <w:rsid w:val="00850625"/>
    <w:rsid w:val="00853718"/>
    <w:rsid w:val="00855221"/>
    <w:rsid w:val="00860645"/>
    <w:rsid w:val="00871F71"/>
    <w:rsid w:val="008723D9"/>
    <w:rsid w:val="00872FD8"/>
    <w:rsid w:val="00885AF4"/>
    <w:rsid w:val="008939CD"/>
    <w:rsid w:val="008B768C"/>
    <w:rsid w:val="008C4DB1"/>
    <w:rsid w:val="008C4EAF"/>
    <w:rsid w:val="008C5176"/>
    <w:rsid w:val="008C51C2"/>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15C4"/>
    <w:rsid w:val="009A1928"/>
    <w:rsid w:val="009A2743"/>
    <w:rsid w:val="009B2C43"/>
    <w:rsid w:val="009B4EAE"/>
    <w:rsid w:val="009B7573"/>
    <w:rsid w:val="009C22F4"/>
    <w:rsid w:val="009C2A4B"/>
    <w:rsid w:val="009C2E98"/>
    <w:rsid w:val="009D3447"/>
    <w:rsid w:val="009D4711"/>
    <w:rsid w:val="009E1F9A"/>
    <w:rsid w:val="009E41CD"/>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24826"/>
    <w:rsid w:val="00B310B9"/>
    <w:rsid w:val="00B35B86"/>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129A8"/>
    <w:rsid w:val="00C15866"/>
    <w:rsid w:val="00C33E72"/>
    <w:rsid w:val="00C354B2"/>
    <w:rsid w:val="00C35554"/>
    <w:rsid w:val="00C42709"/>
    <w:rsid w:val="00C50A2B"/>
    <w:rsid w:val="00C533CC"/>
    <w:rsid w:val="00C5751C"/>
    <w:rsid w:val="00C5798E"/>
    <w:rsid w:val="00C61BFC"/>
    <w:rsid w:val="00C61F10"/>
    <w:rsid w:val="00C62B85"/>
    <w:rsid w:val="00C65438"/>
    <w:rsid w:val="00C87FD8"/>
    <w:rsid w:val="00C91381"/>
    <w:rsid w:val="00C91CBB"/>
    <w:rsid w:val="00CA23E7"/>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64BAB"/>
    <w:rsid w:val="00D7035F"/>
    <w:rsid w:val="00DA144A"/>
    <w:rsid w:val="00DA634F"/>
    <w:rsid w:val="00DA65AC"/>
    <w:rsid w:val="00DB1913"/>
    <w:rsid w:val="00DC410D"/>
    <w:rsid w:val="00DC5A81"/>
    <w:rsid w:val="00DC68CA"/>
    <w:rsid w:val="00DC7CBA"/>
    <w:rsid w:val="00DD73B7"/>
    <w:rsid w:val="00DE7AEC"/>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571AE"/>
    <w:rsid w:val="00F602DF"/>
    <w:rsid w:val="00F630E2"/>
    <w:rsid w:val="00F754A1"/>
    <w:rsid w:val="00F81FD9"/>
    <w:rsid w:val="00F841AA"/>
    <w:rsid w:val="00F84A94"/>
    <w:rsid w:val="00F87E96"/>
    <w:rsid w:val="00FA23E8"/>
    <w:rsid w:val="00FD3CC1"/>
    <w:rsid w:val="00FE1DC0"/>
    <w:rsid w:val="00FF1E02"/>
    <w:rsid w:val="00FF30B4"/>
    <w:rsid w:val="020F3749"/>
    <w:rsid w:val="09577F1B"/>
    <w:rsid w:val="0A2032A3"/>
    <w:rsid w:val="0B8A37D8"/>
    <w:rsid w:val="10C055FF"/>
    <w:rsid w:val="118107EC"/>
    <w:rsid w:val="11DD6519"/>
    <w:rsid w:val="160537C0"/>
    <w:rsid w:val="16BB723D"/>
    <w:rsid w:val="18015F3F"/>
    <w:rsid w:val="1BE8440E"/>
    <w:rsid w:val="1D155CEE"/>
    <w:rsid w:val="1FB61240"/>
    <w:rsid w:val="20F57F95"/>
    <w:rsid w:val="240371BF"/>
    <w:rsid w:val="25C741E6"/>
    <w:rsid w:val="27842671"/>
    <w:rsid w:val="29FD04D3"/>
    <w:rsid w:val="2A1E196F"/>
    <w:rsid w:val="2ABE7A3E"/>
    <w:rsid w:val="2EFA178C"/>
    <w:rsid w:val="30B46D73"/>
    <w:rsid w:val="319F7F4E"/>
    <w:rsid w:val="35676793"/>
    <w:rsid w:val="39AE70AB"/>
    <w:rsid w:val="3C0C0783"/>
    <w:rsid w:val="3F147645"/>
    <w:rsid w:val="3F4935F1"/>
    <w:rsid w:val="3F9F3A96"/>
    <w:rsid w:val="411D1605"/>
    <w:rsid w:val="43B869B3"/>
    <w:rsid w:val="493C27E9"/>
    <w:rsid w:val="496F39ED"/>
    <w:rsid w:val="49FF41D3"/>
    <w:rsid w:val="4BE068DB"/>
    <w:rsid w:val="4BF6002B"/>
    <w:rsid w:val="4DBE200F"/>
    <w:rsid w:val="4ECE2238"/>
    <w:rsid w:val="51DB4B86"/>
    <w:rsid w:val="533C77DC"/>
    <w:rsid w:val="55333C3E"/>
    <w:rsid w:val="57F64043"/>
    <w:rsid w:val="585549AC"/>
    <w:rsid w:val="5E3C312B"/>
    <w:rsid w:val="61874564"/>
    <w:rsid w:val="64CA39A1"/>
    <w:rsid w:val="6BA02A3F"/>
    <w:rsid w:val="6BB05C9C"/>
    <w:rsid w:val="6C4A05C8"/>
    <w:rsid w:val="6D1D2CC3"/>
    <w:rsid w:val="72734D90"/>
    <w:rsid w:val="728E539F"/>
    <w:rsid w:val="73DC5EE2"/>
    <w:rsid w:val="742C4E6F"/>
    <w:rsid w:val="79E7B28D"/>
    <w:rsid w:val="7E3808B5"/>
    <w:rsid w:val="7F062761"/>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semiHidden/>
    <w:qFormat/>
    <w:locked/>
    <w:uiPriority w:val="99"/>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5"/>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34"/>
    <w:pPr>
      <w:ind w:firstLine="420" w:firstLineChars="200"/>
    </w:pPr>
  </w:style>
  <w:style w:type="character" w:customStyle="1" w:styleId="24">
    <w:name w:val="标题 1 Char"/>
    <w:basedOn w:val="13"/>
    <w:link w:val="2"/>
    <w:qFormat/>
    <w:uiPriority w:val="9"/>
    <w:rPr>
      <w:rFonts w:ascii="Times New Roman" w:hAnsi="Times New Roman"/>
      <w:b/>
      <w:bCs/>
      <w:kern w:val="44"/>
      <w:sz w:val="44"/>
      <w:szCs w:val="44"/>
    </w:rPr>
  </w:style>
  <w:style w:type="character" w:customStyle="1" w:styleId="25">
    <w:name w:val="标题 2 Char"/>
    <w:basedOn w:val="13"/>
    <w:link w:val="3"/>
    <w:qFormat/>
    <w:uiPriority w:val="9"/>
    <w:rPr>
      <w:rFonts w:asciiTheme="majorHAnsi" w:hAnsiTheme="majorHAnsi" w:eastAsiaTheme="majorEastAsia" w:cstheme="majorBidi"/>
      <w:b/>
      <w:bCs/>
      <w:kern w:val="2"/>
      <w:sz w:val="32"/>
      <w:szCs w:val="32"/>
    </w:rPr>
  </w:style>
  <w:style w:type="paragraph" w:customStyle="1" w:styleId="26">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4"/>
    <w:qFormat/>
    <w:uiPriority w:val="9"/>
    <w:rPr>
      <w:rFonts w:ascii="Times New Roman" w:hAnsi="Times New Roman"/>
      <w:b/>
      <w:bCs/>
      <w:kern w:val="2"/>
      <w:sz w:val="32"/>
      <w:szCs w:val="32"/>
    </w:rPr>
  </w:style>
  <w:style w:type="paragraph" w:customStyle="1" w:styleId="29">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0">
    <w:name w:val="TOC 标题3"/>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chart" Target="charts/chart9.xml"/><Relationship Id="rId13" Type="http://schemas.openxmlformats.org/officeDocument/2006/relationships/chart" Target="charts/chart8.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8.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9.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8.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9.xml.rels><?xml version="1.0" encoding="UTF-8" standalone="yes"?>
<Relationships xmlns="http://schemas.openxmlformats.org/package/2006/relationships"><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40073519035927"/>
          <c:y val="0.0202019908801725"/>
        </c:manualLayout>
      </c:layout>
      <c:overlay val="0"/>
      <c:spPr>
        <a:noFill/>
        <a:ln>
          <a:noFill/>
        </a:ln>
        <a:effectLst/>
      </c:spPr>
      <c:txPr>
        <a:bodyPr rot="0" spcFirstLastPara="0" vertOverflow="ellipsis" vert="horz" wrap="square" anchor="ctr" anchorCtr="1"/>
        <a:lstStyle/>
        <a:p>
          <a:pPr>
            <a:defRPr lang="zh-CN" sz="1800" b="0" i="0" u="none" strike="noStrike" kern="1200" baseline="0">
              <a:solidFill>
                <a:schemeClr val="dk1">
                  <a:lumMod val="65000"/>
                  <a:lumOff val="35000"/>
                </a:schemeClr>
              </a:solidFill>
              <a:effectLst/>
              <a:latin typeface="+mn-lt"/>
              <a:ea typeface="+mn-ea"/>
              <a:cs typeface="+mn-cs"/>
            </a:defRPr>
          </a:pPr>
        </a:p>
      </c:txPr>
    </c:title>
    <c:autoTitleDeleted val="0"/>
    <c:plotArea>
      <c:layout/>
      <c:barChart>
        <c:barDir val="col"/>
        <c:grouping val="clustered"/>
        <c:varyColors val="0"/>
        <c:ser>
          <c:idx val="0"/>
          <c:order val="0"/>
          <c:tx>
            <c:strRef>
              <c:f>Sheet1!$B$1</c:f>
              <c:strCache>
                <c:ptCount val="1"/>
                <c:pt idx="0">
                  <c:v>本年收入</c:v>
                </c:pt>
              </c:strCache>
            </c:strRef>
          </c:tx>
          <c:spPr>
            <a:gradFill>
              <a:gsLst>
                <a:gs pos="0">
                  <a:schemeClr val="accent3"/>
                </a:gs>
                <a:gs pos="100000">
                  <a:schemeClr val="accent3">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dk1">
                          <a:lumMod val="50000"/>
                          <a:lumOff val="50000"/>
                        </a:schemeClr>
                      </a:solidFill>
                      <a:prstDash val="solid"/>
                      <a:round/>
                    </a:ln>
                    <a:effectLst/>
                  </c:spPr>
                </c15:leaderLines>
              </c:ext>
            </c:extLst>
          </c:dLbls>
          <c:cat>
            <c:strRef>
              <c:f>Sheet1!$A$2:$A$3</c:f>
              <c:strCache>
                <c:ptCount val="2"/>
                <c:pt idx="0">
                  <c:v>2020年</c:v>
                </c:pt>
                <c:pt idx="1">
                  <c:v>2021年</c:v>
                </c:pt>
              </c:strCache>
            </c:strRef>
          </c:cat>
          <c:val>
            <c:numRef>
              <c:f>Sheet1!$B$2:$B$3</c:f>
              <c:numCache>
                <c:formatCode>General</c:formatCode>
                <c:ptCount val="2"/>
                <c:pt idx="0">
                  <c:v>520.01</c:v>
                </c:pt>
                <c:pt idx="1">
                  <c:v>640.839999999998</c:v>
                </c:pt>
              </c:numCache>
            </c:numRef>
          </c:val>
        </c:ser>
        <c:dLbls>
          <c:showLegendKey val="0"/>
          <c:showVal val="1"/>
          <c:showCatName val="0"/>
          <c:showSerName val="0"/>
          <c:showPercent val="0"/>
          <c:showBubbleSize val="0"/>
        </c:dLbls>
        <c:gapWidth val="41"/>
        <c:axId val="47358720"/>
        <c:axId val="68650880"/>
      </c:barChart>
      <c:catAx>
        <c:axId val="47358720"/>
        <c:scaling>
          <c:orientation val="minMax"/>
        </c:scaling>
        <c:delete val="0"/>
        <c:axPos val="b"/>
        <c:numFmt formatCode="General" sourceLinked="1"/>
        <c:majorTickMark val="out"/>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dk1">
                    <a:lumMod val="65000"/>
                    <a:lumOff val="35000"/>
                  </a:schemeClr>
                </a:solidFill>
                <a:effectLst/>
                <a:latin typeface="+mn-lt"/>
                <a:ea typeface="+mn-ea"/>
                <a:cs typeface="+mn-cs"/>
              </a:defRPr>
            </a:pPr>
          </a:p>
        </c:txPr>
        <c:crossAx val="68650880"/>
        <c:crosses val="autoZero"/>
        <c:auto val="1"/>
        <c:lblAlgn val="ctr"/>
        <c:lblOffset val="100"/>
        <c:noMultiLvlLbl val="0"/>
      </c:catAx>
      <c:valAx>
        <c:axId val="68650880"/>
        <c:scaling>
          <c:orientation val="minMax"/>
        </c:scaling>
        <c:delete val="1"/>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47358720"/>
        <c:crosses val="autoZero"/>
        <c:crossBetween val="between"/>
      </c:valAx>
      <c:spPr>
        <a:no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gradFill>
    <a:ln w="9525" cap="flat" cmpd="sng" algn="ctr">
      <a:solidFill>
        <a:schemeClr val="dk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36208781344036"/>
          <c:y val="0.0390689409917481"/>
        </c:manualLayout>
      </c:layout>
      <c:overlay val="0"/>
      <c:spPr>
        <a:noFill/>
        <a:ln>
          <a:noFill/>
        </a:ln>
        <a:effectLst/>
      </c:spPr>
      <c:txPr>
        <a:bodyPr rot="0" spcFirstLastPara="0" vertOverflow="ellipsis" vert="horz" wrap="square" anchor="ctr" anchorCtr="1"/>
        <a:lstStyle/>
        <a:p>
          <a:pPr>
            <a:defRPr lang="zh-CN" sz="1800" b="0" i="0" u="none" strike="noStrike" kern="1200" baseline="0">
              <a:solidFill>
                <a:schemeClr val="dk1">
                  <a:lumMod val="65000"/>
                  <a:lumOff val="35000"/>
                </a:schemeClr>
              </a:solidFill>
              <a:effectLst/>
              <a:latin typeface="+mn-lt"/>
              <a:ea typeface="+mn-ea"/>
              <a:cs typeface="+mn-cs"/>
            </a:defRPr>
          </a:pPr>
        </a:p>
      </c:txPr>
    </c:title>
    <c:autoTitleDeleted val="0"/>
    <c:plotArea>
      <c:layout>
        <c:manualLayout>
          <c:layoutTarget val="inner"/>
          <c:xMode val="edge"/>
          <c:yMode val="edge"/>
          <c:x val="0.1453208571968"/>
          <c:y val="0.189494207952593"/>
          <c:w val="0.781039215959092"/>
          <c:h val="0.700035131283947"/>
        </c:manualLayout>
      </c:layout>
      <c:barChart>
        <c:barDir val="col"/>
        <c:grouping val="clustered"/>
        <c:varyColors val="0"/>
        <c:ser>
          <c:idx val="0"/>
          <c:order val="0"/>
          <c:tx>
            <c:strRef>
              <c:f>Sheet1!$B$1</c:f>
              <c:strCache>
                <c:ptCount val="1"/>
                <c:pt idx="0">
                  <c:v>本年支出</c:v>
                </c:pt>
              </c:strCache>
            </c:strRef>
          </c:tx>
          <c:spPr>
            <a:gradFill>
              <a:gsLst>
                <a:gs pos="0">
                  <a:schemeClr val="accent1"/>
                </a:gs>
                <a:gs pos="100000">
                  <a:schemeClr val="accent1">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dk1">
                          <a:lumMod val="50000"/>
                          <a:lumOff val="50000"/>
                        </a:schemeClr>
                      </a:solidFill>
                      <a:prstDash val="solid"/>
                      <a:round/>
                    </a:ln>
                    <a:effectLst/>
                  </c:spPr>
                </c15:leaderLines>
              </c:ext>
            </c:extLst>
          </c:dLbls>
          <c:cat>
            <c:strRef>
              <c:f>Sheet1!$A$2:$A$3</c:f>
              <c:strCache>
                <c:ptCount val="2"/>
                <c:pt idx="0">
                  <c:v>2020年</c:v>
                </c:pt>
                <c:pt idx="1">
                  <c:v>2021年</c:v>
                </c:pt>
              </c:strCache>
            </c:strRef>
          </c:cat>
          <c:val>
            <c:numRef>
              <c:f>Sheet1!$B$2:$B$3</c:f>
              <c:numCache>
                <c:formatCode>General</c:formatCode>
                <c:ptCount val="2"/>
                <c:pt idx="0">
                  <c:v>520.01</c:v>
                </c:pt>
                <c:pt idx="1">
                  <c:v>640.839999999998</c:v>
                </c:pt>
              </c:numCache>
            </c:numRef>
          </c:val>
        </c:ser>
        <c:dLbls>
          <c:showLegendKey val="0"/>
          <c:showVal val="1"/>
          <c:showCatName val="0"/>
          <c:showSerName val="0"/>
          <c:showPercent val="0"/>
          <c:showBubbleSize val="0"/>
        </c:dLbls>
        <c:gapWidth val="41"/>
        <c:axId val="70823296"/>
        <c:axId val="70837376"/>
      </c:barChart>
      <c:catAx>
        <c:axId val="70823296"/>
        <c:scaling>
          <c:orientation val="minMax"/>
        </c:scaling>
        <c:delete val="0"/>
        <c:axPos val="b"/>
        <c:majorTickMark val="out"/>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dk1">
                    <a:lumMod val="65000"/>
                    <a:lumOff val="35000"/>
                  </a:schemeClr>
                </a:solidFill>
                <a:effectLst/>
                <a:latin typeface="+mn-lt"/>
                <a:ea typeface="+mn-ea"/>
                <a:cs typeface="+mn-cs"/>
              </a:defRPr>
            </a:pPr>
          </a:p>
        </c:txPr>
        <c:crossAx val="70837376"/>
        <c:crosses val="autoZero"/>
        <c:auto val="1"/>
        <c:lblAlgn val="ctr"/>
        <c:lblOffset val="100"/>
        <c:noMultiLvlLbl val="0"/>
      </c:catAx>
      <c:valAx>
        <c:axId val="70837376"/>
        <c:scaling>
          <c:orientation val="minMax"/>
        </c:scaling>
        <c:delete val="1"/>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0823296"/>
        <c:crosses val="autoZero"/>
        <c:crossBetween val="between"/>
      </c:valAx>
      <c:spPr>
        <a:no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gradFill>
    <a:ln w="9525" cap="flat" cmpd="sng" algn="ctr">
      <a:solidFill>
        <a:schemeClr val="dk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800" b="1" i="0" u="none" strike="noStrike" kern="1200" baseline="0">
              <a:solidFill>
                <a:schemeClr val="dk1">
                  <a:lumMod val="75000"/>
                  <a:lumOff val="25000"/>
                </a:schemeClr>
              </a:solidFill>
              <a:latin typeface="+mn-lt"/>
              <a:ea typeface="+mn-ea"/>
              <a:cs typeface="+mn-cs"/>
            </a:defRPr>
          </a:pPr>
        </a:p>
      </c:txPr>
    </c:title>
    <c:autoTitleDeleted val="0"/>
    <c:plotArea>
      <c:layout>
        <c:manualLayout>
          <c:layoutTarget val="inner"/>
          <c:xMode val="edge"/>
          <c:yMode val="edge"/>
          <c:x val="0.123815963807213"/>
          <c:y val="0.117267270733351"/>
          <c:w val="0.451714507325973"/>
          <c:h val="0.775375368736119"/>
        </c:manualLayout>
      </c:layout>
      <c:pieChart>
        <c:varyColors val="1"/>
        <c:ser>
          <c:idx val="0"/>
          <c:order val="0"/>
          <c:tx>
            <c:strRef>
              <c:f>Sheet1!$B$1</c:f>
              <c:strCache>
                <c:ptCount val="1"/>
                <c:pt idx="0">
                  <c:v>本年收入</c:v>
                </c:pt>
              </c:strCache>
            </c:strRef>
          </c:tx>
          <c:explosion val="4"/>
          <c:dPt>
            <c:idx val="0"/>
            <c:bubble3D val="0"/>
            <c:spPr>
              <a:solidFill>
                <a:schemeClr val="accent1"/>
              </a:solidFill>
              <a:ln>
                <a:noFill/>
              </a:ln>
              <a:effectLst>
                <a:outerShdw blurRad="254000" sx="102000" sy="102000" algn="ctr" rotWithShape="0">
                  <a:prstClr val="black">
                    <a:alpha val="20000"/>
                  </a:prstClr>
                </a:outerShdw>
              </a:effectLst>
            </c:spPr>
          </c:dPt>
          <c:dPt>
            <c:idx val="1"/>
            <c:bubble3D val="0"/>
            <c:spPr>
              <a:solidFill>
                <a:schemeClr val="accent2"/>
              </a:solidFill>
              <a:ln>
                <a:noFill/>
              </a:ln>
              <a:effectLst>
                <a:outerShdw blurRad="254000" sx="102000" sy="102000" algn="ctr" rotWithShape="0">
                  <a:prstClr val="black">
                    <a:alpha val="20000"/>
                  </a:prstClr>
                </a:outerShdw>
              </a:effectLst>
            </c:spPr>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dk1">
                          <a:lumMod val="50000"/>
                          <a:lumOff val="50000"/>
                        </a:schemeClr>
                      </a:solidFill>
                      <a:prstDash val="solid"/>
                      <a:round/>
                    </a:ln>
                    <a:effectLst/>
                  </c:spPr>
                </c15:leaderLines>
              </c:ext>
            </c:extLst>
          </c:dLbls>
          <c:cat>
            <c:strRef>
              <c:f>Sheet1!$A$2:$A$3</c:f>
              <c:strCache>
                <c:ptCount val="2"/>
                <c:pt idx="0">
                  <c:v>一般公共预算财政拨款收入</c:v>
                </c:pt>
              </c:strCache>
            </c:strRef>
          </c:cat>
          <c:val>
            <c:numRef>
              <c:f>Sheet1!$B$2:$B$3</c:f>
              <c:numCache>
                <c:formatCode>General</c:formatCode>
                <c:ptCount val="2"/>
                <c:pt idx="0">
                  <c:v>640.839999999999</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egendEntry>
        <c:idx val="1"/>
        <c:delete val="1"/>
      </c:legendEntry>
      <c:layout>
        <c:manualLayout>
          <c:xMode val="edge"/>
          <c:yMode val="edge"/>
          <c:x val="0.585238095238095"/>
          <c:y val="0.489685492052756"/>
          <c:w val="0.395714285714287"/>
          <c:h val="0.185661143050389"/>
        </c:manualLayout>
      </c:layout>
      <c:overlay val="0"/>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800" b="1" i="0" u="none" strike="noStrike" kern="1200" baseline="0">
              <a:solidFill>
                <a:schemeClr val="dk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本年支出</c:v>
                </c:pt>
              </c:strCache>
            </c:strRef>
          </c:tx>
          <c:explosion val="14"/>
          <c:dPt>
            <c:idx val="0"/>
            <c:bubble3D val="0"/>
            <c:spPr>
              <a:solidFill>
                <a:schemeClr val="accent6">
                  <a:shade val="76667"/>
                </a:schemeClr>
              </a:solidFill>
              <a:ln>
                <a:noFill/>
              </a:ln>
              <a:effectLst>
                <a:outerShdw blurRad="254000" sx="102000" sy="102000" algn="ctr" rotWithShape="0">
                  <a:prstClr val="black">
                    <a:alpha val="20000"/>
                  </a:prstClr>
                </a:outerShdw>
              </a:effectLst>
            </c:spPr>
          </c:dPt>
          <c:dPt>
            <c:idx val="1"/>
            <c:bubble3D val="0"/>
            <c:spPr>
              <a:solidFill>
                <a:schemeClr val="accent6">
                  <a:tint val="76667"/>
                </a:schemeClr>
              </a:solidFill>
              <a:ln>
                <a:noFill/>
              </a:ln>
              <a:effectLst>
                <a:outerShdw blurRad="254000" sx="102000" sy="102000" algn="ctr" rotWithShape="0">
                  <a:prstClr val="black">
                    <a:alpha val="20000"/>
                  </a:prstClr>
                </a:outerShdw>
              </a:effectLst>
            </c:spPr>
          </c:dPt>
          <c:dLbls>
            <c:dLbl>
              <c:idx val="0"/>
              <c:layout/>
              <c:tx>
                <c:rich>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r>
                      <a:rPr lang="en-US" altLang="zh-CN"/>
                      <a:t>19.77</a:t>
                    </a:r>
                    <a:r>
                      <a:t>%</a:t>
                    </a:r>
                  </a:p>
                </c:rich>
              </c:tx>
              <c:dLblPos val="ctr"/>
              <c:showLegendKey val="0"/>
              <c:showVal val="0"/>
              <c:showCatName val="0"/>
              <c:showSerName val="0"/>
              <c:showPercent val="1"/>
              <c:showBubbleSize val="0"/>
              <c:extLst>
                <c:ext xmlns:c15="http://schemas.microsoft.com/office/drawing/2012/chart" uri="{CE6537A1-D6FC-4f65-9D91-7224C49458BB}">
                  <c15:layout>
                    <c:manualLayout>
                      <c:w val="0.105002476473502"/>
                      <c:h val="0.124114236633026"/>
                    </c:manualLayout>
                  </c15:layout>
                </c:ext>
              </c:extLst>
            </c:dLbl>
            <c:dLbl>
              <c:idx val="1"/>
              <c:layout>
                <c:manualLayout>
                  <c:x val="0.120790117760237"/>
                  <c:y val="-0.181658056428934"/>
                </c:manualLayout>
              </c:layout>
              <c:tx>
                <c:rich>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r>
                      <a:t>80</a:t>
                    </a:r>
                    <a:r>
                      <a:rPr lang="en-US" altLang="zh-CN"/>
                      <a:t>.23</a:t>
                    </a:r>
                    <a:r>
                      <a:t>%</a:t>
                    </a:r>
                  </a:p>
                </c:rich>
              </c:tx>
              <c:dLblPos val="bestFit"/>
              <c:showLegendKey val="0"/>
              <c:showVal val="0"/>
              <c:showCatName val="0"/>
              <c:showSerName val="0"/>
              <c:showPercent val="1"/>
              <c:showBubbleSize val="0"/>
              <c:extLst>
                <c:ext xmlns:c15="http://schemas.microsoft.com/office/drawing/2012/chart" uri="{CE6537A1-D6FC-4f65-9D91-7224C49458BB}">
                  <c15:layout>
                    <c:manualLayout>
                      <c:w val="0.123576027736503"/>
                      <c:h val="0.1159544771312"/>
                    </c:manualLayout>
                  </c15:layout>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dk1">
                          <a:lumMod val="50000"/>
                          <a:lumOff val="50000"/>
                        </a:schemeClr>
                      </a:solidFill>
                      <a:prstDash val="solid"/>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126.72</c:v>
                </c:pt>
                <c:pt idx="1">
                  <c:v>514.12</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800" b="0" i="0" u="none" strike="noStrike" kern="1200" baseline="0">
              <a:solidFill>
                <a:schemeClr val="dk1">
                  <a:lumMod val="65000"/>
                  <a:lumOff val="35000"/>
                </a:schemeClr>
              </a:solidFill>
              <a:effectLst/>
              <a:latin typeface="+mn-lt"/>
              <a:ea typeface="+mn-ea"/>
              <a:cs typeface="+mn-cs"/>
            </a:defRPr>
          </a:pPr>
        </a:p>
      </c:txPr>
    </c:title>
    <c:autoTitleDeleted val="0"/>
    <c:plotArea>
      <c:layout/>
      <c:barChart>
        <c:barDir val="col"/>
        <c:grouping val="clustered"/>
        <c:varyColors val="0"/>
        <c:ser>
          <c:idx val="0"/>
          <c:order val="0"/>
          <c:tx>
            <c:strRef>
              <c:f>Sheet1!$B$1</c:f>
              <c:strCache>
                <c:ptCount val="1"/>
                <c:pt idx="0">
                  <c:v>财政拨款收入</c:v>
                </c:pt>
              </c:strCache>
            </c:strRef>
          </c:tx>
          <c:spPr>
            <a:gradFill>
              <a:gsLst>
                <a:gs pos="0">
                  <a:schemeClr val="accent5"/>
                </a:gs>
                <a:gs pos="100000">
                  <a:schemeClr val="accent5">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dk1">
                          <a:lumMod val="50000"/>
                          <a:lumOff val="50000"/>
                        </a:schemeClr>
                      </a:solidFill>
                      <a:prstDash val="solid"/>
                      <a:round/>
                    </a:ln>
                    <a:effectLst/>
                  </c:spPr>
                </c15:leaderLines>
              </c:ext>
            </c:extLst>
          </c:dLbls>
          <c:cat>
            <c:strRef>
              <c:f>Sheet1!$A$2:$A$3</c:f>
              <c:strCache>
                <c:ptCount val="2"/>
                <c:pt idx="0">
                  <c:v>2020年</c:v>
                </c:pt>
                <c:pt idx="1">
                  <c:v>2021年</c:v>
                </c:pt>
              </c:strCache>
            </c:strRef>
          </c:cat>
          <c:val>
            <c:numRef>
              <c:f>Sheet1!$B$2:$B$3</c:f>
              <c:numCache>
                <c:formatCode>General</c:formatCode>
                <c:ptCount val="2"/>
                <c:pt idx="0">
                  <c:v>520.01</c:v>
                </c:pt>
                <c:pt idx="1">
                  <c:v>640.839999999998</c:v>
                </c:pt>
              </c:numCache>
            </c:numRef>
          </c:val>
        </c:ser>
        <c:dLbls>
          <c:showLegendKey val="0"/>
          <c:showVal val="1"/>
          <c:showCatName val="0"/>
          <c:showSerName val="0"/>
          <c:showPercent val="0"/>
          <c:showBubbleSize val="0"/>
        </c:dLbls>
        <c:gapWidth val="41"/>
        <c:axId val="99395840"/>
        <c:axId val="99414400"/>
      </c:barChart>
      <c:catAx>
        <c:axId val="99395840"/>
        <c:scaling>
          <c:orientation val="minMax"/>
        </c:scaling>
        <c:delete val="0"/>
        <c:axPos val="b"/>
        <c:majorTickMark val="out"/>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dk1">
                    <a:lumMod val="65000"/>
                    <a:lumOff val="35000"/>
                  </a:schemeClr>
                </a:solidFill>
                <a:effectLst/>
                <a:latin typeface="+mn-lt"/>
                <a:ea typeface="+mn-ea"/>
                <a:cs typeface="+mn-cs"/>
              </a:defRPr>
            </a:pPr>
          </a:p>
        </c:txPr>
        <c:crossAx val="99414400"/>
        <c:crosses val="autoZero"/>
        <c:auto val="1"/>
        <c:lblAlgn val="ctr"/>
        <c:lblOffset val="100"/>
        <c:noMultiLvlLbl val="0"/>
      </c:catAx>
      <c:valAx>
        <c:axId val="99414400"/>
        <c:scaling>
          <c:orientation val="minMax"/>
        </c:scaling>
        <c:delete val="1"/>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9395840"/>
        <c:crosses val="autoZero"/>
        <c:crossBetween val="between"/>
      </c:valAx>
      <c:spPr>
        <a:no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gradFill>
    <a:ln w="9525" cap="flat" cmpd="sng" algn="ctr">
      <a:solidFill>
        <a:schemeClr val="dk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800" b="0" i="0" u="none" strike="noStrike" kern="1200" baseline="0">
              <a:solidFill>
                <a:schemeClr val="dk1">
                  <a:lumMod val="65000"/>
                  <a:lumOff val="35000"/>
                </a:schemeClr>
              </a:solidFill>
              <a:effectLst/>
              <a:latin typeface="+mn-lt"/>
              <a:ea typeface="+mn-ea"/>
              <a:cs typeface="+mn-cs"/>
            </a:defRPr>
          </a:pPr>
        </a:p>
      </c:txPr>
    </c:title>
    <c:autoTitleDeleted val="0"/>
    <c:plotArea>
      <c:layout>
        <c:manualLayout>
          <c:layoutTarget val="inner"/>
          <c:xMode val="edge"/>
          <c:yMode val="edge"/>
          <c:x val="0.0721813296181818"/>
          <c:y val="0.183830927384077"/>
          <c:w val="0.84743180712485"/>
          <c:h val="0.681681814026983"/>
        </c:manualLayout>
      </c:layout>
      <c:barChart>
        <c:barDir val="col"/>
        <c:grouping val="clustered"/>
        <c:varyColors val="0"/>
        <c:ser>
          <c:idx val="0"/>
          <c:order val="0"/>
          <c:tx>
            <c:strRef>
              <c:f>Sheet1!$B$1</c:f>
              <c:strCache>
                <c:ptCount val="1"/>
                <c:pt idx="0">
                  <c:v>财政拨款支出</c:v>
                </c:pt>
              </c:strCache>
            </c:strRef>
          </c:tx>
          <c:spPr>
            <a:gradFill>
              <a:gsLst>
                <a:gs pos="0">
                  <a:schemeClr val="accent3"/>
                </a:gs>
                <a:gs pos="100000">
                  <a:schemeClr val="accent3">
                    <a:lumMod val="84000"/>
                  </a:schemeClr>
                </a:gs>
              </a:gsLst>
              <a:lin ang="5400000" scaled="1"/>
            </a:gradFill>
            <a:ln>
              <a:noFill/>
            </a:ln>
            <a:effectLst>
              <a:outerShdw blurRad="76200" dir="18900000" sy="23000" kx="-1200000" algn="bl" rotWithShape="0">
                <a:prstClr val="black">
                  <a:alpha val="20000"/>
                </a:prstClr>
              </a:outerShdw>
            </a:effectLst>
          </c:spPr>
          <c:invertIfNegative val="0"/>
          <c:dLbls>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dk1">
                          <a:lumMod val="50000"/>
                          <a:lumOff val="50000"/>
                        </a:schemeClr>
                      </a:solidFill>
                      <a:prstDash val="solid"/>
                      <a:round/>
                    </a:ln>
                    <a:effectLst/>
                  </c:spPr>
                </c15:leaderLines>
              </c:ext>
            </c:extLst>
          </c:dLbls>
          <c:cat>
            <c:strRef>
              <c:f>Sheet1!$A$2:$A$3</c:f>
              <c:strCache>
                <c:ptCount val="2"/>
                <c:pt idx="0">
                  <c:v>2020年</c:v>
                </c:pt>
                <c:pt idx="1">
                  <c:v>2021年</c:v>
                </c:pt>
              </c:strCache>
            </c:strRef>
          </c:cat>
          <c:val>
            <c:numRef>
              <c:f>Sheet1!$B$2:$B$3</c:f>
              <c:numCache>
                <c:formatCode>General</c:formatCode>
                <c:ptCount val="2"/>
                <c:pt idx="0">
                  <c:v>520.01</c:v>
                </c:pt>
                <c:pt idx="1">
                  <c:v>640.839999999998</c:v>
                </c:pt>
              </c:numCache>
            </c:numRef>
          </c:val>
        </c:ser>
        <c:dLbls>
          <c:showLegendKey val="0"/>
          <c:showVal val="1"/>
          <c:showCatName val="0"/>
          <c:showSerName val="0"/>
          <c:showPercent val="0"/>
          <c:showBubbleSize val="0"/>
        </c:dLbls>
        <c:gapWidth val="41"/>
        <c:axId val="145294080"/>
        <c:axId val="145295616"/>
      </c:barChart>
      <c:catAx>
        <c:axId val="145294080"/>
        <c:scaling>
          <c:orientation val="minMax"/>
        </c:scaling>
        <c:delete val="0"/>
        <c:axPos val="b"/>
        <c:majorTickMark val="out"/>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dk1">
                    <a:lumMod val="65000"/>
                    <a:lumOff val="35000"/>
                  </a:schemeClr>
                </a:solidFill>
                <a:effectLst/>
                <a:latin typeface="+mn-lt"/>
                <a:ea typeface="+mn-ea"/>
                <a:cs typeface="+mn-cs"/>
              </a:defRPr>
            </a:pPr>
          </a:p>
        </c:txPr>
        <c:crossAx val="145295616"/>
        <c:crosses val="autoZero"/>
        <c:auto val="1"/>
        <c:lblAlgn val="ctr"/>
        <c:lblOffset val="100"/>
        <c:noMultiLvlLbl val="0"/>
      </c:catAx>
      <c:valAx>
        <c:axId val="145295616"/>
        <c:scaling>
          <c:orientation val="minMax"/>
        </c:scaling>
        <c:delete val="1"/>
        <c:axPos val="l"/>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45294080"/>
        <c:crosses val="autoZero"/>
        <c:crossBetween val="between"/>
      </c:valAx>
      <c:spPr>
        <a:noFill/>
        <a:ln>
          <a:noFill/>
        </a:ln>
        <a:effectLst/>
      </c:spPr>
    </c:plotArea>
    <c:plotVisOnly val="1"/>
    <c:dispBlanksAs val="gap"/>
    <c:showDLblsOverMax val="0"/>
  </c:chart>
  <c:spPr>
    <a:gradFill flip="none" rotWithShape="1">
      <a:gsLst>
        <a:gs pos="0">
          <a:schemeClr val="lt1"/>
        </a:gs>
        <a:gs pos="68000">
          <a:schemeClr val="lt1">
            <a:lumMod val="85000"/>
          </a:schemeClr>
        </a:gs>
        <a:gs pos="100000">
          <a:schemeClr val="lt1"/>
        </a:gs>
      </a:gsLst>
      <a:lin ang="5400000" scaled="1"/>
    </a:gradFill>
    <a:ln w="9525" cap="flat" cmpd="sng" algn="ctr">
      <a:solidFill>
        <a:schemeClr val="dk1">
          <a:lumMod val="15000"/>
          <a:lumOff val="85000"/>
        </a:schemeClr>
      </a:solid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800" b="1" i="0" u="none" strike="noStrike" kern="1200" baseline="0">
              <a:solidFill>
                <a:schemeClr val="dk1">
                  <a:lumMod val="75000"/>
                  <a:lumOff val="25000"/>
                </a:schemeClr>
              </a:solidFill>
              <a:latin typeface="+mn-lt"/>
              <a:ea typeface="+mn-ea"/>
              <a:cs typeface="+mn-cs"/>
            </a:defRPr>
          </a:pPr>
        </a:p>
      </c:txPr>
    </c:title>
    <c:autoTitleDeleted val="0"/>
    <c:plotArea>
      <c:layout/>
      <c:lineChart>
        <c:grouping val="standard"/>
        <c:varyColors val="0"/>
        <c:ser>
          <c:idx val="0"/>
          <c:order val="0"/>
          <c:tx>
            <c:strRef>
              <c:f>Sheet1!$B$1</c:f>
              <c:strCache>
                <c:ptCount val="1"/>
                <c:pt idx="0">
                  <c:v>一般公共预算财政拨款支出</c:v>
                </c:pt>
              </c:strCache>
            </c:strRef>
          </c:tx>
          <c:spPr>
            <a:ln w="31750" cap="rnd" cmpd="sng" algn="ctr">
              <a:solidFill>
                <a:schemeClr val="accent1"/>
              </a:solidFill>
              <a:prstDash val="solid"/>
              <a:round/>
            </a:ln>
            <a:effectLst/>
          </c:spPr>
          <c:marker>
            <c:symbol val="circle"/>
            <c:size val="17"/>
            <c:spPr>
              <a:solidFill>
                <a:schemeClr val="accent1"/>
              </a:solidFill>
              <a:ln w="9525" cap="flat" cmpd="sng" algn="ctr">
                <a:noFill/>
                <a:prstDash val="solid"/>
                <a:round/>
              </a:ln>
              <a:effectLst/>
            </c:spPr>
          </c:marker>
          <c:dLbls>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dk1">
                          <a:lumMod val="50000"/>
                          <a:lumOff val="50000"/>
                        </a:schemeClr>
                      </a:solidFill>
                      <a:prstDash val="solid"/>
                      <a:round/>
                    </a:ln>
                    <a:effectLst/>
                  </c:spPr>
                </c15:leaderLines>
              </c:ext>
            </c:extLst>
          </c:dLbls>
          <c:cat>
            <c:strRef>
              <c:f>Sheet1!$A$2:$A$3</c:f>
              <c:strCache>
                <c:ptCount val="2"/>
                <c:pt idx="0">
                  <c:v>2020年</c:v>
                </c:pt>
                <c:pt idx="1">
                  <c:v>2021年</c:v>
                </c:pt>
              </c:strCache>
            </c:strRef>
          </c:cat>
          <c:val>
            <c:numRef>
              <c:f>Sheet1!$B$2:$B$3</c:f>
              <c:numCache>
                <c:formatCode>General</c:formatCode>
                <c:ptCount val="2"/>
                <c:pt idx="0">
                  <c:v>202.01</c:v>
                </c:pt>
                <c:pt idx="1">
                  <c:v>640.839999999998</c:v>
                </c:pt>
              </c:numCache>
            </c:numRef>
          </c:val>
          <c:smooth val="0"/>
        </c:ser>
        <c:dLbls>
          <c:showLegendKey val="0"/>
          <c:showVal val="1"/>
          <c:showCatName val="0"/>
          <c:showSerName val="0"/>
          <c:showPercent val="0"/>
          <c:showBubbleSize val="0"/>
        </c:dLbls>
        <c:marker val="1"/>
        <c:smooth val="0"/>
        <c:axId val="256926464"/>
        <c:axId val="256929152"/>
      </c:lineChart>
      <c:catAx>
        <c:axId val="256926464"/>
        <c:scaling>
          <c:orientation val="minMax"/>
        </c:scaling>
        <c:delete val="0"/>
        <c:axPos val="b"/>
        <c:majorTickMark val="out"/>
        <c:minorTickMark val="none"/>
        <c:tickLblPos val="nextTo"/>
        <c:spPr>
          <a:noFill/>
          <a:ln w="19050" cap="flat" cmpd="sng" algn="ctr">
            <a:solidFill>
              <a:schemeClr val="dk1">
                <a:lumMod val="75000"/>
                <a:lumOff val="25000"/>
              </a:schemeClr>
            </a:solidFill>
            <a:prstDash val="solid"/>
            <a:round/>
          </a:ln>
          <a:effectLst/>
        </c:spPr>
        <c:txPr>
          <a:bodyPr rot="-60000000" spcFirstLastPara="0" vertOverflow="ellipsis" vert="horz" wrap="square" anchor="ctr" anchorCtr="1"/>
          <a:lstStyle/>
          <a:p>
            <a:pPr>
              <a:defRPr lang="zh-CN" sz="900" b="0" i="0" u="none" strike="noStrike" kern="1200" cap="all" baseline="0">
                <a:solidFill>
                  <a:schemeClr val="dk1">
                    <a:lumMod val="75000"/>
                    <a:lumOff val="25000"/>
                  </a:schemeClr>
                </a:solidFill>
                <a:latin typeface="+mn-lt"/>
                <a:ea typeface="+mn-ea"/>
                <a:cs typeface="+mn-cs"/>
              </a:defRPr>
            </a:pPr>
          </a:p>
        </c:txPr>
        <c:crossAx val="256929152"/>
        <c:crosses val="autoZero"/>
        <c:auto val="1"/>
        <c:lblAlgn val="ctr"/>
        <c:lblOffset val="100"/>
        <c:noMultiLvlLbl val="0"/>
      </c:catAx>
      <c:valAx>
        <c:axId val="256929152"/>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prstDash val="solid"/>
              <a:round/>
            </a:ln>
            <a:effectLst/>
          </c:spPr>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56926464"/>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prstDash val="solid"/>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64745522859618"/>
          <c:y val="0.0724035115701486"/>
          <c:w val="0.690589838787732"/>
          <c:h val="0.720569529358664"/>
        </c:manualLayout>
      </c:layout>
      <c:barChart>
        <c:barDir val="bar"/>
        <c:grouping val="clustered"/>
        <c:varyColors val="0"/>
        <c:ser>
          <c:idx val="0"/>
          <c:order val="0"/>
          <c:tx>
            <c:strRef>
              <c:f>Sheet1!$B$1</c:f>
              <c:strCache>
                <c:ptCount val="1"/>
                <c:pt idx="0">
                  <c:v>一般公共财政拨款支出</c:v>
                </c:pt>
              </c:strCache>
            </c:strRef>
          </c:tx>
          <c:spPr>
            <a:solidFill>
              <a:schemeClr val="accent2">
                <a:alpha val="85000"/>
              </a:schemeClr>
            </a:solidFill>
            <a:ln w="9525" cap="flat" cmpd="sng" algn="ctr">
              <a:solidFill>
                <a:schemeClr val="lt1">
                  <a:alpha val="50000"/>
                </a:schemeClr>
              </a:solidFill>
              <a:round/>
            </a:ln>
            <a:effectLst/>
          </c:spPr>
          <c:invertIfNegative val="0"/>
          <c:dLbls>
            <c:dLbl>
              <c:idx val="0"/>
              <c:layout/>
              <c:tx>
                <c:rich>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r>
                      <a:t>8.86</a:t>
                    </a:r>
                  </a:p>
                </c:rich>
              </c:tx>
              <c:dLblPos val="in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r>
                      <a:t>621.13</a:t>
                    </a:r>
                  </a:p>
                </c:rich>
              </c:tx>
              <c:dLblPos val="inEnd"/>
              <c:showLegendKey val="0"/>
              <c:showVal val="1"/>
              <c:showCatName val="0"/>
              <c:showSerName val="0"/>
              <c:showPercent val="0"/>
              <c:showBubbleSize val="0"/>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r>
                      <a:t>10.85</a:t>
                    </a:r>
                  </a:p>
                </c:rich>
              </c:tx>
              <c:dLblPos val="in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lt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spPr>
                    <a:ln w="9525" cap="flat" cmpd="sng" algn="ctr">
                      <a:solidFill>
                        <a:schemeClr val="dk1">
                          <a:lumMod val="50000"/>
                          <a:lumOff val="50000"/>
                        </a:schemeClr>
                      </a:solidFill>
                      <a:prstDash val="solid"/>
                      <a:round/>
                    </a:ln>
                    <a:effectLst/>
                  </c:spPr>
                </c15:leaderLines>
              </c:ext>
            </c:extLst>
          </c:dLbls>
          <c:cat>
            <c:strRef>
              <c:f>Sheet1!$A$2:$A$4</c:f>
              <c:strCache>
                <c:ptCount val="3"/>
                <c:pt idx="0">
                  <c:v>社会保障和就业</c:v>
                </c:pt>
                <c:pt idx="1">
                  <c:v>自然资源海洋气象等</c:v>
                </c:pt>
                <c:pt idx="2">
                  <c:v>住房保障支出</c:v>
                </c:pt>
              </c:strCache>
            </c:strRef>
          </c:cat>
          <c:val>
            <c:numRef>
              <c:f>Sheet1!$B$2:$B$4</c:f>
              <c:numCache>
                <c:formatCode>General</c:formatCode>
                <c:ptCount val="3"/>
                <c:pt idx="0">
                  <c:v>10.85</c:v>
                </c:pt>
                <c:pt idx="1">
                  <c:v>621.13</c:v>
                </c:pt>
                <c:pt idx="2">
                  <c:v>8.86</c:v>
                </c:pt>
              </c:numCache>
            </c:numRef>
          </c:val>
        </c:ser>
        <c:dLbls>
          <c:showLegendKey val="0"/>
          <c:showVal val="1"/>
          <c:showCatName val="0"/>
          <c:showSerName val="0"/>
          <c:showPercent val="0"/>
          <c:showBubbleSize val="0"/>
        </c:dLbls>
        <c:gapWidth val="65"/>
        <c:axId val="268310016"/>
        <c:axId val="268311552"/>
      </c:barChart>
      <c:catAx>
        <c:axId val="268310016"/>
        <c:scaling>
          <c:orientation val="minMax"/>
        </c:scaling>
        <c:delete val="0"/>
        <c:axPos val="l"/>
        <c:majorTickMark val="none"/>
        <c:minorTickMark val="none"/>
        <c:tickLblPos val="nextTo"/>
        <c:spPr>
          <a:noFill/>
          <a:ln w="19050" cap="flat" cmpd="sng" algn="ctr">
            <a:solidFill>
              <a:schemeClr val="dk1">
                <a:lumMod val="75000"/>
                <a:lumOff val="25000"/>
              </a:schemeClr>
            </a:solidFill>
            <a:prstDash val="solid"/>
            <a:round/>
          </a:ln>
          <a:effectLst/>
        </c:spPr>
        <c:txPr>
          <a:bodyPr rot="-60000000" spcFirstLastPara="0" vertOverflow="ellipsis" vert="horz" wrap="square" anchor="ctr" anchorCtr="1"/>
          <a:lstStyle/>
          <a:p>
            <a:pPr>
              <a:defRPr lang="zh-CN" sz="900" b="0" i="0" u="none" strike="noStrike" kern="1200" cap="all" baseline="0">
                <a:solidFill>
                  <a:schemeClr val="dk1">
                    <a:lumMod val="75000"/>
                    <a:lumOff val="25000"/>
                  </a:schemeClr>
                </a:solidFill>
                <a:latin typeface="+mn-lt"/>
                <a:ea typeface="+mn-ea"/>
                <a:cs typeface="+mn-cs"/>
              </a:defRPr>
            </a:pPr>
          </a:p>
        </c:txPr>
        <c:crossAx val="268311552"/>
        <c:crosses val="autoZero"/>
        <c:auto val="1"/>
        <c:lblAlgn val="ctr"/>
        <c:lblOffset val="100"/>
        <c:noMultiLvlLbl val="0"/>
      </c:catAx>
      <c:valAx>
        <c:axId val="268311552"/>
        <c:scaling>
          <c:orientation val="minMax"/>
        </c:scaling>
        <c:delete val="0"/>
        <c:axPos val="b"/>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crossAx val="268310016"/>
        <c:crosses val="autoZero"/>
        <c:crossBetween val="between"/>
      </c:valAx>
      <c:spPr>
        <a:noFill/>
        <a:ln>
          <a:noFill/>
        </a:ln>
        <a:effectLst/>
      </c:spPr>
    </c:plotArea>
    <c:legend>
      <c:legendPos val="b"/>
      <c:layout/>
      <c:overlay val="0"/>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prstDash val="solid"/>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800" b="1" i="0" u="none" strike="noStrike" kern="1200" baseline="0">
              <a:solidFill>
                <a:schemeClr val="dk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“三公”经费</c:v>
                </c:pt>
              </c:strCache>
            </c:strRef>
          </c:tx>
          <c:explosion val="0"/>
          <c:dPt>
            <c:idx val="0"/>
            <c:bubble3D val="0"/>
            <c:explosion val="12"/>
            <c:spPr>
              <a:solidFill>
                <a:schemeClr val="accent4">
                  <a:shade val="76667"/>
                </a:schemeClr>
              </a:solidFill>
              <a:ln>
                <a:noFill/>
              </a:ln>
              <a:effectLst>
                <a:outerShdw blurRad="254000" sx="102000" sy="102000" algn="ctr" rotWithShape="0">
                  <a:prstClr val="black">
                    <a:alpha val="20000"/>
                  </a:prstClr>
                </a:outerShdw>
              </a:effectLst>
            </c:spPr>
          </c:dPt>
          <c:dPt>
            <c:idx val="1"/>
            <c:bubble3D val="0"/>
            <c:spPr>
              <a:solidFill>
                <a:schemeClr val="accent4">
                  <a:tint val="76667"/>
                </a:schemeClr>
              </a:solidFill>
              <a:ln>
                <a:noFill/>
              </a:ln>
              <a:effectLst>
                <a:outerShdw blurRad="254000" sx="102000" sy="102000" algn="ctr" rotWithShape="0">
                  <a:prstClr val="black">
                    <a:alpha val="20000"/>
                  </a:prstClr>
                </a:outerShdw>
              </a:effectLst>
            </c:spPr>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chemeClr val="lt1"/>
                    </a:solidFill>
                    <a:latin typeface="+mn-lt"/>
                    <a:ea typeface="+mn-ea"/>
                    <a:cs typeface="+mn-cs"/>
                  </a:defRPr>
                </a:pPr>
              </a:p>
            </c:txPr>
            <c:dLblPos val="ctr"/>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dk1">
                          <a:lumMod val="50000"/>
                          <a:lumOff val="50000"/>
                        </a:schemeClr>
                      </a:solidFill>
                      <a:prstDash val="solid"/>
                      <a:round/>
                    </a:ln>
                    <a:effectLst/>
                  </c:spPr>
                </c15:leaderLines>
              </c:ext>
            </c:extLst>
          </c:dLbls>
          <c:cat>
            <c:strRef>
              <c:f>Sheet1!$A$2:$A$3</c:f>
              <c:strCache>
                <c:ptCount val="2"/>
                <c:pt idx="0">
                  <c:v>公务用车购置及运行维护费</c:v>
                </c:pt>
                <c:pt idx="1">
                  <c:v>公务接待</c:v>
                </c:pt>
              </c:strCache>
            </c:strRef>
          </c:cat>
          <c:val>
            <c:numRef>
              <c:f>Sheet1!$B$2:$B$3</c:f>
              <c:numCache>
                <c:formatCode>General</c:formatCode>
                <c:ptCount val="2"/>
                <c:pt idx="0">
                  <c:v>0.28</c:v>
                </c:pt>
                <c:pt idx="1">
                  <c:v>0.26</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solidFill>
          <a:schemeClr val="lt1">
            <a:lumMod val="95000"/>
            <a:alpha val="39000"/>
          </a:schemeClr>
        </a:solidFill>
        <a:ln>
          <a:noFill/>
        </a:ln>
        <a:effectLst/>
      </c:spPr>
      <c:txPr>
        <a:bodyPr rot="0" spcFirstLastPara="0"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gradFill>
    <a:ln w="9525" cap="flat" cmpd="sng" algn="ctr">
      <a:solidFill>
        <a:schemeClr val="dk1">
          <a:lumMod val="25000"/>
          <a:lumOff val="7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32686-FBC3-4A32-8053-829A62C66953}">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18</Pages>
  <Words>1257</Words>
  <Characters>7170</Characters>
  <Lines>59</Lines>
  <Paragraphs>16</Paragraphs>
  <TotalTime>15</TotalTime>
  <ScaleCrop>false</ScaleCrop>
  <LinksUpToDate>false</LinksUpToDate>
  <CharactersWithSpaces>8411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Gghj</cp:lastModifiedBy>
  <cp:lastPrinted>2022-08-06T02:23:00Z</cp:lastPrinted>
  <dcterms:modified xsi:type="dcterms:W3CDTF">2023-10-20T08:35:29Z</dcterms:modified>
  <dc:title>四川省***</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2ADACBD052A548E789674660BE567378</vt:lpwstr>
  </property>
</Properties>
</file>