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eastAsia="方正小标宋简体"/>
          <w:sz w:val="72"/>
          <w:szCs w:val="72"/>
        </w:rPr>
      </w:pPr>
      <w:bookmarkStart w:id="0" w:name="_Toc15306267"/>
      <w:r>
        <w:rPr>
          <w:rFonts w:ascii="Lucida Sans" w:hAnsi="Lucida Sans" w:eastAsia="方正小标宋简体"/>
          <w:sz w:val="72"/>
          <w:szCs w:val="72"/>
        </w:rPr>
        <w:t xml:space="preserve">   </w:t>
      </w:r>
    </w:p>
    <w:p>
      <w:pPr>
        <w:spacing w:line="600" w:lineRule="exact"/>
        <w:jc w:val="center"/>
        <w:outlineLvl w:val="0"/>
        <w:rPr>
          <w:rFonts w:ascii="方正小标宋简体" w:eastAsia="方正小标宋简体"/>
          <w:sz w:val="72"/>
          <w:szCs w:val="72"/>
        </w:rPr>
      </w:pPr>
    </w:p>
    <w:p>
      <w:pPr>
        <w:spacing w:line="600" w:lineRule="exact"/>
        <w:jc w:val="center"/>
        <w:outlineLvl w:val="0"/>
        <w:rPr>
          <w:rFonts w:ascii="方正小标宋简体" w:eastAsia="方正小标宋简体"/>
          <w:sz w:val="72"/>
          <w:szCs w:val="72"/>
        </w:rPr>
      </w:pPr>
    </w:p>
    <w:p>
      <w:pPr>
        <w:spacing w:line="600" w:lineRule="exact"/>
        <w:jc w:val="center"/>
        <w:outlineLvl w:val="0"/>
        <w:rPr>
          <w:rFonts w:ascii="方正小标宋简体" w:eastAsia="方正小标宋简体"/>
          <w:sz w:val="72"/>
          <w:szCs w:val="72"/>
        </w:rPr>
      </w:pPr>
    </w:p>
    <w:p>
      <w:pPr>
        <w:adjustRightInd w:val="0"/>
        <w:snapToGrid w:val="0"/>
        <w:spacing w:line="360" w:lineRule="auto"/>
        <w:jc w:val="center"/>
        <w:outlineLvl w:val="0"/>
        <w:rPr>
          <w:rFonts w:ascii="方正小标宋简体" w:eastAsia="方正小标宋简体" w:cs="方正小标宋简体"/>
          <w:sz w:val="72"/>
          <w:szCs w:val="72"/>
        </w:rPr>
      </w:pPr>
      <w:bookmarkStart w:id="1" w:name="_Toc15377193"/>
      <w:bookmarkStart w:id="2" w:name="_Toc15378441"/>
      <w:bookmarkStart w:id="3" w:name="_Toc15396475"/>
      <w:bookmarkStart w:id="4" w:name="_Toc146721289"/>
      <w:bookmarkStart w:id="5" w:name="_Toc11857"/>
      <w:bookmarkStart w:id="6" w:name="_Toc15377425"/>
      <w:bookmarkStart w:id="7" w:name="_Toc14377"/>
      <w:bookmarkStart w:id="8" w:name="_Toc15396597"/>
      <w:r>
        <w:rPr>
          <w:rFonts w:hint="eastAsia" w:ascii="方正小标宋简体" w:eastAsia="方正小标宋简体" w:cs="方正小标宋简体"/>
          <w:sz w:val="72"/>
          <w:szCs w:val="72"/>
        </w:rPr>
        <w:t>2021年度</w:t>
      </w:r>
      <w:bookmarkEnd w:id="1"/>
      <w:bookmarkEnd w:id="2"/>
      <w:bookmarkEnd w:id="3"/>
      <w:bookmarkEnd w:id="4"/>
      <w:bookmarkEnd w:id="5"/>
      <w:bookmarkEnd w:id="6"/>
      <w:bookmarkEnd w:id="7"/>
      <w:bookmarkEnd w:id="8"/>
    </w:p>
    <w:p>
      <w:pPr>
        <w:adjustRightInd w:val="0"/>
        <w:snapToGrid w:val="0"/>
        <w:spacing w:line="360" w:lineRule="auto"/>
        <w:jc w:val="center"/>
        <w:outlineLvl w:val="0"/>
        <w:rPr>
          <w:rFonts w:ascii="方正小标宋简体" w:eastAsia="方正小标宋简体" w:cs="方正小标宋简体"/>
          <w:sz w:val="72"/>
          <w:szCs w:val="72"/>
        </w:rPr>
      </w:pPr>
      <w:bookmarkStart w:id="9" w:name="_Toc14448"/>
      <w:bookmarkStart w:id="10" w:name="_Toc15396598"/>
      <w:bookmarkStart w:id="11" w:name="_Toc15378442"/>
      <w:bookmarkStart w:id="12" w:name="_Toc15377426"/>
      <w:bookmarkStart w:id="13" w:name="_Toc8037"/>
      <w:bookmarkStart w:id="14" w:name="_Toc146721290"/>
      <w:bookmarkStart w:id="15" w:name="_Toc15396476"/>
      <w:bookmarkStart w:id="16" w:name="_Toc15377194"/>
      <w:r>
        <w:rPr>
          <w:rFonts w:hint="eastAsia" w:ascii="方正小标宋简体" w:eastAsia="方正小标宋简体" w:cs="方正小标宋简体"/>
          <w:sz w:val="72"/>
          <w:szCs w:val="72"/>
        </w:rPr>
        <w:t>四川省</w:t>
      </w:r>
      <w:bookmarkEnd w:id="0"/>
      <w:bookmarkStart w:id="17" w:name="_Toc15306268"/>
      <w:r>
        <w:rPr>
          <w:rFonts w:hint="eastAsia" w:ascii="方正小标宋简体" w:eastAsia="方正小标宋简体" w:cs="方正小标宋简体"/>
          <w:sz w:val="72"/>
          <w:szCs w:val="72"/>
        </w:rPr>
        <w:t>攀枝花市党史研究室单位决算</w:t>
      </w:r>
      <w:bookmarkEnd w:id="9"/>
      <w:bookmarkEnd w:id="10"/>
      <w:bookmarkEnd w:id="11"/>
      <w:bookmarkEnd w:id="12"/>
      <w:bookmarkEnd w:id="13"/>
      <w:bookmarkEnd w:id="14"/>
      <w:bookmarkEnd w:id="15"/>
      <w:bookmarkEnd w:id="16"/>
      <w:bookmarkEnd w:id="17"/>
    </w:p>
    <w:p>
      <w:pPr>
        <w:widowControl/>
        <w:jc w:val="center"/>
        <w:rPr>
          <w:rFonts w:ascii="黑体" w:eastAsia="黑体"/>
          <w:sz w:val="48"/>
          <w:szCs w:val="48"/>
        </w:rPr>
      </w:pPr>
      <w:r>
        <w:rPr>
          <w:rFonts w:ascii="方正小标宋简体" w:eastAsia="方正小标宋简体"/>
          <w:sz w:val="36"/>
          <w:szCs w:val="36"/>
        </w:rPr>
        <w:br w:type="page"/>
      </w:r>
      <w:r>
        <w:rPr>
          <w:rFonts w:hint="eastAsia" w:ascii="黑体" w:eastAsia="黑体"/>
          <w:sz w:val="48"/>
          <w:szCs w:val="48"/>
        </w:rPr>
        <w:t>目录</w:t>
      </w:r>
    </w:p>
    <w:p>
      <w:pPr>
        <w:widowControl/>
        <w:jc w:val="center"/>
        <w:rPr>
          <w:rFonts w:ascii="黑体" w:eastAsia="黑体" w:cs="Arial"/>
          <w:sz w:val="28"/>
          <w:szCs w:val="28"/>
        </w:rPr>
      </w:pPr>
    </w:p>
    <w:p>
      <w:pPr>
        <w:pStyle w:val="10"/>
      </w:pPr>
      <w:r>
        <w:rPr>
          <w:rFonts w:hint="eastAsia"/>
        </w:rPr>
        <w:t>公开时间：2022年9月14日</w:t>
      </w:r>
    </w:p>
    <w:p>
      <w:pPr>
        <w:jc w:val="center"/>
        <w:rPr>
          <w:rFonts w:ascii="宋体"/>
        </w:rPr>
      </w:pPr>
    </w:p>
    <w:sdt>
      <w:sdtPr>
        <w:id w:val="-966783958"/>
        <w15:color w:val="DBDBDB"/>
        <w:docPartObj>
          <w:docPartGallery w:val="Table of Contents"/>
          <w:docPartUnique/>
        </w:docPartObj>
      </w:sdtPr>
      <w:sdtEndPr>
        <w:rPr>
          <w:rFonts w:ascii="Times New Roman" w:hAnsi="Times New Roman"/>
        </w:rPr>
      </w:sdtEndPr>
      <w:sdtContent>
        <w:p>
          <w:pPr>
            <w:pStyle w:val="10"/>
            <w:rPr>
              <w:rFonts w:ascii="Calibri" w:hAnsi="Calibri" w:eastAsia="宋体" w:cs="Arial"/>
              <w:sz w:val="21"/>
              <w:szCs w:val="22"/>
            </w:rPr>
          </w:pPr>
          <w:r>
            <w:fldChar w:fldCharType="begin"/>
          </w:r>
          <w:r>
            <w:instrText xml:space="preserve">TOC \o "1-3" \h \u </w:instrText>
          </w:r>
          <w:r>
            <w:fldChar w:fldCharType="separate"/>
          </w:r>
          <w:r>
            <w:fldChar w:fldCharType="begin"/>
          </w:r>
          <w:r>
            <w:instrText xml:space="preserve">Hyperlink \l "_Toc146721291"</w:instrText>
          </w:r>
          <w:r>
            <w:fldChar w:fldCharType="separate"/>
          </w:r>
          <w:r>
            <w:rPr>
              <w:rFonts w:hint="eastAsia" w:ascii="黑体" w:eastAsia="黑体"/>
            </w:rPr>
            <w:t>第一部分</w:t>
          </w:r>
          <w:r>
            <w:rPr>
              <w:rFonts w:ascii="黑体" w:eastAsia="黑体"/>
            </w:rPr>
            <w:t xml:space="preserve"> </w:t>
          </w:r>
          <w:r>
            <w:rPr>
              <w:rFonts w:hint="eastAsia" w:ascii="黑体" w:eastAsia="黑体"/>
            </w:rPr>
            <w:t>单位概况</w:t>
          </w:r>
          <w:r>
            <w:tab/>
          </w:r>
          <w:r>
            <w:fldChar w:fldCharType="begin"/>
          </w:r>
          <w:r>
            <w:instrText xml:space="preserve"> PAGEREF _Toc146721291 \h </w:instrText>
          </w:r>
          <w:r>
            <w:fldChar w:fldCharType="separate"/>
          </w:r>
          <w:r>
            <w:t>4</w:t>
          </w:r>
          <w:r>
            <w:fldChar w:fldCharType="end"/>
          </w:r>
          <w:r>
            <w:fldChar w:fldCharType="end"/>
          </w:r>
        </w:p>
        <w:p>
          <w:pPr>
            <w:pStyle w:val="11"/>
            <w:rPr>
              <w:rFonts w:ascii="Calibri" w:hAnsi="Calibri" w:eastAsia="宋体" w:cs="Arial"/>
              <w:szCs w:val="22"/>
            </w:rPr>
          </w:pPr>
          <w:r>
            <w:fldChar w:fldCharType="begin"/>
          </w:r>
          <w:r>
            <w:instrText xml:space="preserve">Hyperlink \l "_Toc146721292"</w:instrText>
          </w:r>
          <w:r>
            <w:fldChar w:fldCharType="separate"/>
          </w:r>
          <w:r>
            <w:rPr>
              <w:rFonts w:hint="eastAsia" w:ascii="方正黑体_GBK" w:eastAsia="方正黑体_GBK"/>
            </w:rPr>
            <w:t>一、职能简介</w:t>
          </w:r>
          <w:r>
            <w:tab/>
          </w:r>
          <w:r>
            <w:fldChar w:fldCharType="begin"/>
          </w:r>
          <w:r>
            <w:instrText xml:space="preserve"> PAGEREF _Toc146721292 \h </w:instrText>
          </w:r>
          <w:r>
            <w:fldChar w:fldCharType="separate"/>
          </w:r>
          <w:r>
            <w:t>4</w:t>
          </w:r>
          <w:r>
            <w:fldChar w:fldCharType="end"/>
          </w:r>
          <w:r>
            <w:fldChar w:fldCharType="end"/>
          </w:r>
        </w:p>
        <w:p>
          <w:pPr>
            <w:pStyle w:val="11"/>
            <w:rPr>
              <w:rFonts w:ascii="Calibri" w:hAnsi="Calibri" w:eastAsia="宋体" w:cs="Arial"/>
              <w:szCs w:val="22"/>
            </w:rPr>
          </w:pPr>
          <w:r>
            <w:fldChar w:fldCharType="begin"/>
          </w:r>
          <w:r>
            <w:instrText xml:space="preserve">Hyperlink \l "_Toc146721293"</w:instrText>
          </w:r>
          <w:r>
            <w:fldChar w:fldCharType="separate"/>
          </w:r>
          <w:r>
            <w:rPr>
              <w:rFonts w:hint="eastAsia" w:ascii="方正黑体_GBK" w:eastAsia="方正黑体_GBK"/>
            </w:rPr>
            <w:t>二、</w:t>
          </w:r>
          <w:r>
            <w:rPr>
              <w:rFonts w:ascii="方正黑体_GBK" w:eastAsia="方正黑体_GBK"/>
            </w:rPr>
            <w:t>2021</w:t>
          </w:r>
          <w:r>
            <w:rPr>
              <w:rFonts w:hint="eastAsia" w:ascii="方正黑体_GBK" w:eastAsia="方正黑体_GBK"/>
            </w:rPr>
            <w:t>年重点工作完成情况</w:t>
          </w:r>
          <w:r>
            <w:tab/>
          </w:r>
          <w:r>
            <w:fldChar w:fldCharType="begin"/>
          </w:r>
          <w:r>
            <w:instrText xml:space="preserve"> PAGEREF _Toc146721293 \h </w:instrText>
          </w:r>
          <w:r>
            <w:fldChar w:fldCharType="separate"/>
          </w:r>
          <w:r>
            <w:t>4</w:t>
          </w:r>
          <w:r>
            <w:fldChar w:fldCharType="end"/>
          </w:r>
          <w:r>
            <w:fldChar w:fldCharType="end"/>
          </w:r>
        </w:p>
        <w:p>
          <w:pPr>
            <w:pStyle w:val="11"/>
            <w:rPr>
              <w:rFonts w:ascii="Calibri" w:hAnsi="Calibri" w:eastAsia="宋体" w:cs="Arial"/>
              <w:szCs w:val="22"/>
            </w:rPr>
          </w:pPr>
          <w:r>
            <w:fldChar w:fldCharType="begin"/>
          </w:r>
          <w:r>
            <w:instrText xml:space="preserve">Hyperlink \l "_Toc146721294"</w:instrText>
          </w:r>
          <w:r>
            <w:fldChar w:fldCharType="separate"/>
          </w:r>
          <w:r>
            <w:rPr>
              <w:rFonts w:hint="eastAsia" w:ascii="方正黑体_GBK" w:eastAsia="方正黑体_GBK"/>
            </w:rPr>
            <w:t>三、机构设置情况</w:t>
          </w:r>
          <w:r>
            <w:tab/>
          </w:r>
          <w:r>
            <w:fldChar w:fldCharType="begin"/>
          </w:r>
          <w:r>
            <w:instrText xml:space="preserve"> PAGEREF _Toc146721294 \h </w:instrText>
          </w:r>
          <w:r>
            <w:fldChar w:fldCharType="separate"/>
          </w:r>
          <w:r>
            <w:t>8</w:t>
          </w:r>
          <w:r>
            <w:fldChar w:fldCharType="end"/>
          </w:r>
          <w:r>
            <w:fldChar w:fldCharType="end"/>
          </w:r>
        </w:p>
        <w:p>
          <w:pPr>
            <w:pStyle w:val="10"/>
            <w:rPr>
              <w:rFonts w:ascii="Calibri" w:hAnsi="Calibri" w:eastAsia="宋体" w:cs="Arial"/>
              <w:sz w:val="21"/>
              <w:szCs w:val="22"/>
            </w:rPr>
          </w:pPr>
          <w:r>
            <w:fldChar w:fldCharType="begin"/>
          </w:r>
          <w:r>
            <w:instrText xml:space="preserve">Hyperlink \l "_Toc146721295"</w:instrText>
          </w:r>
          <w:r>
            <w:fldChar w:fldCharType="separate"/>
          </w:r>
          <w:r>
            <w:rPr>
              <w:rFonts w:hint="eastAsia" w:ascii="黑体" w:eastAsia="黑体"/>
            </w:rPr>
            <w:t>第二部分</w:t>
          </w:r>
          <w:r>
            <w:rPr>
              <w:rFonts w:ascii="黑体" w:eastAsia="黑体"/>
            </w:rPr>
            <w:t xml:space="preserve"> 2021</w:t>
          </w:r>
          <w:r>
            <w:rPr>
              <w:rFonts w:hint="eastAsia" w:ascii="黑体" w:eastAsia="黑体"/>
            </w:rPr>
            <w:t>年度单位决算情况说明</w:t>
          </w:r>
          <w:r>
            <w:tab/>
          </w:r>
          <w:r>
            <w:fldChar w:fldCharType="begin"/>
          </w:r>
          <w:r>
            <w:instrText xml:space="preserve"> PAGEREF _Toc146721295 \h </w:instrText>
          </w:r>
          <w:r>
            <w:fldChar w:fldCharType="separate"/>
          </w:r>
          <w:r>
            <w:t>9</w:t>
          </w:r>
          <w:r>
            <w:fldChar w:fldCharType="end"/>
          </w:r>
          <w:r>
            <w:fldChar w:fldCharType="end"/>
          </w:r>
        </w:p>
        <w:p>
          <w:pPr>
            <w:pStyle w:val="11"/>
            <w:tabs>
              <w:tab w:val="left" w:pos="1260"/>
            </w:tabs>
            <w:rPr>
              <w:rFonts w:ascii="Calibri" w:hAnsi="Calibri" w:eastAsia="宋体" w:cs="Arial"/>
              <w:szCs w:val="22"/>
            </w:rPr>
          </w:pPr>
          <w:r>
            <w:fldChar w:fldCharType="begin"/>
          </w:r>
          <w:r>
            <w:instrText xml:space="preserve">Hyperlink \l "_Toc146721296"</w:instrText>
          </w:r>
          <w:r>
            <w:fldChar w:fldCharType="separate"/>
          </w:r>
          <w:r>
            <w:rPr>
              <w:rFonts w:hint="eastAsia" w:ascii="黑体" w:hAnsi="Cambria" w:eastAsia="黑体"/>
              <w:bCs/>
            </w:rPr>
            <w:t>一、</w:t>
          </w:r>
          <w:r>
            <w:rPr>
              <w:rFonts w:hint="eastAsia" w:ascii="黑体" w:eastAsia="黑体"/>
            </w:rPr>
            <w:t>收</w:t>
          </w:r>
          <w:r>
            <w:rPr>
              <w:rFonts w:hint="eastAsia" w:ascii="黑体" w:hAnsi="Cambria" w:eastAsia="黑体"/>
              <w:bCs/>
            </w:rPr>
            <w:t>入支出决算总体情况说明</w:t>
          </w:r>
          <w:r>
            <w:tab/>
          </w:r>
          <w:r>
            <w:fldChar w:fldCharType="begin"/>
          </w:r>
          <w:r>
            <w:instrText xml:space="preserve"> PAGEREF _Toc146721296 \h </w:instrText>
          </w:r>
          <w:r>
            <w:fldChar w:fldCharType="separate"/>
          </w:r>
          <w:r>
            <w:t>9</w:t>
          </w:r>
          <w:r>
            <w:fldChar w:fldCharType="end"/>
          </w:r>
          <w:r>
            <w:fldChar w:fldCharType="end"/>
          </w:r>
        </w:p>
        <w:p>
          <w:pPr>
            <w:pStyle w:val="11"/>
            <w:tabs>
              <w:tab w:val="left" w:pos="1260"/>
            </w:tabs>
            <w:rPr>
              <w:rFonts w:ascii="Calibri" w:hAnsi="Calibri" w:eastAsia="宋体" w:cs="Arial"/>
              <w:szCs w:val="22"/>
            </w:rPr>
          </w:pPr>
          <w:r>
            <w:fldChar w:fldCharType="begin"/>
          </w:r>
          <w:r>
            <w:instrText xml:space="preserve">Hyperlink \l "_Toc146721297"</w:instrText>
          </w:r>
          <w:r>
            <w:fldChar w:fldCharType="separate"/>
          </w:r>
          <w:r>
            <w:rPr>
              <w:rFonts w:hint="eastAsia" w:ascii="黑体" w:hAnsi="Cambria" w:eastAsia="黑体"/>
              <w:bCs/>
            </w:rPr>
            <w:t>二、</w:t>
          </w:r>
          <w:r>
            <w:rPr>
              <w:rFonts w:hint="eastAsia" w:ascii="黑体" w:eastAsia="黑体"/>
            </w:rPr>
            <w:t>收</w:t>
          </w:r>
          <w:r>
            <w:rPr>
              <w:rFonts w:hint="eastAsia" w:ascii="黑体" w:hAnsi="Cambria" w:eastAsia="黑体"/>
              <w:bCs/>
            </w:rPr>
            <w:t>入决算情况说明</w:t>
          </w:r>
          <w:r>
            <w:tab/>
          </w:r>
          <w:r>
            <w:fldChar w:fldCharType="begin"/>
          </w:r>
          <w:r>
            <w:instrText xml:space="preserve"> PAGEREF _Toc146721297 \h </w:instrText>
          </w:r>
          <w:r>
            <w:fldChar w:fldCharType="separate"/>
          </w:r>
          <w:r>
            <w:t>9</w:t>
          </w:r>
          <w:r>
            <w:fldChar w:fldCharType="end"/>
          </w:r>
          <w:r>
            <w:fldChar w:fldCharType="end"/>
          </w:r>
        </w:p>
        <w:p>
          <w:pPr>
            <w:pStyle w:val="11"/>
            <w:tabs>
              <w:tab w:val="left" w:pos="1260"/>
            </w:tabs>
            <w:rPr>
              <w:rFonts w:ascii="Calibri" w:hAnsi="Calibri" w:eastAsia="宋体" w:cs="Arial"/>
              <w:szCs w:val="22"/>
            </w:rPr>
          </w:pPr>
          <w:r>
            <w:fldChar w:fldCharType="begin"/>
          </w:r>
          <w:r>
            <w:instrText xml:space="preserve">Hyperlink \l "_Toc146721299"</w:instrText>
          </w:r>
          <w:r>
            <w:fldChar w:fldCharType="separate"/>
          </w:r>
          <w:r>
            <w:rPr>
              <w:rFonts w:hint="eastAsia" w:ascii="黑体" w:hAnsi="Cambria" w:eastAsia="黑体"/>
              <w:bCs/>
            </w:rPr>
            <w:t>三、</w:t>
          </w:r>
          <w:r>
            <w:rPr>
              <w:rFonts w:hint="eastAsia" w:ascii="黑体" w:eastAsia="黑体"/>
            </w:rPr>
            <w:t>支</w:t>
          </w:r>
          <w:r>
            <w:rPr>
              <w:rFonts w:hint="eastAsia" w:ascii="黑体" w:hAnsi="Cambria" w:eastAsia="黑体"/>
              <w:bCs/>
            </w:rPr>
            <w:t>出决算情况说明</w:t>
          </w:r>
          <w:r>
            <w:tab/>
          </w:r>
          <w:r>
            <w:fldChar w:fldCharType="begin"/>
          </w:r>
          <w:r>
            <w:instrText xml:space="preserve"> PAGEREF _Toc146721299 \h </w:instrText>
          </w:r>
          <w:r>
            <w:fldChar w:fldCharType="separate"/>
          </w:r>
          <w:r>
            <w:t>10</w:t>
          </w:r>
          <w:r>
            <w:fldChar w:fldCharType="end"/>
          </w:r>
          <w:r>
            <w:fldChar w:fldCharType="end"/>
          </w:r>
        </w:p>
        <w:p>
          <w:pPr>
            <w:pStyle w:val="11"/>
            <w:rPr>
              <w:rFonts w:ascii="Calibri" w:hAnsi="Calibri" w:eastAsia="宋体" w:cs="Arial"/>
              <w:szCs w:val="22"/>
            </w:rPr>
          </w:pPr>
          <w:r>
            <w:fldChar w:fldCharType="begin"/>
          </w:r>
          <w:r>
            <w:instrText xml:space="preserve">Hyperlink \l "_Toc146721300"</w:instrText>
          </w:r>
          <w:r>
            <w:fldChar w:fldCharType="separate"/>
          </w:r>
          <w:r>
            <w:rPr>
              <w:rFonts w:hint="eastAsia" w:ascii="黑体" w:eastAsia="黑体"/>
            </w:rPr>
            <w:t>四、财</w:t>
          </w:r>
          <w:r>
            <w:rPr>
              <w:rFonts w:hint="eastAsia" w:ascii="黑体" w:hAnsi="Cambria" w:eastAsia="黑体"/>
              <w:bCs/>
            </w:rPr>
            <w:t>政拨款收入支出决算总体情况说明</w:t>
          </w:r>
          <w:r>
            <w:tab/>
          </w:r>
          <w:r>
            <w:fldChar w:fldCharType="begin"/>
          </w:r>
          <w:r>
            <w:instrText xml:space="preserve"> PAGEREF _Toc146721300 \h </w:instrText>
          </w:r>
          <w:r>
            <w:fldChar w:fldCharType="separate"/>
          </w:r>
          <w:r>
            <w:t>11</w:t>
          </w:r>
          <w:r>
            <w:fldChar w:fldCharType="end"/>
          </w:r>
          <w:r>
            <w:fldChar w:fldCharType="end"/>
          </w:r>
        </w:p>
        <w:p>
          <w:pPr>
            <w:pStyle w:val="11"/>
            <w:rPr>
              <w:rFonts w:ascii="Calibri" w:hAnsi="Calibri" w:eastAsia="宋体" w:cs="Arial"/>
              <w:szCs w:val="22"/>
            </w:rPr>
          </w:pPr>
          <w:r>
            <w:fldChar w:fldCharType="begin"/>
          </w:r>
          <w:r>
            <w:instrText xml:space="preserve">Hyperlink \l "_Toc146721301"</w:instrText>
          </w:r>
          <w:r>
            <w:fldChar w:fldCharType="separate"/>
          </w:r>
          <w:r>
            <w:rPr>
              <w:rFonts w:hint="eastAsia" w:ascii="黑体" w:eastAsia="黑体"/>
            </w:rPr>
            <w:t>五、</w:t>
          </w:r>
          <w:r>
            <w:rPr>
              <w:rFonts w:hint="eastAsia" w:ascii="黑体" w:eastAsia="黑体"/>
              <w:b/>
            </w:rPr>
            <w:t>一</w:t>
          </w:r>
          <w:r>
            <w:rPr>
              <w:rFonts w:hint="eastAsia" w:ascii="黑体" w:hAnsi="Cambria" w:eastAsia="黑体"/>
              <w:bCs/>
            </w:rPr>
            <w:t>般公共预算财政拨款支出决算情况说明</w:t>
          </w:r>
          <w:r>
            <w:tab/>
          </w:r>
          <w:r>
            <w:fldChar w:fldCharType="begin"/>
          </w:r>
          <w:r>
            <w:instrText xml:space="preserve"> PAGEREF _Toc146721301 \h </w:instrText>
          </w:r>
          <w:r>
            <w:fldChar w:fldCharType="separate"/>
          </w:r>
          <w:r>
            <w:t>11</w:t>
          </w:r>
          <w:r>
            <w:fldChar w:fldCharType="end"/>
          </w:r>
          <w:r>
            <w:fldChar w:fldCharType="end"/>
          </w:r>
        </w:p>
        <w:p>
          <w:pPr>
            <w:pStyle w:val="11"/>
            <w:rPr>
              <w:rFonts w:ascii="Calibri" w:hAnsi="Calibri" w:eastAsia="宋体" w:cs="Arial"/>
              <w:szCs w:val="22"/>
            </w:rPr>
          </w:pPr>
          <w:r>
            <w:fldChar w:fldCharType="begin"/>
          </w:r>
          <w:r>
            <w:instrText xml:space="preserve">Hyperlink \l "_Toc146721305"</w:instrText>
          </w:r>
          <w:r>
            <w:fldChar w:fldCharType="separate"/>
          </w:r>
          <w:r>
            <w:rPr>
              <w:rFonts w:hint="eastAsia" w:ascii="黑体" w:eastAsia="黑体"/>
            </w:rPr>
            <w:t>六</w:t>
          </w:r>
          <w:r>
            <w:rPr>
              <w:rFonts w:hint="eastAsia" w:ascii="黑体" w:eastAsia="黑体"/>
              <w:b/>
            </w:rPr>
            <w:t>、一</w:t>
          </w:r>
          <w:r>
            <w:rPr>
              <w:rFonts w:hint="eastAsia" w:ascii="黑体" w:hAnsi="Cambria" w:eastAsia="黑体"/>
              <w:bCs/>
            </w:rPr>
            <w:t>般公共预算财政拨款基本支出决算情况说明</w:t>
          </w:r>
          <w:r>
            <w:tab/>
          </w:r>
          <w:r>
            <w:fldChar w:fldCharType="begin"/>
          </w:r>
          <w:r>
            <w:instrText xml:space="preserve"> PAGEREF _Toc146721305 \h </w:instrText>
          </w:r>
          <w:r>
            <w:fldChar w:fldCharType="separate"/>
          </w:r>
          <w:r>
            <w:t>14</w:t>
          </w:r>
          <w:r>
            <w:fldChar w:fldCharType="end"/>
          </w:r>
          <w:r>
            <w:fldChar w:fldCharType="end"/>
          </w:r>
        </w:p>
        <w:p>
          <w:pPr>
            <w:pStyle w:val="11"/>
            <w:rPr>
              <w:rFonts w:ascii="Calibri" w:hAnsi="Calibri" w:eastAsia="宋体" w:cs="Arial"/>
              <w:szCs w:val="22"/>
            </w:rPr>
          </w:pPr>
          <w:r>
            <w:fldChar w:fldCharType="begin"/>
          </w:r>
          <w:r>
            <w:instrText xml:space="preserve">Hyperlink \l "_Toc146721306"</w:instrText>
          </w:r>
          <w:r>
            <w:fldChar w:fldCharType="separate"/>
          </w:r>
          <w:r>
            <w:rPr>
              <w:rFonts w:hint="eastAsia" w:ascii="黑体" w:eastAsia="黑体"/>
            </w:rPr>
            <w:t>七、</w:t>
          </w:r>
          <w:r>
            <w:rPr>
              <w:rFonts w:ascii="黑体" w:hAnsi="Cambria" w:eastAsia="黑体"/>
              <w:b/>
              <w:bCs/>
            </w:rPr>
            <w:t>“</w:t>
          </w:r>
          <w:r>
            <w:rPr>
              <w:rFonts w:hint="eastAsia" w:ascii="黑体" w:hAnsi="Cambria" w:eastAsia="黑体"/>
              <w:bCs/>
            </w:rPr>
            <w:t>三公”经费财政拨款支出决算情况说明</w:t>
          </w:r>
          <w:r>
            <w:tab/>
          </w:r>
          <w:r>
            <w:fldChar w:fldCharType="begin"/>
          </w:r>
          <w:r>
            <w:instrText xml:space="preserve"> PAGEREF _Toc146721306 \h </w:instrText>
          </w:r>
          <w:r>
            <w:fldChar w:fldCharType="separate"/>
          </w:r>
          <w:r>
            <w:t>15</w:t>
          </w:r>
          <w:r>
            <w:fldChar w:fldCharType="end"/>
          </w:r>
          <w:r>
            <w:fldChar w:fldCharType="end"/>
          </w:r>
        </w:p>
        <w:p>
          <w:pPr>
            <w:pStyle w:val="11"/>
            <w:rPr>
              <w:rFonts w:ascii="Calibri" w:hAnsi="Calibri" w:eastAsia="宋体" w:cs="Arial"/>
              <w:szCs w:val="22"/>
            </w:rPr>
          </w:pPr>
          <w:r>
            <w:fldChar w:fldCharType="begin"/>
          </w:r>
          <w:r>
            <w:instrText xml:space="preserve">Hyperlink \l "_Toc146721309"</w:instrText>
          </w:r>
          <w:r>
            <w:fldChar w:fldCharType="separate"/>
          </w:r>
          <w:r>
            <w:rPr>
              <w:rFonts w:hint="eastAsia" w:ascii="黑体" w:eastAsia="黑体"/>
            </w:rPr>
            <w:t>八、</w:t>
          </w:r>
          <w:r>
            <w:rPr>
              <w:rFonts w:hint="eastAsia" w:ascii="黑体" w:hAnsi="Cambria" w:eastAsia="黑体"/>
              <w:bCs/>
            </w:rPr>
            <w:t>政府性基金预算支出决算情况说明</w:t>
          </w:r>
          <w:r>
            <w:tab/>
          </w:r>
          <w:r>
            <w:fldChar w:fldCharType="begin"/>
          </w:r>
          <w:r>
            <w:instrText xml:space="preserve"> PAGEREF _Toc146721309 \h </w:instrText>
          </w:r>
          <w:r>
            <w:fldChar w:fldCharType="separate"/>
          </w:r>
          <w:r>
            <w:t>17</w:t>
          </w:r>
          <w:r>
            <w:fldChar w:fldCharType="end"/>
          </w:r>
          <w:r>
            <w:fldChar w:fldCharType="end"/>
          </w:r>
        </w:p>
        <w:p>
          <w:pPr>
            <w:pStyle w:val="11"/>
            <w:rPr>
              <w:rFonts w:ascii="Calibri" w:hAnsi="Calibri" w:eastAsia="宋体" w:cs="Arial"/>
              <w:szCs w:val="22"/>
            </w:rPr>
          </w:pPr>
          <w:r>
            <w:fldChar w:fldCharType="begin"/>
          </w:r>
          <w:r>
            <w:instrText xml:space="preserve">Hyperlink \l "_Toc146721310"</w:instrText>
          </w:r>
          <w:r>
            <w:fldChar w:fldCharType="separate"/>
          </w:r>
          <w:r>
            <w:rPr>
              <w:rFonts w:hint="eastAsia" w:ascii="黑体" w:hAnsi="Cambria" w:eastAsia="黑体"/>
              <w:bCs/>
            </w:rPr>
            <w:t>九、 国有资本经营预算支出决算情况说明</w:t>
          </w:r>
          <w:r>
            <w:tab/>
          </w:r>
          <w:r>
            <w:fldChar w:fldCharType="begin"/>
          </w:r>
          <w:r>
            <w:instrText xml:space="preserve"> PAGEREF _Toc146721310 \h </w:instrText>
          </w:r>
          <w:r>
            <w:fldChar w:fldCharType="separate"/>
          </w:r>
          <w:r>
            <w:t>17</w:t>
          </w:r>
          <w:r>
            <w:fldChar w:fldCharType="end"/>
          </w:r>
          <w:r>
            <w:fldChar w:fldCharType="end"/>
          </w:r>
        </w:p>
        <w:p>
          <w:pPr>
            <w:pStyle w:val="11"/>
            <w:rPr>
              <w:rFonts w:ascii="Calibri" w:hAnsi="Calibri" w:eastAsia="宋体" w:cs="Arial"/>
              <w:szCs w:val="22"/>
            </w:rPr>
          </w:pPr>
          <w:r>
            <w:fldChar w:fldCharType="begin"/>
          </w:r>
          <w:r>
            <w:instrText xml:space="preserve">Hyperlink \l "_Toc146721311"</w:instrText>
          </w:r>
          <w:r>
            <w:fldChar w:fldCharType="separate"/>
          </w:r>
          <w:r>
            <w:rPr>
              <w:rFonts w:hint="eastAsia" w:ascii="黑体" w:hAnsi="Cambria" w:eastAsia="黑体"/>
              <w:bCs/>
            </w:rPr>
            <w:t>十、 其他重要事项的情况说明</w:t>
          </w:r>
          <w:r>
            <w:tab/>
          </w:r>
          <w:r>
            <w:fldChar w:fldCharType="begin"/>
          </w:r>
          <w:r>
            <w:instrText xml:space="preserve"> PAGEREF _Toc146721311 \h </w:instrText>
          </w:r>
          <w:r>
            <w:fldChar w:fldCharType="separate"/>
          </w:r>
          <w:r>
            <w:t>17</w:t>
          </w:r>
          <w:r>
            <w:fldChar w:fldCharType="end"/>
          </w:r>
          <w:r>
            <w:fldChar w:fldCharType="end"/>
          </w:r>
        </w:p>
        <w:p>
          <w:pPr>
            <w:pStyle w:val="10"/>
            <w:rPr>
              <w:rFonts w:ascii="Calibri" w:hAnsi="Calibri" w:eastAsia="宋体" w:cs="Arial"/>
              <w:sz w:val="21"/>
              <w:szCs w:val="22"/>
            </w:rPr>
          </w:pPr>
          <w:r>
            <w:fldChar w:fldCharType="begin"/>
          </w:r>
          <w:r>
            <w:instrText xml:space="preserve">Hyperlink \l "_Toc146721316"</w:instrText>
          </w:r>
          <w:r>
            <w:fldChar w:fldCharType="separate"/>
          </w:r>
          <w:r>
            <w:rPr>
              <w:rFonts w:hint="eastAsia" w:ascii="黑体" w:hAnsi="黑体" w:eastAsia="黑体" w:cs="黑体"/>
              <w:bCs/>
              <w:kern w:val="44"/>
            </w:rPr>
            <w:t>第三部分</w:t>
          </w:r>
          <w:r>
            <w:rPr>
              <w:rFonts w:hint="eastAsia" w:ascii="黑体" w:eastAsia="黑体"/>
            </w:rPr>
            <w:t xml:space="preserve"> 名</w:t>
          </w:r>
          <w:r>
            <w:rPr>
              <w:rFonts w:hint="eastAsia" w:ascii="黑体" w:eastAsia="黑体"/>
              <w:bCs/>
              <w:kern w:val="44"/>
            </w:rPr>
            <w:t>词解释</w:t>
          </w:r>
          <w:r>
            <w:tab/>
          </w:r>
          <w:r>
            <w:fldChar w:fldCharType="begin"/>
          </w:r>
          <w:r>
            <w:instrText xml:space="preserve"> PAGEREF _Toc146721316 \h </w:instrText>
          </w:r>
          <w:r>
            <w:fldChar w:fldCharType="separate"/>
          </w:r>
          <w:r>
            <w:t>19</w:t>
          </w:r>
          <w:r>
            <w:fldChar w:fldCharType="end"/>
          </w:r>
          <w:r>
            <w:fldChar w:fldCharType="end"/>
          </w:r>
        </w:p>
        <w:p>
          <w:pPr>
            <w:pStyle w:val="10"/>
            <w:rPr>
              <w:rFonts w:ascii="Calibri" w:hAnsi="Calibri" w:eastAsia="宋体" w:cs="Arial"/>
              <w:sz w:val="21"/>
              <w:szCs w:val="22"/>
            </w:rPr>
          </w:pPr>
          <w:r>
            <w:fldChar w:fldCharType="begin"/>
          </w:r>
          <w:r>
            <w:instrText xml:space="preserve">Hyperlink \l "_Toc146721317"</w:instrText>
          </w:r>
          <w:r>
            <w:fldChar w:fldCharType="separate"/>
          </w:r>
          <w:r>
            <w:rPr>
              <w:rFonts w:hint="eastAsia" w:ascii="黑体" w:eastAsia="黑体"/>
            </w:rPr>
            <w:t>第</w:t>
          </w:r>
          <w:r>
            <w:rPr>
              <w:rFonts w:hint="eastAsia" w:ascii="黑体" w:eastAsia="黑体"/>
              <w:bCs/>
              <w:kern w:val="44"/>
            </w:rPr>
            <w:t>四部分</w:t>
          </w:r>
          <w:r>
            <w:rPr>
              <w:rFonts w:ascii="黑体" w:eastAsia="黑体"/>
              <w:bCs/>
              <w:kern w:val="44"/>
            </w:rPr>
            <w:t xml:space="preserve"> </w:t>
          </w:r>
          <w:r>
            <w:rPr>
              <w:rFonts w:hint="eastAsia" w:ascii="黑体" w:eastAsia="黑体"/>
              <w:bCs/>
              <w:kern w:val="44"/>
            </w:rPr>
            <w:t>附件</w:t>
          </w:r>
          <w:r>
            <w:tab/>
          </w:r>
          <w:r>
            <w:fldChar w:fldCharType="begin"/>
          </w:r>
          <w:r>
            <w:instrText xml:space="preserve"> PAGEREF _Toc146721317 \h </w:instrText>
          </w:r>
          <w:r>
            <w:fldChar w:fldCharType="separate"/>
          </w:r>
          <w:r>
            <w:t>22</w:t>
          </w:r>
          <w:r>
            <w:fldChar w:fldCharType="end"/>
          </w:r>
          <w:r>
            <w:fldChar w:fldCharType="end"/>
          </w:r>
        </w:p>
        <w:p>
          <w:pPr>
            <w:pStyle w:val="11"/>
            <w:rPr>
              <w:rFonts w:hint="eastAsia" w:ascii="方正黑体_GBK" w:eastAsia="方正黑体_GBK" w:cs="Arial"/>
            </w:rPr>
          </w:pPr>
          <w:r>
            <w:rPr>
              <w:rFonts w:hint="eastAsia" w:ascii="方正黑体_GBK" w:eastAsia="方正黑体_GBK"/>
            </w:rPr>
            <w:fldChar w:fldCharType="begin"/>
          </w:r>
          <w:r>
            <w:rPr>
              <w:rFonts w:hint="eastAsia" w:ascii="方正黑体_GBK" w:eastAsia="方正黑体_GBK"/>
            </w:rPr>
            <w:instrText xml:space="preserve">Hyperlink \l "_Toc146721318"</w:instrText>
          </w:r>
          <w:r>
            <w:rPr>
              <w:rFonts w:hint="eastAsia" w:ascii="方正黑体_GBK" w:eastAsia="方正黑体_GBK"/>
            </w:rPr>
            <w:fldChar w:fldCharType="separate"/>
          </w:r>
          <w:r>
            <w:rPr>
              <w:rFonts w:hint="eastAsia" w:ascii="方正黑体_GBK" w:eastAsia="方正黑体_GBK" w:cs="黑体"/>
            </w:rPr>
            <w:t>附件1</w:t>
          </w:r>
          <w:r>
            <w:rPr>
              <w:rFonts w:hint="eastAsia" w:ascii="方正黑体_GBK" w:eastAsia="方正黑体_GBK"/>
            </w:rPr>
            <w:tab/>
          </w:r>
          <w:r>
            <w:rPr>
              <w:rFonts w:hint="eastAsia" w:ascii="方正黑体_GBK" w:eastAsia="方正黑体_GBK"/>
            </w:rPr>
            <w:fldChar w:fldCharType="begin"/>
          </w:r>
          <w:r>
            <w:rPr>
              <w:rFonts w:hint="eastAsia" w:ascii="方正黑体_GBK" w:eastAsia="方正黑体_GBK"/>
            </w:rPr>
            <w:instrText xml:space="preserve"> PAGEREF _Toc146721318 \h </w:instrText>
          </w:r>
          <w:r>
            <w:rPr>
              <w:rFonts w:hint="eastAsia" w:ascii="方正黑体_GBK" w:eastAsia="方正黑体_GBK"/>
            </w:rPr>
            <w:fldChar w:fldCharType="separate"/>
          </w:r>
          <w:r>
            <w:rPr>
              <w:rFonts w:hint="eastAsia" w:ascii="方正黑体_GBK" w:eastAsia="方正黑体_GBK"/>
            </w:rPr>
            <w:t>22</w:t>
          </w:r>
          <w:r>
            <w:rPr>
              <w:rFonts w:hint="eastAsia" w:ascii="方正黑体_GBK" w:eastAsia="方正黑体_GBK"/>
            </w:rPr>
            <w:fldChar w:fldCharType="end"/>
          </w:r>
          <w:r>
            <w:rPr>
              <w:rFonts w:hint="eastAsia" w:ascii="方正黑体_GBK" w:eastAsia="方正黑体_GBK"/>
            </w:rPr>
            <w:fldChar w:fldCharType="end"/>
          </w:r>
        </w:p>
        <w:p>
          <w:pPr>
            <w:pStyle w:val="11"/>
            <w:rPr>
              <w:rFonts w:hint="eastAsia" w:ascii="方正黑体_GBK" w:eastAsia="方正黑体_GBK" w:cs="Arial"/>
            </w:rPr>
          </w:pPr>
          <w:r>
            <w:rPr>
              <w:rFonts w:hint="eastAsia" w:ascii="方正黑体_GBK" w:eastAsia="方正黑体_GBK"/>
            </w:rPr>
            <w:fldChar w:fldCharType="begin"/>
          </w:r>
          <w:r>
            <w:rPr>
              <w:rFonts w:hint="eastAsia" w:ascii="方正黑体_GBK" w:eastAsia="方正黑体_GBK"/>
            </w:rPr>
            <w:instrText xml:space="preserve">Hyperlink \l "_Toc146721319"</w:instrText>
          </w:r>
          <w:r>
            <w:rPr>
              <w:rFonts w:hint="eastAsia" w:ascii="方正黑体_GBK" w:eastAsia="方正黑体_GBK"/>
            </w:rPr>
            <w:fldChar w:fldCharType="separate"/>
          </w:r>
          <w:r>
            <w:rPr>
              <w:rFonts w:hint="eastAsia" w:ascii="方正黑体_GBK" w:eastAsia="方正黑体_GBK" w:cs="黑体"/>
            </w:rPr>
            <w:t>附件2</w:t>
          </w:r>
          <w:r>
            <w:rPr>
              <w:rFonts w:hint="eastAsia" w:ascii="方正黑体_GBK" w:eastAsia="方正黑体_GBK"/>
            </w:rPr>
            <w:tab/>
          </w:r>
          <w:r>
            <w:rPr>
              <w:rFonts w:hint="eastAsia" w:ascii="方正黑体_GBK" w:eastAsia="方正黑体_GBK"/>
            </w:rPr>
            <w:fldChar w:fldCharType="begin"/>
          </w:r>
          <w:r>
            <w:rPr>
              <w:rFonts w:hint="eastAsia" w:ascii="方正黑体_GBK" w:eastAsia="方正黑体_GBK"/>
            </w:rPr>
            <w:instrText xml:space="preserve"> PAGEREF _Toc146721319 \h </w:instrText>
          </w:r>
          <w:r>
            <w:rPr>
              <w:rFonts w:hint="eastAsia" w:ascii="方正黑体_GBK" w:eastAsia="方正黑体_GBK"/>
            </w:rPr>
            <w:fldChar w:fldCharType="separate"/>
          </w:r>
          <w:r>
            <w:rPr>
              <w:rFonts w:hint="eastAsia" w:ascii="方正黑体_GBK" w:eastAsia="方正黑体_GBK"/>
            </w:rPr>
            <w:t>24</w:t>
          </w:r>
          <w:r>
            <w:rPr>
              <w:rFonts w:hint="eastAsia" w:ascii="方正黑体_GBK" w:eastAsia="方正黑体_GBK"/>
            </w:rPr>
            <w:fldChar w:fldCharType="end"/>
          </w:r>
          <w:r>
            <w:rPr>
              <w:rFonts w:hint="eastAsia" w:ascii="方正黑体_GBK" w:eastAsia="方正黑体_GBK"/>
            </w:rPr>
            <w:fldChar w:fldCharType="end"/>
          </w:r>
        </w:p>
        <w:p>
          <w:pPr>
            <w:pStyle w:val="11"/>
            <w:rPr>
              <w:rFonts w:hint="eastAsia" w:ascii="方正黑体_GBK" w:eastAsia="方正黑体_GBK" w:cs="Arial"/>
            </w:rPr>
          </w:pPr>
          <w:r>
            <w:rPr>
              <w:rFonts w:hint="eastAsia" w:ascii="方正黑体_GBK" w:eastAsia="方正黑体_GBK"/>
            </w:rPr>
            <w:fldChar w:fldCharType="begin"/>
          </w:r>
          <w:r>
            <w:rPr>
              <w:rFonts w:hint="eastAsia" w:ascii="方正黑体_GBK" w:eastAsia="方正黑体_GBK"/>
            </w:rPr>
            <w:instrText xml:space="preserve">Hyperlink \l "_Toc146721320"</w:instrText>
          </w:r>
          <w:r>
            <w:rPr>
              <w:rFonts w:hint="eastAsia" w:ascii="方正黑体_GBK" w:eastAsia="方正黑体_GBK"/>
            </w:rPr>
            <w:fldChar w:fldCharType="separate"/>
          </w:r>
          <w:r>
            <w:rPr>
              <w:rFonts w:hint="eastAsia" w:ascii="方正黑体_GBK" w:eastAsia="方正黑体_GBK" w:cs="黑体"/>
            </w:rPr>
            <w:t>附件3</w:t>
          </w:r>
          <w:r>
            <w:rPr>
              <w:rFonts w:hint="eastAsia" w:ascii="方正黑体_GBK" w:eastAsia="方正黑体_GBK"/>
            </w:rPr>
            <w:tab/>
          </w:r>
          <w:r>
            <w:rPr>
              <w:rFonts w:hint="eastAsia" w:ascii="方正黑体_GBK" w:eastAsia="方正黑体_GBK"/>
            </w:rPr>
            <w:fldChar w:fldCharType="begin"/>
          </w:r>
          <w:r>
            <w:rPr>
              <w:rFonts w:hint="eastAsia" w:ascii="方正黑体_GBK" w:eastAsia="方正黑体_GBK"/>
            </w:rPr>
            <w:instrText xml:space="preserve"> PAGEREF _Toc146721320 \h </w:instrText>
          </w:r>
          <w:r>
            <w:rPr>
              <w:rFonts w:hint="eastAsia" w:ascii="方正黑体_GBK" w:eastAsia="方正黑体_GBK"/>
            </w:rPr>
            <w:fldChar w:fldCharType="separate"/>
          </w:r>
          <w:r>
            <w:rPr>
              <w:rFonts w:hint="eastAsia" w:ascii="方正黑体_GBK" w:eastAsia="方正黑体_GBK"/>
            </w:rPr>
            <w:t>25</w:t>
          </w:r>
          <w:r>
            <w:rPr>
              <w:rFonts w:hint="eastAsia" w:ascii="方正黑体_GBK" w:eastAsia="方正黑体_GBK"/>
            </w:rPr>
            <w:fldChar w:fldCharType="end"/>
          </w:r>
          <w:r>
            <w:rPr>
              <w:rFonts w:hint="eastAsia" w:ascii="方正黑体_GBK" w:eastAsia="方正黑体_GBK"/>
            </w:rPr>
            <w:fldChar w:fldCharType="end"/>
          </w:r>
        </w:p>
        <w:p>
          <w:pPr>
            <w:pStyle w:val="11"/>
            <w:rPr>
              <w:rFonts w:hint="eastAsia" w:ascii="方正黑体_GBK" w:eastAsia="方正黑体_GBK" w:cs="Arial"/>
            </w:rPr>
          </w:pPr>
          <w:r>
            <w:rPr>
              <w:rFonts w:hint="eastAsia" w:ascii="方正黑体_GBK" w:eastAsia="方正黑体_GBK"/>
            </w:rPr>
            <w:fldChar w:fldCharType="begin"/>
          </w:r>
          <w:r>
            <w:rPr>
              <w:rFonts w:hint="eastAsia" w:ascii="方正黑体_GBK" w:eastAsia="方正黑体_GBK"/>
            </w:rPr>
            <w:instrText xml:space="preserve">Hyperlink \l "_Toc146721321"</w:instrText>
          </w:r>
          <w:r>
            <w:rPr>
              <w:rFonts w:hint="eastAsia" w:ascii="方正黑体_GBK" w:eastAsia="方正黑体_GBK"/>
            </w:rPr>
            <w:fldChar w:fldCharType="separate"/>
          </w:r>
          <w:r>
            <w:rPr>
              <w:rFonts w:hint="eastAsia" w:ascii="方正黑体_GBK" w:eastAsia="方正黑体_GBK" w:cs="黑体"/>
            </w:rPr>
            <w:t>附件4</w:t>
          </w:r>
          <w:r>
            <w:rPr>
              <w:rFonts w:hint="eastAsia" w:ascii="方正黑体_GBK" w:eastAsia="方正黑体_GBK"/>
            </w:rPr>
            <w:tab/>
          </w:r>
          <w:r>
            <w:rPr>
              <w:rFonts w:hint="eastAsia" w:ascii="方正黑体_GBK" w:eastAsia="方正黑体_GBK"/>
            </w:rPr>
            <w:fldChar w:fldCharType="begin"/>
          </w:r>
          <w:r>
            <w:rPr>
              <w:rFonts w:hint="eastAsia" w:ascii="方正黑体_GBK" w:eastAsia="方正黑体_GBK"/>
            </w:rPr>
            <w:instrText xml:space="preserve"> PAGEREF _Toc146721321 \h </w:instrText>
          </w:r>
          <w:r>
            <w:rPr>
              <w:rFonts w:hint="eastAsia" w:ascii="方正黑体_GBK" w:eastAsia="方正黑体_GBK"/>
            </w:rPr>
            <w:fldChar w:fldCharType="separate"/>
          </w:r>
          <w:r>
            <w:rPr>
              <w:rFonts w:hint="eastAsia" w:ascii="方正黑体_GBK" w:eastAsia="方正黑体_GBK"/>
            </w:rPr>
            <w:t>26</w:t>
          </w:r>
          <w:r>
            <w:rPr>
              <w:rFonts w:hint="eastAsia" w:ascii="方正黑体_GBK" w:eastAsia="方正黑体_GBK"/>
            </w:rPr>
            <w:fldChar w:fldCharType="end"/>
          </w:r>
          <w:r>
            <w:rPr>
              <w:rFonts w:hint="eastAsia" w:ascii="方正黑体_GBK" w:eastAsia="方正黑体_GBK"/>
            </w:rPr>
            <w:fldChar w:fldCharType="end"/>
          </w:r>
        </w:p>
        <w:p>
          <w:pPr>
            <w:pStyle w:val="11"/>
            <w:rPr>
              <w:rFonts w:hint="eastAsia" w:ascii="方正黑体_GBK" w:eastAsia="方正黑体_GBK" w:cs="Arial"/>
            </w:rPr>
          </w:pPr>
          <w:r>
            <w:rPr>
              <w:rFonts w:hint="eastAsia" w:ascii="方正黑体_GBK" w:eastAsia="方正黑体_GBK"/>
            </w:rPr>
            <w:fldChar w:fldCharType="begin"/>
          </w:r>
          <w:r>
            <w:rPr>
              <w:rFonts w:hint="eastAsia" w:ascii="方正黑体_GBK" w:eastAsia="方正黑体_GBK"/>
            </w:rPr>
            <w:instrText xml:space="preserve">Hyperlink \l "_Toc146721322"</w:instrText>
          </w:r>
          <w:r>
            <w:rPr>
              <w:rFonts w:hint="eastAsia" w:ascii="方正黑体_GBK" w:eastAsia="方正黑体_GBK"/>
            </w:rPr>
            <w:fldChar w:fldCharType="separate"/>
          </w:r>
          <w:r>
            <w:rPr>
              <w:rFonts w:hint="eastAsia" w:ascii="方正黑体_GBK" w:eastAsia="方正黑体_GBK" w:cs="黑体"/>
            </w:rPr>
            <w:t>附件5</w:t>
          </w:r>
          <w:r>
            <w:rPr>
              <w:rFonts w:hint="eastAsia" w:ascii="方正黑体_GBK" w:eastAsia="方正黑体_GBK"/>
            </w:rPr>
            <w:tab/>
          </w:r>
          <w:r>
            <w:rPr>
              <w:rFonts w:hint="eastAsia" w:ascii="方正黑体_GBK" w:eastAsia="方正黑体_GBK"/>
            </w:rPr>
            <w:fldChar w:fldCharType="begin"/>
          </w:r>
          <w:r>
            <w:rPr>
              <w:rFonts w:hint="eastAsia" w:ascii="方正黑体_GBK" w:eastAsia="方正黑体_GBK"/>
            </w:rPr>
            <w:instrText xml:space="preserve"> PAGEREF _Toc146721322 \h </w:instrText>
          </w:r>
          <w:r>
            <w:rPr>
              <w:rFonts w:hint="eastAsia" w:ascii="方正黑体_GBK" w:eastAsia="方正黑体_GBK"/>
            </w:rPr>
            <w:fldChar w:fldCharType="separate"/>
          </w:r>
          <w:r>
            <w:rPr>
              <w:rFonts w:hint="eastAsia" w:ascii="方正黑体_GBK" w:eastAsia="方正黑体_GBK"/>
            </w:rPr>
            <w:t>28</w:t>
          </w:r>
          <w:r>
            <w:rPr>
              <w:rFonts w:hint="eastAsia" w:ascii="方正黑体_GBK" w:eastAsia="方正黑体_GBK"/>
            </w:rPr>
            <w:fldChar w:fldCharType="end"/>
          </w:r>
          <w:r>
            <w:rPr>
              <w:rFonts w:hint="eastAsia" w:ascii="方正黑体_GBK" w:eastAsia="方正黑体_GBK"/>
            </w:rPr>
            <w:fldChar w:fldCharType="end"/>
          </w:r>
        </w:p>
        <w:p>
          <w:pPr>
            <w:pStyle w:val="10"/>
            <w:rPr>
              <w:rFonts w:hint="eastAsia" w:ascii="方正黑体_GBK" w:eastAsia="方正黑体_GBK" w:cs="Arial"/>
            </w:rPr>
          </w:pPr>
          <w:r>
            <w:rPr>
              <w:rFonts w:hint="eastAsia" w:ascii="黑体" w:eastAsia="黑体"/>
            </w:rPr>
            <w:fldChar w:fldCharType="begin"/>
          </w:r>
          <w:r>
            <w:rPr>
              <w:rFonts w:hint="eastAsia" w:ascii="黑体" w:eastAsia="黑体"/>
            </w:rPr>
            <w:instrText xml:space="preserve">Hyperlink \l "_Toc146721323"</w:instrText>
          </w:r>
          <w:r>
            <w:rPr>
              <w:rFonts w:hint="eastAsia" w:ascii="黑体" w:eastAsia="黑体"/>
            </w:rPr>
            <w:fldChar w:fldCharType="separate"/>
          </w:r>
          <w:r>
            <w:rPr>
              <w:rFonts w:hint="eastAsia" w:ascii="黑体" w:eastAsia="黑体"/>
            </w:rPr>
            <w:t>第</w:t>
          </w:r>
          <w:r>
            <w:rPr>
              <w:rFonts w:hint="eastAsia" w:ascii="黑体" w:eastAsia="黑体"/>
              <w:bCs/>
            </w:rPr>
            <w:t>五部分 附表</w:t>
          </w:r>
          <w:r>
            <w:rPr>
              <w:rFonts w:hint="eastAsia" w:ascii="黑体" w:eastAsia="黑体"/>
            </w:rPr>
            <w:tab/>
          </w:r>
          <w:r>
            <w:rPr>
              <w:rFonts w:hint="eastAsia" w:ascii="黑体" w:eastAsia="黑体"/>
            </w:rPr>
            <w:fldChar w:fldCharType="begin"/>
          </w:r>
          <w:r>
            <w:rPr>
              <w:rFonts w:hint="eastAsia" w:ascii="黑体" w:eastAsia="黑体"/>
            </w:rPr>
            <w:instrText xml:space="preserve"> PAGEREF _Toc146721323 \h </w:instrText>
          </w:r>
          <w:r>
            <w:rPr>
              <w:rFonts w:hint="eastAsia" w:ascii="黑体" w:eastAsia="黑体"/>
            </w:rPr>
            <w:fldChar w:fldCharType="separate"/>
          </w:r>
          <w:r>
            <w:rPr>
              <w:rFonts w:hint="eastAsia" w:ascii="黑体" w:eastAsia="黑体"/>
            </w:rPr>
            <w:t>30</w:t>
          </w:r>
          <w:r>
            <w:rPr>
              <w:rFonts w:hint="eastAsia" w:ascii="黑体" w:eastAsia="黑体"/>
            </w:rPr>
            <w:fldChar w:fldCharType="end"/>
          </w:r>
          <w:r>
            <w:rPr>
              <w:rFonts w:hint="eastAsia" w:ascii="黑体" w:eastAsia="黑体"/>
            </w:rPr>
            <w:fldChar w:fldCharType="end"/>
          </w:r>
        </w:p>
        <w:p>
          <w:pPr>
            <w:pStyle w:val="11"/>
            <w:rPr>
              <w:rFonts w:ascii="Calibri" w:hAnsi="Calibri" w:eastAsia="宋体" w:cs="Arial"/>
              <w:szCs w:val="22"/>
            </w:rPr>
          </w:pPr>
          <w:r>
            <w:fldChar w:fldCharType="begin"/>
          </w:r>
          <w:r>
            <w:instrText xml:space="preserve">Hyperlink \l "_Toc146721324"</w:instrText>
          </w:r>
          <w:r>
            <w:fldChar w:fldCharType="separate"/>
          </w:r>
          <w:r>
            <w:rPr>
              <w:rFonts w:hint="eastAsia" w:ascii="仿宋" w:eastAsia="仿宋"/>
            </w:rPr>
            <w:t>一、收入支出决算总表</w:t>
          </w:r>
          <w:r>
            <w:tab/>
          </w:r>
          <w:r>
            <w:fldChar w:fldCharType="begin"/>
          </w:r>
          <w:r>
            <w:instrText xml:space="preserve"> PAGEREF _Toc146721324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"_Toc146721325"</w:instrText>
          </w:r>
          <w:r>
            <w:fldChar w:fldCharType="separate"/>
          </w:r>
          <w:r>
            <w:rPr>
              <w:rFonts w:hint="eastAsia" w:ascii="仿宋" w:eastAsia="仿宋"/>
            </w:rPr>
            <w:t>二、收入决算表</w:t>
          </w:r>
          <w:r>
            <w:tab/>
          </w:r>
          <w:r>
            <w:fldChar w:fldCharType="begin"/>
          </w:r>
          <w:r>
            <w:instrText xml:space="preserve"> PAGEREF _Toc146721325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"_Toc146721326"</w:instrText>
          </w:r>
          <w:r>
            <w:fldChar w:fldCharType="separate"/>
          </w:r>
          <w:r>
            <w:rPr>
              <w:rFonts w:hint="eastAsia" w:ascii="仿宋" w:eastAsia="仿宋"/>
            </w:rPr>
            <w:t>三、支出决算表</w:t>
          </w:r>
          <w:r>
            <w:tab/>
          </w:r>
          <w:r>
            <w:fldChar w:fldCharType="begin"/>
          </w:r>
          <w:r>
            <w:instrText xml:space="preserve"> PAGEREF _Toc146721326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"_Toc146721327"</w:instrText>
          </w:r>
          <w:r>
            <w:fldChar w:fldCharType="separate"/>
          </w:r>
          <w:r>
            <w:rPr>
              <w:rFonts w:hint="eastAsia" w:ascii="仿宋" w:eastAsia="仿宋"/>
            </w:rPr>
            <w:t>四、财政拨款收入支出决算总表</w:t>
          </w:r>
          <w:r>
            <w:tab/>
          </w:r>
          <w:r>
            <w:fldChar w:fldCharType="begin"/>
          </w:r>
          <w:r>
            <w:instrText xml:space="preserve"> PAGEREF _Toc146721327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"_Toc146721328"</w:instrText>
          </w:r>
          <w:r>
            <w:fldChar w:fldCharType="separate"/>
          </w:r>
          <w:r>
            <w:rPr>
              <w:rFonts w:hint="eastAsia" w:ascii="仿宋" w:eastAsia="仿宋"/>
            </w:rPr>
            <w:t>五、财政拨款支出决算明细表</w:t>
          </w:r>
          <w:r>
            <w:tab/>
          </w:r>
          <w:r>
            <w:fldChar w:fldCharType="begin"/>
          </w:r>
          <w:r>
            <w:instrText xml:space="preserve"> PAGEREF _Toc146721328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"_Toc146721329"</w:instrText>
          </w:r>
          <w:r>
            <w:fldChar w:fldCharType="separate"/>
          </w:r>
          <w:r>
            <w:rPr>
              <w:rFonts w:hint="eastAsia" w:ascii="仿宋" w:eastAsia="仿宋"/>
            </w:rPr>
            <w:t>六、一般公共预算财政拨款支出决算表</w:t>
          </w:r>
          <w:r>
            <w:tab/>
          </w:r>
          <w:r>
            <w:fldChar w:fldCharType="begin"/>
          </w:r>
          <w:r>
            <w:instrText xml:space="preserve"> PAGEREF _Toc146721329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"_Toc146721330"</w:instrText>
          </w:r>
          <w:r>
            <w:fldChar w:fldCharType="separate"/>
          </w:r>
          <w:r>
            <w:rPr>
              <w:rFonts w:hint="eastAsia" w:ascii="仿宋" w:eastAsia="仿宋"/>
            </w:rPr>
            <w:t>七、一般公共预算财政拨款支出决算明细表</w:t>
          </w:r>
          <w:r>
            <w:tab/>
          </w:r>
          <w:r>
            <w:fldChar w:fldCharType="begin"/>
          </w:r>
          <w:r>
            <w:instrText xml:space="preserve"> PAGEREF _Toc146721330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"_Toc146721331"</w:instrText>
          </w:r>
          <w:r>
            <w:fldChar w:fldCharType="separate"/>
          </w:r>
          <w:r>
            <w:rPr>
              <w:rFonts w:hint="eastAsia" w:ascii="仿宋" w:eastAsia="仿宋"/>
            </w:rPr>
            <w:t>八、一般公共预算财政拨款基本支出决算表</w:t>
          </w:r>
          <w:r>
            <w:tab/>
          </w:r>
          <w:r>
            <w:fldChar w:fldCharType="begin"/>
          </w:r>
          <w:r>
            <w:instrText xml:space="preserve"> PAGEREF _Toc146721331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"_Toc146721332"</w:instrText>
          </w:r>
          <w:r>
            <w:fldChar w:fldCharType="separate"/>
          </w:r>
          <w:r>
            <w:rPr>
              <w:rFonts w:hint="eastAsia" w:ascii="仿宋" w:eastAsia="仿宋"/>
            </w:rPr>
            <w:t>九、一般公共预算财政拨款项目支出决算表</w:t>
          </w:r>
          <w:r>
            <w:tab/>
          </w:r>
          <w:r>
            <w:fldChar w:fldCharType="begin"/>
          </w:r>
          <w:r>
            <w:instrText xml:space="preserve"> PAGEREF _Toc146721332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"_Toc146721333"</w:instrText>
          </w:r>
          <w:r>
            <w:fldChar w:fldCharType="separate"/>
          </w:r>
          <w:r>
            <w:rPr>
              <w:rFonts w:hint="eastAsia" w:ascii="仿宋" w:eastAsia="仿宋"/>
            </w:rPr>
            <w:t>十、一般公共预算财政拨款“三公”经费支出决算表</w:t>
          </w:r>
          <w:r>
            <w:tab/>
          </w:r>
          <w:r>
            <w:fldChar w:fldCharType="begin"/>
          </w:r>
          <w:r>
            <w:instrText xml:space="preserve"> PAGEREF _Toc146721333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"_Toc146721334"</w:instrText>
          </w:r>
          <w:r>
            <w:fldChar w:fldCharType="separate"/>
          </w:r>
          <w:r>
            <w:rPr>
              <w:rFonts w:hint="eastAsia" w:ascii="仿宋" w:eastAsia="仿宋"/>
            </w:rPr>
            <w:t>十一、政府性基金预算财政拨款收入支出决算表（此表无数据）</w:t>
          </w:r>
          <w:r>
            <w:tab/>
          </w:r>
          <w:r>
            <w:fldChar w:fldCharType="begin"/>
          </w:r>
          <w:r>
            <w:instrText xml:space="preserve"> PAGEREF _Toc146721334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"_Toc146721335"</w:instrText>
          </w:r>
          <w:r>
            <w:fldChar w:fldCharType="separate"/>
          </w:r>
          <w:r>
            <w:rPr>
              <w:rFonts w:hint="eastAsia" w:ascii="仿宋" w:eastAsia="仿宋"/>
            </w:rPr>
            <w:t>十二、政府性基金预算财政拨款“三公”经费支出决算表（此表无数据）</w:t>
          </w:r>
          <w:r>
            <w:tab/>
          </w:r>
          <w:r>
            <w:fldChar w:fldCharType="begin"/>
          </w:r>
          <w:r>
            <w:instrText xml:space="preserve"> PAGEREF _Toc146721335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"_Toc146721336"</w:instrText>
          </w:r>
          <w:r>
            <w:fldChar w:fldCharType="separate"/>
          </w:r>
          <w:r>
            <w:rPr>
              <w:rFonts w:hint="eastAsia" w:ascii="仿宋" w:eastAsia="仿宋"/>
            </w:rPr>
            <w:t>十三、国有资本经营预算财政拨款收入支出决算表（此表无数据）</w:t>
          </w:r>
          <w:r>
            <w:tab/>
          </w:r>
          <w:r>
            <w:fldChar w:fldCharType="begin"/>
          </w:r>
          <w:r>
            <w:instrText xml:space="preserve"> PAGEREF _Toc146721336 \h </w:instrText>
          </w:r>
          <w:r>
            <w:fldChar w:fldCharType="separate"/>
          </w:r>
          <w:r>
            <w:t>30</w:t>
          </w:r>
          <w:r>
            <w:fldChar w:fldCharType="end"/>
          </w:r>
          <w:r>
            <w:fldChar w:fldCharType="end"/>
          </w:r>
        </w:p>
        <w:p>
          <w:pPr>
            <w:pStyle w:val="11"/>
            <w:rPr>
              <w:rFonts w:ascii="Calibri" w:hAnsi="Calibri" w:eastAsia="宋体" w:cs="Arial"/>
              <w:szCs w:val="22"/>
            </w:rPr>
          </w:pPr>
          <w:r>
            <w:fldChar w:fldCharType="begin"/>
          </w:r>
          <w:r>
            <w:instrText xml:space="preserve">Hyperlink \l "_Toc146721337"</w:instrText>
          </w:r>
          <w:r>
            <w:fldChar w:fldCharType="separate"/>
          </w:r>
          <w:r>
            <w:rPr>
              <w:rFonts w:hint="eastAsia" w:ascii="仿宋" w:eastAsia="仿宋"/>
            </w:rPr>
            <w:t>十四、国有资本经营预算财政拨款支出决算表（此表无数据）</w:t>
          </w:r>
          <w:r>
            <w:tab/>
          </w:r>
          <w:r>
            <w:fldChar w:fldCharType="begin"/>
          </w:r>
          <w:r>
            <w:instrText xml:space="preserve"> PAGEREF _Toc146721337 \h </w:instrText>
          </w:r>
          <w:r>
            <w:fldChar w:fldCharType="separate"/>
          </w:r>
          <w:r>
            <w:t>30</w:t>
          </w:r>
          <w:r>
            <w:fldChar w:fldCharType="end"/>
          </w:r>
          <w:r>
            <w:fldChar w:fldCharType="end"/>
          </w:r>
        </w:p>
        <w:p>
          <w:pPr>
            <w:pStyle w:val="11"/>
            <w:tabs>
              <w:tab w:val="right" w:leader="dot" w:pos="8306"/>
              <w:tab w:val="clear" w:pos="8296"/>
            </w:tabs>
          </w:pPr>
          <w:r>
            <w:fldChar w:fldCharType="end"/>
          </w:r>
        </w:p>
        <w:p/>
        <w:p/>
        <w:p/>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spacing w:before="93" w:beforeLines="0"/>
          </w:pPr>
        </w:p>
        <w:p/>
        <w:p/>
      </w:sdtContent>
    </w:sdt>
    <w:p>
      <w:pPr>
        <w:pStyle w:val="3"/>
        <w:jc w:val="center"/>
        <w:rPr>
          <w:rFonts w:ascii="黑体" w:eastAsia="黑体"/>
          <w:sz w:val="32"/>
          <w:szCs w:val="32"/>
        </w:rPr>
      </w:pPr>
      <w:bookmarkStart w:id="18" w:name="_Toc146721291"/>
      <w:bookmarkStart w:id="19" w:name="_Toc15396599"/>
      <w:bookmarkStart w:id="20" w:name="_Toc15377196"/>
      <w:r>
        <w:rPr>
          <w:rFonts w:hint="eastAsia" w:ascii="黑体" w:eastAsia="黑体"/>
          <w:b w:val="0"/>
        </w:rPr>
        <w:t>第一部分 单位</w:t>
      </w:r>
      <w:r>
        <w:rPr>
          <w:rStyle w:val="17"/>
          <w:rFonts w:hint="eastAsia" w:ascii="黑体" w:eastAsia="黑体"/>
          <w:b w:val="0"/>
          <w:bCs w:val="0"/>
        </w:rPr>
        <w:t>概况</w:t>
      </w:r>
      <w:bookmarkEnd w:id="18"/>
      <w:bookmarkEnd w:id="19"/>
      <w:bookmarkEnd w:id="20"/>
    </w:p>
    <w:p>
      <w:pPr>
        <w:ind w:firstLine="640" w:firstLineChars="200"/>
        <w:rPr>
          <w:rStyle w:val="18"/>
          <w:rFonts w:ascii="方正黑体_GBK" w:eastAsia="方正黑体_GBK"/>
          <w:b w:val="0"/>
          <w:bCs w:val="0"/>
        </w:rPr>
      </w:pPr>
      <w:bookmarkStart w:id="21" w:name="_Toc146721292"/>
      <w:bookmarkStart w:id="22" w:name="_Toc15377197"/>
      <w:bookmarkStart w:id="23" w:name="_Toc15396600"/>
      <w:r>
        <w:rPr>
          <w:rStyle w:val="18"/>
          <w:rFonts w:hint="eastAsia" w:ascii="方正黑体_GBK" w:eastAsia="方正黑体_GBK"/>
          <w:b w:val="0"/>
          <w:bCs w:val="0"/>
        </w:rPr>
        <w:t>一、职能简介</w:t>
      </w:r>
      <w:bookmarkEnd w:id="21"/>
    </w:p>
    <w:p>
      <w:pPr>
        <w:spacing w:line="576" w:lineRule="exact"/>
        <w:ind w:firstLine="640" w:firstLineChars="200"/>
        <w:jc w:val="left"/>
        <w:rPr>
          <w:rFonts w:ascii="方正仿宋_GBK" w:eastAsia="方正仿宋_GBK"/>
          <w:sz w:val="32"/>
          <w:szCs w:val="32"/>
        </w:rPr>
      </w:pPr>
      <w:r>
        <w:rPr>
          <w:rFonts w:hint="eastAsia" w:ascii="方正仿宋_GBK" w:eastAsia="方正仿宋_GBK"/>
          <w:sz w:val="32"/>
          <w:szCs w:val="32"/>
        </w:rPr>
        <w:t>本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pPr>
        <w:ind w:firstLine="640" w:firstLineChars="200"/>
        <w:rPr>
          <w:rFonts w:ascii="方正黑体_GBK" w:eastAsia="方正黑体_GBK"/>
          <w:sz w:val="32"/>
          <w:szCs w:val="32"/>
        </w:rPr>
      </w:pPr>
      <w:bookmarkStart w:id="24" w:name="_Toc146721293"/>
      <w:r>
        <w:rPr>
          <w:rStyle w:val="18"/>
          <w:rFonts w:hint="eastAsia" w:ascii="方正黑体_GBK" w:eastAsia="方正黑体_GBK"/>
          <w:b w:val="0"/>
          <w:bCs w:val="0"/>
        </w:rPr>
        <w:t>二、2021年重点工作</w:t>
      </w:r>
      <w:bookmarkEnd w:id="22"/>
      <w:bookmarkEnd w:id="23"/>
      <w:r>
        <w:rPr>
          <w:rStyle w:val="18"/>
          <w:rFonts w:hint="eastAsia" w:ascii="方正黑体_GBK" w:eastAsia="方正黑体_GBK"/>
          <w:b w:val="0"/>
          <w:bCs w:val="0"/>
        </w:rPr>
        <w:t>完成情况</w:t>
      </w:r>
      <w:bookmarkEnd w:id="24"/>
    </w:p>
    <w:p>
      <w:pPr>
        <w:ind w:firstLine="642" w:firstLineChars="200"/>
        <w:rPr>
          <w:rFonts w:ascii="方正楷体_GBK" w:eastAsia="方正楷体_GBK"/>
          <w:b/>
          <w:bCs/>
          <w:sz w:val="32"/>
          <w:szCs w:val="32"/>
        </w:rPr>
      </w:pPr>
      <w:r>
        <w:rPr>
          <w:rFonts w:hint="eastAsia" w:ascii="方正楷体_GBK" w:eastAsia="方正楷体_GBK"/>
          <w:b/>
          <w:bCs/>
          <w:sz w:val="32"/>
          <w:szCs w:val="32"/>
        </w:rPr>
        <w:t>（一）党史征编</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完成《中国共产党攀枝花执政实录》（</w:t>
      </w:r>
      <w:r>
        <w:rPr>
          <w:rFonts w:eastAsia="方正仿宋_GBK"/>
          <w:b/>
          <w:bCs/>
          <w:sz w:val="32"/>
          <w:szCs w:val="32"/>
        </w:rPr>
        <w:t>2020</w:t>
      </w:r>
      <w:r>
        <w:rPr>
          <w:rFonts w:hint="eastAsia" w:ascii="方正仿宋_GBK" w:eastAsia="方正仿宋_GBK"/>
          <w:b/>
          <w:bCs/>
          <w:sz w:val="32"/>
          <w:szCs w:val="32"/>
        </w:rPr>
        <w:t>）编辑任务。</w:t>
      </w:r>
      <w:r>
        <w:rPr>
          <w:rFonts w:hint="eastAsia" w:ascii="方正仿宋_GBK" w:eastAsia="方正仿宋_GBK"/>
          <w:sz w:val="32"/>
          <w:szCs w:val="32"/>
        </w:rPr>
        <w:t>对</w:t>
      </w:r>
      <w:r>
        <w:rPr>
          <w:rFonts w:eastAsia="方正仿宋_GBK"/>
          <w:sz w:val="32"/>
          <w:szCs w:val="32"/>
        </w:rPr>
        <w:t>90</w:t>
      </w:r>
      <w:r>
        <w:rPr>
          <w:rFonts w:hint="eastAsia" w:ascii="方正仿宋_GBK" w:eastAsia="方正仿宋_GBK"/>
          <w:sz w:val="32"/>
          <w:szCs w:val="32"/>
        </w:rPr>
        <w:t>余个市级部门和</w:t>
      </w:r>
      <w:r>
        <w:rPr>
          <w:rFonts w:eastAsia="方正仿宋_GBK"/>
          <w:sz w:val="32"/>
          <w:szCs w:val="32"/>
        </w:rPr>
        <w:t>5个</w:t>
      </w:r>
      <w:r>
        <w:rPr>
          <w:rFonts w:hint="eastAsia" w:ascii="方正仿宋_GBK" w:eastAsia="方正仿宋_GBK"/>
          <w:sz w:val="32"/>
          <w:szCs w:val="32"/>
        </w:rPr>
        <w:t>县区的文稿修改审定。指导、督促各县（区）《执政实录》编撰工作。</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首次公开出版发行《中国共产党攀枝花简史》。</w:t>
      </w:r>
      <w:r>
        <w:rPr>
          <w:rFonts w:hint="eastAsia" w:ascii="方正仿宋_GBK" w:eastAsia="方正仿宋_GBK"/>
          <w:sz w:val="32"/>
          <w:szCs w:val="32"/>
        </w:rPr>
        <w:t>该书是为庆祝中国共产党成立</w:t>
      </w:r>
      <w:r>
        <w:rPr>
          <w:rFonts w:eastAsia="方正仿宋_GBK"/>
          <w:sz w:val="32"/>
          <w:szCs w:val="32"/>
        </w:rPr>
        <w:t>100</w:t>
      </w:r>
      <w:r>
        <w:rPr>
          <w:rFonts w:hint="eastAsia" w:ascii="方正仿宋_GBK" w:eastAsia="方正仿宋_GBK"/>
          <w:sz w:val="32"/>
          <w:szCs w:val="32"/>
        </w:rPr>
        <w:t>周年，因地制宜开展党史学习教育而编写的地方党史简明读本，重点展示攀枝花三线建设、改革开放、现代化建设的历史征程，对新时期弘扬“三线精神”、凝心聚力助力推动“三个圈层”联动发展，起到以史鉴今、资政育人作用。</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首次出版发行地方党史基本著作《攀枝花三线建设简史》。</w:t>
      </w:r>
      <w:r>
        <w:rPr>
          <w:rFonts w:hint="eastAsia" w:ascii="方正仿宋_GBK" w:eastAsia="方正仿宋_GBK"/>
          <w:sz w:val="32"/>
          <w:szCs w:val="32"/>
        </w:rPr>
        <w:t>该书重点记述了</w:t>
      </w:r>
      <w:r>
        <w:rPr>
          <w:rFonts w:eastAsia="方正仿宋_GBK"/>
          <w:sz w:val="32"/>
          <w:szCs w:val="32"/>
        </w:rPr>
        <w:t>1964年至1978</w:t>
      </w:r>
      <w:r>
        <w:rPr>
          <w:rFonts w:hint="eastAsia" w:ascii="方正仿宋_GBK" w:eastAsia="方正仿宋_GBK"/>
          <w:sz w:val="32"/>
          <w:szCs w:val="32"/>
        </w:rPr>
        <w:t>年间，在党中央的坚强领导下，广大三线建设者凝心聚力开发建设攀枝花的伟大历史历程，是一部具有攀枝花地方特色的历史基本著作，也是一部生动的爱国主义教材。</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完成</w:t>
      </w:r>
      <w:r>
        <w:rPr>
          <w:rFonts w:eastAsia="方正仿宋_GBK"/>
          <w:b/>
          <w:bCs/>
          <w:sz w:val="32"/>
          <w:szCs w:val="32"/>
        </w:rPr>
        <w:t>2021</w:t>
      </w:r>
      <w:r>
        <w:rPr>
          <w:rFonts w:hint="eastAsia" w:ascii="方正仿宋_GBK" w:eastAsia="方正仿宋_GBK"/>
          <w:b/>
          <w:bCs/>
          <w:sz w:val="32"/>
          <w:szCs w:val="32"/>
        </w:rPr>
        <w:t>年中共攀枝花历史大事记编修任务</w:t>
      </w:r>
      <w:r>
        <w:rPr>
          <w:rFonts w:hint="eastAsia" w:ascii="方正仿宋_GBK" w:eastAsia="方正仿宋_GBK"/>
          <w:sz w:val="32"/>
          <w:szCs w:val="32"/>
        </w:rPr>
        <w:t>。及时在市委机关刊物《攀枝花纪事》上连载。</w:t>
      </w:r>
    </w:p>
    <w:p>
      <w:pPr>
        <w:spacing w:line="576" w:lineRule="exact"/>
        <w:ind w:firstLine="642" w:firstLineChars="200"/>
        <w:rPr>
          <w:rFonts w:ascii="方正楷体_GBK" w:eastAsia="方正楷体_GBK"/>
          <w:b/>
          <w:bCs/>
          <w:sz w:val="32"/>
          <w:szCs w:val="32"/>
        </w:rPr>
      </w:pPr>
      <w:r>
        <w:rPr>
          <w:rFonts w:hint="eastAsia" w:ascii="方正楷体_GBK" w:eastAsia="方正楷体_GBK"/>
          <w:b/>
          <w:bCs/>
          <w:sz w:val="32"/>
          <w:szCs w:val="32"/>
        </w:rPr>
        <w:t>（二）党史宣教</w:t>
      </w:r>
    </w:p>
    <w:p>
      <w:pPr>
        <w:pStyle w:val="12"/>
        <w:spacing w:before="0" w:beforeAutospacing="0" w:after="0" w:line="576" w:lineRule="exact"/>
        <w:ind w:left="0" w:leftChars="0"/>
        <w:rPr>
          <w:rFonts w:ascii="方正仿宋_GBK" w:eastAsia="方正仿宋_GBK"/>
          <w:sz w:val="32"/>
          <w:szCs w:val="32"/>
        </w:rPr>
      </w:pPr>
      <w:r>
        <w:rPr>
          <w:rFonts w:hint="eastAsia" w:ascii="方正仿宋_GBK" w:eastAsia="方正仿宋_GBK"/>
          <w:b/>
          <w:bCs/>
          <w:sz w:val="32"/>
          <w:szCs w:val="32"/>
        </w:rPr>
        <w:t>高质量承办研讨会。</w:t>
      </w:r>
      <w:r>
        <w:rPr>
          <w:rFonts w:hint="eastAsia" w:ascii="方正仿宋_GBK" w:eastAsia="方正仿宋_GBK"/>
          <w:sz w:val="32"/>
          <w:szCs w:val="32"/>
        </w:rPr>
        <w:t>“中国共产党社会主义建设道路的探索与实践——三线建设与成渝地区双城经济圈建设”研讨会在攀成功举行，得到中央党史和文献研究院第七研究部领导高度评价：“宣传到位、活动圆满、组织严密、充满情怀、富含期待”，同时会议形成了一批高质量理论成果。市委党史研究室从“深入探索成渝双城经济圈建设途径，做好三个圈层”“聚力推动三线精神上升为国家精神，纳入中国共产党人的精神谱系”“深挖三线资源，助推三线文旅建设”“用活用好地方党史资源，扎实推动党史学习教育”“扩大攀枝花的朋友圈，提高攀枝花的美誉度”五个方面向市委作专题汇报，得到市委主要领导高度肯定。</w:t>
      </w:r>
    </w:p>
    <w:p>
      <w:pPr>
        <w:pStyle w:val="12"/>
        <w:spacing w:before="0" w:beforeAutospacing="0" w:after="0" w:line="576" w:lineRule="exact"/>
        <w:ind w:left="0" w:leftChars="0"/>
        <w:rPr>
          <w:rFonts w:ascii="方正仿宋_GBK" w:eastAsia="方正仿宋_GBK"/>
          <w:sz w:val="32"/>
          <w:szCs w:val="32"/>
        </w:rPr>
      </w:pPr>
      <w:r>
        <w:rPr>
          <w:rFonts w:hint="eastAsia" w:ascii="方正仿宋_GBK" w:eastAsia="方正仿宋_GBK"/>
          <w:b/>
          <w:bCs/>
          <w:sz w:val="32"/>
          <w:szCs w:val="32"/>
        </w:rPr>
        <w:t>“英雄攀枝花”网上党史馆首次上线。</w:t>
      </w:r>
      <w:r>
        <w:rPr>
          <w:rFonts w:hint="eastAsia" w:ascii="方正仿宋_GBK" w:eastAsia="方正仿宋_GBK"/>
          <w:sz w:val="32"/>
          <w:szCs w:val="32"/>
        </w:rPr>
        <w:t>成功搭建起含英雄攀枝花”网上党史馆、微信、微博、抖音、今日头条在内的省内首个党史全媒体宣教平台，实现了党史资料和党史学习教育数字化、智能化、媒介化，形成在家就可以逛的数字化党史馆和移动智库。截至</w:t>
      </w:r>
      <w:r>
        <w:rPr>
          <w:rFonts w:ascii="方正仿宋_GBK" w:eastAsia="方正仿宋_GBK"/>
          <w:sz w:val="32"/>
          <w:szCs w:val="32"/>
        </w:rPr>
        <w:t>年底</w:t>
      </w:r>
      <w:r>
        <w:rPr>
          <w:rFonts w:hint="eastAsia" w:ascii="方正仿宋_GBK" w:eastAsia="方正仿宋_GBK"/>
          <w:sz w:val="32"/>
          <w:szCs w:val="32"/>
        </w:rPr>
        <w:t>，“英雄攀枝花”网上党史馆中收录电子书籍</w:t>
      </w:r>
      <w:r>
        <w:rPr>
          <w:rFonts w:ascii="方正仿宋_GBK" w:eastAsia="方正仿宋_GBK"/>
          <w:sz w:val="32"/>
          <w:szCs w:val="32"/>
        </w:rPr>
        <w:t>近</w:t>
      </w:r>
      <w:r>
        <w:rPr>
          <w:rFonts w:eastAsia="方正仿宋_GBK"/>
          <w:sz w:val="32"/>
          <w:szCs w:val="32"/>
        </w:rPr>
        <w:t>100</w:t>
      </w:r>
      <w:r>
        <w:rPr>
          <w:rFonts w:hint="eastAsia" w:ascii="方正仿宋_GBK" w:eastAsia="方正仿宋_GBK"/>
          <w:sz w:val="32"/>
          <w:szCs w:val="32"/>
        </w:rPr>
        <w:t>本，视频</w:t>
      </w:r>
      <w:r>
        <w:rPr>
          <w:rFonts w:eastAsia="方正仿宋_GBK"/>
          <w:sz w:val="32"/>
          <w:szCs w:val="32"/>
        </w:rPr>
        <w:t>70</w:t>
      </w:r>
      <w:r>
        <w:rPr>
          <w:rFonts w:ascii="方正仿宋_GBK" w:eastAsia="方正仿宋_GBK"/>
          <w:sz w:val="32"/>
          <w:szCs w:val="32"/>
        </w:rPr>
        <w:t>余</w:t>
      </w:r>
      <w:r>
        <w:rPr>
          <w:rFonts w:hint="eastAsia" w:ascii="方正仿宋_GBK" w:eastAsia="方正仿宋_GBK"/>
          <w:sz w:val="32"/>
          <w:szCs w:val="32"/>
        </w:rPr>
        <w:t>集，三线建设博物馆等全景展示</w:t>
      </w:r>
      <w:r>
        <w:rPr>
          <w:rFonts w:eastAsia="方正仿宋_GBK"/>
          <w:sz w:val="32"/>
          <w:szCs w:val="32"/>
        </w:rPr>
        <w:t>3</w:t>
      </w:r>
      <w:r>
        <w:rPr>
          <w:rFonts w:hint="eastAsia" w:ascii="方正仿宋_GBK" w:eastAsia="方正仿宋_GBK"/>
          <w:sz w:val="32"/>
          <w:szCs w:val="32"/>
        </w:rPr>
        <w:t>个；网上党史馆点击率突破</w:t>
      </w:r>
      <w:r>
        <w:rPr>
          <w:rFonts w:eastAsia="方正仿宋_GBK"/>
          <w:sz w:val="32"/>
          <w:szCs w:val="32"/>
        </w:rPr>
        <w:t>7</w:t>
      </w:r>
      <w:r>
        <w:rPr>
          <w:rFonts w:hint="eastAsia" w:ascii="方正仿宋_GBK" w:eastAsia="方正仿宋_GBK"/>
          <w:sz w:val="32"/>
          <w:szCs w:val="32"/>
        </w:rPr>
        <w:t>万，关注微信公众号近</w:t>
      </w:r>
      <w:r>
        <w:rPr>
          <w:rFonts w:eastAsia="方正仿宋_GBK"/>
          <w:sz w:val="32"/>
          <w:szCs w:val="32"/>
        </w:rPr>
        <w:t>6000</w:t>
      </w:r>
      <w:r>
        <w:rPr>
          <w:rFonts w:hint="eastAsia" w:ascii="方正仿宋_GBK" w:eastAsia="方正仿宋_GBK"/>
          <w:sz w:val="32"/>
          <w:szCs w:val="32"/>
        </w:rPr>
        <w:t>人。</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构建全市党史“大宣教”格局。</w:t>
      </w:r>
      <w:r>
        <w:rPr>
          <w:rFonts w:hint="eastAsia" w:ascii="方正仿宋_GBK" w:eastAsia="方正仿宋_GBK"/>
          <w:sz w:val="32"/>
          <w:szCs w:val="32"/>
        </w:rPr>
        <w:t>编写攀枝花市党史学习教育宣讲提纲，制作宣讲课件，赴东区、湖光社区开展党史宣讲。整合全市党史宣教力量，建立党史宣教长效机制，特聘请秦万祥等</w:t>
      </w:r>
      <w:r>
        <w:rPr>
          <w:rFonts w:eastAsia="方正仿宋_GBK"/>
          <w:sz w:val="32"/>
          <w:szCs w:val="32"/>
        </w:rPr>
        <w:t>40</w:t>
      </w:r>
      <w:r>
        <w:rPr>
          <w:rFonts w:hint="eastAsia" w:ascii="方正仿宋_GBK" w:eastAsia="方正仿宋_GBK"/>
          <w:sz w:val="32"/>
          <w:szCs w:val="32"/>
        </w:rPr>
        <w:t>位同志为首批特约党史宣讲员，出台《攀枝花市特约党史宣讲员管理办法》，将党史宣讲制度化、规范化。与市级媒体攀枝花日报、攀枝花广播电视台合作推出“历史上的攀枝花”“英雄攀枝花 历史上的今天”</w:t>
      </w:r>
      <w:r>
        <w:rPr>
          <w:rFonts w:eastAsia="方正仿宋_GBK"/>
          <w:sz w:val="32"/>
          <w:szCs w:val="32"/>
        </w:rPr>
        <w:t>2</w:t>
      </w:r>
      <w:r>
        <w:rPr>
          <w:rFonts w:hint="eastAsia" w:ascii="方正仿宋_GBK" w:eastAsia="方正仿宋_GBK"/>
          <w:sz w:val="32"/>
          <w:szCs w:val="32"/>
        </w:rPr>
        <w:t>个专栏，</w:t>
      </w:r>
      <w:r>
        <w:rPr>
          <w:rFonts w:ascii="方正仿宋_GBK" w:eastAsia="方正仿宋_GBK"/>
          <w:sz w:val="32"/>
          <w:szCs w:val="32"/>
        </w:rPr>
        <w:t>全年</w:t>
      </w:r>
      <w:r>
        <w:rPr>
          <w:rFonts w:hint="eastAsia" w:ascii="方正仿宋_GBK" w:eastAsia="方正仿宋_GBK"/>
          <w:sz w:val="32"/>
          <w:szCs w:val="32"/>
        </w:rPr>
        <w:t>共推出</w:t>
      </w:r>
      <w:r>
        <w:rPr>
          <w:rFonts w:eastAsia="方正仿宋_GBK"/>
          <w:sz w:val="32"/>
          <w:szCs w:val="32"/>
        </w:rPr>
        <w:t>300</w:t>
      </w:r>
      <w:r>
        <w:rPr>
          <w:rFonts w:ascii="方正仿宋_GBK" w:eastAsia="方正仿宋_GBK"/>
          <w:sz w:val="32"/>
          <w:szCs w:val="32"/>
        </w:rPr>
        <w:t>余</w:t>
      </w:r>
      <w:r>
        <w:rPr>
          <w:rFonts w:hint="eastAsia" w:ascii="方正仿宋_GBK" w:eastAsia="方正仿宋_GBK"/>
          <w:sz w:val="32"/>
          <w:szCs w:val="32"/>
        </w:rPr>
        <w:t>期。与共青团攀枝花市委联合推出“学党史、强信念、跟党走”主题微团课共</w:t>
      </w:r>
      <w:r>
        <w:rPr>
          <w:rFonts w:eastAsia="方正仿宋_GBK"/>
          <w:sz w:val="32"/>
          <w:szCs w:val="32"/>
        </w:rPr>
        <w:t>10</w:t>
      </w:r>
      <w:r>
        <w:rPr>
          <w:rFonts w:hint="eastAsia" w:ascii="方正仿宋_GBK" w:eastAsia="方正仿宋_GBK"/>
          <w:sz w:val="32"/>
          <w:szCs w:val="32"/>
        </w:rPr>
        <w:t>讲。审核并向省关工委推报《青龙山作证》《我和我的大三线》文稿。联合市总工会推出的《点亮攀枝花红色打卡地，感悟党史，传承红色基因》，在</w:t>
      </w:r>
      <w:r>
        <w:rPr>
          <w:rFonts w:eastAsia="方正仿宋_GBK"/>
          <w:sz w:val="32"/>
          <w:szCs w:val="32"/>
        </w:rPr>
        <w:t>2021</w:t>
      </w:r>
      <w:r>
        <w:rPr>
          <w:rFonts w:hint="eastAsia" w:ascii="方正仿宋_GBK" w:eastAsia="方正仿宋_GBK"/>
          <w:sz w:val="32"/>
          <w:szCs w:val="32"/>
        </w:rPr>
        <w:t>年“网聚职工正能量争做四川好网民”主题活动网络正能量创意活动征集中被评为“一等优秀作品”。</w:t>
      </w:r>
    </w:p>
    <w:p>
      <w:pPr>
        <w:spacing w:line="576" w:lineRule="exact"/>
        <w:ind w:firstLine="642" w:firstLineChars="200"/>
        <w:rPr>
          <w:rFonts w:ascii="方正仿宋_GBK" w:eastAsia="方正仿宋_GBK"/>
          <w:b/>
          <w:bCs/>
          <w:sz w:val="32"/>
          <w:szCs w:val="32"/>
        </w:rPr>
      </w:pPr>
      <w:r>
        <w:rPr>
          <w:rFonts w:hint="eastAsia" w:ascii="方正仿宋_GBK" w:eastAsia="方正仿宋_GBK"/>
          <w:b/>
          <w:bCs/>
          <w:sz w:val="32"/>
          <w:szCs w:val="32"/>
        </w:rPr>
        <w:t>加强党史宣教阵地建设。</w:t>
      </w:r>
      <w:r>
        <w:rPr>
          <w:rFonts w:hint="eastAsia" w:ascii="方正仿宋_GBK" w:eastAsia="方正仿宋_GBK"/>
          <w:sz w:val="32"/>
          <w:szCs w:val="32"/>
        </w:rPr>
        <w:t>命名“兰尖故事”博物馆为“攀枝花市中共党史教育基地”。充分运用该馆的三线建设实物、人物史料、影像资料、</w:t>
      </w:r>
      <w:r>
        <w:rPr>
          <w:rFonts w:eastAsia="方正仿宋_GBK"/>
          <w:sz w:val="32"/>
          <w:szCs w:val="32"/>
        </w:rPr>
        <w:t>3D</w:t>
      </w:r>
      <w:r>
        <w:rPr>
          <w:rFonts w:hint="eastAsia" w:ascii="方正仿宋_GBK" w:eastAsia="方正仿宋_GBK"/>
          <w:sz w:val="32"/>
          <w:szCs w:val="32"/>
        </w:rPr>
        <w:t>投影技术、老一辈三线建设者担任志愿讲解员现场讲解“三线故事”等，发挥其在党性教育、“四史”学习教育、爱国主义和社会主义核心价值观教育中的突出作用。</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完成市委机关刊物《攀枝花纪事》全年</w:t>
      </w:r>
      <w:r>
        <w:rPr>
          <w:rFonts w:eastAsia="方正仿宋_GBK"/>
          <w:b/>
          <w:bCs/>
          <w:sz w:val="32"/>
          <w:szCs w:val="32"/>
        </w:rPr>
        <w:t>6</w:t>
      </w:r>
      <w:r>
        <w:rPr>
          <w:rFonts w:hint="eastAsia" w:ascii="方正仿宋_GBK" w:eastAsia="方正仿宋_GBK"/>
          <w:b/>
          <w:bCs/>
          <w:sz w:val="32"/>
          <w:szCs w:val="32"/>
        </w:rPr>
        <w:t>期（约</w:t>
      </w:r>
      <w:r>
        <w:rPr>
          <w:rFonts w:eastAsia="方正仿宋_GBK"/>
          <w:b/>
          <w:bCs/>
          <w:sz w:val="32"/>
          <w:szCs w:val="32"/>
        </w:rPr>
        <w:t>100</w:t>
      </w:r>
      <w:r>
        <w:rPr>
          <w:rFonts w:hint="eastAsia" w:ascii="方正仿宋_GBK" w:eastAsia="方正仿宋_GBK"/>
          <w:b/>
          <w:bCs/>
          <w:sz w:val="32"/>
          <w:szCs w:val="32"/>
        </w:rPr>
        <w:t>万字）出版任务。</w:t>
      </w:r>
      <w:r>
        <w:rPr>
          <w:rFonts w:hint="eastAsia" w:ascii="方正仿宋_GBK" w:eastAsia="方正仿宋_GBK"/>
          <w:sz w:val="32"/>
          <w:szCs w:val="32"/>
        </w:rPr>
        <w:t>坚持传递市委的决策与部署，坚持围绕市委市政府中心工作，营造良好舆论氛围；及时通过邮局将该刊物发送到各级党组织。</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开展“攀枝花市红色资源普查和保护利用”工作。</w:t>
      </w:r>
      <w:r>
        <w:rPr>
          <w:rFonts w:hint="eastAsia" w:ascii="方正仿宋_GBK" w:eastAsia="方正仿宋_GBK"/>
          <w:sz w:val="32"/>
          <w:szCs w:val="32"/>
        </w:rPr>
        <w:t>指导、协调、服务五个县（区）开展好红色遗址普查，向四川省委党史研究室上报红色遗址</w:t>
      </w:r>
      <w:r>
        <w:rPr>
          <w:rFonts w:eastAsia="方正仿宋_GBK"/>
          <w:sz w:val="32"/>
          <w:szCs w:val="32"/>
        </w:rPr>
        <w:t>95</w:t>
      </w:r>
      <w:r>
        <w:rPr>
          <w:rFonts w:hint="eastAsia" w:ascii="方正仿宋_GBK" w:eastAsia="方正仿宋_GBK"/>
          <w:sz w:val="32"/>
          <w:szCs w:val="32"/>
        </w:rPr>
        <w:t>处。</w:t>
      </w:r>
    </w:p>
    <w:p>
      <w:pPr>
        <w:spacing w:line="576" w:lineRule="exact"/>
        <w:ind w:firstLine="642" w:firstLineChars="200"/>
        <w:rPr>
          <w:rFonts w:ascii="方正楷体_GBK" w:eastAsia="方正楷体_GBK"/>
          <w:b/>
          <w:bCs/>
          <w:sz w:val="32"/>
          <w:szCs w:val="32"/>
        </w:rPr>
      </w:pPr>
      <w:r>
        <w:rPr>
          <w:rFonts w:hint="eastAsia" w:ascii="方正楷体_GBK" w:eastAsia="方正楷体_GBK"/>
          <w:b/>
          <w:bCs/>
          <w:sz w:val="32"/>
          <w:szCs w:val="32"/>
        </w:rPr>
        <w:t>（三）专题研究</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举办理论研讨会。</w:t>
      </w:r>
      <w:r>
        <w:rPr>
          <w:rFonts w:hint="eastAsia" w:ascii="方正仿宋_GBK" w:eastAsia="方正仿宋_GBK"/>
          <w:sz w:val="32"/>
          <w:szCs w:val="32"/>
        </w:rPr>
        <w:t>与市委宣传部、市社科联共同开展“攀枝花市庆祝中国共产党成立</w:t>
      </w:r>
      <w:r>
        <w:rPr>
          <w:rFonts w:eastAsia="方正仿宋_GBK"/>
          <w:sz w:val="32"/>
          <w:szCs w:val="32"/>
        </w:rPr>
        <w:t>100</w:t>
      </w:r>
      <w:r>
        <w:rPr>
          <w:rFonts w:hint="eastAsia" w:ascii="方正仿宋_GBK" w:eastAsia="方正仿宋_GBK"/>
          <w:sz w:val="32"/>
          <w:szCs w:val="32"/>
        </w:rPr>
        <w:t>周年理论研讨会”，参与论文评选，出席研讨会并发言，进一步做好理论研究与阐释工作。</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开展三线建设专题研究。</w:t>
      </w:r>
      <w:r>
        <w:rPr>
          <w:rFonts w:hint="eastAsia" w:ascii="方正仿宋_GBK" w:eastAsia="方正仿宋_GBK"/>
          <w:sz w:val="32"/>
          <w:szCs w:val="32"/>
        </w:rPr>
        <w:t>积极组织“中国共产党社会主义建设道路的探索与实践——三线建设与成渝地区双城经济圈建设”研讨会征文。市委党史研究室荣获“全省征文组织工作先进单位”。</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开展地方党史的挖掘与研究。</w:t>
      </w:r>
      <w:r>
        <w:rPr>
          <w:rFonts w:hint="eastAsia" w:ascii="方正仿宋_GBK" w:eastAsia="方正仿宋_GBK"/>
          <w:sz w:val="32"/>
          <w:szCs w:val="32"/>
        </w:rPr>
        <w:t>组织撰写《攀枝花地区早期革命活动：丙谷晓露桥活动中心的形成》《攀枝花地区早期革命活动：普威地下支部的建立》《全境解放之仁和和平解放》等党史专题文章</w:t>
      </w:r>
      <w:r>
        <w:rPr>
          <w:rFonts w:eastAsia="方正仿宋_GBK"/>
          <w:sz w:val="32"/>
          <w:szCs w:val="32"/>
        </w:rPr>
        <w:t>5</w:t>
      </w:r>
      <w:r>
        <w:rPr>
          <w:rFonts w:hint="eastAsia" w:ascii="方正仿宋_GBK" w:eastAsia="方正仿宋_GBK"/>
          <w:sz w:val="32"/>
          <w:szCs w:val="32"/>
        </w:rPr>
        <w:t>篇。</w:t>
      </w:r>
    </w:p>
    <w:p>
      <w:pPr>
        <w:adjustRightInd w:val="0"/>
        <w:snapToGrid w:val="0"/>
        <w:spacing w:line="576" w:lineRule="exact"/>
        <w:ind w:firstLine="642" w:firstLineChars="200"/>
        <w:rPr>
          <w:rFonts w:ascii="方正楷体_GBK" w:eastAsia="方正楷体_GBK"/>
          <w:b/>
          <w:bCs/>
          <w:sz w:val="32"/>
          <w:szCs w:val="32"/>
        </w:rPr>
      </w:pPr>
      <w:r>
        <w:rPr>
          <w:rFonts w:hint="eastAsia" w:ascii="方正楷体_GBK" w:eastAsia="方正楷体_GBK"/>
          <w:b/>
          <w:bCs/>
          <w:sz w:val="32"/>
          <w:szCs w:val="32"/>
        </w:rPr>
        <w:t>（四）党史资政</w:t>
      </w:r>
    </w:p>
    <w:p>
      <w:pPr>
        <w:adjustRightInd w:val="0"/>
        <w:snapToGrid w:val="0"/>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助力推动“三个圈层”联动发展资政专报得到市委书记肯定性批示。</w:t>
      </w:r>
      <w:r>
        <w:rPr>
          <w:rFonts w:hint="eastAsia" w:ascii="方正仿宋_GBK" w:eastAsia="方正仿宋_GBK"/>
          <w:sz w:val="32"/>
          <w:szCs w:val="32"/>
        </w:rPr>
        <w:t>全市党史系统分两个批次，先后赴丽江市、大理州、楚雄州及昭通市、凉山州党史部门调研，通过座谈交流、现场观摩、经验互学等方式，广泛宣传三线精神和“三个圈层”的战略布局，深入沟通、取长补短、互动提升，积极促进区域协同发展，全市党史系统群策群力，形成资政专报《关于助力“三个圈层”联动发展的对策与建议》，得到市委主要领导肯定。</w:t>
      </w:r>
    </w:p>
    <w:p>
      <w:pPr>
        <w:spacing w:line="576" w:lineRule="exact"/>
        <w:ind w:firstLine="642" w:firstLineChars="200"/>
        <w:rPr>
          <w:rFonts w:ascii="方正仿宋_GBK" w:eastAsia="方正仿宋_GBK"/>
          <w:sz w:val="32"/>
          <w:szCs w:val="32"/>
        </w:rPr>
      </w:pPr>
      <w:r>
        <w:rPr>
          <w:rFonts w:hint="eastAsia" w:ascii="方正仿宋_GBK" w:eastAsia="方正仿宋_GBK"/>
          <w:b/>
          <w:bCs/>
          <w:sz w:val="32"/>
          <w:szCs w:val="32"/>
        </w:rPr>
        <w:t>开展庆祝建党</w:t>
      </w:r>
      <w:r>
        <w:rPr>
          <w:rFonts w:eastAsia="方正仿宋_GBK"/>
          <w:b/>
          <w:bCs/>
          <w:sz w:val="32"/>
          <w:szCs w:val="32"/>
        </w:rPr>
        <w:t>100</w:t>
      </w:r>
      <w:r>
        <w:rPr>
          <w:rFonts w:hint="eastAsia" w:ascii="方正仿宋_GBK" w:eastAsia="方正仿宋_GBK"/>
          <w:b/>
          <w:bCs/>
          <w:sz w:val="32"/>
          <w:szCs w:val="32"/>
        </w:rPr>
        <w:t>周年资政研究。</w:t>
      </w:r>
      <w:r>
        <w:rPr>
          <w:rFonts w:hint="eastAsia" w:ascii="方正仿宋_GBK" w:eastAsia="方正仿宋_GBK"/>
          <w:sz w:val="32"/>
          <w:szCs w:val="32"/>
        </w:rPr>
        <w:t>承办“百年辉煌 三线荣光”—攀枝花市庆祝中国共产党成立</w:t>
      </w:r>
      <w:r>
        <w:rPr>
          <w:rFonts w:eastAsia="方正仿宋_GBK"/>
          <w:sz w:val="32"/>
          <w:szCs w:val="32"/>
        </w:rPr>
        <w:t>100</w:t>
      </w:r>
      <w:r>
        <w:rPr>
          <w:rFonts w:hint="eastAsia" w:ascii="方正仿宋_GBK" w:eastAsia="方正仿宋_GBK"/>
          <w:sz w:val="32"/>
          <w:szCs w:val="32"/>
        </w:rPr>
        <w:t>周年主题展览，完成资料提供，展陈大纲编写、设计、史料审核等多项资政工作。</w:t>
      </w:r>
    </w:p>
    <w:p>
      <w:pPr>
        <w:pStyle w:val="2"/>
        <w:spacing w:before="93" w:beforeLines="0"/>
        <w:ind w:firstLine="640" w:firstLineChars="200"/>
        <w:rPr>
          <w:rStyle w:val="18"/>
          <w:rFonts w:ascii="方正黑体_GBK" w:eastAsia="方正黑体_GBK"/>
          <w:b w:val="0"/>
          <w:bCs w:val="0"/>
        </w:rPr>
      </w:pPr>
      <w:bookmarkStart w:id="25" w:name="_Toc146721294"/>
      <w:r>
        <w:rPr>
          <w:rStyle w:val="18"/>
          <w:rFonts w:hint="eastAsia" w:ascii="方正黑体_GBK" w:eastAsia="方正黑体_GBK"/>
          <w:b w:val="0"/>
          <w:bCs w:val="0"/>
        </w:rPr>
        <w:t>三、机构设置情况</w:t>
      </w:r>
      <w:bookmarkEnd w:id="25"/>
    </w:p>
    <w:p>
      <w:pPr>
        <w:spacing w:line="576" w:lineRule="exact"/>
        <w:ind w:firstLine="640" w:firstLineChars="200"/>
        <w:rPr>
          <w:rFonts w:ascii="方正仿宋_GBK" w:eastAsia="方正仿宋_GBK"/>
          <w:sz w:val="32"/>
          <w:szCs w:val="32"/>
        </w:rPr>
      </w:pPr>
      <w:r>
        <w:rPr>
          <w:rFonts w:hint="eastAsia" w:ascii="方正仿宋_GBK" w:eastAsia="方正仿宋_GBK"/>
          <w:sz w:val="32"/>
          <w:szCs w:val="32"/>
        </w:rPr>
        <w:t>中共攀枝花市委党史研究室属于中共攀枝花市委办公室下属的二级预算单位，下设独立编制机构</w:t>
      </w:r>
      <w:r>
        <w:rPr>
          <w:rFonts w:eastAsia="方正仿宋_GBK"/>
          <w:sz w:val="32"/>
          <w:szCs w:val="32"/>
        </w:rPr>
        <w:t>0</w:t>
      </w:r>
      <w:r>
        <w:rPr>
          <w:rFonts w:hint="eastAsia" w:ascii="方正仿宋_GBK" w:eastAsia="方正仿宋_GBK"/>
          <w:sz w:val="32"/>
          <w:szCs w:val="32"/>
        </w:rPr>
        <w:t>个，其中行政机构</w:t>
      </w:r>
      <w:r>
        <w:rPr>
          <w:rFonts w:eastAsia="方正仿宋_GBK"/>
          <w:sz w:val="32"/>
          <w:szCs w:val="32"/>
        </w:rPr>
        <w:t>0</w:t>
      </w:r>
      <w:r>
        <w:rPr>
          <w:rFonts w:hint="eastAsia" w:ascii="方正仿宋_GBK" w:eastAsia="方正仿宋_GBK"/>
          <w:sz w:val="32"/>
          <w:szCs w:val="32"/>
        </w:rPr>
        <w:t>个，参照公务员法管理的事业机构</w:t>
      </w:r>
      <w:r>
        <w:rPr>
          <w:rFonts w:eastAsia="方正仿宋_GBK"/>
          <w:sz w:val="32"/>
          <w:szCs w:val="32"/>
        </w:rPr>
        <w:t>0</w:t>
      </w:r>
      <w:r>
        <w:rPr>
          <w:rFonts w:hint="eastAsia" w:ascii="方正仿宋_GBK" w:eastAsia="方正仿宋_GBK"/>
          <w:sz w:val="32"/>
          <w:szCs w:val="32"/>
        </w:rPr>
        <w:t>个，其他事业机构</w:t>
      </w:r>
      <w:r>
        <w:rPr>
          <w:rFonts w:eastAsia="方正仿宋_GBK"/>
          <w:sz w:val="32"/>
          <w:szCs w:val="32"/>
        </w:rPr>
        <w:t>0</w:t>
      </w:r>
      <w:r>
        <w:rPr>
          <w:rFonts w:hint="eastAsia" w:ascii="方正仿宋_GBK" w:eastAsia="方正仿宋_GBK"/>
          <w:sz w:val="32"/>
          <w:szCs w:val="32"/>
        </w:rPr>
        <w:t>个。</w:t>
      </w:r>
    </w:p>
    <w:p>
      <w:pPr>
        <w:spacing w:line="576" w:lineRule="exact"/>
        <w:ind w:firstLine="640" w:firstLineChars="200"/>
      </w:pPr>
      <w:r>
        <w:rPr>
          <w:rFonts w:hint="eastAsia" w:ascii="方正仿宋_GBK" w:eastAsia="方正仿宋_GBK"/>
          <w:sz w:val="32"/>
          <w:szCs w:val="32"/>
        </w:rPr>
        <w:t>纳入</w:t>
      </w:r>
      <w:r>
        <w:rPr>
          <w:rFonts w:eastAsia="方正仿宋_GBK"/>
          <w:sz w:val="32"/>
          <w:szCs w:val="32"/>
        </w:rPr>
        <w:t>2021</w:t>
      </w:r>
      <w:r>
        <w:rPr>
          <w:rFonts w:hint="eastAsia" w:ascii="方正仿宋_GBK" w:eastAsia="方正仿宋_GBK"/>
          <w:sz w:val="32"/>
          <w:szCs w:val="32"/>
        </w:rPr>
        <w:t>年度单位</w:t>
      </w:r>
      <w:r>
        <w:rPr>
          <w:rFonts w:ascii="方正仿宋_GBK" w:eastAsia="方正仿宋_GBK"/>
          <w:sz w:val="32"/>
          <w:szCs w:val="32"/>
        </w:rPr>
        <w:t>决算</w:t>
      </w:r>
      <w:r>
        <w:rPr>
          <w:rFonts w:hint="eastAsia" w:ascii="方正仿宋_GBK" w:eastAsia="方正仿宋_GBK"/>
          <w:sz w:val="32"/>
          <w:szCs w:val="32"/>
        </w:rPr>
        <w:t>编制范围的独立编制机构包括：</w:t>
      </w:r>
      <w:r>
        <w:rPr>
          <w:rFonts w:ascii="方正仿宋_GBK" w:eastAsia="方正仿宋_GBK"/>
          <w:sz w:val="32"/>
          <w:szCs w:val="32"/>
        </w:rPr>
        <w:t>中共攀枝花市委党史研究室</w:t>
      </w:r>
      <w:r>
        <w:t>。</w:t>
      </w:r>
    </w:p>
    <w:p>
      <w:pPr>
        <w:widowControl/>
        <w:jc w:val="left"/>
        <w:rPr>
          <w:rFonts w:ascii="仿宋" w:eastAsia="仿宋"/>
          <w:kern w:val="0"/>
          <w:sz w:val="32"/>
          <w:szCs w:val="32"/>
        </w:rPr>
      </w:pPr>
      <w:r>
        <w:rPr>
          <w:rFonts w:ascii="仿宋" w:eastAsia="仿宋"/>
          <w:sz w:val="32"/>
          <w:szCs w:val="32"/>
        </w:rPr>
        <w:br w:type="page"/>
      </w:r>
    </w:p>
    <w:p>
      <w:pPr>
        <w:pStyle w:val="3"/>
        <w:ind w:right="440"/>
        <w:jc w:val="center"/>
        <w:rPr>
          <w:rStyle w:val="17"/>
          <w:rFonts w:ascii="黑体" w:eastAsia="黑体"/>
          <w:b w:val="0"/>
          <w:bCs/>
        </w:rPr>
      </w:pPr>
      <w:bookmarkStart w:id="26" w:name="_Toc15396602"/>
      <w:bookmarkStart w:id="27" w:name="_Toc15377204"/>
      <w:bookmarkStart w:id="28" w:name="_Toc146721295"/>
      <w:r>
        <w:rPr>
          <w:rFonts w:hint="eastAsia" w:ascii="黑体" w:eastAsia="黑体"/>
          <w:b w:val="0"/>
        </w:rPr>
        <w:t>第二部分 2021年度</w:t>
      </w:r>
      <w:r>
        <w:rPr>
          <w:rStyle w:val="17"/>
          <w:rFonts w:hint="eastAsia" w:ascii="黑体" w:eastAsia="黑体"/>
          <w:b w:val="0"/>
          <w:bCs/>
        </w:rPr>
        <w:t>单位决算情况说明</w:t>
      </w:r>
      <w:bookmarkEnd w:id="26"/>
      <w:bookmarkEnd w:id="27"/>
      <w:bookmarkEnd w:id="28"/>
    </w:p>
    <w:p/>
    <w:p>
      <w:pPr>
        <w:pStyle w:val="23"/>
        <w:numPr>
          <w:ilvl w:val="0"/>
          <w:numId w:val="1"/>
        </w:numPr>
        <w:spacing w:line="600" w:lineRule="exact"/>
        <w:ind w:firstLineChars="0"/>
        <w:outlineLvl w:val="1"/>
        <w:rPr>
          <w:rStyle w:val="18"/>
          <w:rFonts w:ascii="黑体" w:eastAsia="黑体"/>
          <w:b w:val="0"/>
        </w:rPr>
      </w:pPr>
      <w:bookmarkStart w:id="29" w:name="_Toc15396603"/>
      <w:bookmarkStart w:id="30" w:name="_Toc146721296"/>
      <w:bookmarkStart w:id="31" w:name="_Toc15377205"/>
      <w:bookmarkStart w:id="130" w:name="_GoBack"/>
      <w:bookmarkEnd w:id="130"/>
      <w:r>
        <w:rPr>
          <w:rFonts w:hint="eastAsia" w:ascii="黑体" w:eastAsia="黑体"/>
          <w:sz w:val="32"/>
          <w:szCs w:val="32"/>
        </w:rPr>
        <w:t>收</w:t>
      </w:r>
      <w:r>
        <w:rPr>
          <w:rStyle w:val="18"/>
          <w:rFonts w:hint="eastAsia" w:ascii="黑体" w:eastAsia="黑体"/>
          <w:b w:val="0"/>
        </w:rPr>
        <w:t>入支出决算总体情况说明</w:t>
      </w:r>
      <w:bookmarkEnd w:id="29"/>
      <w:bookmarkEnd w:id="30"/>
      <w:bookmarkEnd w:id="31"/>
    </w:p>
    <w:p>
      <w:pPr>
        <w:spacing w:line="600" w:lineRule="exact"/>
        <w:ind w:firstLine="640" w:firstLineChars="200"/>
        <w:rPr>
          <w:rFonts w:ascii="仿宋" w:eastAsia="仿宋"/>
          <w:sz w:val="32"/>
          <w:szCs w:val="32"/>
        </w:rPr>
      </w:pPr>
      <w:r>
        <w:rPr>
          <w:rFonts w:hint="eastAsia" w:ascii="仿宋" w:eastAsia="仿宋"/>
          <w:sz w:val="32"/>
          <w:szCs w:val="32"/>
        </w:rPr>
        <w:t>2021年度收、支总计</w:t>
      </w:r>
      <w:r>
        <w:rPr>
          <w:rFonts w:ascii="仿宋" w:eastAsia="仿宋"/>
          <w:sz w:val="32"/>
          <w:szCs w:val="32"/>
        </w:rPr>
        <w:t>290.27</w:t>
      </w:r>
      <w:r>
        <w:rPr>
          <w:rFonts w:hint="eastAsia" w:ascii="仿宋" w:eastAsia="仿宋"/>
          <w:sz w:val="32"/>
          <w:szCs w:val="32"/>
        </w:rPr>
        <w:t>万元。与2020年相比，收、支总计各增加</w:t>
      </w:r>
      <w:r>
        <w:rPr>
          <w:rFonts w:ascii="仿宋" w:eastAsia="仿宋"/>
          <w:sz w:val="32"/>
          <w:szCs w:val="32"/>
        </w:rPr>
        <w:t>68.65</w:t>
      </w:r>
      <w:r>
        <w:rPr>
          <w:rFonts w:hint="eastAsia" w:ascii="仿宋" w:eastAsia="仿宋"/>
          <w:sz w:val="32"/>
          <w:szCs w:val="32"/>
        </w:rPr>
        <w:t>万元，增长30.98</w:t>
      </w:r>
      <w:r>
        <w:rPr>
          <w:rFonts w:ascii="仿宋" w:eastAsia="仿宋"/>
          <w:sz w:val="32"/>
          <w:szCs w:val="32"/>
        </w:rPr>
        <w:t>%</w:t>
      </w:r>
      <w:r>
        <w:rPr>
          <w:rFonts w:hint="eastAsia" w:ascii="仿宋" w:eastAsia="仿宋"/>
          <w:sz w:val="32"/>
          <w:szCs w:val="32"/>
        </w:rPr>
        <w:t>。主要变动原因是人员经费和项目支出有增加</w:t>
      </w:r>
      <w:r>
        <w:rPr>
          <w:rFonts w:ascii="仿宋" w:eastAsia="仿宋"/>
          <w:sz w:val="32"/>
          <w:szCs w:val="32"/>
        </w:rPr>
        <w:t>。</w:t>
      </w:r>
    </w:p>
    <w:p>
      <w:pPr>
        <w:pStyle w:val="2"/>
        <w:spacing w:before="93" w:beforeLines="0"/>
      </w:pPr>
      <w:r>
        <w:drawing>
          <wp:inline distT="0" distB="0" distL="84455" distR="84455">
            <wp:extent cx="4597400" cy="3162300"/>
            <wp:effectExtent l="0" t="0" r="38" b="47"/>
            <wp:docPr id="1" name="图片"/>
            <wp:cNvGraphicFramePr/>
            <a:graphic xmlns:a="http://schemas.openxmlformats.org/drawingml/2006/main">
              <a:graphicData uri="http://schemas.openxmlformats.org/drawingml/2006/picture">
                <pic:pic xmlns:pic="http://schemas.openxmlformats.org/drawingml/2006/picture">
                  <pic:nvPicPr>
                    <pic:cNvPr id="1" name="图片"/>
                    <pic:cNvPicPr/>
                  </pic:nvPicPr>
                  <pic:blipFill>
                    <a:blip r:embed="rId6"/>
                    <a:stretch>
                      <a:fillRect/>
                    </a:stretch>
                  </pic:blipFill>
                  <pic:spPr>
                    <a:xfrm>
                      <a:off x="0" y="0"/>
                      <a:ext cx="4597400" cy="3162300"/>
                    </a:xfrm>
                    <a:prstGeom prst="rect">
                      <a:avLst/>
                    </a:prstGeom>
                    <a:noFill/>
                    <a:ln w="9525" cap="flat" cmpd="sng">
                      <a:noFill/>
                      <a:prstDash val="solid"/>
                      <a:miter/>
                    </a:ln>
                  </pic:spPr>
                </pic:pic>
              </a:graphicData>
            </a:graphic>
          </wp:inline>
        </w:drawing>
      </w:r>
    </w:p>
    <w:p>
      <w:pPr>
        <w:spacing w:line="600" w:lineRule="exact"/>
        <w:ind w:firstLine="640" w:firstLineChars="200"/>
        <w:rPr>
          <w:rFonts w:ascii="仿宋" w:eastAsia="仿宋"/>
          <w:sz w:val="32"/>
          <w:szCs w:val="32"/>
        </w:rPr>
      </w:pPr>
      <w:r>
        <w:rPr>
          <w:rFonts w:hint="eastAsia" w:ascii="仿宋" w:eastAsia="仿宋"/>
          <w:sz w:val="32"/>
          <w:szCs w:val="32"/>
        </w:rPr>
        <w:t>（图</w:t>
      </w:r>
      <w:r>
        <w:rPr>
          <w:rFonts w:ascii="仿宋" w:eastAsia="仿宋"/>
          <w:sz w:val="32"/>
          <w:szCs w:val="32"/>
        </w:rPr>
        <w:t>1</w:t>
      </w:r>
      <w:r>
        <w:rPr>
          <w:rFonts w:hint="eastAsia" w:ascii="仿宋" w:eastAsia="仿宋"/>
          <w:sz w:val="32"/>
          <w:szCs w:val="32"/>
        </w:rPr>
        <w:t>：收、支决算总计变动情况图）</w:t>
      </w:r>
    </w:p>
    <w:p>
      <w:pPr>
        <w:spacing w:line="600" w:lineRule="exact"/>
        <w:ind w:firstLine="640" w:firstLineChars="200"/>
        <w:jc w:val="left"/>
        <w:rPr>
          <w:rFonts w:ascii="仿宋_GB2312" w:eastAsia="仿宋_GB2312"/>
          <w:sz w:val="32"/>
          <w:szCs w:val="32"/>
        </w:rPr>
      </w:pPr>
    </w:p>
    <w:p>
      <w:pPr>
        <w:pStyle w:val="23"/>
        <w:numPr>
          <w:ilvl w:val="0"/>
          <w:numId w:val="1"/>
        </w:numPr>
        <w:spacing w:line="600" w:lineRule="exact"/>
        <w:ind w:firstLineChars="0"/>
        <w:outlineLvl w:val="1"/>
        <w:rPr>
          <w:rStyle w:val="18"/>
          <w:rFonts w:ascii="黑体" w:eastAsia="黑体"/>
          <w:b w:val="0"/>
        </w:rPr>
      </w:pPr>
      <w:bookmarkStart w:id="32" w:name="_Toc146721297"/>
      <w:bookmarkStart w:id="33" w:name="_Toc15377206"/>
      <w:bookmarkStart w:id="34" w:name="_Toc15396604"/>
      <w:r>
        <w:rPr>
          <w:rFonts w:hint="eastAsia" w:ascii="黑体" w:eastAsia="黑体"/>
          <w:sz w:val="32"/>
          <w:szCs w:val="32"/>
        </w:rPr>
        <w:t>收</w:t>
      </w:r>
      <w:r>
        <w:rPr>
          <w:rStyle w:val="18"/>
          <w:rFonts w:hint="eastAsia" w:ascii="黑体" w:eastAsia="黑体"/>
          <w:b w:val="0"/>
        </w:rPr>
        <w:t>入决算情况说明</w:t>
      </w:r>
      <w:bookmarkEnd w:id="32"/>
      <w:bookmarkEnd w:id="33"/>
      <w:bookmarkEnd w:id="34"/>
    </w:p>
    <w:p>
      <w:pPr>
        <w:spacing w:line="600" w:lineRule="exact"/>
        <w:ind w:firstLine="640" w:firstLineChars="200"/>
        <w:outlineLvl w:val="1"/>
        <w:rPr>
          <w:rFonts w:ascii="仿宋" w:eastAsia="仿宋"/>
          <w:sz w:val="32"/>
          <w:szCs w:val="32"/>
        </w:rPr>
      </w:pPr>
      <w:bookmarkStart w:id="35" w:name="_Toc15531"/>
      <w:bookmarkStart w:id="36" w:name="_Toc146721298"/>
      <w:r>
        <w:rPr>
          <w:rFonts w:ascii="仿宋" w:eastAsia="仿宋"/>
          <w:sz w:val="32"/>
          <w:szCs w:val="32"/>
        </w:rPr>
        <w:t>20</w:t>
      </w:r>
      <w:r>
        <w:rPr>
          <w:rFonts w:hint="eastAsia" w:ascii="仿宋" w:eastAsia="仿宋"/>
          <w:sz w:val="32"/>
          <w:szCs w:val="32"/>
        </w:rPr>
        <w:t>21年本年收入合计290.27万元，其中：一般公共预算财政拨款收入290.27万元，占100</w:t>
      </w:r>
      <w:r>
        <w:rPr>
          <w:rFonts w:ascii="仿宋" w:eastAsia="仿宋"/>
          <w:sz w:val="32"/>
          <w:szCs w:val="32"/>
        </w:rPr>
        <w:t>%</w:t>
      </w:r>
      <w:r>
        <w:rPr>
          <w:rFonts w:hint="eastAsia" w:ascii="仿宋" w:eastAsia="仿宋"/>
          <w:sz w:val="32"/>
          <w:szCs w:val="32"/>
        </w:rPr>
        <w:t>。</w:t>
      </w:r>
      <w:bookmarkEnd w:id="35"/>
      <w:bookmarkEnd w:id="36"/>
    </w:p>
    <w:p>
      <w:pPr>
        <w:pStyle w:val="2"/>
        <w:spacing w:before="93" w:beforeLines="0"/>
      </w:pPr>
      <w:r>
        <w:rPr>
          <w:rFonts w:hint="eastAsia"/>
          <w:sz w:val="32"/>
          <w:szCs w:val="32"/>
        </w:rPr>
        <w:drawing>
          <wp:inline distT="0" distB="0" distL="114300" distR="114300">
            <wp:extent cx="4154170" cy="3112135"/>
            <wp:effectExtent l="0" t="0" r="0" b="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2240" w:firstLineChars="700"/>
        <w:rPr>
          <w:rFonts w:ascii="仿宋" w:eastAsia="仿宋"/>
          <w:sz w:val="32"/>
          <w:szCs w:val="32"/>
        </w:rPr>
      </w:pPr>
      <w:r>
        <w:rPr>
          <w:rFonts w:hint="eastAsia" w:ascii="仿宋" w:eastAsia="仿宋"/>
          <w:sz w:val="32"/>
          <w:szCs w:val="32"/>
        </w:rPr>
        <w:t>（图2：收入决算结构图）</w:t>
      </w:r>
    </w:p>
    <w:p>
      <w:pPr>
        <w:pStyle w:val="2"/>
        <w:spacing w:before="93" w:beforeLines="0"/>
      </w:pPr>
    </w:p>
    <w:p>
      <w:pPr>
        <w:pStyle w:val="23"/>
        <w:numPr>
          <w:ilvl w:val="0"/>
          <w:numId w:val="1"/>
        </w:numPr>
        <w:spacing w:line="600" w:lineRule="exact"/>
        <w:ind w:firstLineChars="0"/>
        <w:outlineLvl w:val="1"/>
        <w:rPr>
          <w:rStyle w:val="18"/>
          <w:rFonts w:ascii="黑体" w:eastAsia="黑体"/>
          <w:b w:val="0"/>
        </w:rPr>
      </w:pPr>
      <w:bookmarkStart w:id="37" w:name="_Toc146721299"/>
      <w:bookmarkStart w:id="38" w:name="_Toc15377207"/>
      <w:bookmarkStart w:id="39" w:name="_Toc15396605"/>
      <w:r>
        <w:rPr>
          <w:rFonts w:hint="eastAsia" w:ascii="黑体" w:eastAsia="黑体"/>
          <w:sz w:val="32"/>
          <w:szCs w:val="32"/>
        </w:rPr>
        <w:t>支</w:t>
      </w:r>
      <w:r>
        <w:rPr>
          <w:rStyle w:val="18"/>
          <w:rFonts w:hint="eastAsia" w:ascii="黑体" w:eastAsia="黑体"/>
          <w:b w:val="0"/>
        </w:rPr>
        <w:t>出决算情况说明</w:t>
      </w:r>
      <w:bookmarkEnd w:id="37"/>
      <w:bookmarkEnd w:id="38"/>
      <w:bookmarkEnd w:id="39"/>
    </w:p>
    <w:p>
      <w:pPr>
        <w:spacing w:line="600" w:lineRule="exact"/>
        <w:ind w:firstLine="640" w:firstLineChars="200"/>
        <w:rPr>
          <w:rFonts w:ascii="仿宋" w:eastAsia="仿宋"/>
          <w:sz w:val="32"/>
          <w:szCs w:val="32"/>
          <w:shd w:val="pct10" w:color="auto" w:fill="FFFFFF"/>
        </w:rPr>
      </w:pPr>
      <w:r>
        <w:rPr>
          <w:rFonts w:ascii="仿宋" w:eastAsia="仿宋"/>
          <w:sz w:val="32"/>
          <w:szCs w:val="32"/>
        </w:rPr>
        <w:t>20</w:t>
      </w:r>
      <w:r>
        <w:rPr>
          <w:rFonts w:hint="eastAsia" w:ascii="仿宋" w:eastAsia="仿宋"/>
          <w:sz w:val="32"/>
          <w:szCs w:val="32"/>
        </w:rPr>
        <w:t>21年本年支出合计290.27万元，其中：基本支出213.58万元，占73.58</w:t>
      </w:r>
      <w:r>
        <w:rPr>
          <w:rFonts w:ascii="仿宋" w:eastAsia="仿宋"/>
          <w:sz w:val="32"/>
          <w:szCs w:val="32"/>
        </w:rPr>
        <w:t>%</w:t>
      </w:r>
      <w:r>
        <w:rPr>
          <w:rFonts w:hint="eastAsia" w:ascii="仿宋" w:eastAsia="仿宋"/>
          <w:sz w:val="32"/>
          <w:szCs w:val="32"/>
        </w:rPr>
        <w:t>；项目支出76.69万元，占26.42</w:t>
      </w:r>
      <w:r>
        <w:rPr>
          <w:rFonts w:ascii="仿宋" w:eastAsia="仿宋"/>
          <w:sz w:val="32"/>
          <w:szCs w:val="32"/>
        </w:rPr>
        <w:t>%</w:t>
      </w:r>
      <w:r>
        <w:rPr>
          <w:rFonts w:hint="eastAsia" w:ascii="仿宋" w:eastAsia="仿宋"/>
          <w:sz w:val="32"/>
          <w:szCs w:val="32"/>
        </w:rPr>
        <w:t>。</w:t>
      </w:r>
    </w:p>
    <w:p>
      <w:pPr>
        <w:spacing w:line="600" w:lineRule="exact"/>
        <w:ind w:firstLine="640"/>
        <w:rPr>
          <w:rFonts w:ascii="仿宋" w:eastAsia="仿宋"/>
          <w:sz w:val="32"/>
          <w:szCs w:val="32"/>
          <w:shd w:val="pct10" w:color="auto" w:fill="FFFFFF"/>
        </w:rPr>
      </w:pPr>
      <w:r>
        <w:rPr>
          <w:rFonts w:hint="eastAsia" w:eastAsia="仿宋_GB2312"/>
        </w:rPr>
        <w:drawing>
          <wp:anchor distT="0" distB="0" distL="114300" distR="114300" simplePos="0" relativeHeight="1024" behindDoc="0" locked="0" layoutInCell="1" allowOverlap="1">
            <wp:simplePos x="0" y="0"/>
            <wp:positionH relativeFrom="column">
              <wp:posOffset>619760</wp:posOffset>
            </wp:positionH>
            <wp:positionV relativeFrom="paragraph">
              <wp:posOffset>25400</wp:posOffset>
            </wp:positionV>
            <wp:extent cx="3565525" cy="3112770"/>
            <wp:effectExtent l="0" t="0" r="0" b="0"/>
            <wp:wrapNone/>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2240" w:firstLineChars="700"/>
        <w:rPr>
          <w:rFonts w:ascii="仿宋" w:eastAsia="仿宋"/>
          <w:sz w:val="32"/>
          <w:szCs w:val="32"/>
        </w:rPr>
      </w:pPr>
      <w:r>
        <w:rPr>
          <w:rFonts w:hint="eastAsia" w:ascii="仿宋" w:eastAsia="仿宋"/>
          <w:sz w:val="32"/>
          <w:szCs w:val="32"/>
        </w:rPr>
        <w:t>（图3：支出决算结构图）</w:t>
      </w:r>
    </w:p>
    <w:p>
      <w:pPr>
        <w:spacing w:line="600" w:lineRule="exact"/>
        <w:ind w:firstLine="640" w:firstLineChars="200"/>
        <w:outlineLvl w:val="1"/>
        <w:rPr>
          <w:rStyle w:val="18"/>
          <w:rFonts w:ascii="黑体" w:eastAsia="黑体"/>
          <w:b w:val="0"/>
        </w:rPr>
      </w:pPr>
      <w:bookmarkStart w:id="40" w:name="_Toc15377208"/>
      <w:bookmarkStart w:id="41" w:name="_Toc146721300"/>
      <w:bookmarkStart w:id="42" w:name="_Toc15396606"/>
      <w:r>
        <w:rPr>
          <w:rFonts w:hint="eastAsia" w:ascii="黑体" w:eastAsia="黑体"/>
          <w:sz w:val="32"/>
          <w:szCs w:val="32"/>
        </w:rPr>
        <w:t>四、财</w:t>
      </w:r>
      <w:r>
        <w:rPr>
          <w:rStyle w:val="18"/>
          <w:rFonts w:hint="eastAsia" w:ascii="黑体" w:eastAsia="黑体"/>
          <w:b w:val="0"/>
        </w:rPr>
        <w:t>政拨款收入支出决算总体情况说明</w:t>
      </w:r>
      <w:bookmarkEnd w:id="40"/>
      <w:bookmarkEnd w:id="41"/>
      <w:bookmarkEnd w:id="42"/>
    </w:p>
    <w:p>
      <w:pPr>
        <w:pStyle w:val="2"/>
        <w:spacing w:before="93" w:beforeLines="0"/>
        <w:ind w:firstLine="640" w:firstLineChars="200"/>
      </w:pPr>
      <w:r>
        <w:rPr>
          <w:rFonts w:ascii="仿宋" w:eastAsia="仿宋"/>
          <w:sz w:val="32"/>
          <w:szCs w:val="32"/>
        </w:rPr>
        <w:t>20</w:t>
      </w:r>
      <w:r>
        <w:rPr>
          <w:rFonts w:hint="eastAsia" w:ascii="仿宋" w:eastAsia="仿宋"/>
          <w:sz w:val="32"/>
          <w:szCs w:val="32"/>
        </w:rPr>
        <w:t>21年财政拨款收、支总计290.27万元。与</w:t>
      </w:r>
      <w:r>
        <w:rPr>
          <w:rFonts w:ascii="仿宋" w:eastAsia="仿宋"/>
          <w:sz w:val="32"/>
          <w:szCs w:val="32"/>
        </w:rPr>
        <w:t>20</w:t>
      </w:r>
      <w:r>
        <w:rPr>
          <w:rFonts w:hint="eastAsia" w:ascii="仿宋" w:eastAsia="仿宋"/>
          <w:sz w:val="32"/>
          <w:szCs w:val="32"/>
        </w:rPr>
        <w:t>20年相比，财政拨款收、支总计各增加68.65万元，增长30.98</w:t>
      </w:r>
      <w:r>
        <w:rPr>
          <w:rFonts w:ascii="仿宋" w:eastAsia="仿宋"/>
          <w:sz w:val="32"/>
          <w:szCs w:val="32"/>
        </w:rPr>
        <w:t>%</w:t>
      </w:r>
      <w:r>
        <w:rPr>
          <w:rFonts w:hint="eastAsia" w:ascii="仿宋" w:eastAsia="仿宋"/>
          <w:sz w:val="32"/>
          <w:szCs w:val="32"/>
        </w:rPr>
        <w:t>。主要变动原因是主要是人员经费和项目支出有增加。</w:t>
      </w:r>
    </w:p>
    <w:p>
      <w:pPr>
        <w:spacing w:line="600" w:lineRule="exact"/>
        <w:rPr>
          <w:rFonts w:ascii="仿宋" w:eastAsia="仿宋"/>
          <w:sz w:val="32"/>
          <w:szCs w:val="32"/>
        </w:rPr>
      </w:pPr>
      <w:r>
        <w:rPr>
          <w:rFonts w:hint="eastAsia" w:eastAsia="仿宋"/>
        </w:rPr>
        <w:drawing>
          <wp:anchor distT="0" distB="0" distL="114300" distR="114300" simplePos="0" relativeHeight="1024" behindDoc="0" locked="0" layoutInCell="1" allowOverlap="1">
            <wp:simplePos x="0" y="0"/>
            <wp:positionH relativeFrom="column">
              <wp:posOffset>563880</wp:posOffset>
            </wp:positionH>
            <wp:positionV relativeFrom="paragraph">
              <wp:posOffset>55245</wp:posOffset>
            </wp:positionV>
            <wp:extent cx="4150360" cy="3324860"/>
            <wp:effectExtent l="0" t="0" r="0" b="0"/>
            <wp:wrapNone/>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spacing w:line="600" w:lineRule="exact"/>
        <w:ind w:firstLine="960" w:firstLineChars="300"/>
        <w:rPr>
          <w:rFonts w:ascii="仿宋" w:eastAsia="仿宋"/>
          <w:sz w:val="32"/>
          <w:szCs w:val="32"/>
        </w:rPr>
      </w:pPr>
      <w:r>
        <w:rPr>
          <w:rFonts w:hint="eastAsia" w:ascii="仿宋" w:eastAsia="仿宋"/>
          <w:sz w:val="32"/>
          <w:szCs w:val="32"/>
        </w:rPr>
        <w:t>（图4：财政拨款收、支决算总计变动情况）</w:t>
      </w:r>
    </w:p>
    <w:p>
      <w:pPr>
        <w:spacing w:line="600" w:lineRule="exact"/>
        <w:ind w:firstLine="640"/>
        <w:rPr>
          <w:rFonts w:ascii="仿宋" w:eastAsia="仿宋"/>
          <w:b/>
          <w:sz w:val="32"/>
          <w:szCs w:val="32"/>
        </w:rPr>
      </w:pPr>
    </w:p>
    <w:p>
      <w:pPr>
        <w:spacing w:line="600" w:lineRule="exact"/>
        <w:ind w:firstLine="640" w:firstLineChars="200"/>
        <w:outlineLvl w:val="1"/>
        <w:rPr>
          <w:rStyle w:val="18"/>
          <w:rFonts w:ascii="黑体" w:eastAsia="黑体"/>
          <w:b w:val="0"/>
        </w:rPr>
      </w:pPr>
      <w:bookmarkStart w:id="43" w:name="_Toc15377209"/>
      <w:bookmarkStart w:id="44" w:name="_Toc15396607"/>
      <w:bookmarkStart w:id="45" w:name="_Toc146721301"/>
      <w:r>
        <w:rPr>
          <w:rFonts w:hint="eastAsia" w:ascii="黑体" w:eastAsia="黑体"/>
          <w:sz w:val="32"/>
          <w:szCs w:val="32"/>
        </w:rPr>
        <w:t>五、</w:t>
      </w:r>
      <w:r>
        <w:rPr>
          <w:rFonts w:hint="eastAsia" w:ascii="黑体" w:eastAsia="黑体"/>
          <w:b/>
          <w:sz w:val="32"/>
          <w:szCs w:val="32"/>
        </w:rPr>
        <w:t>一</w:t>
      </w:r>
      <w:r>
        <w:rPr>
          <w:rStyle w:val="18"/>
          <w:rFonts w:hint="eastAsia" w:ascii="黑体" w:eastAsia="黑体"/>
          <w:b w:val="0"/>
        </w:rPr>
        <w:t>般公共预算财政拨款支出决算情况说明</w:t>
      </w:r>
      <w:bookmarkEnd w:id="43"/>
      <w:bookmarkEnd w:id="44"/>
      <w:bookmarkEnd w:id="45"/>
    </w:p>
    <w:p>
      <w:pPr>
        <w:spacing w:line="600" w:lineRule="exact"/>
        <w:ind w:firstLine="642" w:firstLineChars="200"/>
        <w:outlineLvl w:val="2"/>
        <w:rPr>
          <w:rFonts w:ascii="仿宋" w:eastAsia="仿宋"/>
          <w:b/>
          <w:sz w:val="32"/>
          <w:szCs w:val="32"/>
        </w:rPr>
      </w:pPr>
      <w:bookmarkStart w:id="46" w:name="_Toc146721302"/>
      <w:bookmarkStart w:id="47" w:name="_Toc20610"/>
      <w:bookmarkStart w:id="48" w:name="_Toc15377210"/>
      <w:r>
        <w:rPr>
          <w:rFonts w:hint="eastAsia" w:ascii="仿宋" w:eastAsia="仿宋"/>
          <w:b/>
          <w:sz w:val="32"/>
          <w:szCs w:val="32"/>
        </w:rPr>
        <w:t>（一）一般公共预算财政拨款支出决算总体情况</w:t>
      </w:r>
      <w:bookmarkEnd w:id="46"/>
      <w:bookmarkEnd w:id="47"/>
      <w:bookmarkEnd w:id="48"/>
    </w:p>
    <w:p>
      <w:pPr>
        <w:spacing w:line="600" w:lineRule="exact"/>
        <w:ind w:firstLine="640" w:firstLineChars="200"/>
        <w:rPr>
          <w:rFonts w:ascii="仿宋" w:eastAsia="仿宋"/>
          <w:sz w:val="32"/>
          <w:szCs w:val="32"/>
        </w:rPr>
      </w:pPr>
      <w:r>
        <w:rPr>
          <w:rFonts w:ascii="仿宋" w:eastAsia="仿宋"/>
          <w:sz w:val="32"/>
          <w:szCs w:val="32"/>
        </w:rPr>
        <w:t>20</w:t>
      </w:r>
      <w:r>
        <w:rPr>
          <w:rFonts w:hint="eastAsia" w:ascii="仿宋" w:eastAsia="仿宋"/>
          <w:sz w:val="32"/>
          <w:szCs w:val="32"/>
        </w:rPr>
        <w:t>21年一般公共预算财政拨款支出290.27万元，占本年支出合计的100</w:t>
      </w:r>
      <w:r>
        <w:rPr>
          <w:rFonts w:ascii="仿宋" w:eastAsia="仿宋"/>
          <w:sz w:val="32"/>
          <w:szCs w:val="32"/>
        </w:rPr>
        <w:t>%</w:t>
      </w:r>
      <w:r>
        <w:rPr>
          <w:rFonts w:hint="eastAsia" w:ascii="仿宋" w:eastAsia="仿宋"/>
          <w:sz w:val="32"/>
          <w:szCs w:val="32"/>
        </w:rPr>
        <w:t>。与</w:t>
      </w:r>
      <w:r>
        <w:rPr>
          <w:rFonts w:ascii="仿宋" w:eastAsia="仿宋"/>
          <w:sz w:val="32"/>
          <w:szCs w:val="32"/>
        </w:rPr>
        <w:t>20</w:t>
      </w:r>
      <w:r>
        <w:rPr>
          <w:rFonts w:hint="eastAsia" w:ascii="仿宋" w:eastAsia="仿宋"/>
          <w:sz w:val="32"/>
          <w:szCs w:val="32"/>
        </w:rPr>
        <w:t>20年相比，一般公共预算财政拨款支出增加68.81万元，增长31.07</w:t>
      </w:r>
      <w:r>
        <w:rPr>
          <w:rFonts w:ascii="仿宋" w:eastAsia="仿宋"/>
          <w:sz w:val="32"/>
          <w:szCs w:val="32"/>
        </w:rPr>
        <w:t>%</w:t>
      </w:r>
      <w:r>
        <w:rPr>
          <w:rFonts w:hint="eastAsia" w:ascii="仿宋" w:eastAsia="仿宋"/>
          <w:sz w:val="32"/>
          <w:szCs w:val="32"/>
        </w:rPr>
        <w:t>。主要变动原因是主要是人员经费和项目支出有增加。</w:t>
      </w:r>
    </w:p>
    <w:p>
      <w:pPr>
        <w:spacing w:line="600" w:lineRule="exact"/>
        <w:ind w:firstLine="640" w:firstLineChars="200"/>
        <w:rPr>
          <w:rFonts w:ascii="仿宋" w:eastAsia="仿宋"/>
          <w:sz w:val="32"/>
          <w:szCs w:val="32"/>
        </w:rPr>
      </w:pPr>
    </w:p>
    <w:p>
      <w:pPr>
        <w:spacing w:line="600" w:lineRule="exact"/>
        <w:ind w:firstLine="640" w:firstLineChars="200"/>
        <w:rPr>
          <w:rFonts w:ascii="仿宋" w:eastAsia="仿宋"/>
          <w:sz w:val="32"/>
          <w:szCs w:val="32"/>
        </w:rPr>
      </w:pPr>
    </w:p>
    <w:p>
      <w:pPr>
        <w:pStyle w:val="2"/>
        <w:spacing w:before="93" w:beforeLines="0"/>
      </w:pPr>
      <w:r>
        <w:drawing>
          <wp:inline distT="0" distB="0" distL="114300" distR="114300">
            <wp:extent cx="5079365" cy="3810000"/>
            <wp:effectExtent l="0" t="0" r="0" b="0"/>
            <wp:docPr id="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320" w:firstLineChars="100"/>
        <w:rPr>
          <w:rFonts w:ascii="仿宋" w:eastAsia="仿宋"/>
          <w:sz w:val="32"/>
          <w:szCs w:val="32"/>
        </w:rPr>
      </w:pPr>
      <w:r>
        <w:rPr>
          <w:rFonts w:hint="eastAsia" w:ascii="仿宋" w:eastAsia="仿宋"/>
          <w:sz w:val="32"/>
          <w:szCs w:val="32"/>
        </w:rPr>
        <w:t>（图5：一般公共预算财政拨款支出决算变动情况）</w:t>
      </w:r>
    </w:p>
    <w:p>
      <w:pPr>
        <w:spacing w:line="600" w:lineRule="exact"/>
        <w:rPr>
          <w:rFonts w:ascii="仿宋" w:eastAsia="仿宋"/>
          <w:sz w:val="32"/>
          <w:szCs w:val="32"/>
        </w:rPr>
      </w:pPr>
    </w:p>
    <w:p>
      <w:pPr>
        <w:spacing w:line="600" w:lineRule="exact"/>
        <w:ind w:firstLine="642" w:firstLineChars="200"/>
        <w:outlineLvl w:val="2"/>
        <w:rPr>
          <w:rFonts w:ascii="仿宋" w:eastAsia="仿宋"/>
          <w:b/>
          <w:sz w:val="32"/>
          <w:szCs w:val="32"/>
        </w:rPr>
      </w:pPr>
      <w:bookmarkStart w:id="49" w:name="_Toc18477"/>
      <w:bookmarkStart w:id="50" w:name="_Toc15377211"/>
      <w:bookmarkStart w:id="51" w:name="_Toc146721303"/>
      <w:r>
        <w:rPr>
          <w:rFonts w:hint="eastAsia" w:ascii="仿宋" w:eastAsia="仿宋"/>
          <w:b/>
          <w:sz w:val="32"/>
          <w:szCs w:val="32"/>
        </w:rPr>
        <w:t>（二）一般公共预算财政拨款支出决算结构情况</w:t>
      </w:r>
      <w:bookmarkEnd w:id="49"/>
      <w:bookmarkEnd w:id="50"/>
      <w:bookmarkEnd w:id="51"/>
    </w:p>
    <w:p>
      <w:pPr>
        <w:spacing w:line="600" w:lineRule="exact"/>
        <w:ind w:firstLine="640"/>
        <w:rPr>
          <w:rFonts w:ascii="仿宋" w:eastAsia="仿宋"/>
          <w:sz w:val="32"/>
          <w:szCs w:val="32"/>
        </w:rPr>
      </w:pPr>
      <w:r>
        <w:rPr>
          <w:rFonts w:ascii="仿宋" w:eastAsia="仿宋"/>
          <w:sz w:val="32"/>
          <w:szCs w:val="32"/>
        </w:rPr>
        <w:t>20</w:t>
      </w:r>
      <w:r>
        <w:rPr>
          <w:rFonts w:hint="eastAsia" w:ascii="仿宋" w:eastAsia="仿宋"/>
          <w:sz w:val="32"/>
          <w:szCs w:val="32"/>
        </w:rPr>
        <w:t>21年一般公共预算财政拨款支出290.27万元，主要用于以下方面</w:t>
      </w:r>
      <w:r>
        <w:rPr>
          <w:rFonts w:ascii="仿宋" w:eastAsia="仿宋"/>
          <w:sz w:val="32"/>
          <w:szCs w:val="32"/>
        </w:rPr>
        <w:t>:</w:t>
      </w:r>
      <w:r>
        <w:rPr>
          <w:rFonts w:hint="eastAsia" w:ascii="仿宋" w:eastAsia="仿宋"/>
          <w:b/>
          <w:sz w:val="32"/>
          <w:szCs w:val="32"/>
        </w:rPr>
        <w:t>一般公共服务（类）</w:t>
      </w:r>
      <w:r>
        <w:rPr>
          <w:rFonts w:hint="eastAsia" w:ascii="仿宋" w:eastAsia="仿宋"/>
          <w:sz w:val="32"/>
          <w:szCs w:val="32"/>
        </w:rPr>
        <w:t>支出1.83万元，占0.63</w:t>
      </w:r>
      <w:r>
        <w:rPr>
          <w:rFonts w:ascii="仿宋" w:eastAsia="仿宋"/>
          <w:sz w:val="32"/>
          <w:szCs w:val="32"/>
        </w:rPr>
        <w:t>%</w:t>
      </w:r>
      <w:r>
        <w:rPr>
          <w:rFonts w:hint="eastAsia" w:ascii="仿宋" w:eastAsia="仿宋"/>
          <w:sz w:val="32"/>
          <w:szCs w:val="32"/>
        </w:rPr>
        <w:t>；</w:t>
      </w:r>
      <w:r>
        <w:rPr>
          <w:rFonts w:hint="eastAsia" w:ascii="仿宋" w:eastAsia="仿宋"/>
          <w:b/>
          <w:sz w:val="32"/>
          <w:szCs w:val="32"/>
        </w:rPr>
        <w:t>科学技术（类）</w:t>
      </w:r>
      <w:r>
        <w:rPr>
          <w:rFonts w:hint="eastAsia" w:ascii="仿宋" w:eastAsia="仿宋"/>
          <w:sz w:val="32"/>
          <w:szCs w:val="32"/>
        </w:rPr>
        <w:t>支出235.8</w:t>
      </w:r>
      <w:r>
        <w:rPr>
          <w:rFonts w:ascii="仿宋" w:eastAsia="仿宋"/>
          <w:sz w:val="32"/>
          <w:szCs w:val="32"/>
        </w:rPr>
        <w:t>4</w:t>
      </w:r>
      <w:r>
        <w:rPr>
          <w:rFonts w:hint="eastAsia" w:ascii="仿宋" w:eastAsia="仿宋"/>
          <w:sz w:val="32"/>
          <w:szCs w:val="32"/>
        </w:rPr>
        <w:t>万元，占81.25</w:t>
      </w:r>
      <w:r>
        <w:rPr>
          <w:rFonts w:ascii="仿宋" w:eastAsia="仿宋"/>
          <w:sz w:val="32"/>
          <w:szCs w:val="32"/>
        </w:rPr>
        <w:t>%</w:t>
      </w:r>
      <w:r>
        <w:rPr>
          <w:rFonts w:hint="eastAsia" w:ascii="仿宋" w:eastAsia="仿宋"/>
          <w:sz w:val="32"/>
          <w:szCs w:val="32"/>
        </w:rPr>
        <w:t>；</w:t>
      </w:r>
      <w:r>
        <w:rPr>
          <w:rFonts w:hint="eastAsia" w:ascii="仿宋" w:eastAsia="仿宋"/>
          <w:b/>
          <w:sz w:val="32"/>
          <w:szCs w:val="32"/>
        </w:rPr>
        <w:t>社会保障和就业（类）</w:t>
      </w:r>
      <w:r>
        <w:rPr>
          <w:rFonts w:hint="eastAsia" w:ascii="仿宋" w:eastAsia="仿宋"/>
          <w:sz w:val="32"/>
          <w:szCs w:val="32"/>
        </w:rPr>
        <w:t>支出39.6万元，占13.64</w:t>
      </w:r>
      <w:r>
        <w:rPr>
          <w:rFonts w:ascii="仿宋" w:eastAsia="仿宋"/>
          <w:sz w:val="32"/>
          <w:szCs w:val="32"/>
        </w:rPr>
        <w:t>%</w:t>
      </w:r>
      <w:r>
        <w:rPr>
          <w:rFonts w:hint="eastAsia" w:ascii="仿宋" w:eastAsia="仿宋"/>
          <w:sz w:val="32"/>
          <w:szCs w:val="32"/>
        </w:rPr>
        <w:t>；</w:t>
      </w:r>
      <w:r>
        <w:rPr>
          <w:rFonts w:hint="eastAsia" w:ascii="仿宋" w:eastAsia="仿宋"/>
          <w:b/>
          <w:bCs/>
          <w:sz w:val="32"/>
          <w:szCs w:val="32"/>
        </w:rPr>
        <w:t>住房保障</w:t>
      </w:r>
      <w:r>
        <w:rPr>
          <w:rFonts w:hint="eastAsia" w:ascii="仿宋" w:eastAsia="仿宋"/>
          <w:sz w:val="32"/>
          <w:szCs w:val="32"/>
        </w:rPr>
        <w:t>支出12.99万元，占4.48</w:t>
      </w:r>
      <w:r>
        <w:rPr>
          <w:rFonts w:ascii="仿宋" w:eastAsia="仿宋"/>
          <w:sz w:val="32"/>
          <w:szCs w:val="32"/>
        </w:rPr>
        <w:t>%</w:t>
      </w:r>
      <w:r>
        <w:rPr>
          <w:rFonts w:hint="eastAsia" w:ascii="仿宋" w:eastAsia="仿宋"/>
          <w:sz w:val="32"/>
          <w:szCs w:val="32"/>
        </w:rPr>
        <w:t>。</w:t>
      </w:r>
    </w:p>
    <w:p>
      <w:pPr>
        <w:pStyle w:val="2"/>
        <w:spacing w:before="93" w:beforeLines="0"/>
        <w:rPr>
          <w:rFonts w:ascii="仿宋" w:eastAsia="仿宋"/>
          <w:sz w:val="32"/>
          <w:szCs w:val="32"/>
        </w:rPr>
      </w:pPr>
    </w:p>
    <w:p>
      <w:pPr>
        <w:pStyle w:val="2"/>
        <w:spacing w:before="93" w:beforeLines="0"/>
        <w:rPr>
          <w:rFonts w:ascii="仿宋" w:eastAsia="仿宋"/>
          <w:sz w:val="32"/>
          <w:szCs w:val="32"/>
        </w:rPr>
      </w:pPr>
    </w:p>
    <w:p>
      <w:pPr>
        <w:pStyle w:val="2"/>
        <w:spacing w:before="93" w:beforeLines="0"/>
      </w:pPr>
    </w:p>
    <w:p>
      <w:pPr>
        <w:spacing w:line="600" w:lineRule="exact"/>
        <w:ind w:firstLine="640" w:firstLineChars="200"/>
        <w:rPr>
          <w:rFonts w:ascii="仿宋" w:eastAsia="仿宋"/>
          <w:sz w:val="32"/>
          <w:szCs w:val="32"/>
        </w:rPr>
      </w:pPr>
    </w:p>
    <w:p>
      <w:pPr>
        <w:pStyle w:val="2"/>
        <w:spacing w:before="93" w:beforeLines="0"/>
      </w:pPr>
      <w:r>
        <w:rPr>
          <w:rFonts w:hint="eastAsia"/>
        </w:rPr>
        <w:drawing>
          <wp:inline distT="0" distB="0" distL="114300" distR="114300">
            <wp:extent cx="5479415" cy="3552825"/>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rPr>
          <w:rFonts w:ascii="仿宋" w:eastAsia="仿宋"/>
          <w:sz w:val="32"/>
          <w:szCs w:val="32"/>
        </w:rPr>
      </w:pPr>
      <w:r>
        <w:rPr>
          <w:rFonts w:hint="eastAsia" w:ascii="仿宋" w:eastAsia="仿宋"/>
          <w:sz w:val="32"/>
          <w:szCs w:val="32"/>
        </w:rPr>
        <w:t>（图6：一般公共预算财政拨款支出决算结构）</w:t>
      </w:r>
    </w:p>
    <w:p>
      <w:pPr>
        <w:spacing w:line="600" w:lineRule="exact"/>
        <w:ind w:firstLine="640" w:firstLineChars="200"/>
        <w:rPr>
          <w:rFonts w:ascii="仿宋" w:eastAsia="仿宋"/>
          <w:sz w:val="32"/>
          <w:szCs w:val="32"/>
        </w:rPr>
      </w:pPr>
    </w:p>
    <w:p>
      <w:pPr>
        <w:spacing w:line="600" w:lineRule="exact"/>
        <w:ind w:firstLine="642" w:firstLineChars="200"/>
        <w:outlineLvl w:val="2"/>
        <w:rPr>
          <w:rFonts w:ascii="仿宋" w:eastAsia="仿宋"/>
          <w:b/>
          <w:sz w:val="32"/>
          <w:szCs w:val="32"/>
        </w:rPr>
      </w:pPr>
      <w:bookmarkStart w:id="52" w:name="_Toc146721304"/>
      <w:bookmarkStart w:id="53" w:name="_Toc15377212"/>
      <w:bookmarkStart w:id="54" w:name="_Toc13507"/>
      <w:r>
        <w:rPr>
          <w:rFonts w:hint="eastAsia" w:ascii="仿宋" w:eastAsia="仿宋"/>
          <w:b/>
          <w:sz w:val="32"/>
          <w:szCs w:val="32"/>
        </w:rPr>
        <w:t>（三）一般公共预算财政拨款支出决算具体情况</w:t>
      </w:r>
      <w:bookmarkEnd w:id="52"/>
      <w:bookmarkEnd w:id="53"/>
      <w:bookmarkEnd w:id="54"/>
    </w:p>
    <w:p>
      <w:pPr>
        <w:spacing w:line="600" w:lineRule="exact"/>
        <w:ind w:firstLine="642" w:firstLineChars="200"/>
        <w:rPr>
          <w:rFonts w:ascii="仿宋" w:eastAsia="仿宋"/>
          <w:sz w:val="32"/>
          <w:szCs w:val="32"/>
        </w:rPr>
      </w:pPr>
      <w:bookmarkStart w:id="55" w:name="_Toc15378460"/>
      <w:bookmarkStart w:id="56" w:name="_Toc15377444"/>
      <w:bookmarkStart w:id="57" w:name="_Toc15377213"/>
      <w:r>
        <w:rPr>
          <w:rFonts w:hint="eastAsia" w:ascii="仿宋" w:eastAsia="仿宋"/>
          <w:b/>
          <w:sz w:val="32"/>
          <w:szCs w:val="32"/>
        </w:rPr>
        <w:t>2021年一般公共预算支出决算数为290.27万元</w:t>
      </w:r>
      <w:r>
        <w:rPr>
          <w:rFonts w:hint="eastAsia" w:ascii="仿宋" w:eastAsia="仿宋"/>
          <w:sz w:val="32"/>
          <w:szCs w:val="32"/>
        </w:rPr>
        <w:t>，</w:t>
      </w:r>
      <w:r>
        <w:rPr>
          <w:rStyle w:val="15"/>
          <w:rFonts w:hint="eastAsia" w:ascii="仿宋" w:eastAsia="仿宋"/>
          <w:bCs/>
          <w:sz w:val="32"/>
          <w:szCs w:val="32"/>
        </w:rPr>
        <w:t>完成预算100</w:t>
      </w:r>
      <w:r>
        <w:rPr>
          <w:rStyle w:val="15"/>
          <w:rFonts w:ascii="仿宋" w:eastAsia="仿宋"/>
          <w:bCs/>
          <w:sz w:val="32"/>
          <w:szCs w:val="32"/>
        </w:rPr>
        <w:t>%</w:t>
      </w:r>
      <w:r>
        <w:rPr>
          <w:rStyle w:val="15"/>
          <w:rFonts w:hint="eastAsia" w:ascii="仿宋" w:eastAsia="仿宋"/>
          <w:bCs/>
          <w:sz w:val="32"/>
          <w:szCs w:val="32"/>
        </w:rPr>
        <w:t>。其中：</w:t>
      </w:r>
      <w:bookmarkEnd w:id="55"/>
      <w:bookmarkEnd w:id="56"/>
      <w:bookmarkEnd w:id="57"/>
    </w:p>
    <w:p>
      <w:pPr>
        <w:spacing w:line="600" w:lineRule="exact"/>
        <w:ind w:firstLine="642" w:firstLineChars="200"/>
        <w:rPr>
          <w:rFonts w:ascii="仿宋" w:eastAsia="仿宋"/>
          <w:b/>
          <w:sz w:val="32"/>
          <w:szCs w:val="32"/>
        </w:rPr>
      </w:pPr>
      <w:r>
        <w:rPr>
          <w:rStyle w:val="15"/>
          <w:rFonts w:ascii="仿宋" w:eastAsia="仿宋"/>
          <w:bCs/>
          <w:sz w:val="32"/>
          <w:szCs w:val="32"/>
        </w:rPr>
        <w:t>1.</w:t>
      </w:r>
      <w:r>
        <w:rPr>
          <w:rStyle w:val="15"/>
          <w:rFonts w:hint="eastAsia" w:ascii="仿宋" w:eastAsia="仿宋"/>
          <w:bCs/>
          <w:sz w:val="32"/>
          <w:szCs w:val="32"/>
        </w:rPr>
        <w:t>一般公共服务（类）组织事务（款）其他组织事务支出（项）</w:t>
      </w:r>
      <w:r>
        <w:rPr>
          <w:rStyle w:val="15"/>
          <w:rFonts w:ascii="仿宋" w:eastAsia="仿宋"/>
          <w:bCs/>
          <w:sz w:val="32"/>
          <w:szCs w:val="32"/>
        </w:rPr>
        <w:t>:</w:t>
      </w:r>
      <w:r>
        <w:rPr>
          <w:rStyle w:val="15"/>
          <w:rFonts w:ascii="仿宋" w:eastAsia="仿宋"/>
          <w:b w:val="0"/>
          <w:bCs/>
          <w:sz w:val="32"/>
          <w:szCs w:val="32"/>
        </w:rPr>
        <w:t xml:space="preserve"> </w:t>
      </w:r>
      <w:r>
        <w:rPr>
          <w:rStyle w:val="15"/>
          <w:rFonts w:hint="eastAsia" w:ascii="仿宋" w:eastAsia="仿宋"/>
          <w:b w:val="0"/>
          <w:bCs/>
          <w:sz w:val="32"/>
          <w:szCs w:val="32"/>
        </w:rPr>
        <w:t>支出决算为1.83万元，完成预算100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2" w:firstLineChars="200"/>
        <w:rPr>
          <w:rFonts w:ascii="仿宋" w:eastAsia="仿宋"/>
          <w:b/>
          <w:sz w:val="32"/>
          <w:szCs w:val="32"/>
        </w:rPr>
      </w:pPr>
      <w:r>
        <w:rPr>
          <w:rStyle w:val="15"/>
          <w:rFonts w:ascii="仿宋" w:eastAsia="仿宋"/>
          <w:bCs/>
          <w:sz w:val="32"/>
          <w:szCs w:val="32"/>
        </w:rPr>
        <w:t>2.</w:t>
      </w:r>
      <w:r>
        <w:rPr>
          <w:rStyle w:val="15"/>
          <w:rFonts w:hint="eastAsia" w:ascii="仿宋" w:eastAsia="仿宋"/>
          <w:bCs/>
          <w:sz w:val="32"/>
          <w:szCs w:val="32"/>
        </w:rPr>
        <w:t>科学技术（类）科学技术管理事务（款）行政运行（项）</w:t>
      </w:r>
      <w:r>
        <w:rPr>
          <w:rStyle w:val="15"/>
          <w:rFonts w:ascii="仿宋" w:eastAsia="仿宋"/>
          <w:bCs/>
          <w:sz w:val="32"/>
          <w:szCs w:val="32"/>
        </w:rPr>
        <w:t>:</w:t>
      </w:r>
      <w:r>
        <w:rPr>
          <w:rStyle w:val="15"/>
          <w:rFonts w:ascii="仿宋" w:eastAsia="仿宋"/>
          <w:b w:val="0"/>
          <w:bCs/>
          <w:sz w:val="32"/>
          <w:szCs w:val="32"/>
        </w:rPr>
        <w:t xml:space="preserve"> </w:t>
      </w:r>
      <w:r>
        <w:rPr>
          <w:rStyle w:val="15"/>
          <w:rFonts w:hint="eastAsia" w:ascii="仿宋" w:eastAsia="仿宋"/>
          <w:b w:val="0"/>
          <w:bCs/>
          <w:sz w:val="32"/>
          <w:szCs w:val="32"/>
        </w:rPr>
        <w:t>支出决算为159.77万元，完成预算100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2" w:firstLineChars="200"/>
        <w:rPr>
          <w:rFonts w:ascii="仿宋" w:eastAsia="仿宋"/>
          <w:b/>
          <w:sz w:val="32"/>
          <w:szCs w:val="32"/>
        </w:rPr>
      </w:pPr>
      <w:r>
        <w:rPr>
          <w:rStyle w:val="15"/>
          <w:rFonts w:ascii="仿宋" w:eastAsia="仿宋"/>
          <w:bCs/>
          <w:sz w:val="32"/>
          <w:szCs w:val="32"/>
        </w:rPr>
        <w:t>3.</w:t>
      </w:r>
      <w:r>
        <w:rPr>
          <w:rStyle w:val="15"/>
          <w:rFonts w:hint="eastAsia" w:ascii="仿宋" w:eastAsia="仿宋"/>
          <w:bCs/>
          <w:sz w:val="32"/>
          <w:szCs w:val="32"/>
        </w:rPr>
        <w:t>科学技术（类）社会科学（款）其他社会科学支出（项）</w:t>
      </w:r>
      <w:r>
        <w:rPr>
          <w:rStyle w:val="15"/>
          <w:rFonts w:ascii="仿宋" w:eastAsia="仿宋"/>
          <w:bCs/>
          <w:sz w:val="32"/>
          <w:szCs w:val="32"/>
        </w:rPr>
        <w:t>:</w:t>
      </w:r>
      <w:r>
        <w:rPr>
          <w:rStyle w:val="15"/>
          <w:rFonts w:ascii="仿宋" w:eastAsia="仿宋"/>
          <w:b w:val="0"/>
          <w:bCs/>
          <w:sz w:val="32"/>
          <w:szCs w:val="32"/>
        </w:rPr>
        <w:t xml:space="preserve"> </w:t>
      </w:r>
      <w:r>
        <w:rPr>
          <w:rStyle w:val="15"/>
          <w:rFonts w:hint="eastAsia" w:ascii="仿宋" w:eastAsia="仿宋"/>
          <w:b w:val="0"/>
          <w:bCs/>
          <w:sz w:val="32"/>
          <w:szCs w:val="32"/>
        </w:rPr>
        <w:t>支出决算为71.24万元，完成预算100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2" w:firstLineChars="200"/>
        <w:rPr>
          <w:rFonts w:ascii="仿宋" w:eastAsia="仿宋"/>
          <w:b/>
          <w:sz w:val="32"/>
          <w:szCs w:val="32"/>
        </w:rPr>
      </w:pPr>
      <w:r>
        <w:rPr>
          <w:rStyle w:val="15"/>
          <w:rFonts w:ascii="仿宋" w:eastAsia="仿宋"/>
          <w:bCs/>
          <w:sz w:val="32"/>
          <w:szCs w:val="32"/>
        </w:rPr>
        <w:t>4.</w:t>
      </w:r>
      <w:r>
        <w:rPr>
          <w:rStyle w:val="15"/>
          <w:rFonts w:hint="eastAsia" w:ascii="仿宋" w:eastAsia="仿宋"/>
          <w:bCs/>
          <w:sz w:val="32"/>
          <w:szCs w:val="32"/>
        </w:rPr>
        <w:t>科学技术（类）其他科学技术支出（款）其他科学技术支出（项）</w:t>
      </w:r>
      <w:r>
        <w:rPr>
          <w:rStyle w:val="15"/>
          <w:rFonts w:ascii="仿宋" w:eastAsia="仿宋"/>
          <w:bCs/>
          <w:sz w:val="32"/>
          <w:szCs w:val="32"/>
        </w:rPr>
        <w:t>:</w:t>
      </w:r>
      <w:r>
        <w:rPr>
          <w:rStyle w:val="15"/>
          <w:rFonts w:ascii="仿宋" w:eastAsia="仿宋"/>
          <w:b w:val="0"/>
          <w:bCs/>
          <w:sz w:val="32"/>
          <w:szCs w:val="32"/>
        </w:rPr>
        <w:t xml:space="preserve"> </w:t>
      </w:r>
      <w:r>
        <w:rPr>
          <w:rStyle w:val="15"/>
          <w:rFonts w:hint="eastAsia" w:ascii="仿宋" w:eastAsia="仿宋"/>
          <w:b w:val="0"/>
          <w:bCs/>
          <w:sz w:val="32"/>
          <w:szCs w:val="32"/>
        </w:rPr>
        <w:t>支出决算为4.84万元，完成预算100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2" w:firstLineChars="200"/>
        <w:rPr>
          <w:rStyle w:val="15"/>
          <w:rFonts w:ascii="仿宋" w:eastAsia="仿宋"/>
          <w:b w:val="0"/>
          <w:bCs/>
          <w:sz w:val="32"/>
          <w:szCs w:val="32"/>
        </w:rPr>
      </w:pPr>
      <w:r>
        <w:rPr>
          <w:rStyle w:val="15"/>
          <w:rFonts w:ascii="仿宋" w:eastAsia="仿宋"/>
          <w:bCs/>
          <w:sz w:val="32"/>
          <w:szCs w:val="32"/>
        </w:rPr>
        <w:t>5.</w:t>
      </w:r>
      <w:r>
        <w:rPr>
          <w:rStyle w:val="15"/>
          <w:rFonts w:hint="eastAsia" w:ascii="仿宋" w:eastAsia="仿宋"/>
          <w:bCs/>
          <w:sz w:val="32"/>
          <w:szCs w:val="32"/>
        </w:rPr>
        <w:t>社会保障和就业（类）行政事业单位养老支出（款）行政单位离退休（项）</w:t>
      </w:r>
      <w:r>
        <w:rPr>
          <w:rStyle w:val="15"/>
          <w:rFonts w:ascii="仿宋" w:eastAsia="仿宋"/>
          <w:bCs/>
          <w:sz w:val="32"/>
          <w:szCs w:val="32"/>
        </w:rPr>
        <w:t>:</w:t>
      </w:r>
      <w:r>
        <w:rPr>
          <w:rStyle w:val="15"/>
          <w:rFonts w:ascii="仿宋" w:eastAsia="仿宋"/>
          <w:b w:val="0"/>
          <w:bCs/>
          <w:sz w:val="32"/>
          <w:szCs w:val="32"/>
        </w:rPr>
        <w:t xml:space="preserve"> </w:t>
      </w:r>
      <w:r>
        <w:rPr>
          <w:rStyle w:val="15"/>
          <w:rFonts w:hint="eastAsia" w:ascii="仿宋" w:eastAsia="仿宋"/>
          <w:b w:val="0"/>
          <w:bCs/>
          <w:sz w:val="32"/>
          <w:szCs w:val="32"/>
        </w:rPr>
        <w:t>支出决算为26.35万元，完成预算100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2" w:firstLineChars="200"/>
        <w:rPr>
          <w:rFonts w:ascii="仿宋" w:eastAsia="仿宋"/>
          <w:b/>
          <w:sz w:val="32"/>
          <w:szCs w:val="32"/>
        </w:rPr>
      </w:pPr>
      <w:r>
        <w:rPr>
          <w:rStyle w:val="15"/>
          <w:rFonts w:hint="eastAsia" w:ascii="仿宋" w:eastAsia="仿宋"/>
          <w:bCs/>
          <w:sz w:val="32"/>
          <w:szCs w:val="32"/>
        </w:rPr>
        <w:t>6</w:t>
      </w:r>
      <w:r>
        <w:rPr>
          <w:rStyle w:val="15"/>
          <w:rFonts w:ascii="仿宋" w:eastAsia="仿宋"/>
          <w:bCs/>
          <w:sz w:val="32"/>
          <w:szCs w:val="32"/>
        </w:rPr>
        <w:t>.</w:t>
      </w:r>
      <w:r>
        <w:rPr>
          <w:rStyle w:val="15"/>
          <w:rFonts w:hint="eastAsia" w:ascii="仿宋" w:eastAsia="仿宋"/>
          <w:bCs/>
          <w:sz w:val="32"/>
          <w:szCs w:val="32"/>
        </w:rPr>
        <w:t>社会保障和就业（类）行政事业单位养老支出（款） 机关事业单位基本养老保险缴费支出（项）</w:t>
      </w:r>
      <w:r>
        <w:rPr>
          <w:rStyle w:val="15"/>
          <w:rFonts w:ascii="仿宋" w:eastAsia="仿宋"/>
          <w:bCs/>
          <w:sz w:val="32"/>
          <w:szCs w:val="32"/>
        </w:rPr>
        <w:t>:</w:t>
      </w:r>
      <w:r>
        <w:rPr>
          <w:rStyle w:val="15"/>
          <w:rFonts w:ascii="仿宋" w:eastAsia="仿宋"/>
          <w:b w:val="0"/>
          <w:bCs/>
          <w:sz w:val="32"/>
          <w:szCs w:val="32"/>
        </w:rPr>
        <w:t xml:space="preserve"> </w:t>
      </w:r>
      <w:r>
        <w:rPr>
          <w:rStyle w:val="15"/>
          <w:rFonts w:hint="eastAsia" w:ascii="仿宋" w:eastAsia="仿宋"/>
          <w:b w:val="0"/>
          <w:bCs/>
          <w:sz w:val="32"/>
          <w:szCs w:val="32"/>
        </w:rPr>
        <w:t>支出决算为12.1万元，完成预算100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2" w:firstLineChars="200"/>
        <w:rPr>
          <w:rFonts w:ascii="仿宋" w:eastAsia="仿宋"/>
          <w:b/>
          <w:sz w:val="32"/>
          <w:szCs w:val="32"/>
        </w:rPr>
      </w:pPr>
      <w:r>
        <w:rPr>
          <w:rStyle w:val="15"/>
          <w:rFonts w:hint="eastAsia" w:ascii="仿宋" w:eastAsia="仿宋"/>
          <w:bCs/>
          <w:sz w:val="32"/>
          <w:szCs w:val="32"/>
        </w:rPr>
        <w:t>7</w:t>
      </w:r>
      <w:r>
        <w:rPr>
          <w:rStyle w:val="15"/>
          <w:rFonts w:ascii="仿宋" w:eastAsia="仿宋"/>
          <w:bCs/>
          <w:sz w:val="32"/>
          <w:szCs w:val="32"/>
        </w:rPr>
        <w:t>.</w:t>
      </w:r>
      <w:r>
        <w:rPr>
          <w:rStyle w:val="15"/>
          <w:rFonts w:hint="eastAsia" w:ascii="仿宋" w:eastAsia="仿宋"/>
          <w:bCs/>
          <w:sz w:val="32"/>
          <w:szCs w:val="32"/>
        </w:rPr>
        <w:t>社会保障和就业（类）抚恤（款）死亡抚恤（项）</w:t>
      </w:r>
      <w:r>
        <w:rPr>
          <w:rStyle w:val="15"/>
          <w:rFonts w:ascii="仿宋" w:eastAsia="仿宋"/>
          <w:bCs/>
          <w:sz w:val="32"/>
          <w:szCs w:val="32"/>
        </w:rPr>
        <w:t>:</w:t>
      </w:r>
      <w:r>
        <w:rPr>
          <w:rStyle w:val="15"/>
          <w:rFonts w:ascii="仿宋" w:eastAsia="仿宋"/>
          <w:b w:val="0"/>
          <w:bCs/>
          <w:sz w:val="32"/>
          <w:szCs w:val="32"/>
        </w:rPr>
        <w:t xml:space="preserve"> </w:t>
      </w:r>
      <w:r>
        <w:rPr>
          <w:rStyle w:val="15"/>
          <w:rFonts w:hint="eastAsia" w:ascii="仿宋" w:eastAsia="仿宋"/>
          <w:b w:val="0"/>
          <w:bCs/>
          <w:sz w:val="32"/>
          <w:szCs w:val="32"/>
        </w:rPr>
        <w:t>支出决算为0.53万元，完成预算100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2" w:firstLineChars="200"/>
      </w:pPr>
      <w:r>
        <w:rPr>
          <w:rStyle w:val="15"/>
          <w:rFonts w:hint="eastAsia" w:ascii="仿宋" w:eastAsia="仿宋"/>
          <w:bCs/>
          <w:sz w:val="32"/>
          <w:szCs w:val="32"/>
        </w:rPr>
        <w:t>8</w:t>
      </w:r>
      <w:r>
        <w:rPr>
          <w:rStyle w:val="15"/>
          <w:rFonts w:ascii="仿宋" w:eastAsia="仿宋"/>
          <w:bCs/>
          <w:sz w:val="32"/>
          <w:szCs w:val="32"/>
        </w:rPr>
        <w:t>.</w:t>
      </w:r>
      <w:r>
        <w:rPr>
          <w:rStyle w:val="15"/>
          <w:rFonts w:hint="eastAsia" w:ascii="仿宋" w:eastAsia="仿宋"/>
          <w:bCs/>
          <w:sz w:val="32"/>
          <w:szCs w:val="32"/>
        </w:rPr>
        <w:t>社会保障和就业（类）社会福利（款）儿童福利（项）</w:t>
      </w:r>
      <w:r>
        <w:rPr>
          <w:rStyle w:val="15"/>
          <w:rFonts w:ascii="仿宋" w:eastAsia="仿宋"/>
          <w:bCs/>
          <w:sz w:val="32"/>
          <w:szCs w:val="32"/>
        </w:rPr>
        <w:t>:</w:t>
      </w:r>
      <w:r>
        <w:rPr>
          <w:rStyle w:val="15"/>
          <w:rFonts w:ascii="仿宋" w:eastAsia="仿宋"/>
          <w:b w:val="0"/>
          <w:bCs/>
          <w:sz w:val="32"/>
          <w:szCs w:val="32"/>
        </w:rPr>
        <w:t xml:space="preserve"> </w:t>
      </w:r>
      <w:r>
        <w:rPr>
          <w:rStyle w:val="15"/>
          <w:rFonts w:hint="eastAsia" w:ascii="仿宋" w:eastAsia="仿宋"/>
          <w:b w:val="0"/>
          <w:bCs/>
          <w:sz w:val="32"/>
          <w:szCs w:val="32"/>
        </w:rPr>
        <w:t>支出决算为0.62万元，完成预算100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2" w:firstLineChars="200"/>
        <w:rPr>
          <w:rFonts w:ascii="仿宋" w:eastAsia="仿宋"/>
          <w:b/>
          <w:sz w:val="32"/>
          <w:szCs w:val="32"/>
        </w:rPr>
      </w:pPr>
      <w:r>
        <w:rPr>
          <w:rStyle w:val="15"/>
          <w:rFonts w:hint="eastAsia" w:ascii="仿宋" w:eastAsia="仿宋"/>
          <w:bCs/>
          <w:sz w:val="32"/>
          <w:szCs w:val="32"/>
        </w:rPr>
        <w:t>9</w:t>
      </w:r>
      <w:r>
        <w:rPr>
          <w:rStyle w:val="15"/>
          <w:rFonts w:ascii="仿宋" w:eastAsia="仿宋"/>
          <w:bCs/>
          <w:sz w:val="32"/>
          <w:szCs w:val="32"/>
        </w:rPr>
        <w:t>.</w:t>
      </w:r>
      <w:r>
        <w:rPr>
          <w:rFonts w:hint="eastAsia" w:ascii="仿宋" w:eastAsia="仿宋"/>
          <w:b/>
          <w:bCs/>
          <w:sz w:val="32"/>
          <w:szCs w:val="32"/>
        </w:rPr>
        <w:t>住房保障</w:t>
      </w:r>
      <w:r>
        <w:rPr>
          <w:rStyle w:val="15"/>
          <w:rFonts w:hint="eastAsia" w:ascii="仿宋" w:eastAsia="仿宋"/>
          <w:bCs/>
          <w:sz w:val="32"/>
          <w:szCs w:val="32"/>
        </w:rPr>
        <w:t>（类）住房改革支出（款）住房公积金（项）</w:t>
      </w:r>
      <w:r>
        <w:rPr>
          <w:rStyle w:val="15"/>
          <w:rFonts w:ascii="仿宋" w:eastAsia="仿宋"/>
          <w:bCs/>
          <w:sz w:val="32"/>
          <w:szCs w:val="32"/>
        </w:rPr>
        <w:t>:</w:t>
      </w:r>
      <w:r>
        <w:rPr>
          <w:rStyle w:val="15"/>
          <w:rFonts w:hint="eastAsia" w:ascii="仿宋" w:eastAsia="仿宋"/>
          <w:b w:val="0"/>
          <w:bCs/>
          <w:sz w:val="32"/>
          <w:szCs w:val="32"/>
        </w:rPr>
        <w:t>支出决算为12.99万元，完成预算100</w:t>
      </w:r>
      <w:r>
        <w:rPr>
          <w:rStyle w:val="15"/>
          <w:rFonts w:ascii="仿宋" w:eastAsia="仿宋"/>
          <w:b w:val="0"/>
          <w:bCs/>
          <w:sz w:val="32"/>
          <w:szCs w:val="32"/>
        </w:rPr>
        <w:t>%</w:t>
      </w:r>
      <w:r>
        <w:rPr>
          <w:rStyle w:val="15"/>
          <w:rFonts w:hint="eastAsia" w:ascii="仿宋" w:eastAsia="仿宋"/>
          <w:b w:val="0"/>
          <w:bCs/>
          <w:sz w:val="32"/>
          <w:szCs w:val="32"/>
        </w:rPr>
        <w:t>，决算数等于预算数。</w:t>
      </w:r>
    </w:p>
    <w:p>
      <w:pPr>
        <w:spacing w:line="600" w:lineRule="exact"/>
        <w:ind w:firstLine="640"/>
        <w:rPr>
          <w:rFonts w:ascii="仿宋" w:eastAsia="仿宋"/>
          <w:b/>
          <w:sz w:val="32"/>
          <w:szCs w:val="32"/>
        </w:rPr>
      </w:pPr>
    </w:p>
    <w:p>
      <w:pPr>
        <w:tabs>
          <w:tab w:val="right" w:pos="8306"/>
        </w:tabs>
        <w:spacing w:line="600" w:lineRule="exact"/>
        <w:ind w:firstLine="640"/>
        <w:outlineLvl w:val="1"/>
        <w:rPr>
          <w:rStyle w:val="18"/>
        </w:rPr>
      </w:pPr>
      <w:bookmarkStart w:id="58" w:name="_Toc15396608"/>
      <w:bookmarkStart w:id="59" w:name="_Toc146721305"/>
      <w:bookmarkStart w:id="60" w:name="_Toc15377214"/>
      <w:r>
        <w:rPr>
          <w:rFonts w:hint="eastAsia" w:ascii="黑体" w:eastAsia="黑体"/>
          <w:sz w:val="32"/>
          <w:szCs w:val="32"/>
        </w:rPr>
        <w:t>六</w:t>
      </w:r>
      <w:r>
        <w:rPr>
          <w:rFonts w:hint="eastAsia" w:ascii="黑体" w:eastAsia="黑体"/>
          <w:b/>
          <w:sz w:val="32"/>
          <w:szCs w:val="32"/>
        </w:rPr>
        <w:t>、一</w:t>
      </w:r>
      <w:r>
        <w:rPr>
          <w:rStyle w:val="18"/>
          <w:rFonts w:hint="eastAsia" w:ascii="黑体" w:eastAsia="黑体"/>
          <w:b w:val="0"/>
        </w:rPr>
        <w:t>般公共预算财政拨款基本支出决算情况说明</w:t>
      </w:r>
      <w:bookmarkEnd w:id="58"/>
      <w:bookmarkEnd w:id="59"/>
      <w:bookmarkEnd w:id="60"/>
      <w:r>
        <w:rPr>
          <w:rStyle w:val="18"/>
          <w:rFonts w:ascii="黑体" w:eastAsia="黑体"/>
          <w:b w:val="0"/>
        </w:rPr>
        <w:tab/>
      </w:r>
    </w:p>
    <w:p>
      <w:pPr>
        <w:spacing w:line="600" w:lineRule="exact"/>
        <w:ind w:firstLine="645"/>
        <w:rPr>
          <w:rFonts w:ascii="仿宋" w:eastAsia="仿宋"/>
          <w:sz w:val="32"/>
          <w:szCs w:val="32"/>
        </w:rPr>
      </w:pPr>
      <w:r>
        <w:rPr>
          <w:rFonts w:ascii="仿宋" w:eastAsia="仿宋"/>
          <w:sz w:val="32"/>
          <w:szCs w:val="32"/>
        </w:rPr>
        <w:t>20</w:t>
      </w:r>
      <w:r>
        <w:rPr>
          <w:rFonts w:hint="eastAsia" w:ascii="仿宋" w:eastAsia="仿宋"/>
          <w:sz w:val="32"/>
          <w:szCs w:val="32"/>
        </w:rPr>
        <w:t>21年一般公共预算财政拨款基本支出213.58万元，其中：</w:t>
      </w:r>
    </w:p>
    <w:p>
      <w:pPr>
        <w:spacing w:line="600" w:lineRule="exact"/>
        <w:ind w:firstLine="645"/>
        <w:rPr>
          <w:rFonts w:ascii="仿宋" w:eastAsia="仿宋"/>
          <w:sz w:val="32"/>
          <w:szCs w:val="32"/>
        </w:rPr>
      </w:pPr>
      <w:r>
        <w:rPr>
          <w:rFonts w:hint="eastAsia" w:ascii="仿宋" w:eastAsia="仿宋"/>
          <w:sz w:val="32"/>
          <w:szCs w:val="32"/>
        </w:rPr>
        <w:t>人员经费186.76万元，主要包括：基本工资、津贴补贴、奖金、机关事业单位基本养老保险缴费、职工基本医疗保险缴费、公务员医疗补助缴费、住房公积金、其他工资福利支出、抚恤金、生活补助、医疗费补助、其他对个人和家庭的补助支出等。</w:t>
      </w:r>
    </w:p>
    <w:p>
      <w:pPr>
        <w:spacing w:line="600" w:lineRule="exact"/>
        <w:ind w:firstLine="645"/>
        <w:rPr>
          <w:rFonts w:ascii="仿宋" w:eastAsia="仿宋"/>
          <w:sz w:val="32"/>
          <w:szCs w:val="32"/>
        </w:rPr>
      </w:pPr>
      <w:r>
        <w:rPr>
          <w:rFonts w:hint="eastAsia" w:ascii="仿宋" w:eastAsia="仿宋"/>
          <w:sz w:val="32"/>
          <w:szCs w:val="32"/>
        </w:rPr>
        <w:t>公用经费26.82万元，主要包括：办公费、水费、电费、邮电费、差旅费、公务接待费、工会经费、福利费、其他交通费、其他商品和服务支出等。</w:t>
      </w:r>
    </w:p>
    <w:p>
      <w:pPr>
        <w:spacing w:line="600" w:lineRule="exact"/>
        <w:ind w:firstLine="640"/>
        <w:rPr>
          <w:rFonts w:ascii="仿宋" w:eastAsia="仿宋"/>
          <w:b/>
          <w:sz w:val="32"/>
          <w:szCs w:val="32"/>
        </w:rPr>
      </w:pPr>
    </w:p>
    <w:p>
      <w:pPr>
        <w:spacing w:line="600" w:lineRule="exact"/>
        <w:ind w:firstLine="640"/>
        <w:outlineLvl w:val="1"/>
        <w:rPr>
          <w:rStyle w:val="18"/>
          <w:rFonts w:ascii="黑体" w:eastAsia="黑体"/>
          <w:b w:val="0"/>
        </w:rPr>
      </w:pPr>
      <w:bookmarkStart w:id="61" w:name="_Toc15396609"/>
      <w:bookmarkStart w:id="62" w:name="_Toc15377215"/>
      <w:bookmarkStart w:id="63" w:name="_Toc146721306"/>
      <w:r>
        <w:rPr>
          <w:rFonts w:hint="eastAsia" w:ascii="黑体" w:eastAsia="黑体"/>
          <w:sz w:val="32"/>
          <w:szCs w:val="32"/>
        </w:rPr>
        <w:t>七、</w:t>
      </w:r>
      <w:r>
        <w:rPr>
          <w:rStyle w:val="18"/>
          <w:rFonts w:hint="eastAsia" w:ascii="黑体" w:eastAsia="黑体"/>
        </w:rPr>
        <w:t>“</w:t>
      </w:r>
      <w:r>
        <w:rPr>
          <w:rStyle w:val="18"/>
          <w:rFonts w:hint="eastAsia" w:ascii="黑体" w:eastAsia="黑体"/>
          <w:b w:val="0"/>
        </w:rPr>
        <w:t>三公”经费财政拨款支出决算情况说明</w:t>
      </w:r>
      <w:bookmarkEnd w:id="61"/>
      <w:bookmarkEnd w:id="62"/>
      <w:bookmarkEnd w:id="63"/>
    </w:p>
    <w:p>
      <w:pPr>
        <w:spacing w:line="600" w:lineRule="exact"/>
        <w:ind w:firstLine="640"/>
        <w:outlineLvl w:val="2"/>
        <w:rPr>
          <w:rFonts w:ascii="仿宋" w:eastAsia="仿宋"/>
          <w:b/>
          <w:sz w:val="32"/>
          <w:szCs w:val="32"/>
        </w:rPr>
      </w:pPr>
      <w:bookmarkStart w:id="64" w:name="_Toc15377216"/>
      <w:bookmarkStart w:id="65" w:name="_Toc26388"/>
      <w:bookmarkStart w:id="66" w:name="_Toc146721307"/>
      <w:r>
        <w:rPr>
          <w:rFonts w:hint="eastAsia" w:ascii="仿宋" w:eastAsia="仿宋"/>
          <w:b/>
          <w:sz w:val="32"/>
          <w:szCs w:val="32"/>
        </w:rPr>
        <w:t>（一）“三公”经费财政拨款支出决算总体情况说明</w:t>
      </w:r>
      <w:bookmarkEnd w:id="64"/>
      <w:bookmarkEnd w:id="65"/>
      <w:bookmarkEnd w:id="66"/>
    </w:p>
    <w:p>
      <w:pPr>
        <w:spacing w:line="600" w:lineRule="exact"/>
        <w:ind w:firstLine="640"/>
        <w:rPr>
          <w:rFonts w:ascii="仿宋" w:eastAsia="仿宋"/>
          <w:b/>
          <w:sz w:val="32"/>
          <w:szCs w:val="32"/>
        </w:rPr>
      </w:pPr>
      <w:r>
        <w:rPr>
          <w:rFonts w:ascii="仿宋" w:eastAsia="仿宋"/>
          <w:sz w:val="32"/>
          <w:szCs w:val="32"/>
        </w:rPr>
        <w:t>20</w:t>
      </w:r>
      <w:r>
        <w:rPr>
          <w:rFonts w:hint="eastAsia" w:ascii="仿宋" w:eastAsia="仿宋"/>
          <w:sz w:val="32"/>
          <w:szCs w:val="32"/>
        </w:rPr>
        <w:t>21年“三公”经费财政拨款支出决算为</w:t>
      </w:r>
      <w:r>
        <w:rPr>
          <w:rFonts w:ascii="仿宋" w:eastAsia="仿宋"/>
          <w:sz w:val="32"/>
          <w:szCs w:val="32"/>
        </w:rPr>
        <w:t>0.27</w:t>
      </w:r>
      <w:r>
        <w:rPr>
          <w:rFonts w:hint="eastAsia" w:ascii="仿宋" w:eastAsia="仿宋"/>
          <w:sz w:val="32"/>
          <w:szCs w:val="32"/>
        </w:rPr>
        <w:t>万元，完成预算</w:t>
      </w:r>
      <w:r>
        <w:rPr>
          <w:rFonts w:ascii="仿宋" w:eastAsia="仿宋"/>
          <w:sz w:val="32"/>
          <w:szCs w:val="32"/>
        </w:rPr>
        <w:t>100%</w:t>
      </w:r>
      <w:r>
        <w:rPr>
          <w:rFonts w:hint="eastAsia" w:ascii="仿宋" w:eastAsia="仿宋"/>
          <w:sz w:val="32"/>
          <w:szCs w:val="32"/>
        </w:rPr>
        <w:t>，决算数与预算数持平。</w:t>
      </w:r>
    </w:p>
    <w:p>
      <w:pPr>
        <w:spacing w:line="600" w:lineRule="exact"/>
        <w:ind w:firstLine="640"/>
        <w:outlineLvl w:val="2"/>
        <w:rPr>
          <w:rFonts w:ascii="仿宋" w:eastAsia="仿宋"/>
          <w:b/>
          <w:sz w:val="32"/>
          <w:szCs w:val="32"/>
        </w:rPr>
      </w:pPr>
      <w:bookmarkStart w:id="67" w:name="_Toc146721308"/>
      <w:bookmarkStart w:id="68" w:name="_Toc3181"/>
      <w:bookmarkStart w:id="69" w:name="_Toc15377217"/>
      <w:r>
        <w:rPr>
          <w:rFonts w:hint="eastAsia" w:ascii="仿宋" w:eastAsia="仿宋"/>
          <w:b/>
          <w:sz w:val="32"/>
          <w:szCs w:val="32"/>
        </w:rPr>
        <w:t>（二）“三公”经费财政拨款支出决算具体情况说明</w:t>
      </w:r>
      <w:bookmarkEnd w:id="67"/>
      <w:bookmarkEnd w:id="68"/>
      <w:bookmarkEnd w:id="69"/>
    </w:p>
    <w:p>
      <w:pPr>
        <w:spacing w:line="600" w:lineRule="exact"/>
        <w:ind w:firstLine="640"/>
        <w:rPr>
          <w:rFonts w:ascii="仿宋" w:eastAsia="仿宋"/>
          <w:sz w:val="32"/>
          <w:szCs w:val="32"/>
        </w:rPr>
      </w:pPr>
      <w:r>
        <w:rPr>
          <w:rFonts w:ascii="仿宋" w:eastAsia="仿宋"/>
          <w:sz w:val="32"/>
          <w:szCs w:val="32"/>
        </w:rPr>
        <w:t>20</w:t>
      </w:r>
      <w:r>
        <w:rPr>
          <w:rFonts w:hint="eastAsia" w:ascii="仿宋" w:eastAsia="仿宋"/>
          <w:sz w:val="32"/>
          <w:szCs w:val="32"/>
        </w:rPr>
        <w:t>21年“三公”经费财政拨款支出决算中，因公出国（境）费支出决算</w:t>
      </w:r>
      <w:r>
        <w:rPr>
          <w:rFonts w:ascii="仿宋" w:eastAsia="仿宋"/>
          <w:sz w:val="32"/>
          <w:szCs w:val="32"/>
        </w:rPr>
        <w:t>0</w:t>
      </w:r>
      <w:r>
        <w:rPr>
          <w:rFonts w:hint="eastAsia" w:ascii="仿宋" w:eastAsia="仿宋"/>
          <w:sz w:val="32"/>
          <w:szCs w:val="32"/>
        </w:rPr>
        <w:t>万元，占</w:t>
      </w:r>
      <w:r>
        <w:rPr>
          <w:rFonts w:ascii="仿宋" w:eastAsia="仿宋"/>
          <w:sz w:val="32"/>
          <w:szCs w:val="32"/>
        </w:rPr>
        <w:t>0%</w:t>
      </w:r>
      <w:r>
        <w:rPr>
          <w:rFonts w:hint="eastAsia" w:ascii="仿宋" w:eastAsia="仿宋"/>
          <w:sz w:val="32"/>
          <w:szCs w:val="32"/>
        </w:rPr>
        <w:t>；公务用车购置及运行维护费支出决算</w:t>
      </w:r>
      <w:r>
        <w:rPr>
          <w:rFonts w:ascii="仿宋" w:eastAsia="仿宋"/>
          <w:sz w:val="32"/>
          <w:szCs w:val="32"/>
        </w:rPr>
        <w:t>0</w:t>
      </w:r>
      <w:r>
        <w:rPr>
          <w:rFonts w:hint="eastAsia" w:ascii="仿宋" w:eastAsia="仿宋"/>
          <w:sz w:val="32"/>
          <w:szCs w:val="32"/>
        </w:rPr>
        <w:t>万元，占</w:t>
      </w:r>
      <w:r>
        <w:rPr>
          <w:rFonts w:ascii="仿宋" w:eastAsia="仿宋"/>
          <w:sz w:val="32"/>
          <w:szCs w:val="32"/>
        </w:rPr>
        <w:t>0%</w:t>
      </w:r>
      <w:r>
        <w:rPr>
          <w:rFonts w:hint="eastAsia" w:ascii="仿宋" w:eastAsia="仿宋"/>
          <w:sz w:val="32"/>
          <w:szCs w:val="32"/>
        </w:rPr>
        <w:t>；公务接待费支出决算</w:t>
      </w:r>
      <w:r>
        <w:rPr>
          <w:rFonts w:ascii="仿宋" w:eastAsia="仿宋"/>
          <w:sz w:val="32"/>
          <w:szCs w:val="32"/>
        </w:rPr>
        <w:t>0.27</w:t>
      </w:r>
      <w:r>
        <w:rPr>
          <w:rFonts w:hint="eastAsia" w:ascii="仿宋" w:eastAsia="仿宋"/>
          <w:sz w:val="32"/>
          <w:szCs w:val="32"/>
        </w:rPr>
        <w:t>万元，占</w:t>
      </w:r>
      <w:r>
        <w:rPr>
          <w:rFonts w:ascii="仿宋" w:eastAsia="仿宋"/>
          <w:sz w:val="32"/>
          <w:szCs w:val="32"/>
        </w:rPr>
        <w:t>100%</w:t>
      </w:r>
      <w:r>
        <w:rPr>
          <w:rFonts w:hint="eastAsia" w:ascii="仿宋" w:eastAsia="仿宋"/>
          <w:sz w:val="32"/>
          <w:szCs w:val="32"/>
        </w:rPr>
        <w:t>。具体情况如下：</w:t>
      </w:r>
    </w:p>
    <w:p>
      <w:pPr>
        <w:pStyle w:val="2"/>
        <w:spacing w:before="93" w:beforeLines="0"/>
        <w:rPr>
          <w:rFonts w:ascii="仿宋" w:eastAsia="仿宋"/>
          <w:sz w:val="32"/>
          <w:szCs w:val="32"/>
        </w:rPr>
      </w:pPr>
      <w:r>
        <w:rPr>
          <w:rFonts w:ascii="仿宋" w:eastAsia="仿宋"/>
          <w:sz w:val="32"/>
          <w:szCs w:val="32"/>
        </w:rPr>
        <w:drawing>
          <wp:inline distT="0" distB="0" distL="114300" distR="114300">
            <wp:extent cx="4462780" cy="3343275"/>
            <wp:effectExtent l="0" t="0" r="0" b="0"/>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 w:eastAsia="仿宋"/>
          <w:sz w:val="32"/>
          <w:szCs w:val="32"/>
        </w:rPr>
      </w:pPr>
      <w:r>
        <w:rPr>
          <w:rFonts w:hint="eastAsia" w:ascii="仿宋" w:eastAsia="仿宋"/>
          <w:sz w:val="32"/>
          <w:szCs w:val="32"/>
        </w:rPr>
        <w:t>（图7：“三公”经费财政拨款支出结构）</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5"/>
          <w:rFonts w:hint="eastAsia" w:ascii="仿宋" w:eastAsia="仿宋"/>
          <w:b w:val="0"/>
          <w:bCs/>
          <w:sz w:val="32"/>
          <w:szCs w:val="32"/>
        </w:rPr>
        <w:t>完成预算0</w:t>
      </w:r>
      <w:r>
        <w:rPr>
          <w:rStyle w:val="15"/>
          <w:rFonts w:ascii="仿宋" w:eastAsia="仿宋"/>
          <w:b w:val="0"/>
          <w:bCs/>
          <w:sz w:val="32"/>
          <w:szCs w:val="32"/>
        </w:rPr>
        <w:t>%</w:t>
      </w:r>
      <w:r>
        <w:rPr>
          <w:rStyle w:val="15"/>
          <w:rFonts w:hint="eastAsia" w:ascii="仿宋" w:eastAsia="仿宋"/>
          <w:b w:val="0"/>
          <w:bCs/>
          <w:sz w:val="32"/>
          <w:szCs w:val="32"/>
        </w:rPr>
        <w:t>。</w:t>
      </w:r>
      <w:r>
        <w:rPr>
          <w:rFonts w:hint="eastAsia" w:ascii="仿宋_GB2312" w:eastAsia="仿宋_GB2312"/>
          <w:sz w:val="32"/>
          <w:szCs w:val="32"/>
        </w:rPr>
        <w:t>全年安排因公出国（境）团组0次，出国（境）0人。因公出国（境）支出决算与</w:t>
      </w:r>
      <w:r>
        <w:rPr>
          <w:rFonts w:ascii="仿宋_GB2312" w:eastAsia="仿宋_GB2312"/>
          <w:sz w:val="32"/>
          <w:szCs w:val="32"/>
        </w:rPr>
        <w:t>20</w:t>
      </w:r>
      <w:r>
        <w:rPr>
          <w:rFonts w:hint="eastAsia" w:ascii="仿宋_GB2312" w:eastAsia="仿宋_GB2312"/>
          <w:sz w:val="32"/>
          <w:szCs w:val="32"/>
        </w:rPr>
        <w:t>20年持平。</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5"/>
          <w:rFonts w:hint="eastAsia" w:ascii="仿宋" w:eastAsia="仿宋"/>
          <w:b w:val="0"/>
          <w:bCs/>
          <w:sz w:val="32"/>
          <w:szCs w:val="32"/>
        </w:rPr>
        <w:t>完成预算0</w:t>
      </w:r>
      <w:r>
        <w:rPr>
          <w:rStyle w:val="15"/>
          <w:rFonts w:ascii="仿宋" w:eastAsia="仿宋"/>
          <w:b w:val="0"/>
          <w:bCs/>
          <w:sz w:val="32"/>
          <w:szCs w:val="32"/>
        </w:rPr>
        <w:t>%</w:t>
      </w:r>
      <w:r>
        <w:rPr>
          <w:rStyle w:val="15"/>
          <w:rFonts w:hint="eastAsia" w:ascii="仿宋" w:eastAsia="仿宋"/>
          <w:b w:val="0"/>
          <w:bCs/>
          <w:sz w:val="32"/>
          <w:szCs w:val="32"/>
        </w:rPr>
        <w:t>。</w:t>
      </w:r>
      <w:r>
        <w:rPr>
          <w:rFonts w:hint="eastAsia" w:ascii="仿宋_GB2312" w:eastAsia="仿宋_GB2312"/>
          <w:sz w:val="32"/>
          <w:szCs w:val="32"/>
        </w:rPr>
        <w:t>公务用车购置及运行维护费支出决算与</w:t>
      </w:r>
      <w:r>
        <w:rPr>
          <w:rFonts w:ascii="仿宋_GB2312" w:eastAsia="仿宋_GB2312"/>
          <w:sz w:val="32"/>
          <w:szCs w:val="32"/>
        </w:rPr>
        <w:t>20</w:t>
      </w:r>
      <w:r>
        <w:rPr>
          <w:rFonts w:hint="eastAsia" w:ascii="仿宋_GB2312" w:eastAsia="仿宋_GB2312"/>
          <w:sz w:val="32"/>
          <w:szCs w:val="32"/>
        </w:rPr>
        <w:t>20年持平</w:t>
      </w:r>
      <w:r>
        <w:rPr>
          <w:rFonts w:hint="eastAsia" w:ascii="仿宋_GB2312" w:eastAsia="仿宋_GB2312"/>
          <w:b/>
          <w:sz w:val="32"/>
          <w:szCs w:val="32"/>
        </w:rPr>
        <w:t>。</w:t>
      </w:r>
    </w:p>
    <w:p>
      <w:pPr>
        <w:spacing w:line="600" w:lineRule="exact"/>
        <w:ind w:firstLine="640"/>
        <w:rPr>
          <w:rFonts w:ascii="仿宋_GB2312" w:eastAsia="仿宋_GB2312"/>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公务用车运行维护费支出0</w:t>
      </w:r>
      <w:r>
        <w:rPr>
          <w:rFonts w:hint="eastAsia" w:ascii="仿宋_GB2312" w:eastAsia="仿宋_GB2312"/>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_GB2312" w:eastAsia="仿宋_GB2312"/>
          <w:sz w:val="32"/>
          <w:szCs w:val="32"/>
        </w:rPr>
        <w:t>0.27</w:t>
      </w:r>
      <w:r>
        <w:rPr>
          <w:rFonts w:hint="eastAsia" w:ascii="仿宋_GB2312" w:eastAsia="仿宋_GB2312"/>
          <w:sz w:val="32"/>
          <w:szCs w:val="32"/>
        </w:rPr>
        <w:t>万元，</w:t>
      </w:r>
      <w:r>
        <w:rPr>
          <w:rStyle w:val="15"/>
          <w:rFonts w:hint="eastAsia" w:ascii="仿宋" w:eastAsia="仿宋"/>
          <w:b w:val="0"/>
          <w:bCs/>
          <w:sz w:val="32"/>
          <w:szCs w:val="32"/>
        </w:rPr>
        <w:t>完成预算</w:t>
      </w:r>
      <w:r>
        <w:rPr>
          <w:rStyle w:val="15"/>
          <w:rFonts w:ascii="仿宋" w:eastAsia="仿宋"/>
          <w:b w:val="0"/>
          <w:bCs/>
          <w:sz w:val="32"/>
          <w:szCs w:val="32"/>
        </w:rPr>
        <w:t>100%</w:t>
      </w:r>
      <w:r>
        <w:rPr>
          <w:rStyle w:val="15"/>
          <w:rFonts w:hint="eastAsia" w:ascii="仿宋" w:eastAsia="仿宋"/>
          <w:b w:val="0"/>
          <w:bCs/>
          <w:sz w:val="32"/>
          <w:szCs w:val="32"/>
        </w:rPr>
        <w:t>。</w:t>
      </w:r>
      <w:r>
        <w:rPr>
          <w:rFonts w:hint="eastAsia" w:ascii="仿宋_GB2312" w:eastAsia="仿宋_GB2312"/>
          <w:sz w:val="32"/>
          <w:szCs w:val="32"/>
        </w:rPr>
        <w:t>公务接待费支出决算与</w:t>
      </w:r>
      <w:r>
        <w:rPr>
          <w:rFonts w:ascii="仿宋_GB2312" w:eastAsia="仿宋_GB2312"/>
          <w:sz w:val="32"/>
          <w:szCs w:val="32"/>
        </w:rPr>
        <w:t>20</w:t>
      </w:r>
      <w:r>
        <w:rPr>
          <w:rFonts w:hint="eastAsia" w:ascii="仿宋_GB2312" w:eastAsia="仿宋_GB2312"/>
          <w:sz w:val="32"/>
          <w:szCs w:val="32"/>
        </w:rPr>
        <w:t>20年持平。</w:t>
      </w:r>
    </w:p>
    <w:p>
      <w:pPr>
        <w:spacing w:line="600" w:lineRule="exact"/>
        <w:ind w:firstLine="640"/>
        <w:rPr>
          <w:rFonts w:ascii="仿宋_GB2312" w:eastAsia="仿宋_GB2312"/>
          <w:sz w:val="32"/>
          <w:szCs w:val="32"/>
        </w:rPr>
      </w:pPr>
      <w:r>
        <w:rPr>
          <w:rFonts w:hint="eastAsia" w:ascii="仿宋" w:eastAsia="仿宋"/>
          <w:b/>
          <w:sz w:val="32"/>
          <w:szCs w:val="32"/>
        </w:rPr>
        <w:t>国内公务接待支出</w:t>
      </w:r>
      <w:r>
        <w:rPr>
          <w:rFonts w:hint="eastAsia" w:ascii="仿宋" w:eastAsia="仿宋"/>
          <w:sz w:val="32"/>
          <w:szCs w:val="32"/>
        </w:rPr>
        <w:t>0.27</w:t>
      </w:r>
      <w:r>
        <w:rPr>
          <w:rFonts w:hint="eastAsia" w:ascii="仿宋_GB2312" w:eastAsia="仿宋_GB2312"/>
          <w:sz w:val="32"/>
          <w:szCs w:val="32"/>
        </w:rPr>
        <w:t>万元，主要用于接待资阳市委党史研究室、雅安市委党史研究室一行（执行公务、开展业务活动开支的用餐费等）。国内公务接待2批次，25人次（不包括陪同人员），共计支出0.27万元，具体内容包括：资阳市委党史研究室、雅安市委党史研究室到攀交流调研接待费共计0.27万元。</w:t>
      </w:r>
    </w:p>
    <w:p>
      <w:pPr>
        <w:spacing w:line="600" w:lineRule="exact"/>
        <w:ind w:firstLine="642" w:firstLineChars="200"/>
        <w:rPr>
          <w:rFonts w:ascii="仿宋_GB2312" w:eastAsia="仿宋_GB2312"/>
          <w:sz w:val="32"/>
          <w:szCs w:val="32"/>
        </w:rPr>
      </w:pPr>
      <w:r>
        <w:rPr>
          <w:rFonts w:hint="eastAsia" w:ascii="仿宋" w:eastAsia="仿宋"/>
          <w:b/>
          <w:sz w:val="32"/>
          <w:szCs w:val="32"/>
        </w:rPr>
        <w:t>外事接待支出</w:t>
      </w:r>
      <w:r>
        <w:rPr>
          <w:rFonts w:hint="eastAsia" w:ascii="仿宋" w:eastAsia="仿宋"/>
          <w:sz w:val="32"/>
          <w:szCs w:val="32"/>
        </w:rPr>
        <w:t>0</w:t>
      </w:r>
      <w:r>
        <w:rPr>
          <w:rFonts w:hint="eastAsia" w:ascii="仿宋_GB2312" w:eastAsia="仿宋_GB2312"/>
          <w:sz w:val="32"/>
          <w:szCs w:val="32"/>
        </w:rPr>
        <w:t>万元。</w:t>
      </w:r>
    </w:p>
    <w:p>
      <w:pPr>
        <w:spacing w:line="600" w:lineRule="exact"/>
        <w:ind w:firstLine="640"/>
        <w:outlineLvl w:val="1"/>
        <w:rPr>
          <w:rFonts w:ascii="黑体" w:eastAsia="黑体"/>
          <w:sz w:val="32"/>
          <w:szCs w:val="32"/>
        </w:rPr>
      </w:pPr>
      <w:bookmarkStart w:id="70" w:name="_Toc15377218"/>
      <w:bookmarkStart w:id="71" w:name="_Toc15396610"/>
    </w:p>
    <w:p>
      <w:pPr>
        <w:spacing w:line="600" w:lineRule="exact"/>
        <w:ind w:firstLine="640"/>
        <w:outlineLvl w:val="1"/>
        <w:rPr>
          <w:rStyle w:val="18"/>
          <w:rFonts w:ascii="黑体" w:eastAsia="黑体"/>
        </w:rPr>
      </w:pPr>
      <w:bookmarkStart w:id="72" w:name="_Toc146721309"/>
      <w:r>
        <w:rPr>
          <w:rFonts w:hint="eastAsia" w:ascii="黑体" w:eastAsia="黑体"/>
          <w:sz w:val="32"/>
          <w:szCs w:val="32"/>
        </w:rPr>
        <w:t>八、</w:t>
      </w:r>
      <w:r>
        <w:rPr>
          <w:rStyle w:val="18"/>
          <w:rFonts w:hint="eastAsia" w:ascii="黑体" w:eastAsia="黑体"/>
          <w:b w:val="0"/>
        </w:rPr>
        <w:t>政府性基金预算支出决算情况说明</w:t>
      </w:r>
      <w:bookmarkEnd w:id="70"/>
      <w:bookmarkEnd w:id="71"/>
      <w:bookmarkEnd w:id="72"/>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spacing w:line="600" w:lineRule="exact"/>
        <w:ind w:firstLine="640"/>
        <w:rPr>
          <w:rFonts w:ascii="仿宋_GB2312" w:eastAsia="仿宋_GB2312"/>
          <w:sz w:val="32"/>
          <w:szCs w:val="32"/>
        </w:rPr>
      </w:pPr>
    </w:p>
    <w:p>
      <w:pPr>
        <w:numPr>
          <w:ilvl w:val="0"/>
          <w:numId w:val="2"/>
        </w:numPr>
        <w:spacing w:line="600" w:lineRule="exact"/>
        <w:ind w:left="0" w:firstLine="640"/>
        <w:outlineLvl w:val="1"/>
        <w:rPr>
          <w:rStyle w:val="18"/>
          <w:rFonts w:ascii="黑体" w:eastAsia="黑体"/>
          <w:b w:val="0"/>
        </w:rPr>
      </w:pPr>
      <w:bookmarkStart w:id="73" w:name="_Toc15396611"/>
      <w:bookmarkStart w:id="74" w:name="_Toc15377219"/>
      <w:bookmarkStart w:id="75" w:name="_Toc146721310"/>
      <w:r>
        <w:rPr>
          <w:rStyle w:val="18"/>
          <w:rFonts w:hint="eastAsia" w:ascii="黑体" w:eastAsia="黑体"/>
          <w:b w:val="0"/>
        </w:rPr>
        <w:t>国有资本经营预算支出决算情况说明</w:t>
      </w:r>
      <w:bookmarkEnd w:id="73"/>
      <w:bookmarkEnd w:id="74"/>
      <w:bookmarkEnd w:id="75"/>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spacing w:line="580" w:lineRule="exact"/>
        <w:jc w:val="center"/>
        <w:rPr>
          <w:rFonts w:ascii="方正小标宋简体" w:eastAsia="方正小标宋简体" w:cs="方正小标宋简体"/>
          <w:sz w:val="44"/>
          <w:szCs w:val="44"/>
        </w:rPr>
      </w:pPr>
    </w:p>
    <w:p>
      <w:pPr>
        <w:numPr>
          <w:ilvl w:val="0"/>
          <w:numId w:val="2"/>
        </w:numPr>
        <w:spacing w:line="600" w:lineRule="exact"/>
        <w:ind w:left="0" w:firstLine="640"/>
        <w:outlineLvl w:val="1"/>
        <w:rPr>
          <w:rStyle w:val="18"/>
          <w:rFonts w:ascii="黑体" w:eastAsia="黑体"/>
          <w:b w:val="0"/>
        </w:rPr>
      </w:pPr>
      <w:bookmarkStart w:id="76" w:name="_Toc15396612"/>
      <w:bookmarkStart w:id="77" w:name="_Toc15377221"/>
      <w:bookmarkStart w:id="78" w:name="_Toc146721311"/>
      <w:r>
        <w:rPr>
          <w:rStyle w:val="18"/>
          <w:rFonts w:hint="eastAsia" w:ascii="黑体" w:eastAsia="黑体"/>
          <w:b w:val="0"/>
        </w:rPr>
        <w:t>其他重要事项的情况说明</w:t>
      </w:r>
      <w:bookmarkEnd w:id="76"/>
      <w:bookmarkEnd w:id="77"/>
      <w:bookmarkEnd w:id="78"/>
    </w:p>
    <w:p>
      <w:pPr>
        <w:spacing w:line="600" w:lineRule="exact"/>
        <w:ind w:firstLine="642" w:firstLineChars="200"/>
        <w:outlineLvl w:val="2"/>
        <w:rPr>
          <w:rFonts w:ascii="仿宋" w:eastAsia="仿宋"/>
          <w:sz w:val="32"/>
          <w:szCs w:val="32"/>
        </w:rPr>
      </w:pPr>
      <w:bookmarkStart w:id="79" w:name="_Toc11752"/>
      <w:bookmarkStart w:id="80" w:name="_Toc15377222"/>
      <w:bookmarkStart w:id="81" w:name="_Toc146721312"/>
      <w:r>
        <w:rPr>
          <w:rFonts w:hint="eastAsia" w:ascii="仿宋" w:eastAsia="仿宋"/>
          <w:b/>
          <w:sz w:val="32"/>
          <w:szCs w:val="32"/>
        </w:rPr>
        <w:t>（一）机关运行经费支出情况</w:t>
      </w:r>
      <w:bookmarkEnd w:id="79"/>
      <w:bookmarkEnd w:id="80"/>
      <w:bookmarkEnd w:id="81"/>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21年，市委党史研究室机关运行经费支出26.81万元，比</w:t>
      </w:r>
      <w:r>
        <w:rPr>
          <w:rFonts w:ascii="仿宋_GB2312" w:eastAsia="仿宋_GB2312"/>
          <w:sz w:val="32"/>
          <w:szCs w:val="32"/>
        </w:rPr>
        <w:t>20</w:t>
      </w:r>
      <w:r>
        <w:rPr>
          <w:rFonts w:hint="eastAsia" w:ascii="仿宋_GB2312" w:eastAsia="仿宋_GB2312"/>
          <w:sz w:val="32"/>
          <w:szCs w:val="32"/>
        </w:rPr>
        <w:t>20年增加1.78万元，增长7.11</w:t>
      </w:r>
      <w:r>
        <w:rPr>
          <w:rFonts w:ascii="仿宋_GB2312" w:eastAsia="仿宋_GB2312"/>
          <w:sz w:val="32"/>
          <w:szCs w:val="32"/>
        </w:rPr>
        <w:t>%</w:t>
      </w:r>
      <w:r>
        <w:rPr>
          <w:rFonts w:hint="eastAsia" w:ascii="仿宋_GB2312" w:eastAsia="仿宋_GB2312"/>
          <w:sz w:val="32"/>
          <w:szCs w:val="32"/>
        </w:rPr>
        <w:t>。主要原因是有人员增加。</w:t>
      </w:r>
    </w:p>
    <w:p>
      <w:pPr>
        <w:autoSpaceDE w:val="0"/>
        <w:autoSpaceDN w:val="0"/>
        <w:adjustRightInd w:val="0"/>
        <w:spacing w:line="600" w:lineRule="exact"/>
        <w:ind w:firstLine="642" w:firstLineChars="200"/>
        <w:jc w:val="left"/>
        <w:outlineLvl w:val="2"/>
        <w:rPr>
          <w:rFonts w:ascii="仿宋" w:eastAsia="仿宋"/>
          <w:b/>
          <w:sz w:val="32"/>
          <w:szCs w:val="32"/>
        </w:rPr>
      </w:pPr>
      <w:bookmarkStart w:id="82" w:name="_Toc15377223"/>
      <w:bookmarkStart w:id="83" w:name="_Toc32594"/>
      <w:bookmarkStart w:id="84" w:name="_Toc146721313"/>
      <w:r>
        <w:rPr>
          <w:rFonts w:hint="eastAsia" w:ascii="仿宋" w:eastAsia="仿宋"/>
          <w:b/>
          <w:sz w:val="32"/>
          <w:szCs w:val="32"/>
        </w:rPr>
        <w:t>（二）政府采购支出情况</w:t>
      </w:r>
      <w:bookmarkEnd w:id="82"/>
      <w:bookmarkEnd w:id="83"/>
      <w:bookmarkEnd w:id="84"/>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21年，市委党史研究室政府采购支出总额</w:t>
      </w:r>
      <w:r>
        <w:rPr>
          <w:rFonts w:ascii="仿宋_GB2312" w:eastAsia="仿宋_GB2312"/>
          <w:sz w:val="32"/>
          <w:szCs w:val="32"/>
        </w:rPr>
        <w:t>51</w:t>
      </w:r>
      <w:r>
        <w:rPr>
          <w:rFonts w:hint="eastAsia" w:ascii="仿宋_GB2312" w:eastAsia="仿宋_GB2312"/>
          <w:sz w:val="32"/>
          <w:szCs w:val="32"/>
        </w:rPr>
        <w:t>万元，其中：政府采购货物支出</w:t>
      </w:r>
      <w:r>
        <w:rPr>
          <w:rFonts w:ascii="仿宋_GB2312" w:eastAsia="仿宋_GB2312"/>
          <w:sz w:val="32"/>
          <w:szCs w:val="32"/>
        </w:rPr>
        <w:t>51</w:t>
      </w:r>
      <w:r>
        <w:rPr>
          <w:rFonts w:hint="eastAsia" w:ascii="仿宋_GB2312" w:eastAsia="仿宋_GB2312"/>
          <w:sz w:val="32"/>
          <w:szCs w:val="32"/>
        </w:rPr>
        <w:t>万元。按照省委党史研究室《关于印发〈2020年工作要点〉的通知》（川委史〔2020〕1号）文件精神，把建成网上党史馆和党史数据库作为庆祝建党100周年重大宣传教育项目。市委党史研究室结合我市实际，经过充分论证，通过党史数字信息化工程，实现我市党史和文献资料数字化，搭建“英雄攀枝花”网上党史馆，深入挖掘和大力弘扬 “三线精神”，全方位展示在党的领导下攀枝花市取得的巨大成就</w:t>
      </w:r>
    </w:p>
    <w:p>
      <w:pPr>
        <w:autoSpaceDE w:val="0"/>
        <w:autoSpaceDN w:val="0"/>
        <w:adjustRightInd w:val="0"/>
        <w:spacing w:line="600" w:lineRule="exact"/>
        <w:ind w:firstLine="642" w:firstLineChars="200"/>
        <w:jc w:val="left"/>
        <w:outlineLvl w:val="2"/>
        <w:rPr>
          <w:rFonts w:ascii="仿宋" w:eastAsia="仿宋"/>
          <w:b/>
          <w:sz w:val="32"/>
          <w:szCs w:val="32"/>
        </w:rPr>
      </w:pPr>
      <w:bookmarkStart w:id="85" w:name="_Toc15377224"/>
      <w:bookmarkStart w:id="86" w:name="_Toc146721314"/>
      <w:bookmarkStart w:id="87" w:name="_Toc25716"/>
      <w:r>
        <w:rPr>
          <w:rFonts w:hint="eastAsia" w:ascii="仿宋" w:eastAsia="仿宋"/>
          <w:b/>
          <w:sz w:val="32"/>
          <w:szCs w:val="32"/>
        </w:rPr>
        <w:t>（三）国有资产占有使用情况</w:t>
      </w:r>
      <w:bookmarkEnd w:id="85"/>
      <w:bookmarkEnd w:id="86"/>
      <w:bookmarkEnd w:id="87"/>
    </w:p>
    <w:p>
      <w:pPr>
        <w:autoSpaceDE w:val="0"/>
        <w:autoSpaceDN w:val="0"/>
        <w:adjustRightInd w:val="0"/>
        <w:spacing w:line="600" w:lineRule="exact"/>
        <w:ind w:firstLine="640" w:firstLineChars="200"/>
        <w:jc w:val="left"/>
        <w:rPr>
          <w:rFonts w:asci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日，市委党史研究室无公务车辆。</w:t>
      </w:r>
    </w:p>
    <w:p>
      <w:pPr>
        <w:autoSpaceDE w:val="0"/>
        <w:autoSpaceDN w:val="0"/>
        <w:adjustRightInd w:val="0"/>
        <w:spacing w:line="600" w:lineRule="exact"/>
        <w:ind w:firstLine="642" w:firstLineChars="200"/>
        <w:jc w:val="left"/>
        <w:outlineLvl w:val="2"/>
        <w:rPr>
          <w:rFonts w:ascii="仿宋" w:eastAsia="仿宋"/>
          <w:b/>
          <w:sz w:val="32"/>
          <w:szCs w:val="32"/>
        </w:rPr>
      </w:pPr>
      <w:bookmarkStart w:id="88" w:name="_Toc6434"/>
      <w:bookmarkStart w:id="89" w:name="_Toc146721315"/>
      <w:r>
        <w:rPr>
          <w:rFonts w:hint="eastAsia" w:ascii="仿宋" w:eastAsia="仿宋"/>
          <w:b/>
          <w:sz w:val="32"/>
          <w:szCs w:val="32"/>
        </w:rPr>
        <w:t>（四）预算绩效管理情况</w:t>
      </w:r>
      <w:bookmarkEnd w:id="88"/>
      <w:bookmarkEnd w:id="89"/>
    </w:p>
    <w:p>
      <w:pPr>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根据预算绩效管理要求，本单位在2021年度预算编制阶段，组织对《中国共产党攀枝花执政实录》和《攀枝花纪事》编纂出版经费、党史数字信息化工程、“中国共产党社会主义建设道路的探索与实践——三线建设与成渝地区双城经济圈建设”理论研讨会、业务运行费等</w:t>
      </w:r>
      <w:r>
        <w:rPr>
          <w:rFonts w:ascii="仿宋_GB2312" w:eastAsia="仿宋_GB2312" w:cs="仿宋_GB2312"/>
          <w:sz w:val="32"/>
          <w:szCs w:val="32"/>
        </w:rPr>
        <w:t>4个</w:t>
      </w:r>
      <w:r>
        <w:rPr>
          <w:rFonts w:hint="eastAsia" w:ascii="仿宋_GB2312" w:eastAsia="仿宋_GB2312" w:cs="仿宋_GB2312"/>
          <w:sz w:val="32"/>
          <w:szCs w:val="32"/>
        </w:rPr>
        <w:t>项目开展了预算事前绩效评估，编制了绩效目标</w:t>
      </w:r>
      <w:r>
        <w:rPr>
          <w:rFonts w:ascii="仿宋_GB2312" w:eastAsia="仿宋_GB2312" w:cs="仿宋_GB2312"/>
          <w:sz w:val="32"/>
          <w:szCs w:val="32"/>
        </w:rPr>
        <w:t>；</w:t>
      </w:r>
      <w:r>
        <w:rPr>
          <w:rFonts w:hint="eastAsia" w:ascii="仿宋_GB2312" w:eastAsia="仿宋_GB2312" w:cs="仿宋_GB2312"/>
          <w:sz w:val="32"/>
          <w:szCs w:val="32"/>
        </w:rPr>
        <w:t>预算执行过程中</w:t>
      </w:r>
      <w:r>
        <w:rPr>
          <w:rFonts w:ascii="仿宋_GB2312" w:eastAsia="仿宋_GB2312" w:cs="仿宋_GB2312"/>
          <w:sz w:val="32"/>
          <w:szCs w:val="32"/>
        </w:rPr>
        <w:t>，选取了5个项目</w:t>
      </w:r>
      <w:r>
        <w:rPr>
          <w:rFonts w:hint="eastAsia" w:ascii="仿宋_GB2312" w:eastAsia="仿宋_GB2312" w:cs="仿宋_GB2312"/>
          <w:sz w:val="32"/>
          <w:szCs w:val="32"/>
        </w:rPr>
        <w:t>开展绩效监控</w:t>
      </w:r>
      <w:r>
        <w:rPr>
          <w:rFonts w:ascii="仿宋_GB2312" w:eastAsia="仿宋_GB2312" w:cs="仿宋_GB2312"/>
          <w:sz w:val="32"/>
          <w:szCs w:val="32"/>
        </w:rPr>
        <w:t>；</w:t>
      </w:r>
      <w:r>
        <w:rPr>
          <w:rFonts w:hint="eastAsia" w:ascii="仿宋_GB2312" w:eastAsia="仿宋_GB2312" w:cs="仿宋_GB2312"/>
          <w:sz w:val="32"/>
          <w:szCs w:val="32"/>
        </w:rPr>
        <w:t>年终执行完毕后，对</w:t>
      </w:r>
      <w:r>
        <w:rPr>
          <w:rFonts w:ascii="仿宋_GB2312" w:eastAsia="仿宋_GB2312" w:cs="仿宋_GB2312"/>
          <w:sz w:val="32"/>
          <w:szCs w:val="32"/>
        </w:rPr>
        <w:t>所有</w:t>
      </w:r>
      <w:r>
        <w:rPr>
          <w:rFonts w:hint="eastAsia" w:ascii="仿宋_GB2312" w:eastAsia="仿宋_GB2312" w:cs="仿宋_GB2312"/>
          <w:sz w:val="32"/>
          <w:szCs w:val="32"/>
        </w:rPr>
        <w:t>项目开展了绩效自评，2021年特定目标类部门预算项目绩效目标自评表见附件（第四部分）。</w:t>
      </w:r>
    </w:p>
    <w:p>
      <w:pPr>
        <w:pStyle w:val="2"/>
        <w:spacing w:before="93" w:beforeLines="0"/>
      </w:pPr>
    </w:p>
    <w:p>
      <w:pPr>
        <w:pStyle w:val="2"/>
        <w:spacing w:before="93" w:beforeLines="0"/>
      </w:pPr>
    </w:p>
    <w:p>
      <w:pPr>
        <w:pStyle w:val="2"/>
        <w:spacing w:before="93" w:beforeLines="0"/>
      </w:pPr>
    </w:p>
    <w:p>
      <w:r>
        <w:rPr>
          <w:rFonts w:hint="eastAsia"/>
        </w:rPr>
        <w:br w:type="page"/>
      </w:r>
    </w:p>
    <w:p>
      <w:pPr>
        <w:pStyle w:val="2"/>
        <w:spacing w:before="93" w:beforeLines="0"/>
      </w:pPr>
    </w:p>
    <w:p>
      <w:pPr>
        <w:numPr>
          <w:ilvl w:val="0"/>
          <w:numId w:val="3"/>
        </w:numPr>
        <w:spacing w:line="600" w:lineRule="exact"/>
        <w:ind w:left="0" w:firstLine="660" w:firstLineChars="150"/>
        <w:jc w:val="center"/>
        <w:outlineLvl w:val="0"/>
        <w:rPr>
          <w:rStyle w:val="17"/>
          <w:rFonts w:ascii="黑体" w:eastAsia="黑体"/>
          <w:b w:val="0"/>
        </w:rPr>
      </w:pPr>
      <w:bookmarkStart w:id="90" w:name="_Toc146721316"/>
      <w:bookmarkStart w:id="91" w:name="_Toc15377225"/>
      <w:bookmarkStart w:id="92" w:name="_Toc15396613"/>
      <w:r>
        <w:rPr>
          <w:rFonts w:hint="eastAsia" w:ascii="黑体" w:eastAsia="黑体"/>
          <w:sz w:val="44"/>
          <w:szCs w:val="44"/>
        </w:rPr>
        <w:t>名</w:t>
      </w:r>
      <w:r>
        <w:rPr>
          <w:rStyle w:val="17"/>
          <w:rFonts w:hint="eastAsia" w:ascii="黑体" w:eastAsia="黑体"/>
          <w:b w:val="0"/>
        </w:rPr>
        <w:t>词解释</w:t>
      </w:r>
      <w:bookmarkEnd w:id="90"/>
      <w:bookmarkEnd w:id="91"/>
      <w:bookmarkEnd w:id="92"/>
    </w:p>
    <w:p>
      <w:pPr>
        <w:spacing w:line="600" w:lineRule="exact"/>
        <w:jc w:val="left"/>
        <w:rPr>
          <w:rFonts w:ascii="宋体"/>
          <w:b/>
          <w:sz w:val="44"/>
          <w:szCs w:val="44"/>
        </w:rPr>
      </w:pPr>
    </w:p>
    <w:p>
      <w:pPr>
        <w:pStyle w:val="22"/>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1.财政拨款收入：指单位从同级财政部门取得的财政预算资金。</w:t>
      </w:r>
    </w:p>
    <w:p>
      <w:pPr>
        <w:pStyle w:val="22"/>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2.事业收入：指事业单位开展专业业务活动及辅助活动取得的收入。</w:t>
      </w:r>
    </w:p>
    <w:p>
      <w:pPr>
        <w:pStyle w:val="22"/>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3.经营收入：指事业单位在专业业务活动及其辅助活动之外开展非独立核算经营活动取得的收入。</w:t>
      </w:r>
    </w:p>
    <w:p>
      <w:pPr>
        <w:pStyle w:val="22"/>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4.其他收入：指单位取得的除上述收入以外的各项收入。 </w:t>
      </w:r>
    </w:p>
    <w:p>
      <w:pPr>
        <w:pStyle w:val="22"/>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5.使用非财政拨款结余：指事业单位使用以前年度积累的非财政拨款结余弥补当年收支差额的金额。 </w:t>
      </w:r>
    </w:p>
    <w:p>
      <w:pPr>
        <w:pStyle w:val="22"/>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6.年初结转和结余：指以前年度尚未完成、结转到本年按有关规定继续使用的资金。 </w:t>
      </w:r>
    </w:p>
    <w:p>
      <w:pPr>
        <w:pStyle w:val="22"/>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7.结余分配：指事业单位按照会计制度规定缴纳的所得税、提取的专用结余以及转入非财政拨款结余的金额等。</w:t>
      </w:r>
    </w:p>
    <w:p>
      <w:pPr>
        <w:pStyle w:val="22"/>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年末结转和结余：指单位按有关规定结转到下年或以后年度继续使用的资金。</w:t>
      </w:r>
    </w:p>
    <w:p>
      <w:pPr>
        <w:ind w:firstLine="640" w:firstLineChars="200"/>
        <w:rPr>
          <w:rFonts w:eastAsia="方正仿宋_GBK"/>
          <w:color w:val="000000"/>
          <w:sz w:val="32"/>
          <w:szCs w:val="32"/>
        </w:rPr>
      </w:pPr>
      <w:r>
        <w:rPr>
          <w:rFonts w:eastAsia="方正仿宋_GBK"/>
          <w:color w:val="000000"/>
          <w:sz w:val="32"/>
          <w:szCs w:val="32"/>
        </w:rPr>
        <w:t>9.一般公共服务（类）组织事务（款）其他组织事务支出（项）：指反映除上述项目以外其他用于中国共产党组织部门的事务支出。</w:t>
      </w:r>
    </w:p>
    <w:p>
      <w:pPr>
        <w:ind w:firstLine="640" w:firstLineChars="200"/>
        <w:rPr>
          <w:rFonts w:eastAsia="方正仿宋_GBK"/>
          <w:color w:val="000000"/>
          <w:sz w:val="32"/>
          <w:szCs w:val="32"/>
        </w:rPr>
      </w:pPr>
      <w:r>
        <w:rPr>
          <w:rFonts w:eastAsia="方正仿宋_GBK"/>
          <w:color w:val="000000"/>
          <w:sz w:val="32"/>
          <w:szCs w:val="32"/>
        </w:rPr>
        <w:t>10.科学技术（类）科学技术管理事务（款）行政运行（项）：指反映行政单位（包括实行公务员管理的事业单位）的基本支出。</w:t>
      </w:r>
    </w:p>
    <w:p>
      <w:pPr>
        <w:ind w:firstLine="640" w:firstLineChars="200"/>
        <w:rPr>
          <w:rFonts w:eastAsia="方正仿宋_GBK"/>
          <w:color w:val="000000"/>
          <w:sz w:val="32"/>
          <w:szCs w:val="32"/>
        </w:rPr>
      </w:pPr>
      <w:r>
        <w:rPr>
          <w:rFonts w:eastAsia="方正仿宋_GBK"/>
          <w:color w:val="000000"/>
          <w:sz w:val="32"/>
          <w:szCs w:val="32"/>
        </w:rPr>
        <w:t>11.科学技术（类）社会科学（款）其他社会科学支出（项）：指反映其他用于社会科学研究方面的支出，包括中国社科院研究生院的支出。</w:t>
      </w:r>
    </w:p>
    <w:p>
      <w:pPr>
        <w:widowControl/>
        <w:jc w:val="left"/>
      </w:pPr>
      <w:r>
        <w:rPr>
          <w:rFonts w:eastAsia="方正仿宋_GBK"/>
          <w:color w:val="000000"/>
          <w:sz w:val="32"/>
          <w:szCs w:val="32"/>
        </w:rPr>
        <w:t xml:space="preserve">    12.科学技术（类）其他科学技术支出（款）其他科学技术支出（项）:反映其他用于科技方面的支出。</w:t>
      </w:r>
    </w:p>
    <w:p>
      <w:pPr>
        <w:ind w:firstLine="640" w:firstLineChars="200"/>
        <w:rPr>
          <w:rFonts w:eastAsia="方正仿宋_GBK"/>
          <w:color w:val="000000"/>
          <w:sz w:val="32"/>
          <w:szCs w:val="32"/>
        </w:rPr>
      </w:pPr>
      <w:r>
        <w:rPr>
          <w:rFonts w:eastAsia="方正仿宋_GBK"/>
          <w:color w:val="000000"/>
          <w:sz w:val="32"/>
          <w:szCs w:val="32"/>
        </w:rPr>
        <w:t>13.社会保障和就业（类）行政事业单位养老支出（款）行政单位离退休（项）：指反映行政单位（包括实行公务员管理的事业单位）开支的离退休经费。</w:t>
      </w:r>
    </w:p>
    <w:p>
      <w:pPr>
        <w:ind w:firstLine="640" w:firstLineChars="200"/>
        <w:rPr>
          <w:rFonts w:eastAsia="方正仿宋_GBK"/>
          <w:color w:val="000000"/>
          <w:sz w:val="32"/>
          <w:szCs w:val="32"/>
        </w:rPr>
      </w:pPr>
      <w:r>
        <w:rPr>
          <w:rFonts w:eastAsia="方正仿宋_GBK"/>
          <w:color w:val="000000"/>
          <w:sz w:val="32"/>
          <w:szCs w:val="32"/>
        </w:rPr>
        <w:t>14.社会保障和就业（类）行政事业单位养老支出（款）机关事业单位基本养老保险缴费支出（项）：指反映机关事业单位实施养老保险制度由单位缴纳的基本养老保险费支出。</w:t>
      </w:r>
    </w:p>
    <w:p>
      <w:pPr>
        <w:ind w:firstLine="640" w:firstLineChars="200"/>
        <w:rPr>
          <w:rFonts w:eastAsia="方正仿宋_GBK"/>
          <w:color w:val="000000"/>
          <w:sz w:val="32"/>
          <w:szCs w:val="32"/>
        </w:rPr>
      </w:pPr>
      <w:r>
        <w:rPr>
          <w:rFonts w:eastAsia="方正仿宋_GBK"/>
          <w:color w:val="000000"/>
          <w:sz w:val="32"/>
          <w:szCs w:val="32"/>
        </w:rPr>
        <w:t>15.社会保障和就业（类）抚恤（款）死亡抚恤（项）：指反映按规定用于烈士和牺牲、病故人员家属的一次性和定期抚恤金以及丧葬补助费。</w:t>
      </w:r>
    </w:p>
    <w:p>
      <w:pPr>
        <w:ind w:firstLine="640" w:firstLineChars="200"/>
        <w:rPr>
          <w:rFonts w:eastAsia="方正仿宋_GBK"/>
          <w:color w:val="000000"/>
          <w:sz w:val="32"/>
          <w:szCs w:val="32"/>
        </w:rPr>
      </w:pPr>
      <w:r>
        <w:rPr>
          <w:rFonts w:eastAsia="方正仿宋_GBK"/>
          <w:color w:val="000000"/>
          <w:sz w:val="32"/>
          <w:szCs w:val="32"/>
        </w:rPr>
        <w:t>16.社会保障和就业（类）社会福利（款）儿童福利（项）：指反映对儿童提供福利服务方面的支出。</w:t>
      </w:r>
    </w:p>
    <w:p>
      <w:pPr>
        <w:ind w:firstLine="640" w:firstLineChars="200"/>
        <w:rPr>
          <w:rFonts w:ascii="仿宋_GB2312" w:eastAsia="仿宋_GB2312"/>
          <w:color w:val="000000"/>
          <w:sz w:val="32"/>
          <w:szCs w:val="32"/>
        </w:rPr>
      </w:pPr>
      <w:r>
        <w:rPr>
          <w:rFonts w:eastAsia="方正仿宋_GBK"/>
          <w:color w:val="000000"/>
          <w:sz w:val="32"/>
          <w:szCs w:val="32"/>
        </w:rPr>
        <w:t>17.住房保障（类）住房改革支出（款）住房公积金（项）：指反映行政事业单位按人力资源和社会保障部、财政部规定的基本工资和津贴补贴以及规定比例为职工缴纳的住房公积金。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ascii="仿宋_GB2312" w:eastAsia="仿宋_GB2312"/>
          <w:sz w:val="32"/>
          <w:szCs w:val="32"/>
        </w:rPr>
        <w:t>18.</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ascii="仿宋_GB2312" w:eastAsia="仿宋_GB2312"/>
          <w:sz w:val="32"/>
          <w:szCs w:val="32"/>
        </w:rPr>
        <w:t>19.</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经营支出：指事业单位在专业业务活动及其辅助活动之外开展非独立核算经营活动发生的支出。</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21.</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ascii="黑体" w:eastAsia="黑体"/>
          <w:sz w:val="44"/>
          <w:szCs w:val="44"/>
        </w:rPr>
      </w:pPr>
      <w:r>
        <w:rPr>
          <w:rFonts w:ascii="仿宋_GB2312" w:eastAsia="仿宋_GB2312"/>
          <w:sz w:val="32"/>
          <w:szCs w:val="32"/>
        </w:rPr>
        <w:t>22.</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17"/>
          <w:rFonts w:ascii="黑体" w:eastAsia="黑体"/>
          <w:b w:val="0"/>
        </w:rPr>
      </w:pPr>
      <w:bookmarkStart w:id="93" w:name="_Toc15377226"/>
      <w:r>
        <w:rPr>
          <w:rFonts w:ascii="宋体"/>
          <w:b/>
          <w:sz w:val="44"/>
          <w:szCs w:val="44"/>
        </w:rPr>
        <w:br w:type="page"/>
      </w:r>
      <w:bookmarkStart w:id="94" w:name="_Toc15396614"/>
      <w:bookmarkStart w:id="95" w:name="_Toc146721317"/>
      <w:r>
        <w:rPr>
          <w:rFonts w:hint="eastAsia" w:ascii="黑体" w:eastAsia="黑体"/>
          <w:sz w:val="44"/>
          <w:szCs w:val="44"/>
        </w:rPr>
        <w:t>第</w:t>
      </w:r>
      <w:r>
        <w:rPr>
          <w:rStyle w:val="17"/>
          <w:rFonts w:hint="eastAsia" w:ascii="黑体" w:eastAsia="黑体"/>
          <w:b w:val="0"/>
        </w:rPr>
        <w:t>四部分 附件</w:t>
      </w:r>
      <w:bookmarkEnd w:id="94"/>
      <w:bookmarkEnd w:id="95"/>
    </w:p>
    <w:p>
      <w:pPr>
        <w:spacing w:line="572" w:lineRule="exact"/>
        <w:jc w:val="left"/>
        <w:outlineLvl w:val="0"/>
        <w:rPr>
          <w:rFonts w:ascii="黑体" w:eastAsia="黑体" w:cs="黑体"/>
          <w:sz w:val="32"/>
          <w:szCs w:val="32"/>
        </w:rPr>
      </w:pPr>
      <w:bookmarkStart w:id="96" w:name="_Toc146721318"/>
      <w:r>
        <w:rPr>
          <w:rFonts w:hint="eastAsia" w:ascii="黑体" w:eastAsia="黑体" w:cs="黑体"/>
          <w:sz w:val="32"/>
          <w:szCs w:val="32"/>
        </w:rPr>
        <w:t>附件1</w:t>
      </w:r>
      <w:bookmarkEnd w:id="96"/>
    </w:p>
    <w:tbl>
      <w:tblPr>
        <w:tblStyle w:val="13"/>
        <w:tblW w:w="98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2"/>
        <w:gridCol w:w="544"/>
        <w:gridCol w:w="1110"/>
        <w:gridCol w:w="1703"/>
        <w:gridCol w:w="1196"/>
        <w:gridCol w:w="1928"/>
        <w:gridCol w:w="26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810" w:type="dxa"/>
            <w:gridSpan w:val="7"/>
            <w:tcBorders>
              <w:top w:val="nil"/>
              <w:left w:val="nil"/>
              <w:bottom w:val="nil"/>
              <w:right w:val="nil"/>
            </w:tcBorders>
            <w:shd w:val="clear" w:color="auto" w:fill="auto"/>
            <w:noWrap/>
            <w:vAlign w:val="center"/>
          </w:tcPr>
          <w:p>
            <w:pPr>
              <w:widowControl/>
              <w:jc w:val="center"/>
              <w:textAlignment w:val="center"/>
              <w:rPr>
                <w:rFonts w:ascii="宋体" w:cs="宋体"/>
                <w:b/>
                <w:bCs/>
                <w:color w:val="000000"/>
                <w:sz w:val="32"/>
                <w:szCs w:val="32"/>
              </w:rPr>
            </w:pPr>
            <w:r>
              <w:rPr>
                <w:rFonts w:hint="eastAsia" w:ascii="宋体" w:cs="宋体"/>
                <w:b/>
                <w:bCs/>
                <w:color w:val="000000"/>
                <w:kern w:val="0"/>
                <w:sz w:val="32"/>
                <w:szCs w:val="32"/>
              </w:rPr>
              <w:t>2021年</w:t>
            </w:r>
            <w:r>
              <w:rPr>
                <w:rFonts w:ascii="宋体" w:cs="宋体"/>
                <w:b/>
                <w:bCs/>
                <w:color w:val="000000"/>
                <w:kern w:val="0"/>
                <w:sz w:val="32"/>
                <w:szCs w:val="32"/>
              </w:rPr>
              <w:t>不限金额（含）</w:t>
            </w:r>
            <w:r>
              <w:rPr>
                <w:rFonts w:hint="eastAsia" w:ascii="宋体" w:cs="宋体"/>
                <w:b/>
                <w:bCs/>
                <w:color w:val="000000"/>
                <w:kern w:val="0"/>
                <w:sz w:val="32"/>
                <w:szCs w:val="32"/>
              </w:rPr>
              <w:t>特定目标类部门预算项目绩效目标自评</w:t>
            </w:r>
            <w:r>
              <w:rPr>
                <w:rFonts w:hint="eastAsia" w:ascii="宋体" w:cs="宋体"/>
                <w:b/>
                <w:bCs/>
                <w:color w:val="000000"/>
                <w:kern w:val="0"/>
                <w:sz w:val="32"/>
                <w:szCs w:val="32"/>
              </w:rPr>
              <w:br w:type="textWrapping"/>
            </w:r>
            <w:r>
              <w:rPr>
                <w:rStyle w:val="26"/>
              </w:rPr>
              <w:t>（《中国共产党攀枝花执政实录》和《攀枝花纪事》编纂出版经费）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3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主管部门及代码</w:t>
            </w:r>
          </w:p>
        </w:tc>
        <w:tc>
          <w:tcPr>
            <w:tcW w:w="289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实施单位</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237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项目预算</w:t>
            </w:r>
            <w:r>
              <w:rPr>
                <w:rFonts w:hint="eastAsia" w:ascii="宋体" w:cs="宋体"/>
                <w:color w:val="000000"/>
                <w:kern w:val="0"/>
                <w:sz w:val="24"/>
              </w:rPr>
              <w:br w:type="textWrapping"/>
            </w:r>
            <w:r>
              <w:rPr>
                <w:rFonts w:hint="eastAsia" w:ascii="宋体" w:cs="宋体"/>
                <w:color w:val="000000"/>
                <w:kern w:val="0"/>
                <w:sz w:val="24"/>
              </w:rPr>
              <w:t>执行情况</w:t>
            </w:r>
            <w:r>
              <w:rPr>
                <w:rFonts w:hint="eastAsia" w:ascii="宋体" w:cs="宋体"/>
                <w:color w:val="000000"/>
                <w:kern w:val="0"/>
                <w:sz w:val="24"/>
              </w:rPr>
              <w:br w:type="textWrapping"/>
            </w:r>
            <w:r>
              <w:rPr>
                <w:rFonts w:hint="eastAsia" w:ascii="宋体" w:cs="宋体"/>
                <w:color w:val="000000"/>
                <w:kern w:val="0"/>
                <w:sz w:val="24"/>
              </w:rPr>
              <w:t>（万元）</w:t>
            </w: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预算数</w:t>
            </w:r>
          </w:p>
        </w:tc>
        <w:tc>
          <w:tcPr>
            <w:tcW w:w="11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5</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执行数</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37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1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5</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237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 其他资金</w:t>
            </w:r>
          </w:p>
        </w:tc>
        <w:tc>
          <w:tcPr>
            <w:tcW w:w="11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其他资金 </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年度总体目标完成情况</w:t>
            </w:r>
          </w:p>
        </w:tc>
        <w:tc>
          <w:tcPr>
            <w:tcW w:w="455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预期目标</w:t>
            </w:r>
          </w:p>
        </w:tc>
        <w:tc>
          <w:tcPr>
            <w:tcW w:w="45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5"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455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top"/>
              <w:rPr>
                <w:rFonts w:ascii="宋体" w:cs="宋体"/>
                <w:color w:val="000000"/>
                <w:sz w:val="24"/>
              </w:rPr>
            </w:pPr>
            <w:r>
              <w:rPr>
                <w:rFonts w:hint="eastAsia" w:ascii="宋体" w:cs="宋体"/>
                <w:color w:val="000000"/>
                <w:kern w:val="0"/>
                <w:sz w:val="24"/>
              </w:rPr>
              <w:br w:type="textWrapping"/>
            </w:r>
            <w:r>
              <w:rPr>
                <w:rFonts w:hint="eastAsia" w:ascii="宋体" w:cs="宋体"/>
                <w:color w:val="000000"/>
                <w:kern w:val="0"/>
                <w:sz w:val="24"/>
              </w:rPr>
              <w:t>完成《中国共产党攀枝花执政实录》（2020卷）的出版，完成《攀枝花纪事》2021年6期的编辑出版。</w:t>
            </w:r>
          </w:p>
        </w:tc>
        <w:tc>
          <w:tcPr>
            <w:tcW w:w="45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top"/>
              <w:rPr>
                <w:rFonts w:ascii="宋体" w:cs="宋体"/>
                <w:color w:val="000000"/>
                <w:sz w:val="24"/>
              </w:rPr>
            </w:pPr>
            <w:r>
              <w:rPr>
                <w:rFonts w:hint="eastAsia" w:ascii="宋体" w:cs="宋体"/>
                <w:color w:val="000000"/>
                <w:kern w:val="0"/>
                <w:sz w:val="24"/>
              </w:rPr>
              <w:t>《中国共产党攀枝花执政实录》（2020卷）编纂完成，编辑出版《攀枝花纪事》2021年6期。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22" w:type="dxa"/>
            <w:vMerge w:val="restar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年度绩效指标完成情况</w:t>
            </w:r>
          </w:p>
        </w:tc>
        <w:tc>
          <w:tcPr>
            <w:tcW w:w="544" w:type="dxa"/>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一级</w:t>
            </w:r>
            <w:r>
              <w:rPr>
                <w:rFonts w:hint="eastAsia" w:ascii="宋体" w:cs="宋体"/>
                <w:color w:val="000000"/>
                <w:kern w:val="0"/>
                <w:sz w:val="24"/>
              </w:rPr>
              <w:br w:type="textWrapping"/>
            </w:r>
            <w:r>
              <w:rPr>
                <w:rFonts w:hint="eastAsia" w:ascii="宋体" w:cs="宋体"/>
                <w:color w:val="000000"/>
                <w:kern w:val="0"/>
                <w:sz w:val="24"/>
              </w:rPr>
              <w:t>指标</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二级指标</w:t>
            </w:r>
          </w:p>
        </w:tc>
        <w:tc>
          <w:tcPr>
            <w:tcW w:w="289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三级指标</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预期指标值</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restar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完成指标</w:t>
            </w:r>
          </w:p>
        </w:tc>
        <w:tc>
          <w:tcPr>
            <w:tcW w:w="1110" w:type="dxa"/>
            <w:vMerge w:val="restar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数量指标</w:t>
            </w: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印刷《执政实录》（2020卷）</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2000册</w:t>
            </w:r>
          </w:p>
        </w:tc>
        <w:tc>
          <w:tcPr>
            <w:tcW w:w="2607" w:type="dxa"/>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完成编纂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1110"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印刷、出版《攀枝花纪事》</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6期、18000册</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1110" w:type="dxa"/>
            <w:vMerge w:val="restar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质量指标</w:t>
            </w: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《执政实录》（2020卷）</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成品书籍达国家公开出版物质量标准</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1110"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《攀枝花纪事》</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出版刊物达省级内刊出版质量标准</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1110" w:type="dxa"/>
            <w:vMerge w:val="restar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时效指标</w:t>
            </w: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《执政实录》（2020卷）</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2021年12月底前编纂完成</w:t>
            </w:r>
          </w:p>
        </w:tc>
        <w:tc>
          <w:tcPr>
            <w:tcW w:w="2607" w:type="dxa"/>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1110"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《攀枝花纪事》</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2021年双月底出版1期</w:t>
            </w:r>
          </w:p>
        </w:tc>
        <w:tc>
          <w:tcPr>
            <w:tcW w:w="2607" w:type="dxa"/>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1110" w:type="dxa"/>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成本指标</w:t>
            </w: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编辑出版费用</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5万元</w:t>
            </w:r>
          </w:p>
        </w:tc>
        <w:tc>
          <w:tcPr>
            <w:tcW w:w="2607" w:type="dxa"/>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5"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效益指标</w:t>
            </w:r>
          </w:p>
        </w:tc>
        <w:tc>
          <w:tcPr>
            <w:tcW w:w="1110" w:type="dxa"/>
            <w:vMerge w:val="restar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社会效益</w:t>
            </w:r>
            <w:r>
              <w:rPr>
                <w:rFonts w:hint="eastAsia" w:ascii="宋体" w:cs="宋体"/>
                <w:color w:val="000000"/>
                <w:kern w:val="0"/>
                <w:sz w:val="24"/>
              </w:rPr>
              <w:br w:type="textWrapping"/>
            </w:r>
            <w:r>
              <w:rPr>
                <w:rFonts w:hint="eastAsia" w:ascii="宋体" w:cs="宋体"/>
                <w:color w:val="000000"/>
                <w:kern w:val="0"/>
                <w:sz w:val="24"/>
              </w:rPr>
              <w:t>指标</w:t>
            </w: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《执政实录》（2020卷）</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总结执政规律、社会主义建设规律、人类社会发展规律，实现用攀枝花改革开放的伟大成就激励人，用攀枝花精神教育人，用攀枝花开发建设的成功经验启迪人,用攀枝花开放建设的历史教训警示人</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完成编纂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110"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《攀枝花纪事》</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增加人民群众对市委市政府工作的了解，增强政府和人民群众的沟通，丰富人民群众的精神生活</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110" w:type="dxa"/>
            <w:vMerge w:val="restar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可持续影响</w:t>
            </w:r>
            <w:r>
              <w:rPr>
                <w:rFonts w:hint="eastAsia" w:ascii="宋体" w:cs="宋体"/>
                <w:color w:val="000000"/>
                <w:kern w:val="0"/>
                <w:sz w:val="24"/>
              </w:rPr>
              <w:br w:type="textWrapping"/>
            </w:r>
            <w:r>
              <w:rPr>
                <w:rFonts w:hint="eastAsia" w:ascii="宋体" w:cs="宋体"/>
                <w:color w:val="000000"/>
                <w:kern w:val="0"/>
                <w:sz w:val="24"/>
              </w:rPr>
              <w:t>指标</w:t>
            </w: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《执政实录》（2020卷）</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利用年限≥5年</w:t>
            </w:r>
          </w:p>
        </w:tc>
        <w:tc>
          <w:tcPr>
            <w:tcW w:w="2607" w:type="dxa"/>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利用年限≥5年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110"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《攀枝花纪事》</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利用年限≥5年</w:t>
            </w:r>
          </w:p>
        </w:tc>
        <w:tc>
          <w:tcPr>
            <w:tcW w:w="2607" w:type="dxa"/>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利用年限≥5年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2899"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《执政实录》（2020卷）</w:t>
            </w:r>
          </w:p>
        </w:tc>
        <w:tc>
          <w:tcPr>
            <w:tcW w:w="1928"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使用者满意度≥95%</w:t>
            </w:r>
          </w:p>
        </w:tc>
        <w:tc>
          <w:tcPr>
            <w:tcW w:w="2607"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使用者满意度≥95%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2" w:type="dxa"/>
            <w:vMerge w:val="continue"/>
            <w:tcBorders>
              <w:top w:val="single" w:color="000000" w:sz="4" w:space="0"/>
              <w:left w:val="single" w:color="000000" w:sz="4" w:space="0"/>
              <w:bottom w:val="nil"/>
              <w:right w:val="single" w:color="000000" w:sz="4" w:space="0"/>
            </w:tcBorders>
            <w:shd w:val="clear" w:color="auto" w:fill="auto"/>
            <w:noWrap/>
            <w:vAlign w:val="center"/>
          </w:tcPr>
          <w:p/>
        </w:tc>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89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《攀枝花纪事》</w:t>
            </w:r>
          </w:p>
        </w:tc>
        <w:tc>
          <w:tcPr>
            <w:tcW w:w="1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使用者满意度≥95%</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使用者满意度≥95%</w:t>
            </w:r>
          </w:p>
        </w:tc>
      </w:tr>
    </w:tbl>
    <w:p>
      <w:pPr>
        <w:rPr>
          <w:rFonts w:ascii="黑体" w:eastAsia="黑体" w:cs="黑体"/>
          <w:sz w:val="32"/>
          <w:szCs w:val="32"/>
        </w:rPr>
      </w:pPr>
      <w:r>
        <w:rPr>
          <w:rFonts w:hint="eastAsia" w:ascii="黑体" w:eastAsia="黑体" w:cs="黑体"/>
          <w:sz w:val="32"/>
          <w:szCs w:val="32"/>
        </w:rPr>
        <w:br w:type="page"/>
      </w:r>
    </w:p>
    <w:p>
      <w:pPr>
        <w:spacing w:line="572" w:lineRule="exact"/>
        <w:jc w:val="left"/>
        <w:outlineLvl w:val="0"/>
        <w:rPr>
          <w:rFonts w:ascii="黑体" w:eastAsia="黑体" w:cs="黑体"/>
          <w:sz w:val="32"/>
          <w:szCs w:val="32"/>
        </w:rPr>
      </w:pPr>
      <w:bookmarkStart w:id="97" w:name="_Toc146721319"/>
      <w:r>
        <w:rPr>
          <w:rFonts w:hint="eastAsia" w:ascii="黑体" w:eastAsia="黑体" w:cs="黑体"/>
          <w:sz w:val="32"/>
          <w:szCs w:val="32"/>
        </w:rPr>
        <w:t>附件2</w:t>
      </w:r>
      <w:bookmarkEnd w:id="97"/>
    </w:p>
    <w:tbl>
      <w:tblPr>
        <w:tblStyle w:val="13"/>
        <w:tblW w:w="85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80"/>
        <w:gridCol w:w="1080"/>
        <w:gridCol w:w="1080"/>
        <w:gridCol w:w="1080"/>
        <w:gridCol w:w="1136"/>
        <w:gridCol w:w="1916"/>
        <w:gridCol w:w="2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8535" w:type="dxa"/>
            <w:gridSpan w:val="7"/>
            <w:tcBorders>
              <w:top w:val="nil"/>
              <w:left w:val="nil"/>
              <w:bottom w:val="nil"/>
              <w:right w:val="nil"/>
            </w:tcBorders>
            <w:shd w:val="clear" w:color="auto" w:fill="auto"/>
            <w:noWrap/>
            <w:vAlign w:val="center"/>
          </w:tcPr>
          <w:p>
            <w:pPr>
              <w:widowControl/>
              <w:jc w:val="center"/>
              <w:textAlignment w:val="center"/>
              <w:rPr>
                <w:rFonts w:ascii="宋体" w:cs="宋体"/>
                <w:b/>
                <w:bCs/>
                <w:color w:val="000000"/>
                <w:sz w:val="32"/>
                <w:szCs w:val="32"/>
              </w:rPr>
            </w:pPr>
            <w:r>
              <w:rPr>
                <w:rFonts w:hint="eastAsia" w:ascii="宋体" w:cs="宋体"/>
                <w:b/>
                <w:bCs/>
                <w:color w:val="000000"/>
                <w:kern w:val="0"/>
                <w:sz w:val="32"/>
                <w:szCs w:val="32"/>
              </w:rPr>
              <w:t>2021年</w:t>
            </w:r>
            <w:r>
              <w:rPr>
                <w:rFonts w:ascii="宋体" w:cs="宋体"/>
                <w:b/>
                <w:bCs/>
                <w:color w:val="000000"/>
                <w:kern w:val="0"/>
                <w:sz w:val="32"/>
                <w:szCs w:val="32"/>
              </w:rPr>
              <w:t>不限金额（含）</w:t>
            </w:r>
            <w:r>
              <w:rPr>
                <w:rFonts w:hint="eastAsia" w:ascii="宋体" w:cs="宋体"/>
                <w:b/>
                <w:bCs/>
                <w:color w:val="000000"/>
                <w:kern w:val="0"/>
                <w:sz w:val="32"/>
                <w:szCs w:val="32"/>
              </w:rPr>
              <w:t>特定目标类部门预算项目绩效目标自评</w:t>
            </w:r>
            <w:r>
              <w:rPr>
                <w:rFonts w:hint="eastAsia" w:ascii="宋体" w:cs="宋体"/>
                <w:b/>
                <w:bCs/>
                <w:color w:val="000000"/>
                <w:kern w:val="0"/>
                <w:sz w:val="32"/>
                <w:szCs w:val="32"/>
              </w:rPr>
              <w:br w:type="textWrapping"/>
            </w:r>
            <w:r>
              <w:rPr>
                <w:rStyle w:val="27"/>
              </w:rPr>
              <w:t>（</w:t>
            </w:r>
            <w:r>
              <w:rPr>
                <w:rStyle w:val="28"/>
              </w:rPr>
              <w:t>“中国共产党社会主义建设道路的探索与实践——三线建设与成渝地区双城经济圈建设”理论研讨会</w:t>
            </w:r>
            <w:r>
              <w:rPr>
                <w:rStyle w:val="27"/>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主管部门及代码</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实施单位</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24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项目预算</w:t>
            </w:r>
            <w:r>
              <w:rPr>
                <w:rFonts w:hint="eastAsia" w:ascii="宋体" w:cs="宋体"/>
                <w:color w:val="000000"/>
                <w:kern w:val="0"/>
                <w:sz w:val="24"/>
              </w:rPr>
              <w:br w:type="textWrapping"/>
            </w:r>
            <w:r>
              <w:rPr>
                <w:rFonts w:hint="eastAsia" w:ascii="宋体" w:cs="宋体"/>
                <w:color w:val="000000"/>
                <w:kern w:val="0"/>
                <w:sz w:val="24"/>
              </w:rPr>
              <w:t>执行情况</w:t>
            </w:r>
            <w:r>
              <w:rPr>
                <w:rFonts w:hint="eastAsia" w:ascii="宋体" w:cs="宋体"/>
                <w:color w:val="000000"/>
                <w:kern w:val="0"/>
                <w:sz w:val="24"/>
              </w:rPr>
              <w:br w:type="textWrapping"/>
            </w:r>
            <w:r>
              <w:rPr>
                <w:rFonts w:hint="eastAsia" w:ascii="宋体" w:cs="宋体"/>
                <w:color w:val="000000"/>
                <w:kern w:val="0"/>
                <w:sz w:val="24"/>
              </w:rPr>
              <w:t>（万元）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预算数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36.19</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执行数</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36.19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0" w:hRule="atLeast"/>
        </w:trPr>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36.19</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36.19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 其他资金</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其他资金 </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年度总体目标完成情况</w:t>
            </w:r>
          </w:p>
        </w:tc>
        <w:tc>
          <w:tcPr>
            <w:tcW w:w="43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预期目标</w:t>
            </w:r>
          </w:p>
        </w:tc>
        <w:tc>
          <w:tcPr>
            <w:tcW w:w="31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4320" w:type="dxa"/>
            <w:gridSpan w:val="4"/>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cs="宋体"/>
                <w:color w:val="000000"/>
                <w:sz w:val="24"/>
              </w:rPr>
            </w:pPr>
            <w:r>
              <w:rPr>
                <w:rFonts w:hint="eastAsia" w:ascii="宋体" w:cs="宋体"/>
                <w:color w:val="000000"/>
                <w:kern w:val="0"/>
                <w:sz w:val="24"/>
              </w:rPr>
              <w:br w:type="textWrapping"/>
            </w:r>
            <w:r>
              <w:rPr>
                <w:rFonts w:hint="eastAsia" w:ascii="宋体" w:cs="宋体"/>
                <w:color w:val="000000"/>
                <w:kern w:val="0"/>
                <w:sz w:val="24"/>
              </w:rPr>
              <w:t>办好“中国共产党社会主义建设道路的探索与实践——三线建设与成渝地区双城经济圈建设”理论研讨会。</w:t>
            </w:r>
          </w:p>
        </w:tc>
        <w:tc>
          <w:tcPr>
            <w:tcW w:w="3135" w:type="dxa"/>
            <w:gridSpan w:val="2"/>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cs="宋体"/>
                <w:color w:val="000000"/>
                <w:sz w:val="24"/>
              </w:rPr>
            </w:pPr>
            <w:r>
              <w:rPr>
                <w:rFonts w:hint="eastAsia" w:ascii="宋体" w:cs="宋体"/>
                <w:color w:val="000000"/>
                <w:kern w:val="0"/>
                <w:sz w:val="24"/>
              </w:rPr>
              <w:t>成功举办“中国共产党社会主义建设道路的探索与实践——三线建设与成渝地区双城经济圈建设”理论研讨会。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年度绩效指标完成情况</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一级</w:t>
            </w:r>
            <w:r>
              <w:rPr>
                <w:rFonts w:hint="eastAsia" w:ascii="宋体" w:cs="宋体"/>
                <w:color w:val="000000"/>
                <w:kern w:val="0"/>
                <w:sz w:val="24"/>
              </w:rPr>
              <w:br w:type="textWrapping"/>
            </w:r>
            <w:r>
              <w:rPr>
                <w:rFonts w:hint="eastAsia" w:ascii="宋体" w:cs="宋体"/>
                <w:color w:val="000000"/>
                <w:kern w:val="0"/>
                <w:sz w:val="24"/>
              </w:rPr>
              <w:t>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二级指标</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三级指标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预期指标值</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完成指标</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数量指标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制作宣传片</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1部</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1部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出版论文集</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1本</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1本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邀请专家学者</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15人</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15人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邀请媒体记者</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10人</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10人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会议天数</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2天</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2天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参会人数</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150人</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100人（以实际参会人员为准）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质量指标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会议召开</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保障研讨会顺利召开</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研讨会顺利召开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时效指标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会议筹备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2021年2月底前完成</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2021年2月底前完成筹备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会议召开</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2021年3月召开</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2021年3月顺利召开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成本指标</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会议召开所需经费</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36.19万元</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36.19万元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效益指标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社会效益指标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活动意义</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丰富我党新时代社会主义建设理论体系，全力推动成渝地区双城经济圈建设</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已完成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5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可持续影响</w:t>
            </w:r>
            <w:r>
              <w:rPr>
                <w:rFonts w:hint="eastAsia" w:ascii="宋体" w:cs="宋体"/>
                <w:color w:val="000000"/>
                <w:kern w:val="0"/>
                <w:sz w:val="24"/>
              </w:rPr>
              <w:br w:type="textWrapping"/>
            </w:r>
            <w:r>
              <w:rPr>
                <w:rFonts w:hint="eastAsia" w:ascii="宋体" w:cs="宋体"/>
                <w:color w:val="000000"/>
                <w:kern w:val="0"/>
                <w:sz w:val="24"/>
              </w:rPr>
              <w:t>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党史研究成果利用年限</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≥5年</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参与者反馈</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参与者满意度≥95%</w:t>
            </w:r>
          </w:p>
        </w:tc>
        <w:tc>
          <w:tcPr>
            <w:tcW w:w="2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参与者满意度≥95%</w:t>
            </w:r>
          </w:p>
        </w:tc>
      </w:tr>
    </w:tbl>
    <w:p>
      <w:pPr>
        <w:rPr>
          <w:rFonts w:ascii="黑体" w:eastAsia="黑体" w:cs="黑体"/>
          <w:sz w:val="32"/>
          <w:szCs w:val="32"/>
        </w:rPr>
      </w:pPr>
      <w:r>
        <w:rPr>
          <w:rFonts w:hint="eastAsia" w:ascii="黑体" w:eastAsia="黑体" w:cs="黑体"/>
          <w:sz w:val="32"/>
          <w:szCs w:val="32"/>
        </w:rPr>
        <w:br w:type="page"/>
      </w:r>
    </w:p>
    <w:p>
      <w:pPr>
        <w:spacing w:line="572" w:lineRule="exact"/>
        <w:jc w:val="left"/>
        <w:outlineLvl w:val="0"/>
        <w:rPr>
          <w:rFonts w:ascii="黑体" w:eastAsia="黑体" w:cs="黑体"/>
          <w:sz w:val="32"/>
          <w:szCs w:val="32"/>
        </w:rPr>
      </w:pPr>
      <w:bookmarkStart w:id="98" w:name="_Toc146721320"/>
      <w:r>
        <w:rPr>
          <w:rFonts w:hint="eastAsia" w:ascii="黑体" w:eastAsia="黑体" w:cs="黑体"/>
          <w:sz w:val="32"/>
          <w:szCs w:val="32"/>
        </w:rPr>
        <w:t>附件3</w:t>
      </w:r>
      <w:bookmarkEnd w:id="98"/>
    </w:p>
    <w:tbl>
      <w:tblPr>
        <w:tblStyle w:val="13"/>
        <w:tblW w:w="85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80"/>
        <w:gridCol w:w="1080"/>
        <w:gridCol w:w="1080"/>
        <w:gridCol w:w="1080"/>
        <w:gridCol w:w="1136"/>
        <w:gridCol w:w="1616"/>
        <w:gridCol w:w="1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8535" w:type="dxa"/>
            <w:gridSpan w:val="7"/>
            <w:tcBorders>
              <w:top w:val="nil"/>
              <w:left w:val="nil"/>
              <w:bottom w:val="nil"/>
              <w:right w:val="nil"/>
            </w:tcBorders>
            <w:shd w:val="clear" w:color="auto" w:fill="auto"/>
            <w:noWrap/>
            <w:vAlign w:val="center"/>
          </w:tcPr>
          <w:p>
            <w:pPr>
              <w:widowControl/>
              <w:jc w:val="center"/>
              <w:textAlignment w:val="center"/>
              <w:rPr>
                <w:rFonts w:ascii="宋体" w:cs="宋体"/>
                <w:b/>
                <w:bCs/>
                <w:color w:val="000000"/>
                <w:sz w:val="32"/>
                <w:szCs w:val="32"/>
              </w:rPr>
            </w:pPr>
            <w:r>
              <w:rPr>
                <w:rFonts w:hint="eastAsia" w:ascii="宋体" w:cs="宋体"/>
                <w:b/>
                <w:bCs/>
                <w:color w:val="000000"/>
                <w:kern w:val="0"/>
                <w:sz w:val="32"/>
                <w:szCs w:val="32"/>
              </w:rPr>
              <w:t>2021年</w:t>
            </w:r>
            <w:r>
              <w:rPr>
                <w:rFonts w:ascii="宋体" w:cs="宋体"/>
                <w:b/>
                <w:bCs/>
                <w:color w:val="000000"/>
                <w:kern w:val="0"/>
                <w:sz w:val="32"/>
                <w:szCs w:val="32"/>
              </w:rPr>
              <w:t>不限金额（含）</w:t>
            </w:r>
            <w:r>
              <w:rPr>
                <w:rFonts w:hint="eastAsia" w:ascii="宋体" w:cs="宋体"/>
                <w:b/>
                <w:bCs/>
                <w:color w:val="000000"/>
                <w:kern w:val="0"/>
                <w:sz w:val="32"/>
                <w:szCs w:val="32"/>
              </w:rPr>
              <w:t>特定目标类部门预算项目绩效目标自评</w:t>
            </w:r>
            <w:r>
              <w:rPr>
                <w:rFonts w:hint="eastAsia" w:ascii="宋体" w:cs="宋体"/>
                <w:b/>
                <w:bCs/>
                <w:color w:val="000000"/>
                <w:kern w:val="0"/>
                <w:sz w:val="32"/>
                <w:szCs w:val="32"/>
              </w:rPr>
              <w:br w:type="textWrapping"/>
            </w:r>
            <w:r>
              <w:rPr>
                <w:rStyle w:val="29"/>
              </w:rPr>
              <w:t>（业务运行费）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主管部门及代码</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实施单位</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24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项目预算</w:t>
            </w:r>
            <w:r>
              <w:rPr>
                <w:rFonts w:hint="eastAsia" w:ascii="宋体" w:cs="宋体"/>
                <w:color w:val="000000"/>
                <w:kern w:val="0"/>
                <w:sz w:val="24"/>
              </w:rPr>
              <w:br w:type="textWrapping"/>
            </w:r>
            <w:r>
              <w:rPr>
                <w:rFonts w:hint="eastAsia" w:ascii="宋体" w:cs="宋体"/>
                <w:color w:val="000000"/>
                <w:kern w:val="0"/>
                <w:sz w:val="24"/>
              </w:rPr>
              <w:t>执行情况</w:t>
            </w:r>
            <w:r>
              <w:rPr>
                <w:rFonts w:hint="eastAsia" w:ascii="宋体" w:cs="宋体"/>
                <w:color w:val="000000"/>
                <w:kern w:val="0"/>
                <w:sz w:val="24"/>
              </w:rPr>
              <w:br w:type="textWrapping"/>
            </w:r>
            <w:r>
              <w:rPr>
                <w:rFonts w:hint="eastAsia" w:ascii="宋体" w:cs="宋体"/>
                <w:color w:val="000000"/>
                <w:kern w:val="0"/>
                <w:sz w:val="24"/>
              </w:rPr>
              <w:t>（万元）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预算数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4.54</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执行数</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0" w:hRule="atLeast"/>
        </w:trPr>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4.54</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 其他资金</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其他资金 </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年度总体目标完成情况</w:t>
            </w:r>
          </w:p>
        </w:tc>
        <w:tc>
          <w:tcPr>
            <w:tcW w:w="43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预期目标</w:t>
            </w:r>
          </w:p>
        </w:tc>
        <w:tc>
          <w:tcPr>
            <w:tcW w:w="31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4320" w:type="dxa"/>
            <w:gridSpan w:val="4"/>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cs="宋体"/>
                <w:color w:val="000000"/>
                <w:sz w:val="24"/>
              </w:rPr>
            </w:pPr>
            <w:r>
              <w:rPr>
                <w:rFonts w:hint="eastAsia" w:ascii="宋体" w:cs="宋体"/>
                <w:color w:val="000000"/>
                <w:kern w:val="0"/>
                <w:sz w:val="24"/>
              </w:rPr>
              <w:br w:type="textWrapping"/>
            </w:r>
            <w:r>
              <w:rPr>
                <w:rFonts w:hint="eastAsia" w:ascii="宋体" w:cs="宋体"/>
                <w:color w:val="000000"/>
                <w:kern w:val="0"/>
                <w:sz w:val="24"/>
              </w:rPr>
              <w:t>完成各项业务工作，发挥党史部门作用，提升党史研究水平。</w:t>
            </w:r>
          </w:p>
        </w:tc>
        <w:tc>
          <w:tcPr>
            <w:tcW w:w="3135" w:type="dxa"/>
            <w:gridSpan w:val="2"/>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cs="宋体"/>
                <w:color w:val="000000"/>
                <w:sz w:val="24"/>
              </w:rPr>
            </w:pPr>
            <w:r>
              <w:rPr>
                <w:rFonts w:hint="eastAsia" w:ascii="宋体" w:cs="宋体"/>
                <w:color w:val="000000"/>
                <w:kern w:val="0"/>
                <w:sz w:val="24"/>
              </w:rPr>
              <w:t>完成各项业务工作，发挥党史部门作用，提升党史研究水平。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年度绩效指标完成情况</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一级</w:t>
            </w:r>
            <w:r>
              <w:rPr>
                <w:rFonts w:hint="eastAsia" w:ascii="宋体" w:cs="宋体"/>
                <w:color w:val="000000"/>
                <w:kern w:val="0"/>
                <w:sz w:val="24"/>
              </w:rPr>
              <w:br w:type="textWrapping"/>
            </w:r>
            <w:r>
              <w:rPr>
                <w:rFonts w:hint="eastAsia" w:ascii="宋体" w:cs="宋体"/>
                <w:color w:val="000000"/>
                <w:kern w:val="0"/>
                <w:sz w:val="24"/>
              </w:rPr>
              <w:t>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二级指标</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三级指标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预期指标值</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完成指标</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数量指标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专题研究</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2个</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2个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党史资料收集</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20万字</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20万字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编纂党史书籍</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1本</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1本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编辑杂志</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1本</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1本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学习培训</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6人次</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6人次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征文活动</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提升党史研究水平，普及党史、国史知识</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1次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质量指标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业务工作</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2021年12月底</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时效指标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完成时限</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4.54万元</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成本指标</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业务运行</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36.19万元</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4.54万元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效益指标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社会效益</w:t>
            </w:r>
            <w:r>
              <w:rPr>
                <w:rFonts w:hint="eastAsia" w:ascii="宋体" w:cs="宋体"/>
                <w:color w:val="000000"/>
                <w:kern w:val="0"/>
                <w:sz w:val="24"/>
              </w:rPr>
              <w:br w:type="textWrapping"/>
            </w:r>
            <w:r>
              <w:rPr>
                <w:rFonts w:hint="eastAsia" w:ascii="宋体" w:cs="宋体"/>
                <w:color w:val="000000"/>
                <w:kern w:val="0"/>
                <w:sz w:val="24"/>
              </w:rPr>
              <w:t>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业务工作</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不断提高党史研究水平，各个党史项目保质保量完成</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可持续影响</w:t>
            </w:r>
            <w:r>
              <w:rPr>
                <w:rFonts w:hint="eastAsia" w:ascii="宋体" w:cs="宋体"/>
                <w:color w:val="000000"/>
                <w:kern w:val="0"/>
                <w:sz w:val="24"/>
              </w:rPr>
              <w:br w:type="textWrapping"/>
            </w:r>
            <w:r>
              <w:rPr>
                <w:rFonts w:hint="eastAsia" w:ascii="宋体" w:cs="宋体"/>
                <w:color w:val="000000"/>
                <w:kern w:val="0"/>
                <w:sz w:val="24"/>
              </w:rPr>
              <w:t>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业务工作</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书籍、刊物利用年限≥5年</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利用年限≥5年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社会公众投诉率</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群众等社会评价满意度</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基本满意及以上</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基本满意及以上</w:t>
            </w:r>
          </w:p>
        </w:tc>
      </w:tr>
    </w:tbl>
    <w:p>
      <w:pPr>
        <w:rPr>
          <w:rFonts w:ascii="黑体" w:eastAsia="黑体" w:cs="黑体"/>
          <w:sz w:val="32"/>
          <w:szCs w:val="32"/>
        </w:rPr>
      </w:pPr>
      <w:r>
        <w:rPr>
          <w:rFonts w:hint="eastAsia" w:ascii="黑体" w:eastAsia="黑体" w:cs="黑体"/>
          <w:sz w:val="32"/>
          <w:szCs w:val="32"/>
        </w:rPr>
        <w:br w:type="page"/>
      </w:r>
    </w:p>
    <w:p>
      <w:pPr>
        <w:spacing w:line="572" w:lineRule="exact"/>
        <w:jc w:val="left"/>
        <w:outlineLvl w:val="0"/>
        <w:rPr>
          <w:rFonts w:ascii="黑体" w:eastAsia="黑体" w:cs="黑体"/>
          <w:sz w:val="32"/>
          <w:szCs w:val="32"/>
        </w:rPr>
      </w:pPr>
      <w:bookmarkStart w:id="99" w:name="_Toc146721321"/>
      <w:r>
        <w:rPr>
          <w:rFonts w:hint="eastAsia" w:ascii="黑体" w:eastAsia="黑体" w:cs="黑体"/>
          <w:sz w:val="32"/>
          <w:szCs w:val="32"/>
        </w:rPr>
        <w:t>附件4</w:t>
      </w:r>
      <w:bookmarkEnd w:id="99"/>
    </w:p>
    <w:tbl>
      <w:tblPr>
        <w:tblStyle w:val="13"/>
        <w:tblW w:w="90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80"/>
        <w:gridCol w:w="795"/>
        <w:gridCol w:w="930"/>
        <w:gridCol w:w="1080"/>
        <w:gridCol w:w="1005"/>
        <w:gridCol w:w="2233"/>
        <w:gridCol w:w="19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9028" w:type="dxa"/>
            <w:gridSpan w:val="7"/>
            <w:tcBorders>
              <w:top w:val="nil"/>
              <w:left w:val="nil"/>
              <w:bottom w:val="nil"/>
              <w:right w:val="nil"/>
            </w:tcBorders>
            <w:shd w:val="clear" w:color="auto" w:fill="auto"/>
            <w:noWrap/>
            <w:vAlign w:val="center"/>
          </w:tcPr>
          <w:p>
            <w:pPr>
              <w:widowControl/>
              <w:jc w:val="center"/>
              <w:textAlignment w:val="center"/>
              <w:rPr>
                <w:rFonts w:ascii="宋体" w:cs="宋体"/>
                <w:b/>
                <w:bCs/>
                <w:color w:val="000000"/>
                <w:sz w:val="32"/>
                <w:szCs w:val="32"/>
              </w:rPr>
            </w:pPr>
            <w:r>
              <w:rPr>
                <w:rFonts w:hint="eastAsia" w:ascii="宋体" w:cs="宋体"/>
                <w:b/>
                <w:bCs/>
                <w:color w:val="000000"/>
                <w:kern w:val="0"/>
                <w:sz w:val="28"/>
                <w:szCs w:val="28"/>
              </w:rPr>
              <w:t>2021年</w:t>
            </w:r>
            <w:r>
              <w:rPr>
                <w:rFonts w:ascii="宋体" w:cs="宋体"/>
                <w:b/>
                <w:bCs/>
                <w:color w:val="000000"/>
                <w:kern w:val="0"/>
                <w:sz w:val="28"/>
                <w:szCs w:val="28"/>
              </w:rPr>
              <w:t>不限金额（含）</w:t>
            </w:r>
            <w:r>
              <w:rPr>
                <w:rFonts w:hint="eastAsia" w:ascii="宋体" w:cs="宋体"/>
                <w:b/>
                <w:bCs/>
                <w:color w:val="000000"/>
                <w:kern w:val="0"/>
                <w:sz w:val="28"/>
                <w:szCs w:val="28"/>
              </w:rPr>
              <w:t>特定目标类部门预算项目绩效目标自评</w:t>
            </w:r>
            <w:r>
              <w:rPr>
                <w:rFonts w:hint="eastAsia" w:ascii="宋体" w:cs="宋体"/>
                <w:b/>
                <w:bCs/>
                <w:color w:val="000000"/>
                <w:kern w:val="0"/>
                <w:sz w:val="28"/>
                <w:szCs w:val="28"/>
              </w:rPr>
              <w:br w:type="textWrapping"/>
            </w:r>
            <w:r>
              <w:rPr>
                <w:rFonts w:hint="eastAsia" w:ascii="宋体" w:cs="宋体"/>
                <w:b/>
                <w:bCs/>
                <w:color w:val="000000"/>
                <w:kern w:val="0"/>
                <w:sz w:val="28"/>
                <w:szCs w:val="28"/>
              </w:rPr>
              <w:t>（党史数字信息化工程）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主管部门及代码</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实施单位</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0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项目预算</w:t>
            </w:r>
            <w:r>
              <w:rPr>
                <w:rFonts w:hint="eastAsia" w:ascii="宋体" w:cs="宋体"/>
                <w:color w:val="000000"/>
                <w:kern w:val="0"/>
                <w:sz w:val="24"/>
              </w:rPr>
              <w:br w:type="textWrapping"/>
            </w:r>
            <w:r>
              <w:rPr>
                <w:rFonts w:hint="eastAsia" w:ascii="宋体" w:cs="宋体"/>
                <w:color w:val="000000"/>
                <w:kern w:val="0"/>
                <w:sz w:val="24"/>
              </w:rPr>
              <w:t>执行情况</w:t>
            </w:r>
            <w:r>
              <w:rPr>
                <w:rFonts w:hint="eastAsia" w:ascii="宋体" w:cs="宋体"/>
                <w:color w:val="000000"/>
                <w:kern w:val="0"/>
                <w:sz w:val="24"/>
              </w:rPr>
              <w:br w:type="textWrapping"/>
            </w:r>
            <w:r>
              <w:rPr>
                <w:rFonts w:hint="eastAsia" w:ascii="宋体" w:cs="宋体"/>
                <w:color w:val="000000"/>
                <w:kern w:val="0"/>
                <w:sz w:val="24"/>
              </w:rPr>
              <w:t>（万元）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预算数</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25.5</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执行数</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80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25.5</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80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 其他资金</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其他资金 </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年度总体目标完成情况</w:t>
            </w:r>
          </w:p>
        </w:tc>
        <w:tc>
          <w:tcPr>
            <w:tcW w:w="381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预期目标</w:t>
            </w: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3810" w:type="dxa"/>
            <w:gridSpan w:val="4"/>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cs="宋体"/>
                <w:color w:val="000000"/>
                <w:sz w:val="24"/>
              </w:rPr>
            </w:pPr>
            <w:r>
              <w:rPr>
                <w:rFonts w:hint="eastAsia" w:ascii="宋体" w:cs="宋体"/>
                <w:color w:val="000000"/>
                <w:kern w:val="0"/>
                <w:sz w:val="24"/>
              </w:rPr>
              <w:br w:type="textWrapping"/>
            </w:r>
            <w:r>
              <w:rPr>
                <w:rFonts w:hint="eastAsia" w:ascii="宋体" w:cs="宋体"/>
                <w:color w:val="000000"/>
                <w:kern w:val="0"/>
                <w:sz w:val="24"/>
              </w:rPr>
              <w:t>对现有党史资料全部实现数字化，并建成“英雄攀枝花”网上党史馆。</w:t>
            </w:r>
          </w:p>
        </w:tc>
        <w:tc>
          <w:tcPr>
            <w:tcW w:w="4138" w:type="dxa"/>
            <w:gridSpan w:val="2"/>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cs="宋体"/>
                <w:color w:val="000000"/>
                <w:sz w:val="24"/>
              </w:rPr>
            </w:pPr>
            <w:r>
              <w:rPr>
                <w:rFonts w:hint="eastAsia" w:ascii="宋体" w:cs="宋体"/>
                <w:color w:val="000000"/>
                <w:kern w:val="0"/>
                <w:sz w:val="24"/>
              </w:rPr>
              <w:t>对现有党史资料全部实现数字化，并建成“英雄攀枝花”网上党史馆。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年度绩效指标完成情况</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一级</w:t>
            </w:r>
            <w:r>
              <w:rPr>
                <w:rFonts w:hint="eastAsia" w:ascii="宋体" w:cs="宋体"/>
                <w:color w:val="000000"/>
                <w:kern w:val="0"/>
                <w:sz w:val="24"/>
              </w:rPr>
              <w:br w:type="textWrapping"/>
            </w:r>
            <w:r>
              <w:rPr>
                <w:rFonts w:hint="eastAsia" w:ascii="宋体" w:cs="宋体"/>
                <w:color w:val="000000"/>
                <w:kern w:val="0"/>
                <w:sz w:val="24"/>
              </w:rPr>
              <w:t>指标</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二级指标</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三级指标</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预期指标值</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完成指标</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数量指标</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党史资料数字化</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color w:val="000000"/>
                <w:sz w:val="20"/>
                <w:szCs w:val="20"/>
              </w:rPr>
            </w:pPr>
            <w:r>
              <w:rPr>
                <w:rFonts w:hint="eastAsia" w:ascii="宋体" w:cs="宋体"/>
                <w:color w:val="000000"/>
                <w:kern w:val="0"/>
                <w:sz w:val="20"/>
                <w:szCs w:val="20"/>
              </w:rPr>
              <w:t>收集整理党史和文献资料</w:t>
            </w:r>
            <w:r>
              <w:rPr>
                <w:rStyle w:val="30"/>
              </w:rPr>
              <w:t>3000-5000</w:t>
            </w:r>
            <w:r>
              <w:rPr>
                <w:rFonts w:hint="eastAsia" w:ascii="宋体" w:cs="宋体"/>
                <w:color w:val="000000"/>
                <w:kern w:val="0"/>
                <w:sz w:val="20"/>
                <w:szCs w:val="20"/>
              </w:rPr>
              <w:t>万字及相关图片、视频</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网上党史馆</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color w:val="000000"/>
                <w:sz w:val="20"/>
                <w:szCs w:val="20"/>
              </w:rPr>
            </w:pPr>
            <w:r>
              <w:rPr>
                <w:rFonts w:hint="eastAsia" w:ascii="宋体" w:cs="宋体"/>
                <w:color w:val="000000"/>
                <w:kern w:val="0"/>
                <w:sz w:val="20"/>
                <w:szCs w:val="20"/>
              </w:rPr>
              <w:t>建设网上党史馆网站</w:t>
            </w:r>
            <w:r>
              <w:rPr>
                <w:rStyle w:val="30"/>
              </w:rPr>
              <w:t>1</w:t>
            </w:r>
            <w:r>
              <w:rPr>
                <w:rFonts w:hint="eastAsia" w:ascii="宋体" w:cs="宋体"/>
                <w:color w:val="000000"/>
                <w:kern w:val="0"/>
                <w:sz w:val="20"/>
                <w:szCs w:val="20"/>
              </w:rPr>
              <w:t>个</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质量指标</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党史资料数字化</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实现全面档案数字化，并完成校对</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网上党史馆</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实现人员管理、权限分配、分类管理、资料录入等功能，并进行接口开发，可与省上或其他软件进行数据交互，实现资源共享，可实现资料浏览、查找，新闻发布等功能。</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时效指标</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党史资料数字化</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color w:val="000000"/>
                <w:sz w:val="20"/>
                <w:szCs w:val="20"/>
              </w:rPr>
            </w:pPr>
            <w:r>
              <w:rPr>
                <w:rStyle w:val="30"/>
              </w:rPr>
              <w:t>2021</w:t>
            </w:r>
            <w:r>
              <w:rPr>
                <w:rFonts w:hint="eastAsia" w:ascii="宋体" w:cs="宋体"/>
                <w:color w:val="000000"/>
                <w:kern w:val="0"/>
                <w:sz w:val="20"/>
                <w:szCs w:val="20"/>
              </w:rPr>
              <w:t>年</w:t>
            </w:r>
            <w:r>
              <w:rPr>
                <w:rStyle w:val="30"/>
              </w:rPr>
              <w:t>12</w:t>
            </w:r>
            <w:r>
              <w:rPr>
                <w:rFonts w:hint="eastAsia" w:ascii="宋体" w:cs="宋体"/>
                <w:color w:val="000000"/>
                <w:kern w:val="0"/>
                <w:sz w:val="20"/>
                <w:szCs w:val="20"/>
              </w:rPr>
              <w:t>月底完成，长期维护。</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网上党史馆</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color w:val="000000"/>
                <w:sz w:val="20"/>
                <w:szCs w:val="20"/>
              </w:rPr>
            </w:pPr>
            <w:r>
              <w:rPr>
                <w:rStyle w:val="30"/>
              </w:rPr>
              <w:t>2021</w:t>
            </w:r>
            <w:r>
              <w:rPr>
                <w:rFonts w:hint="eastAsia" w:ascii="宋体" w:cs="宋体"/>
                <w:color w:val="000000"/>
                <w:kern w:val="0"/>
                <w:sz w:val="20"/>
                <w:szCs w:val="20"/>
              </w:rPr>
              <w:t>年</w:t>
            </w:r>
            <w:r>
              <w:rPr>
                <w:rStyle w:val="30"/>
              </w:rPr>
              <w:t>12</w:t>
            </w:r>
            <w:r>
              <w:rPr>
                <w:rFonts w:hint="eastAsia" w:ascii="宋体" w:cs="宋体"/>
                <w:color w:val="000000"/>
                <w:kern w:val="0"/>
                <w:sz w:val="20"/>
                <w:szCs w:val="20"/>
              </w:rPr>
              <w:t>月底完成，长期维护。</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成本指标</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项目费用</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color w:val="000000"/>
                <w:sz w:val="20"/>
                <w:szCs w:val="20"/>
              </w:rPr>
            </w:pPr>
            <w:r>
              <w:rPr>
                <w:rStyle w:val="30"/>
              </w:rPr>
              <w:t>25.5</w:t>
            </w:r>
            <w:r>
              <w:rPr>
                <w:rFonts w:hint="eastAsia" w:ascii="宋体" w:cs="宋体"/>
                <w:color w:val="000000"/>
                <w:kern w:val="0"/>
                <w:sz w:val="20"/>
                <w:szCs w:val="20"/>
              </w:rPr>
              <w:t>万元</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25.5万元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效益指标</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社会效益</w:t>
            </w:r>
            <w:r>
              <w:rPr>
                <w:rFonts w:hint="eastAsia" w:ascii="宋体" w:cs="宋体"/>
                <w:color w:val="000000"/>
                <w:kern w:val="0"/>
                <w:sz w:val="24"/>
              </w:rPr>
              <w:br w:type="textWrapping"/>
            </w:r>
            <w:r>
              <w:rPr>
                <w:rFonts w:hint="eastAsia" w:ascii="宋体" w:cs="宋体"/>
                <w:color w:val="000000"/>
                <w:kern w:val="0"/>
                <w:sz w:val="24"/>
              </w:rPr>
              <w:t>指标</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党史资料数字化</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通过对历史党史和文献资料的收集整理，人员进行资料扫描、归类，实现党史资料的数字化，为资料数据库建设提供数据支撑。</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网上党史馆</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通过对网上党史馆网站的建设，能更好的深化党史研究，准确记载和反映党的历史；组织党史学习教育；扩大党史宣传，普及党史知识；搞好党史纪念活动，深化党史事件和人物研究。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可持续影响</w:t>
            </w:r>
            <w:r>
              <w:rPr>
                <w:rFonts w:hint="eastAsia" w:ascii="宋体" w:cs="宋体"/>
                <w:color w:val="000000"/>
                <w:kern w:val="0"/>
                <w:sz w:val="24"/>
              </w:rPr>
              <w:br w:type="textWrapping"/>
            </w:r>
            <w:r>
              <w:rPr>
                <w:rFonts w:hint="eastAsia" w:ascii="宋体" w:cs="宋体"/>
                <w:color w:val="000000"/>
                <w:kern w:val="0"/>
                <w:sz w:val="24"/>
              </w:rPr>
              <w:t>指标</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党史资料数字化</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资料利用年限≥5年</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资料利用年限≥5年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网上党史馆</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color w:val="000000"/>
                <w:sz w:val="20"/>
                <w:szCs w:val="20"/>
              </w:rPr>
            </w:pPr>
            <w:r>
              <w:rPr>
                <w:rFonts w:hint="eastAsia" w:ascii="宋体" w:cs="宋体"/>
                <w:color w:val="000000"/>
                <w:kern w:val="0"/>
                <w:sz w:val="20"/>
                <w:szCs w:val="20"/>
              </w:rPr>
              <w:t>利用年限≥</w:t>
            </w:r>
            <w:r>
              <w:rPr>
                <w:rStyle w:val="30"/>
              </w:rPr>
              <w:t>5</w:t>
            </w:r>
            <w:r>
              <w:rPr>
                <w:rFonts w:hint="eastAsia" w:ascii="宋体" w:cs="宋体"/>
                <w:color w:val="000000"/>
                <w:kern w:val="0"/>
                <w:sz w:val="20"/>
                <w:szCs w:val="20"/>
              </w:rPr>
              <w:t>年</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color w:val="000000"/>
                <w:sz w:val="20"/>
                <w:szCs w:val="20"/>
              </w:rPr>
            </w:pPr>
            <w:r>
              <w:rPr>
                <w:rFonts w:hint="eastAsia" w:ascii="宋体" w:cs="宋体"/>
                <w:color w:val="000000"/>
                <w:kern w:val="0"/>
                <w:sz w:val="20"/>
                <w:szCs w:val="20"/>
              </w:rPr>
              <w:t>利用年限≥</w:t>
            </w:r>
            <w:r>
              <w:rPr>
                <w:rStyle w:val="30"/>
              </w:rPr>
              <w:t>5</w:t>
            </w:r>
            <w:r>
              <w:rPr>
                <w:rFonts w:hint="eastAsia" w:ascii="宋体" w:cs="宋体"/>
                <w:color w:val="000000"/>
                <w:kern w:val="0"/>
                <w:sz w:val="20"/>
                <w:szCs w:val="20"/>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党史资料数字化</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使用者满意度≥95%</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使用者满意度≥95%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网上党史馆</w:t>
            </w:r>
          </w:p>
        </w:tc>
        <w:tc>
          <w:tcPr>
            <w:tcW w:w="2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使用者满意度≥95%</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使用者满意度≥95%</w:t>
            </w:r>
          </w:p>
        </w:tc>
      </w:tr>
    </w:tbl>
    <w:p>
      <w:pPr>
        <w:pStyle w:val="2"/>
        <w:spacing w:before="93" w:beforeLines="0"/>
      </w:pPr>
    </w:p>
    <w:p>
      <w:pPr>
        <w:pStyle w:val="2"/>
        <w:spacing w:before="93" w:beforeLines="0"/>
      </w:pPr>
    </w:p>
    <w:p>
      <w:pPr>
        <w:pStyle w:val="2"/>
        <w:spacing w:before="93" w:beforeLines="0"/>
      </w:pPr>
    </w:p>
    <w:p>
      <w:pPr>
        <w:pStyle w:val="2"/>
        <w:spacing w:before="93" w:beforeLines="0"/>
      </w:pPr>
    </w:p>
    <w:p>
      <w:pPr>
        <w:pStyle w:val="2"/>
        <w:spacing w:before="93" w:beforeLines="0"/>
      </w:pPr>
    </w:p>
    <w:p>
      <w:pPr>
        <w:rPr>
          <w:rFonts w:ascii="黑体" w:eastAsia="黑体" w:cs="黑体"/>
          <w:sz w:val="32"/>
          <w:szCs w:val="32"/>
        </w:rPr>
      </w:pPr>
      <w:r>
        <w:rPr>
          <w:rFonts w:hint="eastAsia" w:ascii="黑体" w:eastAsia="黑体" w:cs="黑体"/>
          <w:sz w:val="32"/>
          <w:szCs w:val="32"/>
        </w:rPr>
        <w:br w:type="page"/>
      </w:r>
    </w:p>
    <w:p>
      <w:pPr>
        <w:spacing w:line="572" w:lineRule="exact"/>
        <w:jc w:val="left"/>
        <w:outlineLvl w:val="0"/>
        <w:rPr>
          <w:rFonts w:ascii="黑体" w:eastAsia="黑体" w:cs="黑体"/>
          <w:sz w:val="32"/>
          <w:szCs w:val="32"/>
        </w:rPr>
      </w:pPr>
      <w:bookmarkStart w:id="100" w:name="_Toc146721322"/>
      <w:r>
        <w:rPr>
          <w:rFonts w:hint="eastAsia" w:ascii="黑体" w:eastAsia="黑体" w:cs="黑体"/>
          <w:sz w:val="32"/>
          <w:szCs w:val="32"/>
        </w:rPr>
        <w:t>附件5</w:t>
      </w:r>
      <w:bookmarkEnd w:id="100"/>
    </w:p>
    <w:tbl>
      <w:tblPr>
        <w:tblStyle w:val="13"/>
        <w:tblW w:w="90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80"/>
        <w:gridCol w:w="795"/>
        <w:gridCol w:w="1050"/>
        <w:gridCol w:w="1200"/>
        <w:gridCol w:w="1815"/>
        <w:gridCol w:w="1916"/>
        <w:gridCol w:w="1080"/>
        <w:gridCol w:w="8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9000" w:type="dxa"/>
            <w:gridSpan w:val="8"/>
            <w:tcBorders>
              <w:top w:val="nil"/>
              <w:left w:val="nil"/>
              <w:bottom w:val="nil"/>
              <w:right w:val="nil"/>
            </w:tcBorders>
            <w:shd w:val="clear" w:color="auto" w:fill="auto"/>
            <w:noWrap/>
            <w:vAlign w:val="center"/>
          </w:tcPr>
          <w:p>
            <w:pPr>
              <w:widowControl/>
              <w:jc w:val="center"/>
              <w:textAlignment w:val="center"/>
              <w:rPr>
                <w:rFonts w:ascii="宋体" w:cs="宋体"/>
                <w:b/>
                <w:bCs/>
                <w:color w:val="000000"/>
                <w:sz w:val="32"/>
                <w:szCs w:val="32"/>
              </w:rPr>
            </w:pPr>
            <w:r>
              <w:rPr>
                <w:rFonts w:hint="eastAsia" w:ascii="宋体" w:cs="宋体"/>
                <w:b/>
                <w:bCs/>
                <w:color w:val="000000"/>
                <w:kern w:val="0"/>
                <w:sz w:val="32"/>
                <w:szCs w:val="32"/>
              </w:rPr>
              <w:t>2021年</w:t>
            </w:r>
            <w:r>
              <w:rPr>
                <w:rFonts w:ascii="宋体" w:cs="宋体"/>
                <w:b/>
                <w:bCs/>
                <w:color w:val="000000"/>
                <w:kern w:val="0"/>
                <w:sz w:val="32"/>
                <w:szCs w:val="32"/>
              </w:rPr>
              <w:t>不限金额（含）</w:t>
            </w:r>
            <w:r>
              <w:rPr>
                <w:rFonts w:hint="eastAsia" w:ascii="宋体" w:cs="宋体"/>
                <w:b/>
                <w:bCs/>
                <w:color w:val="000000"/>
                <w:kern w:val="0"/>
                <w:sz w:val="32"/>
                <w:szCs w:val="32"/>
              </w:rPr>
              <w:t>特定目标类部门预算项目绩效目标自评</w:t>
            </w:r>
            <w:r>
              <w:rPr>
                <w:rFonts w:hint="eastAsia" w:ascii="宋体" w:cs="宋体"/>
                <w:b/>
                <w:bCs/>
                <w:color w:val="000000"/>
                <w:kern w:val="0"/>
                <w:sz w:val="32"/>
                <w:szCs w:val="32"/>
              </w:rPr>
              <w:br w:type="textWrapping"/>
            </w:r>
            <w:r>
              <w:rPr>
                <w:rFonts w:hint="eastAsia" w:ascii="宋体" w:cs="宋体"/>
                <w:b/>
                <w:bCs/>
                <w:color w:val="000000"/>
                <w:kern w:val="0"/>
                <w:sz w:val="24"/>
              </w:rPr>
              <w:t>（庆祝中国共产党成立100周年系列丛书编纂出版经费）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主管部门及代码</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实施单位</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中共攀枝花市委党史研究室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9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项目预算</w:t>
            </w:r>
            <w:r>
              <w:rPr>
                <w:rFonts w:hint="eastAsia" w:ascii="宋体" w:cs="宋体"/>
                <w:color w:val="000000"/>
                <w:kern w:val="0"/>
                <w:sz w:val="24"/>
              </w:rPr>
              <w:br w:type="textWrapping"/>
            </w:r>
            <w:r>
              <w:rPr>
                <w:rFonts w:hint="eastAsia" w:ascii="宋体" w:cs="宋体"/>
                <w:color w:val="000000"/>
                <w:kern w:val="0"/>
                <w:sz w:val="24"/>
              </w:rPr>
              <w:t>执行情况</w:t>
            </w:r>
            <w:r>
              <w:rPr>
                <w:rFonts w:hint="eastAsia" w:ascii="宋体" w:cs="宋体"/>
                <w:color w:val="000000"/>
                <w:kern w:val="0"/>
                <w:sz w:val="24"/>
              </w:rPr>
              <w:br w:type="textWrapping"/>
            </w:r>
            <w:r>
              <w:rPr>
                <w:rFonts w:hint="eastAsia" w:ascii="宋体" w:cs="宋体"/>
                <w:color w:val="000000"/>
                <w:kern w:val="0"/>
                <w:sz w:val="24"/>
              </w:rPr>
              <w:t>（万元）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预算数</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4.84</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执行数</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9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4.84</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其中：</w:t>
            </w:r>
            <w:r>
              <w:rPr>
                <w:rFonts w:hint="eastAsia" w:ascii="宋体" w:cs="宋体"/>
                <w:color w:val="000000"/>
                <w:kern w:val="0"/>
                <w:sz w:val="24"/>
              </w:rPr>
              <w:br w:type="textWrapping"/>
            </w:r>
            <w:r>
              <w:rPr>
                <w:rFonts w:hint="eastAsia" w:ascii="宋体" w:cs="宋体"/>
                <w:color w:val="000000"/>
                <w:kern w:val="0"/>
                <w:sz w:val="24"/>
              </w:rPr>
              <w:t>财政拨款</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9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 其他资金</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 xml:space="preserve">其他资金 </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年度总体目标完成情况</w:t>
            </w:r>
          </w:p>
        </w:tc>
        <w:tc>
          <w:tcPr>
            <w:tcW w:w="43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预期目标</w:t>
            </w:r>
          </w:p>
        </w:tc>
        <w:tc>
          <w:tcPr>
            <w:tcW w:w="358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43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br w:type="textWrapping"/>
            </w:r>
            <w:r>
              <w:rPr>
                <w:rFonts w:hint="eastAsia" w:ascii="宋体" w:cs="宋体"/>
                <w:color w:val="000000"/>
                <w:kern w:val="0"/>
                <w:sz w:val="24"/>
              </w:rPr>
              <w:t>编纂出版庆祝中国共产党成立100周年系列丛书《中国共产党攀枝花简史》和编纂完成《英雄攀枝花100个历史瞬间》。</w:t>
            </w:r>
          </w:p>
        </w:tc>
        <w:tc>
          <w:tcPr>
            <w:tcW w:w="3585" w:type="dxa"/>
            <w:gridSpan w:val="3"/>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cs="宋体"/>
                <w:color w:val="000000"/>
                <w:sz w:val="24"/>
              </w:rPr>
            </w:pPr>
            <w:r>
              <w:rPr>
                <w:rFonts w:hint="eastAsia" w:ascii="宋体" w:cs="宋体"/>
                <w:color w:val="000000"/>
                <w:kern w:val="0"/>
                <w:sz w:val="24"/>
              </w:rPr>
              <w:t>编纂出版庆祝中国共产党成立100周年系列丛书《中国共产党攀枝花简史》和编纂完成《英雄攀枝花100个历史瞬间》。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年度绩效指标完成情况</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一级</w:t>
            </w:r>
            <w:r>
              <w:rPr>
                <w:rFonts w:hint="eastAsia" w:ascii="宋体" w:cs="宋体"/>
                <w:color w:val="000000"/>
                <w:kern w:val="0"/>
                <w:sz w:val="24"/>
              </w:rPr>
              <w:br w:type="textWrapping"/>
            </w:r>
            <w:r>
              <w:rPr>
                <w:rFonts w:hint="eastAsia" w:ascii="宋体" w:cs="宋体"/>
                <w:color w:val="000000"/>
                <w:kern w:val="0"/>
                <w:sz w:val="24"/>
              </w:rPr>
              <w:t>指标</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二级指标</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三级指标</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预期指标值</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完成指标</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数量指标</w:t>
            </w: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《中国共产党攀枝花简史》</w:t>
            </w:r>
          </w:p>
        </w:tc>
        <w:tc>
          <w:tcPr>
            <w:tcW w:w="1725"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2000册</w:t>
            </w:r>
          </w:p>
        </w:tc>
        <w:tc>
          <w:tcPr>
            <w:tcW w:w="1080"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完成</w:t>
            </w:r>
          </w:p>
        </w:tc>
        <w:tc>
          <w:tcPr>
            <w:tcW w:w="780"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《英雄攀枝花100个历史瞬间》</w:t>
            </w:r>
          </w:p>
        </w:tc>
        <w:tc>
          <w:tcPr>
            <w:tcW w:w="1725"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2000册</w:t>
            </w:r>
          </w:p>
        </w:tc>
        <w:tc>
          <w:tcPr>
            <w:tcW w:w="1860"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完成编纂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质量指标</w:t>
            </w: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《中国共产党攀枝花简史》</w:t>
            </w:r>
          </w:p>
        </w:tc>
        <w:tc>
          <w:tcPr>
            <w:tcW w:w="1725"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成品书籍达国家出版物质量标准</w:t>
            </w:r>
          </w:p>
        </w:tc>
        <w:tc>
          <w:tcPr>
            <w:tcW w:w="1860"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《英雄攀枝花100个历史瞬间》</w:t>
            </w:r>
          </w:p>
        </w:tc>
        <w:tc>
          <w:tcPr>
            <w:tcW w:w="1725"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成品书籍达国家出版物质量标准</w:t>
            </w:r>
          </w:p>
        </w:tc>
        <w:tc>
          <w:tcPr>
            <w:tcW w:w="1860"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时效指标</w:t>
            </w: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《中国共产党攀枝花简史》</w:t>
            </w:r>
          </w:p>
        </w:tc>
        <w:tc>
          <w:tcPr>
            <w:tcW w:w="1725"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2021年12月底前完成出版</w:t>
            </w:r>
          </w:p>
        </w:tc>
        <w:tc>
          <w:tcPr>
            <w:tcW w:w="1860"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kern w:val="0"/>
                <w:sz w:val="20"/>
                <w:szCs w:val="20"/>
              </w:rPr>
            </w:pPr>
            <w:r>
              <w:rPr>
                <w:rFonts w:hint="eastAsia" w:ascii="宋体" w:cs="宋体"/>
                <w:color w:val="000000"/>
                <w:kern w:val="0"/>
                <w:sz w:val="20"/>
                <w:szCs w:val="20"/>
              </w:rPr>
              <w:t>《英雄攀枝花10</w:t>
            </w: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kern w:val="0"/>
                <w:sz w:val="20"/>
                <w:szCs w:val="20"/>
              </w:rPr>
            </w:pPr>
          </w:p>
          <w:p>
            <w:pPr>
              <w:widowControl/>
              <w:jc w:val="center"/>
              <w:textAlignment w:val="center"/>
              <w:rPr>
                <w:rFonts w:ascii="宋体" w:cs="宋体"/>
                <w:color w:val="000000"/>
                <w:sz w:val="20"/>
                <w:szCs w:val="20"/>
              </w:rPr>
            </w:pPr>
            <w:r>
              <w:rPr>
                <w:rFonts w:hint="eastAsia" w:ascii="宋体" w:cs="宋体"/>
                <w:color w:val="000000"/>
                <w:kern w:val="0"/>
                <w:sz w:val="20"/>
                <w:szCs w:val="20"/>
              </w:rPr>
              <w:t>0个历史瞬间》</w:t>
            </w:r>
          </w:p>
        </w:tc>
        <w:tc>
          <w:tcPr>
            <w:tcW w:w="1725"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2021年12月底前编纂完成</w:t>
            </w:r>
          </w:p>
        </w:tc>
        <w:tc>
          <w:tcPr>
            <w:tcW w:w="1860"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成本指标</w:t>
            </w:r>
          </w:p>
        </w:tc>
        <w:tc>
          <w:tcPr>
            <w:tcW w:w="2490"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编辑出版费用</w:t>
            </w:r>
          </w:p>
        </w:tc>
        <w:tc>
          <w:tcPr>
            <w:tcW w:w="1725"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4.84万元</w:t>
            </w:r>
          </w:p>
        </w:tc>
        <w:tc>
          <w:tcPr>
            <w:tcW w:w="1860"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4.84万元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效益指标</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社会效益</w:t>
            </w:r>
            <w:r>
              <w:rPr>
                <w:rFonts w:hint="eastAsia" w:ascii="宋体" w:cs="宋体"/>
                <w:color w:val="000000"/>
                <w:kern w:val="0"/>
                <w:sz w:val="24"/>
              </w:rPr>
              <w:br w:type="textWrapping"/>
            </w:r>
            <w:r>
              <w:rPr>
                <w:rFonts w:hint="eastAsia" w:ascii="宋体" w:cs="宋体"/>
                <w:color w:val="000000"/>
                <w:kern w:val="0"/>
                <w:sz w:val="24"/>
              </w:rPr>
              <w:t>指标</w:t>
            </w: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系列丛书编纂意义</w:t>
            </w:r>
          </w:p>
        </w:tc>
        <w:tc>
          <w:tcPr>
            <w:tcW w:w="1725"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有助于广大党员干部、群众学党史、知市情，在新时代西部大开发、成渝地区双城经济圈的战略指引下，把思想和行动统一到中央、省委、市委的工作部署上来，抢抓机遇，砥砺前行，努力向历史、向人民交出新的更加优异的答卷。</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可持续影响</w:t>
            </w:r>
            <w:r>
              <w:rPr>
                <w:rFonts w:hint="eastAsia" w:ascii="宋体" w:cs="宋体"/>
                <w:color w:val="000000"/>
                <w:kern w:val="0"/>
                <w:sz w:val="24"/>
              </w:rPr>
              <w:br w:type="textWrapping"/>
            </w:r>
            <w:r>
              <w:rPr>
                <w:rFonts w:hint="eastAsia" w:ascii="宋体" w:cs="宋体"/>
                <w:color w:val="000000"/>
                <w:kern w:val="0"/>
                <w:sz w:val="24"/>
              </w:rPr>
              <w:t>指标</w:t>
            </w: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《中国共产党攀枝花简史》</w:t>
            </w:r>
          </w:p>
        </w:tc>
        <w:tc>
          <w:tcPr>
            <w:tcW w:w="1916"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利用年限≥5年</w:t>
            </w:r>
          </w:p>
        </w:tc>
        <w:tc>
          <w:tcPr>
            <w:tcW w:w="1916"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利用年限≥5年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《英雄攀枝花100个历史瞬间》</w:t>
            </w:r>
          </w:p>
        </w:tc>
        <w:tc>
          <w:tcPr>
            <w:tcW w:w="1916"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利用年限≥5年</w:t>
            </w:r>
          </w:p>
        </w:tc>
        <w:tc>
          <w:tcPr>
            <w:tcW w:w="1916"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利用年限≥5年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4"/>
              </w:rPr>
            </w:pPr>
            <w:r>
              <w:rPr>
                <w:rFonts w:hint="eastAsia" w:ascii="宋体" w:cs="宋体"/>
                <w:color w:val="000000"/>
                <w:kern w:val="0"/>
                <w:sz w:val="24"/>
              </w:rPr>
              <w:t>满意度指标</w:t>
            </w:r>
          </w:p>
        </w:tc>
        <w:tc>
          <w:tcPr>
            <w:tcW w:w="3015"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《中国共产党攀枝花简史》</w:t>
            </w:r>
          </w:p>
        </w:tc>
        <w:tc>
          <w:tcPr>
            <w:tcW w:w="1916" w:type="dxa"/>
            <w:tcBorders>
              <w:top w:val="single" w:color="000000" w:sz="4" w:space="0"/>
              <w:left w:val="single" w:color="000000" w:sz="4" w:space="0"/>
              <w:bottom w:val="nil"/>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使用者满意度≥95%</w:t>
            </w:r>
          </w:p>
        </w:tc>
        <w:tc>
          <w:tcPr>
            <w:tcW w:w="1916" w:type="dxa"/>
            <w:gridSpan w:val="2"/>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使用者满意度≥95%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tc>
        <w:tc>
          <w:tcPr>
            <w:tcW w:w="3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《英雄攀枝花100个历史瞬间》</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cs="宋体"/>
                <w:color w:val="000000"/>
                <w:sz w:val="20"/>
                <w:szCs w:val="20"/>
              </w:rPr>
            </w:pPr>
            <w:r>
              <w:rPr>
                <w:rFonts w:hint="eastAsia" w:ascii="宋体" w:cs="宋体"/>
                <w:color w:val="000000"/>
                <w:kern w:val="0"/>
                <w:sz w:val="20"/>
                <w:szCs w:val="20"/>
              </w:rPr>
              <w:t>使用者满意度≥95%</w:t>
            </w:r>
          </w:p>
        </w:tc>
        <w:tc>
          <w:tcPr>
            <w:tcW w:w="19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cs="宋体"/>
                <w:color w:val="000000"/>
                <w:sz w:val="20"/>
                <w:szCs w:val="20"/>
              </w:rPr>
            </w:pPr>
            <w:r>
              <w:rPr>
                <w:rFonts w:hint="eastAsia" w:ascii="宋体" w:cs="宋体"/>
                <w:color w:val="000000"/>
                <w:kern w:val="0"/>
                <w:sz w:val="20"/>
                <w:szCs w:val="20"/>
              </w:rPr>
              <w:t>使用者满意度≥95%</w:t>
            </w:r>
          </w:p>
        </w:tc>
      </w:tr>
    </w:tbl>
    <w:p>
      <w:pPr>
        <w:spacing w:line="600" w:lineRule="exact"/>
        <w:outlineLvl w:val="0"/>
        <w:rPr>
          <w:rFonts w:ascii="黑体" w:eastAsia="黑体"/>
          <w:sz w:val="44"/>
          <w:szCs w:val="44"/>
        </w:rPr>
      </w:pPr>
      <w:bookmarkStart w:id="101" w:name="_Toc15396618"/>
    </w:p>
    <w:p>
      <w:pPr>
        <w:rPr>
          <w:rFonts w:ascii="黑体" w:eastAsia="黑体"/>
          <w:sz w:val="44"/>
          <w:szCs w:val="44"/>
        </w:rPr>
      </w:pPr>
      <w:r>
        <w:rPr>
          <w:rFonts w:hint="eastAsia" w:ascii="黑体" w:eastAsia="黑体"/>
          <w:sz w:val="44"/>
          <w:szCs w:val="44"/>
        </w:rPr>
        <w:br w:type="page"/>
      </w:r>
    </w:p>
    <w:p>
      <w:pPr>
        <w:spacing w:line="600" w:lineRule="exact"/>
        <w:jc w:val="center"/>
        <w:outlineLvl w:val="0"/>
        <w:rPr>
          <w:rFonts w:ascii="仿宋" w:eastAsia="仿宋"/>
        </w:rPr>
      </w:pPr>
      <w:bookmarkStart w:id="102" w:name="_Toc146721323"/>
      <w:r>
        <w:rPr>
          <w:rFonts w:hint="eastAsia" w:ascii="黑体" w:eastAsia="黑体"/>
          <w:sz w:val="44"/>
          <w:szCs w:val="44"/>
        </w:rPr>
        <w:t>第</w:t>
      </w:r>
      <w:r>
        <w:rPr>
          <w:rStyle w:val="17"/>
          <w:rFonts w:hint="eastAsia" w:ascii="黑体" w:eastAsia="黑体"/>
          <w:b w:val="0"/>
        </w:rPr>
        <w:t>五部分 附表</w:t>
      </w:r>
      <w:bookmarkEnd w:id="93"/>
      <w:bookmarkEnd w:id="101"/>
      <w:bookmarkEnd w:id="102"/>
      <w:bookmarkStart w:id="103" w:name="_Toc15396619"/>
    </w:p>
    <w:p>
      <w:pPr>
        <w:pStyle w:val="4"/>
        <w:spacing w:before="140" w:after="140"/>
        <w:rPr>
          <w:rFonts w:ascii="仿宋" w:eastAsia="仿宋"/>
        </w:rPr>
      </w:pPr>
      <w:bookmarkStart w:id="104" w:name="_Toc146721324"/>
      <w:r>
        <w:rPr>
          <w:rFonts w:hint="eastAsia" w:ascii="仿宋" w:eastAsia="仿宋"/>
          <w:b w:val="0"/>
        </w:rPr>
        <w:t>一、收</w:t>
      </w:r>
      <w:r>
        <w:rPr>
          <w:rStyle w:val="18"/>
          <w:rFonts w:hint="eastAsia" w:ascii="仿宋" w:eastAsia="仿宋"/>
          <w:b w:val="0"/>
          <w:bCs w:val="0"/>
        </w:rPr>
        <w:t>入支出决算总表</w:t>
      </w:r>
      <w:bookmarkEnd w:id="103"/>
      <w:bookmarkEnd w:id="104"/>
    </w:p>
    <w:p>
      <w:pPr>
        <w:pStyle w:val="4"/>
        <w:spacing w:before="140" w:after="140"/>
        <w:rPr>
          <w:rFonts w:ascii="仿宋" w:eastAsia="仿宋"/>
        </w:rPr>
      </w:pPr>
      <w:bookmarkStart w:id="105" w:name="_Toc146721325"/>
      <w:bookmarkStart w:id="106" w:name="_Toc15396620"/>
      <w:r>
        <w:rPr>
          <w:rFonts w:hint="eastAsia" w:ascii="仿宋" w:eastAsia="仿宋"/>
          <w:b w:val="0"/>
        </w:rPr>
        <w:t>二、收</w:t>
      </w:r>
      <w:r>
        <w:rPr>
          <w:rStyle w:val="18"/>
          <w:rFonts w:hint="eastAsia" w:ascii="仿宋" w:eastAsia="仿宋"/>
          <w:b w:val="0"/>
          <w:bCs w:val="0"/>
        </w:rPr>
        <w:t>入决算表</w:t>
      </w:r>
      <w:bookmarkEnd w:id="105"/>
      <w:bookmarkEnd w:id="106"/>
    </w:p>
    <w:p>
      <w:pPr>
        <w:pStyle w:val="4"/>
        <w:spacing w:before="140" w:after="140"/>
        <w:rPr>
          <w:rFonts w:ascii="仿宋" w:eastAsia="仿宋"/>
        </w:rPr>
      </w:pPr>
      <w:bookmarkStart w:id="107" w:name="_Toc15396621"/>
      <w:bookmarkStart w:id="108" w:name="_Toc146721326"/>
      <w:r>
        <w:rPr>
          <w:rStyle w:val="18"/>
          <w:rFonts w:hint="eastAsia" w:ascii="仿宋" w:eastAsia="仿宋"/>
          <w:b w:val="0"/>
          <w:bCs w:val="0"/>
        </w:rPr>
        <w:t>三、</w:t>
      </w:r>
      <w:r>
        <w:rPr>
          <w:rFonts w:hint="eastAsia" w:ascii="仿宋" w:eastAsia="仿宋"/>
          <w:b w:val="0"/>
        </w:rPr>
        <w:t>支</w:t>
      </w:r>
      <w:r>
        <w:rPr>
          <w:rStyle w:val="18"/>
          <w:rFonts w:hint="eastAsia" w:ascii="仿宋" w:eastAsia="仿宋"/>
          <w:b w:val="0"/>
          <w:bCs w:val="0"/>
        </w:rPr>
        <w:t>出决算表</w:t>
      </w:r>
      <w:bookmarkEnd w:id="107"/>
      <w:bookmarkEnd w:id="108"/>
    </w:p>
    <w:p>
      <w:pPr>
        <w:pStyle w:val="4"/>
        <w:spacing w:before="140" w:after="140"/>
        <w:rPr>
          <w:rFonts w:ascii="仿宋" w:eastAsia="仿宋"/>
          <w:b w:val="0"/>
        </w:rPr>
      </w:pPr>
      <w:bookmarkStart w:id="109" w:name="_Toc15396622"/>
      <w:bookmarkStart w:id="110" w:name="_Toc146721327"/>
      <w:r>
        <w:rPr>
          <w:rStyle w:val="18"/>
          <w:rFonts w:hint="eastAsia" w:ascii="仿宋" w:eastAsia="仿宋"/>
          <w:b w:val="0"/>
          <w:bCs w:val="0"/>
        </w:rPr>
        <w:t>四、</w:t>
      </w:r>
      <w:r>
        <w:rPr>
          <w:rFonts w:hint="eastAsia" w:ascii="仿宋" w:eastAsia="仿宋"/>
          <w:b w:val="0"/>
        </w:rPr>
        <w:t>财</w:t>
      </w:r>
      <w:r>
        <w:rPr>
          <w:rStyle w:val="18"/>
          <w:rFonts w:hint="eastAsia" w:ascii="仿宋" w:eastAsia="仿宋"/>
          <w:b w:val="0"/>
          <w:bCs w:val="0"/>
        </w:rPr>
        <w:t>政拨款收入支出决算总表</w:t>
      </w:r>
      <w:bookmarkEnd w:id="109"/>
      <w:bookmarkEnd w:id="110"/>
    </w:p>
    <w:p>
      <w:pPr>
        <w:pStyle w:val="4"/>
        <w:spacing w:before="140" w:after="140"/>
        <w:rPr>
          <w:rStyle w:val="18"/>
          <w:rFonts w:ascii="仿宋" w:eastAsia="仿宋"/>
          <w:b w:val="0"/>
          <w:bCs w:val="0"/>
        </w:rPr>
      </w:pPr>
      <w:bookmarkStart w:id="111" w:name="_Toc15396623"/>
      <w:bookmarkStart w:id="112" w:name="_Toc146721328"/>
      <w:r>
        <w:rPr>
          <w:rStyle w:val="18"/>
          <w:rFonts w:hint="eastAsia" w:ascii="仿宋" w:eastAsia="仿宋"/>
          <w:b w:val="0"/>
          <w:bCs w:val="0"/>
        </w:rPr>
        <w:t>五、</w:t>
      </w:r>
      <w:r>
        <w:rPr>
          <w:rFonts w:hint="eastAsia" w:ascii="仿宋" w:eastAsia="仿宋"/>
          <w:b w:val="0"/>
        </w:rPr>
        <w:t>财</w:t>
      </w:r>
      <w:r>
        <w:rPr>
          <w:rStyle w:val="18"/>
          <w:rFonts w:hint="eastAsia" w:ascii="仿宋" w:eastAsia="仿宋"/>
          <w:b w:val="0"/>
          <w:bCs w:val="0"/>
        </w:rPr>
        <w:t>政拨款支出决算明细表</w:t>
      </w:r>
      <w:bookmarkEnd w:id="111"/>
      <w:bookmarkEnd w:id="112"/>
      <w:bookmarkStart w:id="113" w:name="_Toc15396624"/>
    </w:p>
    <w:p>
      <w:pPr>
        <w:pStyle w:val="4"/>
        <w:spacing w:before="140" w:after="140"/>
        <w:rPr>
          <w:rFonts w:ascii="仿宋" w:eastAsia="仿宋"/>
        </w:rPr>
      </w:pPr>
      <w:bookmarkStart w:id="114" w:name="_Toc146721329"/>
      <w:r>
        <w:rPr>
          <w:rStyle w:val="18"/>
          <w:rFonts w:hint="eastAsia" w:ascii="仿宋" w:eastAsia="仿宋"/>
          <w:b w:val="0"/>
          <w:bCs w:val="0"/>
        </w:rPr>
        <w:t>六、</w:t>
      </w:r>
      <w:r>
        <w:rPr>
          <w:rFonts w:hint="eastAsia" w:ascii="仿宋" w:eastAsia="仿宋"/>
          <w:b w:val="0"/>
        </w:rPr>
        <w:t>一</w:t>
      </w:r>
      <w:r>
        <w:rPr>
          <w:rStyle w:val="18"/>
          <w:rFonts w:hint="eastAsia" w:ascii="仿宋" w:eastAsia="仿宋"/>
          <w:b w:val="0"/>
          <w:bCs w:val="0"/>
        </w:rPr>
        <w:t>般公共预算财政拨款支出决算表</w:t>
      </w:r>
      <w:bookmarkEnd w:id="113"/>
      <w:bookmarkEnd w:id="114"/>
    </w:p>
    <w:p>
      <w:pPr>
        <w:pStyle w:val="4"/>
        <w:spacing w:before="140" w:after="140"/>
        <w:rPr>
          <w:rFonts w:ascii="仿宋" w:eastAsia="仿宋"/>
        </w:rPr>
      </w:pPr>
      <w:bookmarkStart w:id="115" w:name="_Toc15396625"/>
      <w:bookmarkStart w:id="116" w:name="_Toc146721330"/>
      <w:r>
        <w:rPr>
          <w:rStyle w:val="18"/>
          <w:rFonts w:hint="eastAsia" w:ascii="仿宋" w:eastAsia="仿宋"/>
          <w:b w:val="0"/>
          <w:bCs w:val="0"/>
        </w:rPr>
        <w:t>七、</w:t>
      </w:r>
      <w:r>
        <w:rPr>
          <w:rFonts w:hint="eastAsia" w:ascii="仿宋" w:eastAsia="仿宋"/>
          <w:b w:val="0"/>
        </w:rPr>
        <w:t>一</w:t>
      </w:r>
      <w:r>
        <w:rPr>
          <w:rStyle w:val="18"/>
          <w:rFonts w:hint="eastAsia" w:ascii="仿宋" w:eastAsia="仿宋"/>
          <w:b w:val="0"/>
          <w:bCs w:val="0"/>
        </w:rPr>
        <w:t>般公共预算财政拨款支出决算明细表</w:t>
      </w:r>
      <w:bookmarkEnd w:id="115"/>
      <w:bookmarkEnd w:id="116"/>
    </w:p>
    <w:p>
      <w:pPr>
        <w:pStyle w:val="4"/>
        <w:spacing w:before="140" w:after="140"/>
        <w:rPr>
          <w:rFonts w:ascii="仿宋" w:eastAsia="仿宋"/>
        </w:rPr>
      </w:pPr>
      <w:bookmarkStart w:id="117" w:name="_Toc146721331"/>
      <w:bookmarkStart w:id="118" w:name="_Toc15396626"/>
      <w:r>
        <w:rPr>
          <w:rStyle w:val="18"/>
          <w:rFonts w:hint="eastAsia" w:ascii="仿宋" w:eastAsia="仿宋"/>
          <w:b w:val="0"/>
          <w:bCs w:val="0"/>
        </w:rPr>
        <w:t>八、</w:t>
      </w:r>
      <w:r>
        <w:rPr>
          <w:rFonts w:hint="eastAsia" w:ascii="仿宋" w:eastAsia="仿宋"/>
          <w:b w:val="0"/>
        </w:rPr>
        <w:t>一</w:t>
      </w:r>
      <w:r>
        <w:rPr>
          <w:rStyle w:val="18"/>
          <w:rFonts w:hint="eastAsia" w:ascii="仿宋" w:eastAsia="仿宋"/>
          <w:b w:val="0"/>
          <w:bCs w:val="0"/>
        </w:rPr>
        <w:t>般公共预算财政拨款基本支出决算表</w:t>
      </w:r>
      <w:bookmarkEnd w:id="117"/>
      <w:bookmarkEnd w:id="118"/>
    </w:p>
    <w:p>
      <w:pPr>
        <w:pStyle w:val="4"/>
        <w:spacing w:before="140" w:after="140"/>
        <w:rPr>
          <w:rFonts w:ascii="仿宋" w:eastAsia="仿宋"/>
        </w:rPr>
      </w:pPr>
      <w:bookmarkStart w:id="119" w:name="_Toc146721332"/>
      <w:bookmarkStart w:id="120" w:name="_Toc15396627"/>
      <w:r>
        <w:rPr>
          <w:rStyle w:val="18"/>
          <w:rFonts w:hint="eastAsia" w:ascii="仿宋" w:eastAsia="仿宋"/>
          <w:b w:val="0"/>
          <w:bCs w:val="0"/>
        </w:rPr>
        <w:t>九、</w:t>
      </w:r>
      <w:r>
        <w:rPr>
          <w:rFonts w:hint="eastAsia" w:ascii="仿宋" w:eastAsia="仿宋"/>
          <w:b w:val="0"/>
        </w:rPr>
        <w:t>一</w:t>
      </w:r>
      <w:r>
        <w:rPr>
          <w:rStyle w:val="18"/>
          <w:rFonts w:hint="eastAsia" w:ascii="仿宋" w:eastAsia="仿宋"/>
          <w:b w:val="0"/>
          <w:bCs w:val="0"/>
        </w:rPr>
        <w:t>般公共预算财政拨款项目支出决算表</w:t>
      </w:r>
      <w:bookmarkEnd w:id="119"/>
      <w:bookmarkEnd w:id="120"/>
    </w:p>
    <w:p>
      <w:pPr>
        <w:pStyle w:val="4"/>
        <w:spacing w:before="140" w:after="140"/>
        <w:rPr>
          <w:rFonts w:ascii="仿宋" w:eastAsia="仿宋"/>
        </w:rPr>
      </w:pPr>
      <w:bookmarkStart w:id="121" w:name="_Toc15396628"/>
      <w:bookmarkStart w:id="122" w:name="_Toc146721333"/>
      <w:r>
        <w:rPr>
          <w:rStyle w:val="18"/>
          <w:rFonts w:hint="eastAsia" w:ascii="仿宋" w:eastAsia="仿宋"/>
          <w:b w:val="0"/>
          <w:bCs w:val="0"/>
        </w:rPr>
        <w:t>十、</w:t>
      </w:r>
      <w:r>
        <w:rPr>
          <w:rFonts w:hint="eastAsia" w:ascii="仿宋" w:eastAsia="仿宋"/>
          <w:b w:val="0"/>
        </w:rPr>
        <w:t>一</w:t>
      </w:r>
      <w:r>
        <w:rPr>
          <w:rStyle w:val="18"/>
          <w:rFonts w:hint="eastAsia" w:ascii="仿宋" w:eastAsia="仿宋"/>
          <w:b w:val="0"/>
          <w:bCs w:val="0"/>
        </w:rPr>
        <w:t>般公共预算财政拨款“三公”经费支出决算表</w:t>
      </w:r>
      <w:bookmarkEnd w:id="121"/>
      <w:bookmarkEnd w:id="122"/>
    </w:p>
    <w:p>
      <w:pPr>
        <w:pStyle w:val="4"/>
        <w:spacing w:before="140" w:after="140"/>
        <w:rPr>
          <w:rFonts w:ascii="仿宋" w:eastAsia="仿宋"/>
        </w:rPr>
      </w:pPr>
      <w:bookmarkStart w:id="123" w:name="_Toc15396629"/>
      <w:bookmarkStart w:id="124" w:name="_Toc146721334"/>
      <w:r>
        <w:rPr>
          <w:rStyle w:val="18"/>
          <w:rFonts w:hint="eastAsia" w:ascii="仿宋" w:eastAsia="仿宋"/>
          <w:b w:val="0"/>
          <w:bCs w:val="0"/>
        </w:rPr>
        <w:t>十一、</w:t>
      </w:r>
      <w:r>
        <w:rPr>
          <w:rFonts w:hint="eastAsia" w:ascii="仿宋" w:eastAsia="仿宋"/>
          <w:b w:val="0"/>
        </w:rPr>
        <w:t>政</w:t>
      </w:r>
      <w:r>
        <w:rPr>
          <w:rStyle w:val="18"/>
          <w:rFonts w:hint="eastAsia" w:ascii="仿宋" w:eastAsia="仿宋"/>
          <w:b w:val="0"/>
          <w:bCs w:val="0"/>
        </w:rPr>
        <w:t>府性基金预算财政拨款收入支出决算表</w:t>
      </w:r>
      <w:bookmarkEnd w:id="123"/>
      <w:r>
        <w:rPr>
          <w:rStyle w:val="18"/>
          <w:rFonts w:hint="eastAsia" w:ascii="仿宋" w:eastAsia="仿宋"/>
          <w:b w:val="0"/>
          <w:bCs w:val="0"/>
        </w:rPr>
        <w:t>（此表无数据）</w:t>
      </w:r>
      <w:bookmarkEnd w:id="124"/>
    </w:p>
    <w:p>
      <w:pPr>
        <w:pStyle w:val="4"/>
        <w:spacing w:before="140" w:after="140"/>
        <w:rPr>
          <w:rFonts w:ascii="仿宋" w:eastAsia="仿宋"/>
        </w:rPr>
      </w:pPr>
      <w:bookmarkStart w:id="125" w:name="_Toc15396630"/>
      <w:bookmarkStart w:id="126" w:name="_Toc146721335"/>
      <w:r>
        <w:rPr>
          <w:rStyle w:val="18"/>
          <w:rFonts w:hint="eastAsia" w:ascii="仿宋" w:eastAsia="仿宋"/>
          <w:b w:val="0"/>
          <w:bCs w:val="0"/>
        </w:rPr>
        <w:t>十二、</w:t>
      </w:r>
      <w:r>
        <w:rPr>
          <w:rFonts w:hint="eastAsia" w:ascii="仿宋" w:eastAsia="仿宋"/>
          <w:b w:val="0"/>
        </w:rPr>
        <w:t>政</w:t>
      </w:r>
      <w:r>
        <w:rPr>
          <w:rStyle w:val="18"/>
          <w:rFonts w:hint="eastAsia" w:ascii="仿宋" w:eastAsia="仿宋"/>
          <w:b w:val="0"/>
          <w:bCs w:val="0"/>
        </w:rPr>
        <w:t>府性基金预算财政拨款“三公”经费支出决算表</w:t>
      </w:r>
      <w:bookmarkEnd w:id="125"/>
      <w:r>
        <w:rPr>
          <w:rStyle w:val="18"/>
          <w:rFonts w:hint="eastAsia" w:ascii="仿宋" w:eastAsia="仿宋"/>
          <w:b w:val="0"/>
          <w:bCs w:val="0"/>
        </w:rPr>
        <w:t>（此表无数据）</w:t>
      </w:r>
      <w:bookmarkEnd w:id="126"/>
    </w:p>
    <w:p>
      <w:pPr>
        <w:pStyle w:val="4"/>
        <w:spacing w:before="140" w:after="140"/>
        <w:rPr>
          <w:rFonts w:ascii="仿宋" w:eastAsia="仿宋"/>
        </w:rPr>
      </w:pPr>
      <w:bookmarkStart w:id="127" w:name="_Toc15396631"/>
      <w:bookmarkStart w:id="128" w:name="_Toc146721336"/>
      <w:r>
        <w:rPr>
          <w:rStyle w:val="18"/>
          <w:rFonts w:hint="eastAsia" w:ascii="仿宋" w:eastAsia="仿宋"/>
          <w:b w:val="0"/>
          <w:bCs w:val="0"/>
        </w:rPr>
        <w:t>十三、</w:t>
      </w:r>
      <w:r>
        <w:rPr>
          <w:rFonts w:hint="eastAsia" w:ascii="仿宋" w:eastAsia="仿宋"/>
          <w:b w:val="0"/>
        </w:rPr>
        <w:t>国</w:t>
      </w:r>
      <w:r>
        <w:rPr>
          <w:rStyle w:val="18"/>
          <w:rFonts w:hint="eastAsia" w:ascii="仿宋" w:eastAsia="仿宋"/>
          <w:b w:val="0"/>
          <w:bCs w:val="0"/>
        </w:rPr>
        <w:t>有资本经营预算财政拨款收入支出决算表</w:t>
      </w:r>
      <w:bookmarkEnd w:id="127"/>
      <w:r>
        <w:rPr>
          <w:rStyle w:val="18"/>
          <w:rFonts w:hint="eastAsia" w:ascii="仿宋" w:eastAsia="仿宋"/>
          <w:b w:val="0"/>
          <w:bCs w:val="0"/>
        </w:rPr>
        <w:t>（此表无数据）</w:t>
      </w:r>
      <w:bookmarkEnd w:id="128"/>
    </w:p>
    <w:p>
      <w:pPr>
        <w:pStyle w:val="4"/>
        <w:spacing w:before="140" w:after="140"/>
        <w:rPr>
          <w:rFonts w:eastAsia="仿宋"/>
        </w:rPr>
      </w:pPr>
      <w:bookmarkStart w:id="129" w:name="_Toc146721337"/>
      <w:r>
        <w:rPr>
          <w:rStyle w:val="18"/>
          <w:rFonts w:hint="eastAsia" w:ascii="仿宋" w:eastAsia="仿宋"/>
          <w:b w:val="0"/>
          <w:bCs w:val="0"/>
        </w:rPr>
        <w:t>十四、国有资本经营预算财政拨款支出决算表（此表无数据）</w:t>
      </w:r>
      <w:bookmarkEnd w:id="129"/>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Lucida Sans">
    <w:panose1 w:val="020B0602030504020204"/>
    <w:charset w:val="00"/>
    <w:family w:val="auto"/>
    <w:pitch w:val="default"/>
    <w:sig w:usb0="00000000" w:usb1="00000000" w:usb2="00000000" w:usb3="00000000" w:csb0="00000000"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Lucida Sans">
    <w:panose1 w:val="020B0602030504020204"/>
    <w:charset w:val="01"/>
    <w:family w:val="auto"/>
    <w:pitch w:val="default"/>
    <w:sig w:usb0="00000000" w:usb1="00000000" w:usb2="00000000" w:usb3="00000000" w:csb0="00000000" w:csb1="00000000"/>
  </w:font>
  <w:font w:name="Book Antiqua">
    <w:panose1 w:val="020406020503050303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218612"/>
    </w:sdtPr>
    <w:sdtContent>
      <w:p>
        <w:pPr>
          <w:pStyle w:val="8"/>
          <w:jc w:val="center"/>
        </w:pPr>
        <w:r>
          <w:fldChar w:fldCharType="begin"/>
        </w:r>
        <w:r>
          <w:instrText xml:space="preserve">PAGE   \* MERGEFORMAT</w:instrText>
        </w:r>
        <w:r>
          <w:fldChar w:fldCharType="separate"/>
        </w:r>
        <w:r>
          <w:rPr>
            <w:lang w:val="zh-CN"/>
          </w:rPr>
          <w:t>3</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pPr>
        <w:ind w:left="0" w:firstLine="0"/>
      </w:pPr>
      <w:rPr>
        <w:rFonts w:hint="eastAsia"/>
      </w:rPr>
    </w:lvl>
  </w:abstractNum>
  <w:abstractNum w:abstractNumId="1">
    <w:nsid w:val="E2FA047D"/>
    <w:multiLevelType w:val="singleLevel"/>
    <w:tmpl w:val="E2FA047D"/>
    <w:lvl w:ilvl="0" w:tentative="0">
      <w:start w:val="3"/>
      <w:numFmt w:val="chineseCounting"/>
      <w:suff w:val="space"/>
      <w:lvlText w:val="第%1部分"/>
      <w:lvlJc w:val="left"/>
      <w:pPr>
        <w:ind w:left="0" w:firstLine="0"/>
      </w:pPr>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dit="readOnly" w:enforcement="0"/>
  <w:defaultTabStop w:val="420"/>
  <w:drawingGridHorizontalSpacing w:val="105"/>
  <w:drawingGridVerticalSpacing w:val="156"/>
  <w:displayHorizontalDrawingGridEvery w:val="0"/>
  <w:displayVerticalDrawingGridEvery w:val="1"/>
  <w:noPunctuationKerning w:val="true"/>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4"/>
  </w:compat>
  <w:rsids>
    <w:rsidRoot w:val="00000000"/>
    <w:rsid w:val="2FBBC5C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7"/>
    <w:qFormat/>
    <w:uiPriority w:val="0"/>
    <w:pPr>
      <w:keepNext/>
      <w:keepLines/>
      <w:widowControl w:val="0"/>
      <w:spacing w:before="340" w:after="330" w:line="578" w:lineRule="auto"/>
      <w:outlineLvl w:val="0"/>
    </w:pPr>
    <w:rPr>
      <w:b/>
      <w:bCs/>
      <w:kern w:val="44"/>
      <w:sz w:val="44"/>
      <w:szCs w:val="44"/>
    </w:rPr>
  </w:style>
  <w:style w:type="paragraph" w:styleId="4">
    <w:name w:val="heading 2"/>
    <w:basedOn w:val="1"/>
    <w:next w:val="1"/>
    <w:link w:val="18"/>
    <w:qFormat/>
    <w:uiPriority w:val="0"/>
    <w:pPr>
      <w:keepNext/>
      <w:keepLines/>
      <w:widowControl w:val="0"/>
      <w:spacing w:before="260" w:after="260" w:line="415" w:lineRule="auto"/>
      <w:outlineLvl w:val="1"/>
    </w:pPr>
    <w:rPr>
      <w:rFonts w:ascii="Cambria" w:hAnsi="Cambria"/>
      <w:b/>
      <w:bCs/>
      <w:sz w:val="32"/>
      <w:szCs w:val="32"/>
    </w:rPr>
  </w:style>
  <w:style w:type="paragraph" w:styleId="5">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4">
    <w:name w:val="Default Paragraph Font"/>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30" w:beforeLines="30"/>
    </w:pPr>
    <w:rPr>
      <w:rFonts w:ascii="仿宋_GB2312" w:eastAsia="仿宋_GB2312"/>
      <w:kern w:val="0"/>
      <w:sz w:val="30"/>
    </w:rPr>
  </w:style>
  <w:style w:type="paragraph" w:styleId="6">
    <w:name w:val="toc 3"/>
    <w:basedOn w:val="1"/>
    <w:next w:val="1"/>
    <w:qFormat/>
    <w:uiPriority w:val="0"/>
    <w:pPr>
      <w:tabs>
        <w:tab w:val="right" w:leader="dot" w:pos="8296"/>
      </w:tabs>
      <w:ind w:left="400" w:leftChars="400"/>
    </w:pPr>
  </w:style>
  <w:style w:type="paragraph" w:styleId="7">
    <w:name w:val="Balloon Text"/>
    <w:basedOn w:val="1"/>
    <w:qFormat/>
    <w:uiPriority w:val="0"/>
    <w:rPr>
      <w:sz w:val="18"/>
      <w:szCs w:val="18"/>
    </w:rPr>
  </w:style>
  <w:style w:type="paragraph" w:styleId="8">
    <w:name w:val="footer"/>
    <w:basedOn w:val="1"/>
    <w:qFormat/>
    <w:uiPriority w:val="0"/>
    <w:pPr>
      <w:tabs>
        <w:tab w:val="center" w:pos="4153"/>
        <w:tab w:val="right" w:pos="8306"/>
      </w:tabs>
      <w:snapToGrid w:val="0"/>
      <w:jc w:val="left"/>
    </w:pPr>
    <w:rPr>
      <w:rFonts w:ascii="Calibri" w:hAnsi="Calibri"/>
      <w:kern w:val="0"/>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qFormat/>
    <w:uiPriority w:val="0"/>
    <w:pPr>
      <w:tabs>
        <w:tab w:val="right" w:leader="dot" w:pos="8296"/>
      </w:tabs>
      <w:spacing w:before="93"/>
      <w:jc w:val="center"/>
    </w:pPr>
    <w:rPr>
      <w:rFonts w:ascii="仿宋" w:eastAsia="仿宋"/>
      <w:sz w:val="28"/>
      <w:szCs w:val="28"/>
    </w:rPr>
  </w:style>
  <w:style w:type="paragraph" w:styleId="11">
    <w:name w:val="toc 2"/>
    <w:basedOn w:val="1"/>
    <w:next w:val="1"/>
    <w:qFormat/>
    <w:uiPriority w:val="0"/>
    <w:pPr>
      <w:tabs>
        <w:tab w:val="right" w:leader="dot" w:pos="8296"/>
      </w:tabs>
      <w:ind w:left="200" w:leftChars="200"/>
    </w:pPr>
  </w:style>
  <w:style w:type="paragraph" w:styleId="12">
    <w:name w:val="Body Text First Indent 2"/>
    <w:basedOn w:val="1"/>
    <w:next w:val="8"/>
    <w:qFormat/>
    <w:uiPriority w:val="0"/>
    <w:pPr>
      <w:spacing w:before="100" w:beforeAutospacing="1" w:after="120"/>
      <w:ind w:left="200" w:leftChars="200" w:firstLine="200" w:firstLineChars="200"/>
    </w:pPr>
    <w:rPr>
      <w:szCs w:val="21"/>
    </w:r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character" w:customStyle="1" w:styleId="17">
    <w:name w:val="heading 1 Char"/>
    <w:basedOn w:val="14"/>
    <w:link w:val="3"/>
    <w:qFormat/>
    <w:uiPriority w:val="0"/>
    <w:rPr>
      <w:rFonts w:ascii="Times New Roman" w:hAnsi="Times New Roman" w:eastAsia="宋体" w:cs="Times New Roman"/>
      <w:b/>
      <w:bCs/>
      <w:kern w:val="44"/>
      <w:sz w:val="44"/>
      <w:szCs w:val="44"/>
      <w:lang w:val="en-US" w:eastAsia="zh-CN" w:bidi="ar-SA"/>
    </w:rPr>
  </w:style>
  <w:style w:type="character" w:customStyle="1" w:styleId="18">
    <w:name w:val="heading 2 Char"/>
    <w:basedOn w:val="14"/>
    <w:link w:val="4"/>
    <w:qFormat/>
    <w:uiPriority w:val="0"/>
    <w:rPr>
      <w:rFonts w:ascii="Cambria" w:hAnsi="Cambria" w:eastAsia="宋体" w:cs="Times New Roman"/>
      <w:b/>
      <w:bCs/>
      <w:kern w:val="2"/>
      <w:sz w:val="32"/>
      <w:szCs w:val="32"/>
      <w:lang w:val="en-US" w:eastAsia="zh-CN" w:bidi="ar-SA"/>
    </w:rPr>
  </w:style>
  <w:style w:type="character" w:customStyle="1" w:styleId="19">
    <w:name w:val="Header Char"/>
    <w:basedOn w:val="14"/>
    <w:qFormat/>
    <w:uiPriority w:val="0"/>
    <w:rPr>
      <w:rFonts w:ascii="Times New Roman" w:hAnsi="Times New Roman"/>
      <w:sz w:val="18"/>
      <w:szCs w:val="18"/>
    </w:rPr>
  </w:style>
  <w:style w:type="character" w:customStyle="1" w:styleId="20">
    <w:name w:val="Footer Char"/>
    <w:basedOn w:val="14"/>
    <w:qFormat/>
    <w:uiPriority w:val="0"/>
    <w:rPr>
      <w:rFonts w:ascii="Times New Roman" w:hAnsi="Times New Roman"/>
      <w:sz w:val="18"/>
      <w:szCs w:val="18"/>
    </w:rPr>
  </w:style>
  <w:style w:type="character" w:customStyle="1" w:styleId="21">
    <w:name w:val="Body Text Char"/>
    <w:basedOn w:val="14"/>
    <w:qFormat/>
    <w:uiPriority w:val="0"/>
    <w:rPr>
      <w:rFonts w:ascii="Times New Roman" w:hAnsi="Times New Roman"/>
      <w:szCs w:val="24"/>
    </w:rPr>
  </w:style>
  <w:style w:type="paragraph" w:customStyle="1" w:styleId="22">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styleId="23">
    <w:name w:val="List Paragraph"/>
    <w:basedOn w:val="1"/>
    <w:qFormat/>
    <w:uiPriority w:val="0"/>
    <w:pPr>
      <w:ind w:firstLine="200" w:firstLineChars="200"/>
    </w:pPr>
  </w:style>
  <w:style w:type="paragraph" w:customStyle="1" w:styleId="24">
    <w:name w:val="TOC 标题1"/>
    <w:basedOn w:val="3"/>
    <w:next w:val="1"/>
    <w:qFormat/>
    <w:uiPriority w:val="0"/>
    <w:pPr>
      <w:keepNext/>
      <w:keepLines/>
      <w:widowControl/>
      <w:spacing w:before="480" w:after="0" w:line="276" w:lineRule="auto"/>
      <w:jc w:val="left"/>
      <w:outlineLvl w:val="9"/>
    </w:pPr>
    <w:rPr>
      <w:rFonts w:ascii="Cambria" w:hAnsi="Cambria"/>
      <w:color w:val="376092"/>
      <w:kern w:val="0"/>
      <w:sz w:val="28"/>
      <w:szCs w:val="28"/>
    </w:rPr>
  </w:style>
  <w:style w:type="paragraph" w:customStyle="1" w:styleId="25">
    <w:name w:val="TOC 标题2"/>
    <w:basedOn w:val="3"/>
    <w:next w:val="1"/>
    <w:qFormat/>
    <w:uiPriority w:val="0"/>
    <w:pPr>
      <w:keepNext/>
      <w:keepLines/>
      <w:widowControl/>
      <w:spacing w:before="480" w:after="0" w:line="276" w:lineRule="auto"/>
      <w:jc w:val="left"/>
      <w:outlineLvl w:val="9"/>
    </w:pPr>
    <w:rPr>
      <w:rFonts w:ascii="Cambria" w:hAnsi="Cambria"/>
      <w:color w:val="376092"/>
      <w:kern w:val="0"/>
      <w:sz w:val="28"/>
      <w:szCs w:val="28"/>
    </w:rPr>
  </w:style>
  <w:style w:type="character" w:customStyle="1" w:styleId="26">
    <w:name w:val="font41"/>
    <w:basedOn w:val="14"/>
    <w:qFormat/>
    <w:uiPriority w:val="0"/>
    <w:rPr>
      <w:rFonts w:ascii="宋体" w:eastAsia="宋体" w:cs="宋体"/>
      <w:b/>
      <w:bCs/>
      <w:color w:val="000000"/>
      <w:sz w:val="24"/>
      <w:szCs w:val="24"/>
      <w:u w:val="none"/>
    </w:rPr>
  </w:style>
  <w:style w:type="character" w:customStyle="1" w:styleId="27">
    <w:name w:val="font61"/>
    <w:basedOn w:val="14"/>
    <w:qFormat/>
    <w:uiPriority w:val="0"/>
    <w:rPr>
      <w:rFonts w:ascii="宋体" w:eastAsia="宋体" w:cs="宋体"/>
      <w:b/>
      <w:bCs/>
      <w:color w:val="000000"/>
      <w:sz w:val="24"/>
      <w:szCs w:val="24"/>
      <w:u w:val="none"/>
    </w:rPr>
  </w:style>
  <w:style w:type="character" w:customStyle="1" w:styleId="28">
    <w:name w:val="font21"/>
    <w:basedOn w:val="14"/>
    <w:qFormat/>
    <w:uiPriority w:val="0"/>
    <w:rPr>
      <w:rFonts w:ascii="宋体" w:eastAsia="宋体" w:cs="宋体"/>
      <w:b/>
      <w:bCs/>
      <w:color w:val="000000"/>
      <w:sz w:val="16"/>
      <w:szCs w:val="16"/>
      <w:u w:val="none"/>
    </w:rPr>
  </w:style>
  <w:style w:type="character" w:customStyle="1" w:styleId="29">
    <w:name w:val="font01"/>
    <w:basedOn w:val="14"/>
    <w:qFormat/>
    <w:uiPriority w:val="0"/>
    <w:rPr>
      <w:rFonts w:ascii="宋体" w:eastAsia="宋体" w:cs="宋体"/>
      <w:b/>
      <w:bCs/>
      <w:color w:val="000000"/>
      <w:sz w:val="28"/>
      <w:szCs w:val="28"/>
      <w:u w:val="none"/>
    </w:rPr>
  </w:style>
  <w:style w:type="character" w:customStyle="1" w:styleId="30">
    <w:name w:val="font51"/>
    <w:basedOn w:val="14"/>
    <w:qFormat/>
    <w:uiPriority w:val="0"/>
    <w:rPr>
      <w:rFonts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200" b="0" i="0" u="none" strike="noStrike" kern="1200" baseline="0">
                <a:solidFill>
                  <a:srgbClr val="000000"/>
                </a:solidFill>
                <a:latin typeface="Times New Roman" panose="02020603050405020304"/>
                <a:ea typeface="宋体" panose="02010600030101010101" charset="-122"/>
                <a:cs typeface="Lucida Sans" panose="020B0602030504020204"/>
              </a:defRPr>
            </a:pPr>
            <a:r>
              <a:rPr lang="zh-CN"/>
              <a:t>本年收入</a:t>
            </a:r>
            <a:endParaRPr lang="zh-CN"/>
          </a:p>
        </c:rich>
      </c:tx>
      <c:layout/>
      <c:overlay val="false"/>
      <c:spPr>
        <a:ln>
          <a:noFill/>
        </a:ln>
      </c:spPr>
    </c:title>
    <c:autoTitleDeleted val="false"/>
    <c:plotArea>
      <c:layout/>
      <c:pieChart>
        <c:varyColors val="false"/>
        <c:ser>
          <c:idx val="0"/>
          <c:order val="0"/>
          <c:tx>
            <c:strRef>
              <c:f>'Sheet1'!$B$1</c:f>
              <c:strCache>
                <c:ptCount val="1"/>
                <c:pt idx="0">
                  <c:v>本年收入</c:v>
                </c:pt>
              </c:strCache>
            </c:strRef>
          </c:tx>
          <c:spPr>
            <a:solidFill>
              <a:srgbClr val="4F81BD"/>
            </a:solidFill>
            <a:ln>
              <a:noFill/>
            </a:ln>
          </c:spPr>
          <c:explosion val="0"/>
          <c:dPt>
            <c:idx val="0"/>
            <c:bubble3D val="false"/>
            <c:spPr>
              <a:solidFill>
                <a:srgbClr val="4F81BD"/>
              </a:solidFill>
              <a:ln w="19050">
                <a:solidFill>
                  <a:srgbClr val="CCE8CF"/>
                </a:solidFill>
                <a:prstDash val="solid"/>
              </a:ln>
            </c:spPr>
          </c:dPt>
          <c:dLbls>
            <c:dLbl>
              <c:idx val="0"/>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bestFit"/>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'Sheet1'!$A$2</c:f>
              <c:strCache>
                <c:ptCount val="1"/>
                <c:pt idx="0">
                  <c:v>一般公共预算财政拨款收入</c:v>
                </c:pt>
              </c:strCache>
            </c:strRef>
          </c:cat>
          <c:val>
            <c:numRef>
              <c:f>Sheet1!$B$2</c:f>
              <c:numCache>
                <c:formatCode>General</c:formatCode>
                <c:ptCount val="1"/>
                <c:pt idx="0">
                  <c:v>290.27</c:v>
                </c:pt>
              </c:numCache>
            </c:numRef>
          </c:val>
        </c:ser>
        <c:dLbls>
          <c:showLegendKey val="false"/>
          <c:showVal val="false"/>
          <c:showCatName val="false"/>
          <c:showSerName val="false"/>
          <c:showPercent val="false"/>
          <c:showBubbleSize val="false"/>
          <c:showLeaderLines val="true"/>
        </c:dLbls>
        <c:firstSliceAng val="0"/>
      </c:pieChart>
      <c:spPr>
        <a:noFill/>
        <a:ln>
          <a:noFill/>
        </a:ln>
      </c:spPr>
    </c:plotArea>
    <c:legend>
      <c:legendPos val="b"/>
      <c:layout>
        <c:manualLayout>
          <c:xMode val="edge"/>
          <c:yMode val="edge"/>
          <c:x val="0.295125"/>
          <c:y val="0.9241667"/>
          <c:w val="0.403125"/>
          <c:h val="0.055833332"/>
        </c:manualLayout>
      </c:layout>
      <c:overlay val="false"/>
      <c:spPr>
        <a:noFill/>
        <a:ln>
          <a:noFill/>
        </a:ln>
      </c:spPr>
      <c:txPr>
        <a:bodyPr rot="0" spcFirstLastPara="0" vertOverflow="ellipsis" vert="horz" wrap="square" anchor="ctr" anchorCtr="true"/>
        <a:lstStyle/>
        <a:p>
          <a:pPr>
            <a:defRPr lang="zh-CN" sz="900" b="0" i="0" u="none" strike="noStrike" kern="1200" baseline="0">
              <a:solidFill>
                <a:srgbClr val="939393"/>
              </a:solidFill>
              <a:latin typeface="Times New Roman" panose="02020603050405020304"/>
              <a:ea typeface="宋体" panose="02010600030101010101" charset="-122"/>
              <a:cs typeface="Lucida Sans" panose="020B0602030504020204"/>
            </a:defRPr>
          </a:pPr>
        </a:p>
      </c:txPr>
    </c:legend>
    <c:plotVisOnly val="true"/>
    <c:dispBlanksAs val="gap"/>
    <c:showDLblsOverMax val="false"/>
  </c:chart>
  <c:spPr>
    <a:solidFill>
      <a:srgbClr val="CCE8CF"/>
    </a:solidFill>
    <a:ln w="6350" cap="flat" cmpd="sng" algn="ctr">
      <a:solidFill>
        <a:srgbClr val="F9F9F9"/>
      </a:solidFill>
      <a:prstDash val="solid"/>
      <a:round/>
    </a:ln>
  </c:spPr>
  <c:txPr>
    <a:bodyPr/>
    <a:lstStyle/>
    <a:p>
      <a:pPr>
        <a:defRPr lang="zh-CN" sz="1000" b="0" i="0" u="none" strike="noStrike" baseline="0">
          <a:solidFill>
            <a:srgbClr val="000000"/>
          </a:solidFill>
          <a:latin typeface="Times New Roman" panose="02020603050405020304"/>
          <a:ea typeface="宋体" panose="02010600030101010101" charset="-122"/>
          <a:cs typeface="Lucida Sans" panose="020B0602030504020204"/>
        </a:defRPr>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pieChart>
        <c:varyColors val="false"/>
        <c:ser>
          <c:idx val="0"/>
          <c:order val="0"/>
          <c:tx>
            <c:strRef>
              <c:f>'Sheet1 (2)'!$B$1</c:f>
              <c:strCache>
                <c:ptCount val="1"/>
                <c:pt idx="0">
                  <c:v>销售额</c:v>
                </c:pt>
              </c:strCache>
            </c:strRef>
          </c:tx>
          <c:spPr>
            <a:solidFill>
              <a:srgbClr val="4F81BD"/>
            </a:solidFill>
            <a:ln>
              <a:noFill/>
            </a:ln>
          </c:spPr>
          <c:explosion val="0"/>
          <c:dPt>
            <c:idx val="0"/>
            <c:bubble3D val="false"/>
            <c:spPr>
              <a:solidFill>
                <a:srgbClr val="4F81BD"/>
              </a:solidFill>
              <a:ln w="19050">
                <a:solidFill>
                  <a:srgbClr val="CCE8CF"/>
                </a:solidFill>
                <a:prstDash val="solid"/>
              </a:ln>
            </c:spPr>
          </c:dPt>
          <c:dPt>
            <c:idx val="1"/>
            <c:bubble3D val="false"/>
            <c:explosion val="4"/>
            <c:spPr>
              <a:solidFill>
                <a:srgbClr val="C0504D"/>
              </a:solidFill>
              <a:ln w="19050">
                <a:solidFill>
                  <a:srgbClr val="CCE8CF"/>
                </a:solidFill>
                <a:prstDash val="solid"/>
              </a:ln>
            </c:spPr>
          </c:dPt>
          <c:dLbls>
            <c:dLbl>
              <c:idx val="0"/>
              <c:delete val="true"/>
            </c:dLbl>
            <c:dLbl>
              <c:idx val="1"/>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bestFit"/>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 (2)'!$A$2:$A$3</c:f>
              <c:strCache>
                <c:ptCount val="2"/>
                <c:pt idx="0">
                  <c:v>基本支出</c:v>
                </c:pt>
                <c:pt idx="1">
                  <c:v>项目支出</c:v>
                </c:pt>
              </c:strCache>
            </c:strRef>
          </c:cat>
          <c:val>
            <c:numRef>
              <c:f>'Sheet1 (2)'!$B$2:$B$3</c:f>
              <c:numCache>
                <c:formatCode>General</c:formatCode>
                <c:ptCount val="2"/>
                <c:pt idx="0">
                  <c:v>213.58</c:v>
                </c:pt>
                <c:pt idx="1">
                  <c:v>76.69</c:v>
                </c:pt>
              </c:numCache>
            </c:numRef>
          </c:val>
        </c:ser>
        <c:dLbls>
          <c:showLegendKey val="false"/>
          <c:showVal val="false"/>
          <c:showCatName val="false"/>
          <c:showSerName val="false"/>
          <c:showPercent val="false"/>
          <c:showBubbleSize val="false"/>
          <c:showLeaderLines val="true"/>
        </c:dLbls>
        <c:firstSliceAng val="0"/>
      </c:pieChart>
      <c:spPr>
        <a:noFill/>
        <a:ln>
          <a:noFill/>
        </a:ln>
      </c:spPr>
    </c:plotArea>
    <c:legend>
      <c:legendPos val="r"/>
      <c:layout/>
      <c:overlay val="false"/>
      <c:spPr>
        <a:noFill/>
        <a:ln>
          <a:noFill/>
        </a:ln>
      </c:spPr>
      <c:txPr>
        <a:bodyPr rot="0" spcFirstLastPara="0" vertOverflow="ellipsis" vert="horz" wrap="square" anchor="ctr" anchorCtr="true"/>
        <a:lstStyle/>
        <a:p>
          <a:pPr>
            <a:defRPr lang="zh-CN" sz="900" b="0" i="0" u="none" strike="noStrike" kern="1200" baseline="0">
              <a:solidFill>
                <a:srgbClr val="939393"/>
              </a:solidFill>
              <a:latin typeface="Times New Roman" panose="02020603050405020304"/>
              <a:ea typeface="宋体" panose="02010600030101010101" charset="-122"/>
              <a:cs typeface="Lucida Sans" panose="020B0602030504020204"/>
            </a:defRPr>
          </a:pPr>
        </a:p>
      </c:txPr>
    </c:legend>
    <c:plotVisOnly val="true"/>
    <c:dispBlanksAs val="gap"/>
    <c:showDLblsOverMax val="false"/>
  </c:chart>
  <c:spPr>
    <a:solidFill>
      <a:srgbClr val="CCE8CF"/>
    </a:solidFill>
    <a:ln w="6350" cap="flat" cmpd="sng" algn="ctr">
      <a:solidFill>
        <a:srgbClr val="F9F9F9"/>
      </a:solidFill>
      <a:prstDash val="solid"/>
      <a:round/>
    </a:ln>
  </c:spPr>
  <c:txPr>
    <a:bodyPr/>
    <a:lstStyle/>
    <a:p>
      <a:pPr>
        <a:defRPr lang="zh-CN" sz="1000" b="0" i="0" u="none" strike="noStrike" baseline="0">
          <a:solidFill>
            <a:srgbClr val="000000"/>
          </a:solidFill>
          <a:latin typeface="Times New Roman" panose="02020603050405020304"/>
          <a:ea typeface="宋体" panose="02010600030101010101" charset="-122"/>
          <a:cs typeface="Lucida Sans" panose="020B0602030504020204"/>
        </a:defRPr>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manualLayout>
          <c:layoutTarget val="inner"/>
          <c:xMode val="edge"/>
          <c:yMode val="edge"/>
          <c:x val="0.07465397"/>
          <c:y val="0.101361014"/>
          <c:w val="0.9052934"/>
          <c:h val="0.80723333"/>
        </c:manualLayout>
      </c:layout>
      <c:barChart>
        <c:barDir val="col"/>
        <c:grouping val="clustered"/>
        <c:varyColors val="false"/>
        <c:ser>
          <c:idx val="0"/>
          <c:order val="0"/>
          <c:tx>
            <c:strRef>
              <c:f>'Sheet1 (3)'!$B$1</c:f>
              <c:strCache>
                <c:ptCount val="1"/>
                <c:pt idx="0">
                  <c:v>2020年</c:v>
                </c:pt>
              </c:strCache>
            </c:strRef>
          </c:tx>
          <c:spPr>
            <a:solidFill>
              <a:srgbClr val="4F81BD"/>
            </a:solidFill>
            <a:ln>
              <a:noFill/>
            </a:ln>
          </c:spPr>
          <c:invertIfNegative val="false"/>
          <c:dLbls>
            <c:dLbl>
              <c:idx val="0"/>
              <c:delete val="true"/>
            </c:dLbl>
            <c:dLbl>
              <c:idx val="1"/>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outEnd"/>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 (3)'!$A$2:$A$3</c:f>
              <c:strCache>
                <c:ptCount val="2"/>
                <c:pt idx="0">
                  <c:v>财政拨款收入总计</c:v>
                </c:pt>
                <c:pt idx="1">
                  <c:v>财政拨款支出总计</c:v>
                </c:pt>
              </c:strCache>
            </c:strRef>
          </c:cat>
          <c:val>
            <c:numRef>
              <c:f>'Sheet1 (3)'!$B$2:$B$3</c:f>
              <c:numCache>
                <c:formatCode>General</c:formatCode>
                <c:ptCount val="2"/>
                <c:pt idx="0">
                  <c:v>221.62</c:v>
                </c:pt>
                <c:pt idx="1">
                  <c:v>221.62</c:v>
                </c:pt>
              </c:numCache>
            </c:numRef>
          </c:val>
        </c:ser>
        <c:ser>
          <c:idx val="1"/>
          <c:order val="1"/>
          <c:tx>
            <c:strRef>
              <c:f>'Sheet1 (3)'!$C$1</c:f>
              <c:strCache>
                <c:ptCount val="1"/>
                <c:pt idx="0">
                  <c:v>2021年</c:v>
                </c:pt>
              </c:strCache>
            </c:strRef>
          </c:tx>
          <c:spPr>
            <a:solidFill>
              <a:srgbClr val="C0504D"/>
            </a:solidFill>
            <a:ln>
              <a:noFill/>
            </a:ln>
          </c:spPr>
          <c:invertIfNegative val="false"/>
          <c:dLbls>
            <c:dLbl>
              <c:idx val="0"/>
              <c:delete val="true"/>
            </c:dLbl>
            <c:dLbl>
              <c:idx val="1"/>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outEnd"/>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 (3)'!$A$2:$A$3</c:f>
              <c:strCache>
                <c:ptCount val="2"/>
                <c:pt idx="0">
                  <c:v>财政拨款收入总计</c:v>
                </c:pt>
                <c:pt idx="1">
                  <c:v>财政拨款支出总计</c:v>
                </c:pt>
              </c:strCache>
            </c:strRef>
          </c:cat>
          <c:val>
            <c:numRef>
              <c:f>'Sheet1 (3)'!$C$2:$C$3</c:f>
              <c:numCache>
                <c:formatCode>General</c:formatCode>
                <c:ptCount val="2"/>
                <c:pt idx="0">
                  <c:v>290.27</c:v>
                </c:pt>
                <c:pt idx="1">
                  <c:v>290.27</c:v>
                </c:pt>
              </c:numCache>
            </c:numRef>
          </c:val>
        </c:ser>
        <c:ser>
          <c:idx val="2"/>
          <c:order val="2"/>
          <c:spPr>
            <a:solidFill>
              <a:srgbClr val="9BBB59"/>
            </a:solidFill>
            <a:ln>
              <a:noFill/>
            </a:ln>
          </c:spPr>
          <c:invertIfNegative val="false"/>
          <c:dLbls>
            <c:dLbl>
              <c:idx val="0"/>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outEnd"/>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 (3)'!$A$2:$A$3</c:f>
              <c:strCache>
                <c:ptCount val="2"/>
                <c:pt idx="0">
                  <c:v>财政拨款收入总计</c:v>
                </c:pt>
                <c:pt idx="1">
                  <c:v>财政拨款支出总计</c:v>
                </c:pt>
              </c:strCache>
            </c:strRef>
          </c:cat>
          <c:val>
            <c:numRef>
              <c:f>{1}</c:f>
              <c:numCache>
                <c:formatCode>General</c:formatCode>
                <c:ptCount val="1"/>
                <c:pt idx="0">
                  <c:v>1</c:v>
                </c:pt>
              </c:numCache>
            </c:numRef>
          </c:val>
        </c:ser>
        <c:dLbls>
          <c:showLegendKey val="false"/>
          <c:showVal val="false"/>
          <c:showCatName val="false"/>
          <c:showSerName val="false"/>
          <c:showPercent val="false"/>
          <c:showBubbleSize val="false"/>
        </c:dLbls>
        <c:gapWidth val="219"/>
        <c:overlap val="-27"/>
        <c:axId val="0"/>
        <c:axId val="1"/>
      </c:barChart>
      <c:catAx>
        <c:axId val="0"/>
        <c:scaling>
          <c:orientation val="minMax"/>
        </c:scaling>
        <c:delete val="false"/>
        <c:axPos val="b"/>
        <c:numFmt formatCode="General" sourceLinked="true"/>
        <c:majorTickMark val="none"/>
        <c:minorTickMark val="none"/>
        <c:tickLblPos val="nextTo"/>
        <c:spPr>
          <a:ln w="6350" cap="flat" cmpd="sng" algn="ctr">
            <a:solidFill>
              <a:srgbClr val="F9F9F9"/>
            </a:solidFill>
            <a:prstDash val="solid"/>
            <a:round/>
          </a:ln>
        </c:spPr>
        <c:txPr>
          <a:bodyPr rot="-60000000" spcFirstLastPara="0" vertOverflow="ellipsis" vert="horz" wrap="square" anchor="ctr" anchorCtr="true"/>
          <a:lstStyle/>
          <a:p>
            <a:pPr>
              <a:defRPr lang="zh-CN" sz="900" b="0" i="0" u="none" strike="noStrike" kern="1200" baseline="0">
                <a:solidFill>
                  <a:srgbClr val="939393"/>
                </a:solidFill>
                <a:latin typeface="Times New Roman" panose="02020603050405020304"/>
                <a:ea typeface="宋体" panose="02010600030101010101" charset="-122"/>
                <a:cs typeface="Lucida Sans" panose="020B0602030504020204"/>
              </a:defRPr>
            </a:pPr>
          </a:p>
        </c:txPr>
        <c:crossAx val="1"/>
        <c:crosses val="autoZero"/>
        <c:auto val="false"/>
        <c:lblAlgn val="ctr"/>
        <c:lblOffset val="100"/>
        <c:noMultiLvlLbl val="false"/>
      </c:catAx>
      <c:valAx>
        <c:axId val="1"/>
        <c:scaling>
          <c:orientation val="minMax"/>
        </c:scaling>
        <c:delete val="false"/>
        <c:axPos val="l"/>
        <c:majorGridlines>
          <c:spPr>
            <a:ln w="6350" cap="flat" cmpd="sng" algn="ctr">
              <a:solidFill>
                <a:srgbClr val="F9F9F9"/>
              </a:solidFill>
              <a:prstDash val="solid"/>
              <a:round/>
            </a:ln>
          </c:spPr>
        </c:majorGridlines>
        <c:numFmt formatCode="General" sourceLinked="true"/>
        <c:majorTickMark val="none"/>
        <c:minorTickMark val="none"/>
        <c:tickLblPos val="nextTo"/>
        <c:spPr>
          <a:ln w="9525" cap="flat" cmpd="sng" algn="ctr">
            <a:noFill/>
            <a:prstDash val="solid"/>
            <a:round/>
          </a:ln>
        </c:spPr>
        <c:txPr>
          <a:bodyPr rot="-60000000" spcFirstLastPara="0" vertOverflow="ellipsis" vert="horz" wrap="square" anchor="ctr" anchorCtr="true"/>
          <a:lstStyle/>
          <a:p>
            <a:pPr>
              <a:defRPr lang="zh-CN" sz="900" b="0" i="0" u="none" strike="noStrike" kern="1200" baseline="0">
                <a:solidFill>
                  <a:srgbClr val="939393"/>
                </a:solidFill>
                <a:latin typeface="Times New Roman" panose="02020603050405020304"/>
                <a:ea typeface="宋体" panose="02010600030101010101" charset="-122"/>
                <a:cs typeface="Lucida Sans" panose="020B0602030504020204"/>
              </a:defRPr>
            </a:pPr>
          </a:p>
        </c:txPr>
        <c:crossAx val="0"/>
        <c:crossesAt val="1"/>
        <c:crossBetween val="between"/>
      </c:valAx>
      <c:spPr>
        <a:noFill/>
        <a:ln>
          <a:noFill/>
        </a:ln>
      </c:spPr>
    </c:plotArea>
    <c:legend>
      <c:legendPos val="b"/>
      <c:layout>
        <c:manualLayout>
          <c:xMode val="edge"/>
          <c:yMode val="edge"/>
          <c:x val="0.40111458"/>
          <c:y val="0.9306723"/>
        </c:manualLayout>
      </c:layout>
      <c:overlay val="false"/>
      <c:spPr>
        <a:noFill/>
        <a:ln>
          <a:noFill/>
        </a:ln>
      </c:spPr>
      <c:txPr>
        <a:bodyPr rot="0" spcFirstLastPara="0" vertOverflow="ellipsis" vert="horz" wrap="square" anchor="ctr" anchorCtr="true"/>
        <a:lstStyle/>
        <a:p>
          <a:pPr>
            <a:defRPr lang="zh-CN" sz="900" b="0" i="0" u="none" strike="noStrike" kern="1200" baseline="0">
              <a:solidFill>
                <a:srgbClr val="939393"/>
              </a:solidFill>
              <a:latin typeface="Times New Roman" panose="02020603050405020304"/>
              <a:ea typeface="宋体" panose="02010600030101010101" charset="-122"/>
              <a:cs typeface="Lucida Sans" panose="020B0602030504020204"/>
            </a:defRPr>
          </a:pPr>
        </a:p>
      </c:txPr>
    </c:legend>
    <c:plotVisOnly val="true"/>
    <c:dispBlanksAs val="gap"/>
    <c:showDLblsOverMax val="false"/>
  </c:chart>
  <c:spPr>
    <a:solidFill>
      <a:srgbClr val="CCE8CF"/>
    </a:solidFill>
    <a:ln w="6350" cap="flat" cmpd="sng" algn="ctr">
      <a:solidFill>
        <a:srgbClr val="F9F9F9"/>
      </a:solidFill>
      <a:prstDash val="solid"/>
      <a:round/>
    </a:ln>
  </c:spPr>
  <c:txPr>
    <a:bodyPr/>
    <a:lstStyle/>
    <a:p>
      <a:pPr>
        <a:defRPr lang="zh-CN" sz="1000" b="0" i="0" u="none" strike="noStrike" baseline="0">
          <a:solidFill>
            <a:srgbClr val="000000"/>
          </a:solidFill>
          <a:latin typeface="Times New Roman" panose="02020603050405020304"/>
          <a:ea typeface="宋体" panose="02010600030101010101" charset="-122"/>
          <a:cs typeface="Lucida Sans" panose="020B0602030504020204"/>
        </a:defRPr>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col"/>
        <c:grouping val="clustered"/>
        <c:varyColors val="false"/>
        <c:ser>
          <c:idx val="0"/>
          <c:order val="0"/>
          <c:tx>
            <c:strRef>
              <c:f>'Sheet1 (4)'!$B$1</c:f>
              <c:strCache>
                <c:ptCount val="1"/>
                <c:pt idx="0">
                  <c:v>2020</c:v>
                </c:pt>
              </c:strCache>
            </c:strRef>
          </c:tx>
          <c:spPr>
            <a:solidFill>
              <a:srgbClr val="4F81BD"/>
            </a:solidFill>
            <a:ln>
              <a:noFill/>
            </a:ln>
          </c:spPr>
          <c:invertIfNegative val="false"/>
          <c:dLbls>
            <c:dLbl>
              <c:idx val="0"/>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outEnd"/>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 (4)'!$A$2</c:f>
              <c:strCache>
                <c:ptCount val="1"/>
                <c:pt idx="0">
                  <c:v>一般公共预算财政拨款支出</c:v>
                </c:pt>
              </c:strCache>
            </c:strRef>
          </c:cat>
          <c:val>
            <c:numRef>
              <c:f>Sheet1 (4)!$B$2</c:f>
              <c:numCache>
                <c:formatCode>General</c:formatCode>
                <c:ptCount val="1"/>
                <c:pt idx="0">
                  <c:v>221.46</c:v>
                </c:pt>
              </c:numCache>
            </c:numRef>
          </c:val>
        </c:ser>
        <c:ser>
          <c:idx val="1"/>
          <c:order val="1"/>
          <c:tx>
            <c:strRef>
              <c:f>'Sheet1 (4)'!$C$1</c:f>
              <c:strCache>
                <c:ptCount val="1"/>
                <c:pt idx="0">
                  <c:v>2021</c:v>
                </c:pt>
              </c:strCache>
            </c:strRef>
          </c:tx>
          <c:spPr>
            <a:solidFill>
              <a:srgbClr val="C0504D"/>
            </a:solidFill>
            <a:ln>
              <a:noFill/>
            </a:ln>
          </c:spPr>
          <c:invertIfNegative val="false"/>
          <c:dLbls>
            <c:dLbl>
              <c:idx val="0"/>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outEnd"/>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 (4)'!$A$2</c:f>
              <c:strCache>
                <c:ptCount val="1"/>
                <c:pt idx="0">
                  <c:v>一般公共预算财政拨款支出</c:v>
                </c:pt>
              </c:strCache>
            </c:strRef>
          </c:cat>
          <c:val>
            <c:numRef>
              <c:f>Sheet1 (4)!$C$2</c:f>
              <c:numCache>
                <c:formatCode>General</c:formatCode>
                <c:ptCount val="1"/>
                <c:pt idx="0">
                  <c:v>290.27</c:v>
                </c:pt>
              </c:numCache>
            </c:numRef>
          </c:val>
        </c:ser>
        <c:dLbls>
          <c:showLegendKey val="false"/>
          <c:showVal val="false"/>
          <c:showCatName val="false"/>
          <c:showSerName val="false"/>
          <c:showPercent val="false"/>
          <c:showBubbleSize val="false"/>
        </c:dLbls>
        <c:gapWidth val="219"/>
        <c:overlap val="-27"/>
        <c:axId val="0"/>
        <c:axId val="1"/>
      </c:barChart>
      <c:catAx>
        <c:axId val="0"/>
        <c:scaling>
          <c:orientation val="minMax"/>
        </c:scaling>
        <c:delete val="false"/>
        <c:axPos val="b"/>
        <c:numFmt formatCode="General" sourceLinked="true"/>
        <c:majorTickMark val="none"/>
        <c:minorTickMark val="none"/>
        <c:tickLblPos val="nextTo"/>
        <c:spPr>
          <a:ln w="6350" cap="flat" cmpd="sng" algn="ctr">
            <a:solidFill>
              <a:srgbClr val="D9D9D9"/>
            </a:solidFill>
            <a:prstDash val="solid"/>
            <a:round/>
          </a:ln>
        </c:spPr>
        <c:txPr>
          <a:bodyPr rot="-60000000" spcFirstLastPara="0" vertOverflow="ellipsis" vert="horz" wrap="square" anchor="ctr" anchorCtr="true"/>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p>
        </c:txPr>
        <c:crossAx val="1"/>
        <c:crosses val="autoZero"/>
        <c:auto val="false"/>
        <c:lblAlgn val="ctr"/>
        <c:lblOffset val="100"/>
        <c:noMultiLvlLbl val="false"/>
      </c:catAx>
      <c:valAx>
        <c:axId val="1"/>
        <c:scaling>
          <c:orientation val="minMax"/>
        </c:scaling>
        <c:delete val="false"/>
        <c:axPos val="l"/>
        <c:majorGridlines>
          <c:spPr>
            <a:ln w="6350" cap="flat" cmpd="sng" algn="ctr">
              <a:solidFill>
                <a:srgbClr val="D9D9D9"/>
              </a:solidFill>
              <a:prstDash val="solid"/>
              <a:round/>
            </a:ln>
          </c:spPr>
        </c:majorGridlines>
        <c:numFmt formatCode="General" sourceLinked="true"/>
        <c:majorTickMark val="none"/>
        <c:minorTickMark val="none"/>
        <c:tickLblPos val="nextTo"/>
        <c:spPr>
          <a:ln w="9525" cap="flat" cmpd="sng" algn="ctr">
            <a:noFill/>
            <a:prstDash val="solid"/>
            <a:round/>
          </a:ln>
        </c:spPr>
        <c:txPr>
          <a:bodyPr rot="-60000000" spcFirstLastPara="0" vertOverflow="ellipsis" vert="horz" wrap="square" anchor="ctr" anchorCtr="true"/>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p>
        </c:txPr>
        <c:crossAx val="0"/>
        <c:crossesAt val="1"/>
        <c:crossBetween val="between"/>
      </c:valAx>
      <c:spPr>
        <a:noFill/>
        <a:ln>
          <a:noFill/>
        </a:ln>
      </c:spPr>
    </c:plotArea>
    <c:legend>
      <c:legendPos val="b"/>
      <c:layout/>
      <c:overlay val="false"/>
      <c:spPr>
        <a:noFill/>
        <a:ln>
          <a:noFill/>
        </a:ln>
      </c:spPr>
      <c:txPr>
        <a:bodyPr rot="0" spcFirstLastPara="0" vertOverflow="ellipsis" vert="horz" wrap="square" anchor="ctr" anchorCtr="true"/>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p>
      </c:txPr>
    </c:legend>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Times New Roman" panose="02020603050405020304"/>
          <a:ea typeface="宋体" panose="02010600030101010101" charset="-122"/>
          <a:cs typeface="Lucida Sans" panose="020B0602030504020204"/>
        </a:defRPr>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pieChart>
        <c:varyColors val="false"/>
        <c:ser>
          <c:idx val="0"/>
          <c:order val="0"/>
          <c:tx>
            <c:strRef>
              <c:f>'Sheet1 (5)'!$B$1</c:f>
              <c:strCache>
                <c:ptCount val="1"/>
                <c:pt idx="0">
                  <c:v>销售额</c:v>
                </c:pt>
              </c:strCache>
            </c:strRef>
          </c:tx>
          <c:spPr>
            <a:solidFill>
              <a:srgbClr val="4F81BD"/>
            </a:solidFill>
            <a:ln>
              <a:noFill/>
            </a:ln>
          </c:spPr>
          <c:explosion val="0"/>
          <c:dPt>
            <c:idx val="0"/>
            <c:bubble3D val="false"/>
            <c:explosion val="21"/>
            <c:spPr>
              <a:solidFill>
                <a:srgbClr val="4F81BD"/>
              </a:solidFill>
              <a:ln w="19050">
                <a:solidFill>
                  <a:srgbClr val="FFFFFF"/>
                </a:solidFill>
                <a:prstDash val="solid"/>
              </a:ln>
            </c:spPr>
          </c:dPt>
          <c:dPt>
            <c:idx val="1"/>
            <c:bubble3D val="false"/>
            <c:explosion val="11"/>
            <c:spPr>
              <a:solidFill>
                <a:srgbClr val="C0504D"/>
              </a:solidFill>
              <a:ln w="19050">
                <a:solidFill>
                  <a:srgbClr val="FFFFFF"/>
                </a:solidFill>
                <a:prstDash val="solid"/>
              </a:ln>
            </c:spPr>
          </c:dPt>
          <c:dPt>
            <c:idx val="2"/>
            <c:bubble3D val="false"/>
            <c:explosion val="36"/>
            <c:spPr>
              <a:solidFill>
                <a:srgbClr val="9BBB59"/>
              </a:solidFill>
              <a:ln w="19050">
                <a:solidFill>
                  <a:srgbClr val="FFFFFF"/>
                </a:solidFill>
                <a:prstDash val="solid"/>
              </a:ln>
            </c:spPr>
          </c:dPt>
          <c:dPt>
            <c:idx val="3"/>
            <c:bubble3D val="false"/>
            <c:explosion val="24"/>
            <c:spPr>
              <a:solidFill>
                <a:srgbClr val="8064A2"/>
              </a:solidFill>
              <a:ln w="19050">
                <a:solidFill>
                  <a:srgbClr val="FFFFFF"/>
                </a:solidFill>
                <a:prstDash val="solid"/>
              </a:ln>
            </c:spPr>
          </c:dPt>
          <c:dLbls>
            <c:dLbl>
              <c:idx val="0"/>
              <c:delete val="true"/>
            </c:dLbl>
            <c:dLbl>
              <c:idx val="1"/>
              <c:delete val="true"/>
            </c:dLbl>
            <c:dLbl>
              <c:idx val="2"/>
              <c:delete val="true"/>
            </c:dLbl>
            <c:dLbl>
              <c:idx val="3"/>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bestFit"/>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numRef>
              <c:f>'Sheet1 (5)'!$A$2:$A$5</c:f>
              <c:numCache>
                <c:formatCode>General</c:formatCode>
                <c:ptCount val="4"/>
              </c:numCache>
            </c:numRef>
          </c:cat>
          <c:val>
            <c:numRef>
              <c:f>'Sheet1 (5)'!$B$2:$B$5</c:f>
              <c:numCache>
                <c:formatCode>General</c:formatCode>
                <c:ptCount val="4"/>
                <c:pt idx="0">
                  <c:v>1.83</c:v>
                </c:pt>
                <c:pt idx="1">
                  <c:v>235.85</c:v>
                </c:pt>
                <c:pt idx="2">
                  <c:v>39.6</c:v>
                </c:pt>
                <c:pt idx="3">
                  <c:v>12.99</c:v>
                </c:pt>
              </c:numCache>
            </c:numRef>
          </c:val>
        </c:ser>
        <c:dLbls>
          <c:showLegendKey val="false"/>
          <c:showVal val="false"/>
          <c:showCatName val="false"/>
          <c:showSerName val="false"/>
          <c:showPercent val="false"/>
          <c:showBubbleSize val="false"/>
          <c:showLeaderLines val="true"/>
        </c:dLbls>
        <c:firstSliceAng val="0"/>
      </c:pieChart>
      <c:spPr>
        <a:noFill/>
        <a:ln>
          <a:noFill/>
        </a:ln>
      </c:spPr>
    </c:plotArea>
    <c:legend>
      <c:legendPos val="r"/>
      <c:layout/>
      <c:overlay val="false"/>
      <c:spPr>
        <a:noFill/>
        <a:ln>
          <a:noFill/>
        </a:ln>
      </c:spPr>
      <c:txPr>
        <a:bodyPr rot="0" spcFirstLastPara="0" vertOverflow="ellipsis" vert="horz" wrap="square" anchor="ctr" anchorCtr="true"/>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p>
      </c:txPr>
    </c:legend>
    <c:plotVisOnly val="true"/>
    <c:dispBlanksAs val="gap"/>
    <c:showDLblsOverMax val="false"/>
  </c:chart>
  <c:spPr>
    <a:solidFill>
      <a:srgbClr val="FFFFFF"/>
    </a:solidFill>
    <a:ln w="6350" cap="flat" cmpd="sng" algn="ctr">
      <a:solidFill>
        <a:srgbClr val="D9D9D9"/>
      </a:solidFill>
      <a:prstDash val="solid"/>
      <a:round/>
    </a:ln>
  </c:spPr>
  <c:txPr>
    <a:bodyPr/>
    <a:lstStyle/>
    <a:p>
      <a:pPr>
        <a:defRPr lang="zh-CN" sz="1000" b="0" i="0" u="none" strike="noStrike" baseline="0">
          <a:solidFill>
            <a:srgbClr val="000000"/>
          </a:solidFill>
          <a:latin typeface="Times New Roman" panose="02020603050405020304"/>
          <a:ea typeface="宋体" panose="02010600030101010101" charset="-122"/>
          <a:cs typeface="Lucida Sans" panose="020B0602030504020204"/>
        </a:defRPr>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manualLayout>
          <c:layoutTarget val="inner"/>
          <c:xMode val="edge"/>
          <c:yMode val="edge"/>
          <c:x val="0.18745318"/>
          <c:y val="0.025666667"/>
          <c:w val="0.637578"/>
          <c:h val="0.85116667"/>
        </c:manualLayout>
      </c:layout>
      <c:pieChart>
        <c:varyColors val="false"/>
        <c:ser>
          <c:idx val="0"/>
          <c:order val="0"/>
          <c:tx>
            <c:strRef>
              <c:f>'Sheet1 (6)'!$B$1</c:f>
              <c:strCache>
                <c:ptCount val="1"/>
                <c:pt idx="0">
                  <c:v>销售额</c:v>
                </c:pt>
              </c:strCache>
            </c:strRef>
          </c:tx>
          <c:spPr>
            <a:solidFill>
              <a:srgbClr val="4F81BD"/>
            </a:solidFill>
            <a:ln>
              <a:noFill/>
            </a:ln>
          </c:spPr>
          <c:explosion val="0"/>
          <c:dPt>
            <c:idx val="0"/>
            <c:bubble3D val="false"/>
            <c:spPr>
              <a:solidFill>
                <a:srgbClr val="4F81BD"/>
              </a:solidFill>
              <a:ln w="19050">
                <a:solidFill>
                  <a:srgbClr val="CCE8CF"/>
                </a:solidFill>
                <a:prstDash val="solid"/>
              </a:ln>
            </c:spPr>
          </c:dPt>
          <c:dLbls>
            <c:dLbl>
              <c:idx val="0"/>
              <c:delete val="true"/>
            </c:dLbl>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rgbClr val="000000"/>
                    </a:solidFill>
                    <a:latin typeface="Times New Roman" panose="02020603050405020304"/>
                    <a:ea typeface="宋体" panose="02010600030101010101" charset="-122"/>
                    <a:cs typeface="Lucida Sans" panose="020B0602030504020204"/>
                  </a:defRPr>
                </a:pPr>
              </a:p>
            </c:txPr>
            <c:dLblPos val="bestFit"/>
            <c:showLegendKey val="false"/>
            <c:showVal val="fals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 (6)'!$A$2</c:f>
              <c:strCache>
                <c:ptCount val="1"/>
                <c:pt idx="0">
                  <c:v>公务接待费</c:v>
                </c:pt>
              </c:strCache>
            </c:strRef>
          </c:cat>
          <c:val>
            <c:numRef>
              <c:f>Sheet1 (6)!$B$2</c:f>
              <c:numCache>
                <c:formatCode>General</c:formatCode>
                <c:ptCount val="1"/>
                <c:pt idx="0">
                  <c:v>0.27</c:v>
                </c:pt>
              </c:numCache>
            </c:numRef>
          </c:val>
        </c:ser>
        <c:dLbls>
          <c:showLegendKey val="false"/>
          <c:showVal val="false"/>
          <c:showCatName val="false"/>
          <c:showSerName val="false"/>
          <c:showPercent val="false"/>
          <c:showBubbleSize val="false"/>
          <c:showLeaderLines val="true"/>
        </c:dLbls>
        <c:firstSliceAng val="0"/>
      </c:pieChart>
      <c:spPr>
        <a:noFill/>
        <a:ln>
          <a:noFill/>
        </a:ln>
      </c:spPr>
    </c:plotArea>
    <c:legend>
      <c:legendPos val="b"/>
      <c:layout/>
      <c:overlay val="false"/>
      <c:spPr>
        <a:noFill/>
        <a:ln>
          <a:noFill/>
        </a:ln>
      </c:spPr>
      <c:txPr>
        <a:bodyPr rot="0" spcFirstLastPara="0" vertOverflow="ellipsis" vert="horz" wrap="square" anchor="ctr" anchorCtr="true"/>
        <a:lstStyle/>
        <a:p>
          <a:pPr>
            <a:defRPr lang="zh-CN" sz="900" b="0" i="0" u="none" strike="noStrike" kern="1200" baseline="0">
              <a:solidFill>
                <a:srgbClr val="939393"/>
              </a:solidFill>
              <a:latin typeface="Times New Roman" panose="02020603050405020304"/>
              <a:ea typeface="宋体" panose="02010600030101010101" charset="-122"/>
              <a:cs typeface="Lucida Sans" panose="020B0602030504020204"/>
            </a:defRPr>
          </a:pPr>
        </a:p>
      </c:txPr>
    </c:legend>
    <c:plotVisOnly val="true"/>
    <c:dispBlanksAs val="gap"/>
    <c:showDLblsOverMax val="false"/>
  </c:chart>
  <c:spPr>
    <a:solidFill>
      <a:srgbClr val="CCE8CF"/>
    </a:solidFill>
    <a:ln w="6350" cap="flat" cmpd="sng" algn="ctr">
      <a:solidFill>
        <a:srgbClr val="F9F9F9"/>
      </a:solidFill>
      <a:prstDash val="solid"/>
      <a:round/>
    </a:ln>
  </c:spPr>
  <c:txPr>
    <a:bodyPr/>
    <a:lstStyle/>
    <a:p>
      <a:pPr>
        <a:defRPr lang="zh-CN" sz="1000" b="0" i="0" u="none" strike="noStrike" baseline="0">
          <a:solidFill>
            <a:srgbClr val="000000"/>
          </a:solidFill>
          <a:latin typeface="Times New Roman" panose="02020603050405020304"/>
          <a:ea typeface="宋体" panose="02010600030101010101" charset="-122"/>
          <a:cs typeface="Lucida Sans" panose="020B0602030504020204"/>
        </a:defRPr>
      </a:pPr>
    </a:p>
  </c:txPr>
  <c:externalData r:id="rId1">
    <c:autoUpdate val="false"/>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四川省财政厅</Company>
  <Pages>32</Pages>
  <Words>0</Words>
  <Characters>10543</Characters>
  <Lines>0</Lines>
  <Paragraphs>260</Paragraphs>
  <TotalTime>44</TotalTime>
  <ScaleCrop>false</ScaleCrop>
  <LinksUpToDate>false</LinksUpToDate>
  <CharactersWithSpaces>14058</CharactersWithSpaces>
  <Application>WPS Office_11.8.2.10422_F1E327BC-269C-435d-A152-05C5408002CA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2020-08-06T09:49:00Z</dcterms:created>
  <dc:creator>曹颖</dc:creator>
  <cp:lastModifiedBy>user</cp:lastModifiedBy>
  <cp:lastPrinted>2022-08-07T10:23:00Z</cp:lastPrinted>
  <dcterms:modified xsi:type="dcterms:W3CDTF">2023-10-20T11:07:00Z</dcterms:modified>
  <dc:title>四川省***</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7054A1185C32419F89BCC79B1CE49606</vt:lpwstr>
  </property>
</Properties>
</file>