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pStyle w:val="2"/>
        <w:spacing w:before="93"/>
      </w:pPr>
    </w:p>
    <w:p>
      <w:pPr>
        <w:jc w:val="center"/>
        <w:rPr>
          <w:rFonts w:ascii="方正黑体_GBK" w:eastAsia="方正黑体_GBK"/>
          <w:sz w:val="52"/>
          <w:szCs w:val="52"/>
        </w:rPr>
      </w:pPr>
      <w:bookmarkStart w:id="1" w:name="_Toc113478932"/>
      <w:bookmarkStart w:id="2" w:name="_Toc15396475"/>
      <w:bookmarkStart w:id="3" w:name="_Toc15396597"/>
      <w:bookmarkStart w:id="4" w:name="_Toc15377425"/>
      <w:bookmarkStart w:id="5" w:name="_Toc15378441"/>
      <w:bookmarkStart w:id="6" w:name="_Toc15377193"/>
      <w:r>
        <w:rPr>
          <w:rFonts w:hint="eastAsia" w:ascii="方正黑体_GBK" w:eastAsia="方正黑体_GBK"/>
          <w:sz w:val="52"/>
          <w:szCs w:val="52"/>
        </w:rPr>
        <w:t>2021年度</w:t>
      </w:r>
      <w:bookmarkEnd w:id="1"/>
      <w:bookmarkEnd w:id="2"/>
      <w:bookmarkEnd w:id="3"/>
      <w:bookmarkEnd w:id="4"/>
      <w:bookmarkEnd w:id="5"/>
      <w:bookmarkEnd w:id="6"/>
    </w:p>
    <w:p>
      <w:pPr>
        <w:jc w:val="center"/>
        <w:rPr>
          <w:rFonts w:ascii="方正黑体_GBK" w:eastAsia="方正黑体_GBK"/>
          <w:sz w:val="52"/>
          <w:szCs w:val="52"/>
        </w:rPr>
      </w:pPr>
      <w:bookmarkStart w:id="7" w:name="_Toc15378442"/>
      <w:bookmarkStart w:id="8" w:name="_Toc15377426"/>
      <w:bookmarkStart w:id="9" w:name="_Toc15396598"/>
      <w:bookmarkStart w:id="10" w:name="_Toc15377194"/>
      <w:bookmarkStart w:id="11" w:name="_Toc15396476"/>
      <w:bookmarkStart w:id="12" w:name="_Toc113478933"/>
      <w:r>
        <w:rPr>
          <w:rFonts w:hint="eastAsia" w:ascii="方正黑体_GBK" w:eastAsia="方正黑体_GBK"/>
          <w:sz w:val="52"/>
          <w:szCs w:val="52"/>
        </w:rPr>
        <w:t>四川省</w:t>
      </w:r>
      <w:bookmarkEnd w:id="0"/>
      <w:bookmarkStart w:id="13" w:name="_Toc15306268"/>
      <w:r>
        <w:rPr>
          <w:rFonts w:hint="eastAsia" w:ascii="方正黑体_GBK" w:eastAsia="方正黑体_GBK"/>
          <w:sz w:val="52"/>
          <w:szCs w:val="52"/>
        </w:rPr>
        <w:t>攀枝花市委政法委</w:t>
      </w:r>
    </w:p>
    <w:p>
      <w:pPr>
        <w:jc w:val="center"/>
      </w:pPr>
      <w:r>
        <w:rPr>
          <w:rFonts w:hint="eastAsia" w:ascii="方正黑体_GBK" w:eastAsia="方正黑体_GBK"/>
          <w:sz w:val="52"/>
          <w:szCs w:val="52"/>
        </w:rPr>
        <w:t>决算</w:t>
      </w:r>
      <w:bookmarkEnd w:id="7"/>
      <w:bookmarkEnd w:id="8"/>
      <w:bookmarkEnd w:id="9"/>
      <w:bookmarkEnd w:id="10"/>
      <w:bookmarkEnd w:id="11"/>
      <w:bookmarkEnd w:id="13"/>
      <w:r>
        <w:rPr>
          <w:rFonts w:hint="eastAsia" w:ascii="方正黑体_GBK" w:eastAsia="方正黑体_GBK"/>
          <w:sz w:val="52"/>
          <w:szCs w:val="52"/>
        </w:rPr>
        <w:t>公开</w:t>
      </w:r>
      <w:bookmarkEnd w:id="12"/>
      <w:r>
        <w:t xml:space="preserve"> </w:t>
      </w:r>
    </w:p>
    <w:p>
      <w:pPr>
        <w:widowControl/>
        <w:spacing w:line="440" w:lineRule="exact"/>
        <w:jc w:val="left"/>
        <w:rPr>
          <w:rFonts w:ascii="仿宋" w:hAnsi="仿宋" w:eastAsia="仿宋"/>
          <w:bCs/>
          <w:kern w:val="44"/>
          <w:sz w:val="24"/>
        </w:rPr>
      </w:pPr>
      <w:bookmarkStart w:id="14" w:name="_Toc15377196"/>
      <w:bookmarkStart w:id="15" w:name="_Toc15396599"/>
      <w:r>
        <w:rPr>
          <w:rFonts w:ascii="仿宋" w:hAnsi="仿宋" w:eastAsia="仿宋"/>
          <w:b/>
          <w:sz w:val="24"/>
        </w:rPr>
        <w:br w:type="page"/>
      </w:r>
    </w:p>
    <w:sdt>
      <w:sdtPr>
        <w:rPr>
          <w:rFonts w:ascii="Times New Roman" w:hAnsi="Times New Roman" w:eastAsia="宋体" w:cs="Times New Roman"/>
          <w:b w:val="0"/>
          <w:bCs w:val="0"/>
          <w:color w:val="auto"/>
          <w:kern w:val="2"/>
          <w:sz w:val="21"/>
          <w:szCs w:val="24"/>
          <w:lang w:val="zh-CN"/>
        </w:rPr>
        <w:id w:val="3992159"/>
        <w:docPartObj>
          <w:docPartGallery w:val="Table of Contents"/>
          <w:docPartUnique/>
        </w:docPartObj>
      </w:sdtPr>
      <w:sdtEndPr>
        <w:rPr>
          <w:rFonts w:ascii="Times New Roman" w:hAnsi="Times New Roman" w:eastAsia="宋体" w:cs="Times New Roman"/>
          <w:b w:val="0"/>
          <w:bCs w:val="0"/>
          <w:color w:val="auto"/>
          <w:kern w:val="2"/>
          <w:sz w:val="21"/>
          <w:szCs w:val="24"/>
          <w:lang w:val="en-US"/>
        </w:rPr>
      </w:sdtEndPr>
      <w:sdtContent>
        <w:p>
          <w:pPr>
            <w:pStyle w:val="35"/>
            <w:jc w:val="center"/>
            <w:rPr>
              <w:rFonts w:ascii="方正仿宋_GBK" w:eastAsia="方正仿宋_GBK"/>
              <w:color w:val="auto"/>
              <w:sz w:val="44"/>
              <w:szCs w:val="44"/>
              <w:lang w:val="zh-CN"/>
            </w:rPr>
          </w:pPr>
          <w:r>
            <w:rPr>
              <w:rFonts w:hint="eastAsia" w:ascii="方正仿宋_GBK" w:eastAsia="方正仿宋_GBK"/>
              <w:color w:val="auto"/>
              <w:sz w:val="44"/>
              <w:szCs w:val="44"/>
              <w:lang w:val="zh-CN"/>
            </w:rPr>
            <w:t>目录</w:t>
          </w:r>
        </w:p>
        <w:p>
          <w:pPr>
            <w:pStyle w:val="11"/>
          </w:pPr>
          <w:r>
            <w:rPr>
              <w:rFonts w:hint="eastAsia"/>
              <w:lang w:val="zh-CN"/>
            </w:rPr>
            <w:t xml:space="preserve">      </w:t>
          </w:r>
          <w:r>
            <w:rPr>
              <w:rFonts w:hint="eastAsia"/>
            </w:rPr>
            <w:t>公开时间：2022年9月14日</w:t>
          </w:r>
        </w:p>
        <w:p>
          <w:pPr>
            <w:pStyle w:val="11"/>
            <w:spacing w:line="560" w:lineRule="exact"/>
            <w:rPr>
              <w:rFonts w:asciiTheme="minorEastAsia" w:hAnsiTheme="minorEastAsia" w:eastAsiaTheme="minorEastAsia" w:cstheme="minorBidi"/>
            </w:rPr>
          </w:pPr>
          <w:r>
            <w:rPr>
              <w:rFonts w:hint="eastAsia" w:ascii="方正仿宋_GBK" w:eastAsia="方正仿宋_GBK"/>
            </w:rPr>
            <w:fldChar w:fldCharType="begin"/>
          </w:r>
          <w:r>
            <w:rPr>
              <w:rFonts w:hint="eastAsia" w:ascii="方正仿宋_GBK" w:eastAsia="方正仿宋_GBK"/>
            </w:rPr>
            <w:instrText xml:space="preserve"> TOC \o "1-3" \h \z \u </w:instrText>
          </w:r>
          <w:r>
            <w:rPr>
              <w:rFonts w:hint="eastAsia" w:ascii="方正仿宋_GBK" w:eastAsia="方正仿宋_GBK"/>
            </w:rPr>
            <w:fldChar w:fldCharType="separate"/>
          </w:r>
          <w:r>
            <w:fldChar w:fldCharType="begin"/>
          </w:r>
          <w:r>
            <w:instrText xml:space="preserve"> HYPERLINK \l "_Toc113480901" </w:instrText>
          </w:r>
          <w:r>
            <w:fldChar w:fldCharType="separate"/>
          </w:r>
          <w:r>
            <w:rPr>
              <w:rStyle w:val="17"/>
              <w:rFonts w:hint="eastAsia" w:asciiTheme="minorEastAsia" w:hAnsiTheme="minorEastAsia" w:eastAsiaTheme="minorEastAsia"/>
            </w:rPr>
            <w:t>第一部分 部门概况</w:t>
          </w:r>
          <w:r>
            <w:rPr>
              <w:rFonts w:hint="eastAsia" w:asciiTheme="minorEastAsia" w:hAnsiTheme="minorEastAsia" w:eastAsiaTheme="minorEastAsia"/>
            </w:rPr>
            <w:tab/>
          </w: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PAGEREF _Toc113480901 \h </w:instrText>
          </w:r>
          <w:r>
            <w:rPr>
              <w:rFonts w:hint="eastAsia" w:asciiTheme="minorEastAsia" w:hAnsiTheme="minorEastAsia" w:eastAsiaTheme="minorEastAsia"/>
            </w:rPr>
            <w:fldChar w:fldCharType="separate"/>
          </w:r>
          <w:r>
            <w:rPr>
              <w:rFonts w:asciiTheme="minorEastAsia" w:hAnsiTheme="minorEastAsia" w:eastAsiaTheme="minorEastAsia"/>
            </w:rPr>
            <w:t>4</w:t>
          </w:r>
          <w:r>
            <w:rPr>
              <w:rFonts w:hint="eastAsia" w:asciiTheme="minorEastAsia" w:hAnsiTheme="minorEastAsia" w:eastAsiaTheme="minorEastAsia"/>
            </w:rPr>
            <w:fldChar w:fldCharType="end"/>
          </w:r>
          <w:r>
            <w:rPr>
              <w:rFonts w:hint="eastAsia" w:asciiTheme="minorEastAsia" w:hAnsiTheme="minorEastAsia" w:eastAsiaTheme="minorEastAsia"/>
            </w:rPr>
            <w:fldChar w:fldCharType="end"/>
          </w:r>
        </w:p>
        <w:p>
          <w:pPr>
            <w:pStyle w:val="12"/>
            <w:tabs>
              <w:tab w:val="left" w:pos="1260"/>
            </w:tabs>
            <w:spacing w:line="560" w:lineRule="exact"/>
            <w:rPr>
              <w:rFonts w:asciiTheme="minorEastAsia" w:hAnsiTheme="minorEastAsia" w:eastAsiaTheme="minorEastAsia" w:cstheme="minorBidi"/>
              <w:sz w:val="28"/>
              <w:szCs w:val="28"/>
            </w:rPr>
          </w:pPr>
          <w:r>
            <w:fldChar w:fldCharType="begin"/>
          </w:r>
          <w:r>
            <w:instrText xml:space="preserve"> HYPERLINK \l "_Toc113480902" </w:instrText>
          </w:r>
          <w:r>
            <w:fldChar w:fldCharType="separate"/>
          </w:r>
          <w:r>
            <w:rPr>
              <w:rStyle w:val="17"/>
              <w:rFonts w:hint="eastAsia" w:asciiTheme="minorEastAsia" w:hAnsiTheme="minorEastAsia" w:eastAsiaTheme="minorEastAsia"/>
              <w:sz w:val="28"/>
              <w:szCs w:val="28"/>
            </w:rPr>
            <w:t>一、</w:t>
          </w:r>
          <w:r>
            <w:rPr>
              <w:rFonts w:hint="eastAsia" w:asciiTheme="minorEastAsia" w:hAnsiTheme="minorEastAsia" w:eastAsiaTheme="minorEastAsia" w:cstheme="minorBidi"/>
              <w:sz w:val="28"/>
              <w:szCs w:val="28"/>
            </w:rPr>
            <w:tab/>
          </w:r>
          <w:r>
            <w:rPr>
              <w:rStyle w:val="17"/>
              <w:rFonts w:hint="eastAsia" w:asciiTheme="minorEastAsia" w:hAnsiTheme="minorEastAsia" w:eastAsiaTheme="minorEastAsia"/>
              <w:sz w:val="28"/>
              <w:szCs w:val="28"/>
            </w:rPr>
            <w:t>基本职能及主要工作</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_Toc113480902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4</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"_Toc113480903" </w:instrText>
          </w:r>
          <w:r>
            <w:fldChar w:fldCharType="separate"/>
          </w:r>
          <w:r>
            <w:rPr>
              <w:rStyle w:val="17"/>
              <w:rFonts w:hint="eastAsia" w:asciiTheme="minorEastAsia" w:hAnsiTheme="minorEastAsia" w:eastAsiaTheme="minorEastAsia"/>
              <w:sz w:val="28"/>
              <w:szCs w:val="28"/>
            </w:rPr>
            <w:t>二、机构设置</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_Toc113480903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4</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1"/>
            <w:spacing w:line="560" w:lineRule="exact"/>
            <w:rPr>
              <w:rFonts w:asciiTheme="minorEastAsia" w:hAnsiTheme="minorEastAsia" w:eastAsiaTheme="minorEastAsia" w:cstheme="minorBidi"/>
            </w:rPr>
          </w:pPr>
          <w:r>
            <w:fldChar w:fldCharType="begin"/>
          </w:r>
          <w:r>
            <w:instrText xml:space="preserve"> HYPERLINK \l "_Toc113480904" </w:instrText>
          </w:r>
          <w:r>
            <w:fldChar w:fldCharType="separate"/>
          </w:r>
          <w:r>
            <w:rPr>
              <w:rStyle w:val="17"/>
              <w:rFonts w:hint="eastAsia" w:asciiTheme="minorEastAsia" w:hAnsiTheme="minorEastAsia" w:eastAsiaTheme="minorEastAsia"/>
            </w:rPr>
            <w:t>第二部分 2021年度部门决算情况说明</w:t>
          </w:r>
          <w:r>
            <w:rPr>
              <w:rFonts w:hint="eastAsia" w:asciiTheme="minorEastAsia" w:hAnsiTheme="minorEastAsia" w:eastAsiaTheme="minorEastAsia"/>
            </w:rPr>
            <w:tab/>
          </w: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PAGEREF _Toc113480904 \h </w:instrText>
          </w:r>
          <w:r>
            <w:rPr>
              <w:rFonts w:hint="eastAsia" w:asciiTheme="minorEastAsia" w:hAnsiTheme="minorEastAsia" w:eastAsiaTheme="minorEastAsia"/>
            </w:rPr>
            <w:fldChar w:fldCharType="separate"/>
          </w:r>
          <w:r>
            <w:rPr>
              <w:rFonts w:asciiTheme="minorEastAsia" w:hAnsiTheme="minorEastAsia" w:eastAsiaTheme="minorEastAsia"/>
            </w:rPr>
            <w:t>5</w:t>
          </w:r>
          <w:r>
            <w:rPr>
              <w:rFonts w:hint="eastAsia" w:asciiTheme="minorEastAsia" w:hAnsiTheme="minorEastAsia" w:eastAsiaTheme="minorEastAsia"/>
            </w:rPr>
            <w:fldChar w:fldCharType="end"/>
          </w:r>
          <w:r>
            <w:rPr>
              <w:rFonts w:hint="eastAsia" w:asciiTheme="minorEastAsia" w:hAnsiTheme="minorEastAsia" w:eastAsiaTheme="minorEastAsia"/>
            </w:rPr>
            <w:fldChar w:fldCharType="end"/>
          </w:r>
        </w:p>
        <w:p>
          <w:pPr>
            <w:pStyle w:val="12"/>
            <w:tabs>
              <w:tab w:val="left" w:pos="1260"/>
            </w:tabs>
            <w:spacing w:line="560" w:lineRule="exact"/>
            <w:rPr>
              <w:rFonts w:asciiTheme="minorEastAsia" w:hAnsiTheme="minorEastAsia" w:eastAsiaTheme="minorEastAsia" w:cstheme="minorBidi"/>
              <w:sz w:val="28"/>
              <w:szCs w:val="28"/>
            </w:rPr>
          </w:pPr>
          <w:r>
            <w:fldChar w:fldCharType="begin"/>
          </w:r>
          <w:r>
            <w:instrText xml:space="preserve"> HYPERLINK \l "_Toc113480905" </w:instrText>
          </w:r>
          <w:r>
            <w:fldChar w:fldCharType="separate"/>
          </w:r>
          <w:r>
            <w:rPr>
              <w:rStyle w:val="17"/>
              <w:rFonts w:hint="eastAsia" w:asciiTheme="minorEastAsia" w:hAnsiTheme="minorEastAsia" w:eastAsiaTheme="minorEastAsia" w:cstheme="majorBidi"/>
              <w:bCs/>
              <w:sz w:val="28"/>
              <w:szCs w:val="28"/>
            </w:rPr>
            <w:t>一、</w:t>
          </w:r>
          <w:r>
            <w:rPr>
              <w:rFonts w:hint="eastAsia" w:asciiTheme="minorEastAsia" w:hAnsiTheme="minorEastAsia" w:eastAsiaTheme="minorEastAsia" w:cstheme="minorBidi"/>
              <w:sz w:val="28"/>
              <w:szCs w:val="28"/>
            </w:rPr>
            <w:tab/>
          </w:r>
          <w:r>
            <w:rPr>
              <w:rStyle w:val="17"/>
              <w:rFonts w:hint="eastAsia" w:asciiTheme="minorEastAsia" w:hAnsiTheme="minorEastAsia" w:eastAsiaTheme="minorEastAsia"/>
              <w:sz w:val="28"/>
              <w:szCs w:val="28"/>
            </w:rPr>
            <w:t>收</w:t>
          </w:r>
          <w:r>
            <w:rPr>
              <w:rStyle w:val="17"/>
              <w:rFonts w:hint="eastAsia" w:asciiTheme="minorEastAsia" w:hAnsiTheme="minorEastAsia" w:eastAsiaTheme="minorEastAsia" w:cstheme="majorBidi"/>
              <w:bCs/>
              <w:sz w:val="28"/>
              <w:szCs w:val="28"/>
            </w:rPr>
            <w:t>入支出决算总体情况说明</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_Toc113480905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tabs>
              <w:tab w:val="left" w:pos="1260"/>
            </w:tabs>
            <w:spacing w:line="560" w:lineRule="exact"/>
            <w:rPr>
              <w:rFonts w:asciiTheme="minorEastAsia" w:hAnsiTheme="minorEastAsia" w:eastAsiaTheme="minorEastAsia" w:cstheme="minorBidi"/>
              <w:sz w:val="28"/>
              <w:szCs w:val="28"/>
            </w:rPr>
          </w:pPr>
          <w:r>
            <w:fldChar w:fldCharType="begin"/>
          </w:r>
          <w:r>
            <w:instrText xml:space="preserve"> HYPERLINK \l "_Toc113480906" </w:instrText>
          </w:r>
          <w:r>
            <w:fldChar w:fldCharType="separate"/>
          </w:r>
          <w:r>
            <w:rPr>
              <w:rStyle w:val="17"/>
              <w:rFonts w:hint="eastAsia" w:asciiTheme="minorEastAsia" w:hAnsiTheme="minorEastAsia" w:eastAsiaTheme="minorEastAsia" w:cstheme="majorBidi"/>
              <w:bCs/>
              <w:sz w:val="28"/>
              <w:szCs w:val="28"/>
            </w:rPr>
            <w:t>二、</w:t>
          </w:r>
          <w:r>
            <w:rPr>
              <w:rFonts w:hint="eastAsia" w:asciiTheme="minorEastAsia" w:hAnsiTheme="minorEastAsia" w:eastAsiaTheme="minorEastAsia" w:cstheme="minorBidi"/>
              <w:sz w:val="28"/>
              <w:szCs w:val="28"/>
            </w:rPr>
            <w:tab/>
          </w:r>
          <w:r>
            <w:rPr>
              <w:rStyle w:val="17"/>
              <w:rFonts w:hint="eastAsia" w:asciiTheme="minorEastAsia" w:hAnsiTheme="minorEastAsia" w:eastAsiaTheme="minorEastAsia"/>
              <w:sz w:val="28"/>
              <w:szCs w:val="28"/>
            </w:rPr>
            <w:t>收</w:t>
          </w:r>
          <w:r>
            <w:rPr>
              <w:rStyle w:val="17"/>
              <w:rFonts w:hint="eastAsia" w:asciiTheme="minorEastAsia" w:hAnsiTheme="minorEastAsia" w:eastAsiaTheme="minorEastAsia" w:cstheme="majorBidi"/>
              <w:bCs/>
              <w:sz w:val="28"/>
              <w:szCs w:val="28"/>
            </w:rPr>
            <w:t>入决算情况说明</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_Toc113480906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tabs>
              <w:tab w:val="left" w:pos="1260"/>
            </w:tabs>
            <w:spacing w:line="560" w:lineRule="exact"/>
            <w:rPr>
              <w:rFonts w:asciiTheme="minorEastAsia" w:hAnsiTheme="minorEastAsia" w:eastAsiaTheme="minorEastAsia" w:cstheme="minorBidi"/>
              <w:sz w:val="28"/>
              <w:szCs w:val="28"/>
            </w:rPr>
          </w:pPr>
          <w:r>
            <w:fldChar w:fldCharType="begin"/>
          </w:r>
          <w:r>
            <w:instrText xml:space="preserve"> HYPERLINK \l "_Toc113480907" </w:instrText>
          </w:r>
          <w:r>
            <w:fldChar w:fldCharType="separate"/>
          </w:r>
          <w:r>
            <w:rPr>
              <w:rStyle w:val="17"/>
              <w:rFonts w:hint="eastAsia" w:asciiTheme="minorEastAsia" w:hAnsiTheme="minorEastAsia" w:eastAsiaTheme="minorEastAsia" w:cstheme="majorBidi"/>
              <w:bCs/>
              <w:sz w:val="28"/>
              <w:szCs w:val="28"/>
            </w:rPr>
            <w:t>三、</w:t>
          </w:r>
          <w:r>
            <w:rPr>
              <w:rFonts w:hint="eastAsia" w:asciiTheme="minorEastAsia" w:hAnsiTheme="minorEastAsia" w:eastAsiaTheme="minorEastAsia" w:cstheme="minorBidi"/>
              <w:sz w:val="28"/>
              <w:szCs w:val="28"/>
            </w:rPr>
            <w:tab/>
          </w:r>
          <w:r>
            <w:rPr>
              <w:rStyle w:val="17"/>
              <w:rFonts w:hint="eastAsia" w:asciiTheme="minorEastAsia" w:hAnsiTheme="minorEastAsia" w:eastAsiaTheme="minorEastAsia"/>
              <w:sz w:val="28"/>
              <w:szCs w:val="28"/>
            </w:rPr>
            <w:t>支</w:t>
          </w:r>
          <w:r>
            <w:rPr>
              <w:rStyle w:val="17"/>
              <w:rFonts w:hint="eastAsia" w:asciiTheme="minorEastAsia" w:hAnsiTheme="minorEastAsia" w:eastAsiaTheme="minorEastAsia" w:cstheme="majorBidi"/>
              <w:bCs/>
              <w:sz w:val="28"/>
              <w:szCs w:val="28"/>
            </w:rPr>
            <w:t>出决算情况说明</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_Toc113480907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6</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"_Toc113480908" </w:instrText>
          </w:r>
          <w:r>
            <w:fldChar w:fldCharType="separate"/>
          </w:r>
          <w:r>
            <w:rPr>
              <w:rStyle w:val="17"/>
              <w:rFonts w:hint="eastAsia" w:asciiTheme="minorEastAsia" w:hAnsiTheme="minorEastAsia" w:eastAsiaTheme="minorEastAsia"/>
              <w:sz w:val="28"/>
              <w:szCs w:val="28"/>
            </w:rPr>
            <w:t>四、财</w:t>
          </w:r>
          <w:r>
            <w:rPr>
              <w:rStyle w:val="17"/>
              <w:rFonts w:hint="eastAsia" w:asciiTheme="minorEastAsia" w:hAnsiTheme="minorEastAsia" w:eastAsiaTheme="minorEastAsia" w:cstheme="majorBidi"/>
              <w:bCs/>
              <w:sz w:val="28"/>
              <w:szCs w:val="28"/>
            </w:rPr>
            <w:t>政拨款收入支出决算总体情况说明</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_Toc113480908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7</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"_Toc113480909" </w:instrText>
          </w:r>
          <w:r>
            <w:fldChar w:fldCharType="separate"/>
          </w:r>
          <w:r>
            <w:rPr>
              <w:rStyle w:val="17"/>
              <w:rFonts w:hint="eastAsia" w:asciiTheme="minorEastAsia" w:hAnsiTheme="minorEastAsia" w:eastAsiaTheme="minorEastAsia"/>
              <w:sz w:val="28"/>
              <w:szCs w:val="28"/>
            </w:rPr>
            <w:t>五、一</w:t>
          </w:r>
          <w:r>
            <w:rPr>
              <w:rStyle w:val="17"/>
              <w:rFonts w:hint="eastAsia" w:asciiTheme="minorEastAsia" w:hAnsiTheme="minorEastAsia" w:eastAsiaTheme="minorEastAsia" w:cstheme="majorBidi"/>
              <w:bCs/>
              <w:sz w:val="28"/>
              <w:szCs w:val="28"/>
            </w:rPr>
            <w:t>般公共预算财政拨款支出决算情况说明</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_Toc113480909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7</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6"/>
            <w:spacing w:line="560" w:lineRule="exact"/>
            <w:rPr>
              <w:rFonts w:asciiTheme="minorEastAsia" w:hAnsiTheme="minorEastAsia" w:eastAsiaTheme="minorEastAsia" w:cstheme="minorBidi"/>
              <w:sz w:val="28"/>
              <w:szCs w:val="28"/>
            </w:rPr>
          </w:pPr>
          <w:r>
            <w:fldChar w:fldCharType="begin"/>
          </w:r>
          <w:r>
            <w:instrText xml:space="preserve"> HYPERLINK \l "_Toc113480910" </w:instrText>
          </w:r>
          <w:r>
            <w:fldChar w:fldCharType="separate"/>
          </w:r>
          <w:r>
            <w:rPr>
              <w:rStyle w:val="17"/>
              <w:rFonts w:hint="eastAsia" w:asciiTheme="minorEastAsia" w:hAnsiTheme="minorEastAsia" w:eastAsiaTheme="minorEastAsia"/>
              <w:sz w:val="28"/>
              <w:szCs w:val="28"/>
              <w:u w:val="none"/>
            </w:rPr>
            <w:t>（一）一般公共预算财政拨款支出决算总体情况</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_Toc113480910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7</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6"/>
            <w:spacing w:line="560" w:lineRule="exact"/>
            <w:rPr>
              <w:rFonts w:asciiTheme="minorEastAsia" w:hAnsiTheme="minorEastAsia" w:eastAsiaTheme="minorEastAsia" w:cstheme="minorBidi"/>
              <w:sz w:val="28"/>
              <w:szCs w:val="28"/>
            </w:rPr>
          </w:pPr>
          <w:r>
            <w:fldChar w:fldCharType="begin"/>
          </w:r>
          <w:r>
            <w:instrText xml:space="preserve"> HYPERLINK \l "_Toc113480911" </w:instrText>
          </w:r>
          <w:r>
            <w:fldChar w:fldCharType="separate"/>
          </w:r>
          <w:r>
            <w:rPr>
              <w:rStyle w:val="17"/>
              <w:rFonts w:hint="eastAsia" w:asciiTheme="minorEastAsia" w:hAnsiTheme="minorEastAsia" w:eastAsiaTheme="minorEastAsia"/>
              <w:sz w:val="28"/>
              <w:szCs w:val="28"/>
            </w:rPr>
            <w:t>（二）一般公共预算财政拨款支出决算结构情况</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_Toc113480911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8</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6"/>
            <w:spacing w:line="560" w:lineRule="exact"/>
            <w:rPr>
              <w:rFonts w:asciiTheme="minorEastAsia" w:hAnsiTheme="minorEastAsia" w:eastAsiaTheme="minorEastAsia" w:cstheme="minorBidi"/>
              <w:sz w:val="28"/>
              <w:szCs w:val="28"/>
            </w:rPr>
          </w:pPr>
          <w:r>
            <w:fldChar w:fldCharType="begin"/>
          </w:r>
          <w:r>
            <w:instrText xml:space="preserve"> HYPERLINK \l "_Toc113480912" </w:instrText>
          </w:r>
          <w:r>
            <w:fldChar w:fldCharType="separate"/>
          </w:r>
          <w:r>
            <w:rPr>
              <w:rStyle w:val="17"/>
              <w:rFonts w:hint="eastAsia" w:asciiTheme="minorEastAsia" w:hAnsiTheme="minorEastAsia" w:eastAsiaTheme="minorEastAsia"/>
              <w:sz w:val="28"/>
              <w:szCs w:val="28"/>
            </w:rPr>
            <w:t>（三）一般公共预算财政拨款支出决算具体情况</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_Toc113480912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8</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"_Toc113480913" </w:instrText>
          </w:r>
          <w:r>
            <w:fldChar w:fldCharType="separate"/>
          </w:r>
          <w:r>
            <w:rPr>
              <w:rStyle w:val="17"/>
              <w:rFonts w:hint="eastAsia" w:asciiTheme="minorEastAsia" w:hAnsiTheme="minorEastAsia" w:eastAsiaTheme="minorEastAsia"/>
              <w:sz w:val="28"/>
              <w:szCs w:val="28"/>
            </w:rPr>
            <w:t>六、一</w:t>
          </w:r>
          <w:r>
            <w:rPr>
              <w:rStyle w:val="17"/>
              <w:rFonts w:hint="eastAsia" w:asciiTheme="minorEastAsia" w:hAnsiTheme="minorEastAsia" w:eastAsiaTheme="minorEastAsia" w:cstheme="majorBidi"/>
              <w:bCs/>
              <w:sz w:val="28"/>
              <w:szCs w:val="28"/>
            </w:rPr>
            <w:t>般公共预算财政拨款基本支出决算情况说明</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_Toc113480913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9</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"_Toc113480914" </w:instrText>
          </w:r>
          <w:r>
            <w:fldChar w:fldCharType="separate"/>
          </w:r>
          <w:r>
            <w:rPr>
              <w:rStyle w:val="17"/>
              <w:rFonts w:hint="eastAsia" w:asciiTheme="minorEastAsia" w:hAnsiTheme="minorEastAsia" w:eastAsiaTheme="minorEastAsia"/>
              <w:sz w:val="28"/>
              <w:szCs w:val="28"/>
            </w:rPr>
            <w:t>七、</w:t>
          </w:r>
          <w:r>
            <w:rPr>
              <w:rStyle w:val="17"/>
              <w:rFonts w:hint="eastAsia" w:asciiTheme="minorEastAsia" w:hAnsiTheme="minorEastAsia" w:eastAsiaTheme="minorEastAsia" w:cstheme="majorBidi"/>
              <w:bCs/>
              <w:sz w:val="28"/>
              <w:szCs w:val="28"/>
            </w:rPr>
            <w:t>“三公”经费财政拨款支出决算情况说明</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_Toc113480914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10</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6"/>
            <w:spacing w:line="560" w:lineRule="exact"/>
            <w:rPr>
              <w:rFonts w:asciiTheme="minorEastAsia" w:hAnsiTheme="minorEastAsia" w:eastAsiaTheme="minorEastAsia" w:cstheme="minorBidi"/>
              <w:sz w:val="28"/>
              <w:szCs w:val="28"/>
            </w:rPr>
          </w:pPr>
          <w:r>
            <w:fldChar w:fldCharType="begin"/>
          </w:r>
          <w:r>
            <w:instrText xml:space="preserve"> HYPERLINK \l "_Toc113480915" </w:instrText>
          </w:r>
          <w:r>
            <w:fldChar w:fldCharType="separate"/>
          </w:r>
          <w:r>
            <w:rPr>
              <w:rStyle w:val="17"/>
              <w:rFonts w:hint="eastAsia" w:asciiTheme="minorEastAsia" w:hAnsiTheme="minorEastAsia" w:eastAsiaTheme="minorEastAsia"/>
              <w:sz w:val="28"/>
              <w:szCs w:val="28"/>
            </w:rPr>
            <w:t>（一）“三公”经费财政拨款支出决算总体情况说明</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_Toc113480915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10</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6"/>
            <w:spacing w:line="560" w:lineRule="exact"/>
            <w:rPr>
              <w:rFonts w:asciiTheme="minorEastAsia" w:hAnsiTheme="minorEastAsia" w:eastAsiaTheme="minorEastAsia" w:cstheme="minorBidi"/>
              <w:sz w:val="28"/>
              <w:szCs w:val="28"/>
            </w:rPr>
          </w:pPr>
          <w:r>
            <w:fldChar w:fldCharType="begin"/>
          </w:r>
          <w:r>
            <w:instrText xml:space="preserve"> HYPERLINK \l "_Toc113480916" </w:instrText>
          </w:r>
          <w:r>
            <w:fldChar w:fldCharType="separate"/>
          </w:r>
          <w:r>
            <w:rPr>
              <w:rStyle w:val="17"/>
              <w:rFonts w:hint="eastAsia" w:asciiTheme="minorEastAsia" w:hAnsiTheme="minorEastAsia" w:eastAsiaTheme="minorEastAsia"/>
              <w:sz w:val="28"/>
              <w:szCs w:val="28"/>
            </w:rPr>
            <w:t>（二）“三公”经费财政拨款支出决算具体情况说明</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_Toc113480916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10</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6"/>
            <w:spacing w:line="560" w:lineRule="exact"/>
            <w:rPr>
              <w:rFonts w:asciiTheme="minorEastAsia" w:hAnsiTheme="minorEastAsia" w:eastAsiaTheme="minorEastAsia" w:cstheme="minorBidi"/>
              <w:sz w:val="28"/>
              <w:szCs w:val="28"/>
            </w:rPr>
          </w:pPr>
          <w:r>
            <w:fldChar w:fldCharType="begin"/>
          </w:r>
          <w:r>
            <w:instrText xml:space="preserve"> HYPERLINK \l "_Toc113480917" </w:instrText>
          </w:r>
          <w:r>
            <w:fldChar w:fldCharType="separate"/>
          </w:r>
          <w:r>
            <w:rPr>
              <w:rStyle w:val="17"/>
              <w:rFonts w:hint="eastAsia" w:asciiTheme="minorEastAsia" w:hAnsiTheme="minorEastAsia" w:eastAsiaTheme="minorEastAsia"/>
              <w:sz w:val="28"/>
              <w:szCs w:val="28"/>
            </w:rPr>
            <w:t>（二）政府采购支出情况</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_Toc113480917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12</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6"/>
            <w:spacing w:line="560" w:lineRule="exact"/>
            <w:rPr>
              <w:rFonts w:asciiTheme="minorEastAsia" w:hAnsiTheme="minorEastAsia" w:eastAsiaTheme="minorEastAsia" w:cstheme="minorBidi"/>
              <w:sz w:val="28"/>
              <w:szCs w:val="28"/>
            </w:rPr>
          </w:pPr>
          <w:r>
            <w:fldChar w:fldCharType="begin"/>
          </w:r>
          <w:r>
            <w:instrText xml:space="preserve"> HYPERLINK \l "_Toc113480918" </w:instrText>
          </w:r>
          <w:r>
            <w:fldChar w:fldCharType="separate"/>
          </w:r>
          <w:r>
            <w:rPr>
              <w:rStyle w:val="17"/>
              <w:rFonts w:hint="eastAsia" w:asciiTheme="minorEastAsia" w:hAnsiTheme="minorEastAsia" w:eastAsiaTheme="minorEastAsia"/>
              <w:sz w:val="28"/>
              <w:szCs w:val="28"/>
            </w:rPr>
            <w:t>（三）国有资产占有使用情况</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_Toc113480918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13</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6"/>
            <w:spacing w:line="560" w:lineRule="exact"/>
            <w:rPr>
              <w:rFonts w:asciiTheme="minorEastAsia" w:hAnsiTheme="minorEastAsia" w:eastAsiaTheme="minorEastAsia" w:cstheme="minorBidi"/>
              <w:sz w:val="28"/>
              <w:szCs w:val="28"/>
            </w:rPr>
          </w:pPr>
          <w:r>
            <w:fldChar w:fldCharType="begin"/>
          </w:r>
          <w:r>
            <w:instrText xml:space="preserve"> HYPERLINK \l "_Toc113480919" </w:instrText>
          </w:r>
          <w:r>
            <w:fldChar w:fldCharType="separate"/>
          </w:r>
          <w:r>
            <w:rPr>
              <w:rStyle w:val="17"/>
              <w:rFonts w:hint="eastAsia" w:asciiTheme="minorEastAsia" w:hAnsiTheme="minorEastAsia" w:eastAsiaTheme="minorEastAsia"/>
              <w:sz w:val="28"/>
              <w:szCs w:val="28"/>
            </w:rPr>
            <w:t>（四）预算绩效管理情况</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_Toc113480919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13</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1"/>
            <w:spacing w:line="560" w:lineRule="exact"/>
            <w:rPr>
              <w:rFonts w:asciiTheme="minorEastAsia" w:hAnsiTheme="minorEastAsia" w:eastAsiaTheme="minorEastAsia" w:cstheme="minorBidi"/>
            </w:rPr>
          </w:pPr>
          <w:r>
            <w:fldChar w:fldCharType="begin"/>
          </w:r>
          <w:r>
            <w:instrText xml:space="preserve"> HYPERLINK \l "_Toc113480920" </w:instrText>
          </w:r>
          <w:r>
            <w:fldChar w:fldCharType="separate"/>
          </w:r>
          <w:r>
            <w:rPr>
              <w:rStyle w:val="17"/>
              <w:rFonts w:hint="eastAsia" w:cs="黑体" w:asciiTheme="minorEastAsia" w:hAnsiTheme="minorEastAsia" w:eastAsiaTheme="minorEastAsia"/>
              <w:bCs/>
              <w:kern w:val="44"/>
            </w:rPr>
            <w:t>第三部分</w:t>
          </w:r>
          <w:r>
            <w:rPr>
              <w:rStyle w:val="17"/>
              <w:rFonts w:hint="eastAsia" w:asciiTheme="minorEastAsia" w:hAnsiTheme="minorEastAsia" w:eastAsiaTheme="minorEastAsia"/>
            </w:rPr>
            <w:t xml:space="preserve"> 名</w:t>
          </w:r>
          <w:r>
            <w:rPr>
              <w:rStyle w:val="17"/>
              <w:rFonts w:hint="eastAsia" w:asciiTheme="minorEastAsia" w:hAnsiTheme="minorEastAsia" w:eastAsiaTheme="minorEastAsia"/>
              <w:bCs/>
              <w:kern w:val="44"/>
            </w:rPr>
            <w:t>词解释</w:t>
          </w:r>
          <w:r>
            <w:rPr>
              <w:rFonts w:hint="eastAsia" w:asciiTheme="minorEastAsia" w:hAnsiTheme="minorEastAsia" w:eastAsiaTheme="minorEastAsia"/>
            </w:rPr>
            <w:tab/>
          </w: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PAGEREF _Toc113480920 \h </w:instrText>
          </w:r>
          <w:r>
            <w:rPr>
              <w:rFonts w:hint="eastAsia" w:asciiTheme="minorEastAsia" w:hAnsiTheme="minorEastAsia" w:eastAsiaTheme="minorEastAsia"/>
            </w:rPr>
            <w:fldChar w:fldCharType="separate"/>
          </w:r>
          <w:r>
            <w:rPr>
              <w:rFonts w:asciiTheme="minorEastAsia" w:hAnsiTheme="minorEastAsia" w:eastAsiaTheme="minorEastAsia"/>
            </w:rPr>
            <w:t>14</w:t>
          </w:r>
          <w:r>
            <w:rPr>
              <w:rFonts w:hint="eastAsia" w:asciiTheme="minorEastAsia" w:hAnsiTheme="minorEastAsia" w:eastAsiaTheme="minorEastAsia"/>
            </w:rPr>
            <w:fldChar w:fldCharType="end"/>
          </w:r>
          <w:r>
            <w:rPr>
              <w:rFonts w:hint="eastAsia" w:asciiTheme="minorEastAsia" w:hAnsiTheme="minorEastAsia" w:eastAsiaTheme="minorEastAsia"/>
            </w:rPr>
            <w:fldChar w:fldCharType="end"/>
          </w:r>
        </w:p>
        <w:p>
          <w:pPr>
            <w:pStyle w:val="11"/>
            <w:spacing w:line="560" w:lineRule="exact"/>
            <w:rPr>
              <w:rFonts w:asciiTheme="minorEastAsia" w:hAnsiTheme="minorEastAsia" w:eastAsiaTheme="minorEastAsia" w:cstheme="minorBidi"/>
            </w:rPr>
          </w:pPr>
          <w:r>
            <w:fldChar w:fldCharType="begin"/>
          </w:r>
          <w:r>
            <w:instrText xml:space="preserve"> HYPERLINK \l "_Toc113480921" </w:instrText>
          </w:r>
          <w:r>
            <w:fldChar w:fldCharType="separate"/>
          </w:r>
          <w:r>
            <w:rPr>
              <w:rStyle w:val="17"/>
              <w:rFonts w:hint="eastAsia" w:asciiTheme="minorEastAsia" w:hAnsiTheme="minorEastAsia" w:eastAsiaTheme="minorEastAsia"/>
            </w:rPr>
            <w:t>第四部分 附件</w:t>
          </w:r>
          <w:r>
            <w:rPr>
              <w:rFonts w:hint="eastAsia" w:asciiTheme="minorEastAsia" w:hAnsiTheme="minorEastAsia" w:eastAsiaTheme="minorEastAsia"/>
            </w:rPr>
            <w:tab/>
          </w: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PAGEREF _Toc113480921 \h </w:instrText>
          </w:r>
          <w:r>
            <w:rPr>
              <w:rFonts w:hint="eastAsia" w:asciiTheme="minorEastAsia" w:hAnsiTheme="minorEastAsia" w:eastAsiaTheme="minorEastAsia"/>
            </w:rPr>
            <w:fldChar w:fldCharType="separate"/>
          </w:r>
          <w:r>
            <w:rPr>
              <w:rFonts w:asciiTheme="minorEastAsia" w:hAnsiTheme="minorEastAsia" w:eastAsiaTheme="minorEastAsia"/>
            </w:rPr>
            <w:t>18</w:t>
          </w:r>
          <w:r>
            <w:rPr>
              <w:rFonts w:hint="eastAsia" w:asciiTheme="minorEastAsia" w:hAnsiTheme="minorEastAsia" w:eastAsiaTheme="minorEastAsia"/>
            </w:rPr>
            <w:fldChar w:fldCharType="end"/>
          </w:r>
          <w:r>
            <w:rPr>
              <w:rFonts w:hint="eastAsia" w:asciiTheme="minorEastAsia" w:hAnsiTheme="minorEastAsia" w:eastAsiaTheme="minorEastAsia"/>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"_Toc113480922" </w:instrText>
          </w:r>
          <w:r>
            <w:fldChar w:fldCharType="separate"/>
          </w:r>
          <w:r>
            <w:rPr>
              <w:rStyle w:val="17"/>
              <w:rFonts w:hint="eastAsia" w:asciiTheme="minorEastAsia" w:hAnsiTheme="minorEastAsia" w:eastAsiaTheme="minorEastAsia"/>
              <w:sz w:val="28"/>
              <w:szCs w:val="28"/>
            </w:rPr>
            <w:t>附表：</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_Toc113480922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50</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1"/>
            <w:spacing w:line="560" w:lineRule="exact"/>
            <w:rPr>
              <w:rFonts w:asciiTheme="minorEastAsia" w:hAnsiTheme="minorEastAsia" w:eastAsiaTheme="minorEastAsia" w:cstheme="minorBidi"/>
            </w:rPr>
          </w:pPr>
          <w:r>
            <w:fldChar w:fldCharType="begin"/>
          </w:r>
          <w:r>
            <w:instrText xml:space="preserve"> HYPERLINK \l "_Toc113480923" </w:instrText>
          </w:r>
          <w:r>
            <w:fldChar w:fldCharType="separate"/>
          </w:r>
          <w:r>
            <w:rPr>
              <w:rStyle w:val="17"/>
              <w:rFonts w:hint="eastAsia" w:asciiTheme="minorEastAsia" w:hAnsiTheme="minorEastAsia" w:eastAsiaTheme="minorEastAsia"/>
            </w:rPr>
            <w:t>第五部分 附表</w:t>
          </w:r>
          <w:r>
            <w:rPr>
              <w:rFonts w:hint="eastAsia" w:asciiTheme="minorEastAsia" w:hAnsiTheme="minorEastAsia" w:eastAsiaTheme="minorEastAsia"/>
            </w:rPr>
            <w:tab/>
          </w:r>
          <w:r>
            <w:rPr>
              <w:rFonts w:hint="eastAsia" w:asciiTheme="minorEastAsia" w:hAnsiTheme="minorEastAsia" w:eastAsiaTheme="minorEastAsia"/>
            </w:rPr>
            <w:fldChar w:fldCharType="begin"/>
          </w:r>
          <w:r>
            <w:rPr>
              <w:rFonts w:hint="eastAsia" w:asciiTheme="minorEastAsia" w:hAnsiTheme="minorEastAsia" w:eastAsiaTheme="minorEastAsia"/>
            </w:rPr>
            <w:instrText xml:space="preserve"> PAGEREF _Toc113480923 \h </w:instrText>
          </w:r>
          <w:r>
            <w:rPr>
              <w:rFonts w:hint="eastAsia" w:asciiTheme="minorEastAsia" w:hAnsiTheme="minorEastAsia" w:eastAsiaTheme="minorEastAsia"/>
            </w:rPr>
            <w:fldChar w:fldCharType="separate"/>
          </w:r>
          <w:r>
            <w:rPr>
              <w:rFonts w:asciiTheme="minorEastAsia" w:hAnsiTheme="minorEastAsia" w:eastAsiaTheme="minorEastAsia"/>
            </w:rPr>
            <w:t>56</w:t>
          </w:r>
          <w:r>
            <w:rPr>
              <w:rFonts w:hint="eastAsia" w:asciiTheme="minorEastAsia" w:hAnsiTheme="minorEastAsia" w:eastAsiaTheme="minorEastAsia"/>
            </w:rPr>
            <w:fldChar w:fldCharType="end"/>
          </w:r>
          <w:r>
            <w:rPr>
              <w:rFonts w:hint="eastAsia" w:asciiTheme="minorEastAsia" w:hAnsiTheme="minorEastAsia" w:eastAsiaTheme="minorEastAsia"/>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"_Toc113480924" </w:instrText>
          </w:r>
          <w:r>
            <w:fldChar w:fldCharType="separate"/>
          </w:r>
          <w:r>
            <w:rPr>
              <w:rStyle w:val="17"/>
              <w:rFonts w:hint="eastAsia" w:asciiTheme="minorEastAsia" w:hAnsiTheme="minorEastAsia" w:eastAsiaTheme="minorEastAsia"/>
              <w:sz w:val="28"/>
              <w:szCs w:val="28"/>
            </w:rPr>
            <w:t>一、收入支出决算总表</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_Toc113480924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56</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"_Toc113480925" </w:instrText>
          </w:r>
          <w:r>
            <w:fldChar w:fldCharType="separate"/>
          </w:r>
          <w:r>
            <w:rPr>
              <w:rStyle w:val="17"/>
              <w:rFonts w:hint="eastAsia" w:asciiTheme="minorEastAsia" w:hAnsiTheme="minorEastAsia" w:eastAsiaTheme="minorEastAsia"/>
              <w:sz w:val="28"/>
              <w:szCs w:val="28"/>
            </w:rPr>
            <w:t>二、收入决算表</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_Toc113480925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56</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"_Toc113480926" </w:instrText>
          </w:r>
          <w:r>
            <w:fldChar w:fldCharType="separate"/>
          </w:r>
          <w:r>
            <w:rPr>
              <w:rStyle w:val="17"/>
              <w:rFonts w:hint="eastAsia" w:asciiTheme="minorEastAsia" w:hAnsiTheme="minorEastAsia" w:eastAsiaTheme="minorEastAsia"/>
              <w:sz w:val="28"/>
              <w:szCs w:val="28"/>
            </w:rPr>
            <w:t>三、支出决算表</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_Toc113480926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56</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"_Toc113480927" </w:instrText>
          </w:r>
          <w:r>
            <w:fldChar w:fldCharType="separate"/>
          </w:r>
          <w:r>
            <w:rPr>
              <w:rStyle w:val="17"/>
              <w:rFonts w:hint="eastAsia" w:asciiTheme="minorEastAsia" w:hAnsiTheme="minorEastAsia" w:eastAsiaTheme="minorEastAsia"/>
              <w:sz w:val="28"/>
              <w:szCs w:val="28"/>
            </w:rPr>
            <w:t>四、财政拨款收入支出决算总表</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_Toc113480927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56</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"_Toc113480928" </w:instrText>
          </w:r>
          <w:r>
            <w:fldChar w:fldCharType="separate"/>
          </w:r>
          <w:r>
            <w:rPr>
              <w:rStyle w:val="17"/>
              <w:rFonts w:hint="eastAsia" w:asciiTheme="minorEastAsia" w:hAnsiTheme="minorEastAsia" w:eastAsiaTheme="minorEastAsia"/>
              <w:sz w:val="28"/>
              <w:szCs w:val="28"/>
            </w:rPr>
            <w:t>五、财政拨款支出决算明细表</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_Toc113480928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56</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"_Toc113480929" </w:instrText>
          </w:r>
          <w:r>
            <w:fldChar w:fldCharType="separate"/>
          </w:r>
          <w:r>
            <w:rPr>
              <w:rStyle w:val="17"/>
              <w:rFonts w:hint="eastAsia" w:asciiTheme="minorEastAsia" w:hAnsiTheme="minorEastAsia" w:eastAsiaTheme="minorEastAsia"/>
              <w:sz w:val="28"/>
              <w:szCs w:val="28"/>
            </w:rPr>
            <w:t>六、一般公共预算财政拨款支出决算表</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_Toc113480929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56</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"_Toc113480930" </w:instrText>
          </w:r>
          <w:r>
            <w:fldChar w:fldCharType="separate"/>
          </w:r>
          <w:r>
            <w:rPr>
              <w:rStyle w:val="17"/>
              <w:rFonts w:hint="eastAsia" w:asciiTheme="minorEastAsia" w:hAnsiTheme="minorEastAsia" w:eastAsiaTheme="minorEastAsia"/>
              <w:sz w:val="28"/>
              <w:szCs w:val="28"/>
            </w:rPr>
            <w:t>七、一般公共预算财政拨款支出决算明细表</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_Toc113480930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56</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"_Toc113480931" </w:instrText>
          </w:r>
          <w:r>
            <w:fldChar w:fldCharType="separate"/>
          </w:r>
          <w:r>
            <w:rPr>
              <w:rStyle w:val="17"/>
              <w:rFonts w:hint="eastAsia" w:asciiTheme="minorEastAsia" w:hAnsiTheme="minorEastAsia" w:eastAsiaTheme="minorEastAsia"/>
              <w:sz w:val="28"/>
              <w:szCs w:val="28"/>
            </w:rPr>
            <w:t>八、一般公共预算财政拨款基本支出决算表</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_Toc113480931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56</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"_Toc113480932" </w:instrText>
          </w:r>
          <w:r>
            <w:fldChar w:fldCharType="separate"/>
          </w:r>
          <w:r>
            <w:rPr>
              <w:rStyle w:val="17"/>
              <w:rFonts w:hint="eastAsia" w:asciiTheme="minorEastAsia" w:hAnsiTheme="minorEastAsia" w:eastAsiaTheme="minorEastAsia"/>
              <w:sz w:val="28"/>
              <w:szCs w:val="28"/>
            </w:rPr>
            <w:t>九、一般公共预算财政拨款项目支出决算表</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_Toc113480932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56</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"_Toc113480933" </w:instrText>
          </w:r>
          <w:r>
            <w:fldChar w:fldCharType="separate"/>
          </w:r>
          <w:r>
            <w:rPr>
              <w:rStyle w:val="17"/>
              <w:rFonts w:hint="eastAsia" w:asciiTheme="minorEastAsia" w:hAnsiTheme="minorEastAsia" w:eastAsiaTheme="minorEastAsia"/>
              <w:sz w:val="28"/>
              <w:szCs w:val="28"/>
            </w:rPr>
            <w:t>十、一般公共预算财政拨款“三公”经费支出决算表</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_Toc113480933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56</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"_Toc113480934" </w:instrText>
          </w:r>
          <w:r>
            <w:fldChar w:fldCharType="separate"/>
          </w:r>
          <w:r>
            <w:rPr>
              <w:rStyle w:val="17"/>
              <w:rFonts w:hint="eastAsia" w:asciiTheme="minorEastAsia" w:hAnsiTheme="minorEastAsia" w:eastAsiaTheme="minorEastAsia"/>
              <w:sz w:val="28"/>
              <w:szCs w:val="28"/>
            </w:rPr>
            <w:t>十一、政府性基金预算财政拨款收入支出决算表</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_Toc113480934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56</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"_Toc113480935" </w:instrText>
          </w:r>
          <w:r>
            <w:fldChar w:fldCharType="separate"/>
          </w:r>
          <w:r>
            <w:rPr>
              <w:rStyle w:val="17"/>
              <w:rFonts w:hint="eastAsia" w:asciiTheme="minorEastAsia" w:hAnsiTheme="minorEastAsia" w:eastAsiaTheme="minorEastAsia"/>
              <w:sz w:val="28"/>
              <w:szCs w:val="28"/>
            </w:rPr>
            <w:t>十二、政府性基金预算财政拨款“三公”经费支出决算表</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_Toc113480935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56</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Theme="minorEastAsia" w:hAnsiTheme="minorEastAsia" w:eastAsiaTheme="minorEastAsia" w:cstheme="minorBidi"/>
              <w:sz w:val="28"/>
              <w:szCs w:val="28"/>
            </w:rPr>
          </w:pPr>
          <w:r>
            <w:fldChar w:fldCharType="begin"/>
          </w:r>
          <w:r>
            <w:instrText xml:space="preserve"> HYPERLINK \l "_Toc113480936" </w:instrText>
          </w:r>
          <w:r>
            <w:fldChar w:fldCharType="separate"/>
          </w:r>
          <w:r>
            <w:rPr>
              <w:rStyle w:val="17"/>
              <w:rFonts w:hint="eastAsia" w:asciiTheme="minorEastAsia" w:hAnsiTheme="minorEastAsia" w:eastAsiaTheme="minorEastAsia"/>
              <w:sz w:val="28"/>
              <w:szCs w:val="28"/>
            </w:rPr>
            <w:t>十三、国有资本经营预算财政拨款收入支出决算表</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_Toc113480936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56</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pPr>
            <w:pStyle w:val="12"/>
            <w:spacing w:line="560" w:lineRule="exact"/>
            <w:rPr>
              <w:rFonts w:ascii="方正仿宋_GBK" w:eastAsia="方正仿宋_GBK" w:hAnsiTheme="minorHAnsi" w:cstheme="minorBidi"/>
              <w:sz w:val="28"/>
              <w:szCs w:val="28"/>
            </w:rPr>
          </w:pPr>
          <w:r>
            <w:fldChar w:fldCharType="begin"/>
          </w:r>
          <w:r>
            <w:instrText xml:space="preserve"> HYPERLINK \l "_Toc113480937" </w:instrText>
          </w:r>
          <w:r>
            <w:fldChar w:fldCharType="separate"/>
          </w:r>
          <w:r>
            <w:rPr>
              <w:rStyle w:val="17"/>
              <w:rFonts w:hint="eastAsia" w:asciiTheme="minorEastAsia" w:hAnsiTheme="minorEastAsia" w:eastAsiaTheme="minorEastAsia"/>
              <w:sz w:val="28"/>
              <w:szCs w:val="28"/>
            </w:rPr>
            <w:t>十四、国有资本经营预算财政拨款支出决算表</w:t>
          </w:r>
          <w:r>
            <w:rPr>
              <w:rFonts w:hint="eastAsia" w:asciiTheme="minorEastAsia" w:hAnsiTheme="minorEastAsia" w:eastAsiaTheme="minorEastAsia"/>
              <w:sz w:val="28"/>
              <w:szCs w:val="28"/>
            </w:rPr>
            <w:tab/>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PAGEREF _Toc113480937 \h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56</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fldChar w:fldCharType="end"/>
          </w:r>
        </w:p>
        <w:p>
          <w:r>
            <w:rPr>
              <w:rFonts w:hint="eastAsia" w:ascii="方正仿宋_GBK" w:eastAsia="方正仿宋_GBK"/>
              <w:sz w:val="28"/>
              <w:szCs w:val="28"/>
            </w:rPr>
            <w:fldChar w:fldCharType="end"/>
          </w:r>
        </w:p>
      </w:sdtContent>
    </w:sdt>
    <w:p>
      <w:pPr>
        <w:widowControl/>
        <w:spacing w:line="440" w:lineRule="exact"/>
        <w:jc w:val="left"/>
        <w:rPr>
          <w:rFonts w:ascii="仿宋" w:hAnsi="仿宋" w:eastAsia="仿宋"/>
          <w:bCs/>
          <w:kern w:val="44"/>
          <w:sz w:val="24"/>
        </w:rPr>
      </w:pPr>
    </w:p>
    <w:p>
      <w:pPr>
        <w:pStyle w:val="2"/>
        <w:spacing w:before="93"/>
      </w:pPr>
    </w:p>
    <w:p>
      <w:pPr>
        <w:pStyle w:val="2"/>
        <w:spacing w:before="93"/>
      </w:pPr>
    </w:p>
    <w:p>
      <w:pPr>
        <w:pStyle w:val="2"/>
        <w:spacing w:before="93"/>
      </w:pPr>
    </w:p>
    <w:p>
      <w:pPr>
        <w:pStyle w:val="2"/>
        <w:spacing w:before="93"/>
      </w:pPr>
    </w:p>
    <w:p>
      <w:pPr>
        <w:pStyle w:val="3"/>
        <w:jc w:val="center"/>
        <w:rPr>
          <w:rFonts w:ascii="黑体" w:hAnsi="黑体" w:eastAsia="黑体"/>
          <w:bCs w:val="0"/>
        </w:rPr>
      </w:pPr>
      <w:bookmarkStart w:id="16" w:name="_Toc113480901"/>
      <w:bookmarkStart w:id="17" w:name="_Toc113478935"/>
      <w:bookmarkStart w:id="18" w:name="_Toc113479751"/>
      <w:r>
        <w:rPr>
          <w:rFonts w:hint="eastAsia" w:ascii="黑体" w:hAnsi="黑体" w:eastAsia="黑体"/>
          <w:b w:val="0"/>
        </w:rPr>
        <w:t>第一部分 部门</w:t>
      </w:r>
      <w:r>
        <w:rPr>
          <w:rStyle w:val="26"/>
          <w:rFonts w:hint="eastAsia" w:ascii="黑体" w:hAnsi="黑体" w:eastAsia="黑体"/>
          <w:b w:val="0"/>
          <w:bCs w:val="0"/>
        </w:rPr>
        <w:t>概况</w:t>
      </w:r>
      <w:bookmarkEnd w:id="14"/>
      <w:bookmarkEnd w:id="15"/>
      <w:bookmarkEnd w:id="16"/>
      <w:bookmarkEnd w:id="17"/>
      <w:bookmarkEnd w:id="18"/>
    </w:p>
    <w:p>
      <w:pPr>
        <w:pStyle w:val="4"/>
        <w:numPr>
          <w:ilvl w:val="0"/>
          <w:numId w:val="1"/>
        </w:numPr>
        <w:rPr>
          <w:rStyle w:val="27"/>
          <w:rFonts w:ascii="黑体" w:hAnsi="黑体" w:eastAsia="黑体"/>
          <w:b w:val="0"/>
          <w:bCs w:val="0"/>
        </w:rPr>
      </w:pPr>
      <w:bookmarkStart w:id="19" w:name="_Toc113479752"/>
      <w:bookmarkStart w:id="20" w:name="_Toc113480902"/>
      <w:bookmarkStart w:id="21" w:name="_Toc113478936"/>
      <w:bookmarkStart w:id="22" w:name="_Toc15396600"/>
      <w:bookmarkStart w:id="23" w:name="_Toc15377197"/>
      <w:r>
        <w:rPr>
          <w:rFonts w:hint="eastAsia" w:ascii="黑体" w:hAnsi="黑体" w:eastAsia="黑体"/>
          <w:b w:val="0"/>
        </w:rPr>
        <w:t>基</w:t>
      </w:r>
      <w:r>
        <w:rPr>
          <w:rStyle w:val="27"/>
          <w:rFonts w:hint="eastAsia" w:ascii="黑体" w:hAnsi="黑体" w:eastAsia="黑体"/>
          <w:b w:val="0"/>
          <w:bCs w:val="0"/>
        </w:rPr>
        <w:t>本职能及主要工作</w:t>
      </w:r>
      <w:bookmarkEnd w:id="19"/>
      <w:bookmarkEnd w:id="20"/>
      <w:bookmarkEnd w:id="21"/>
    </w:p>
    <w:p>
      <w:pPr>
        <w:pStyle w:val="2"/>
        <w:spacing w:before="93"/>
        <w:rPr>
          <w:rFonts w:ascii="方正报宋_GBK" w:eastAsia="方正报宋_GBK"/>
        </w:rPr>
      </w:pPr>
      <w:r>
        <w:rPr>
          <w:rFonts w:hint="eastAsia" w:ascii="方正报宋_GBK" w:eastAsia="方正报宋_GBK"/>
        </w:rPr>
        <w:t>（一）主要职能</w:t>
      </w:r>
    </w:p>
    <w:p>
      <w:pPr>
        <w:pStyle w:val="2"/>
        <w:spacing w:before="93"/>
        <w:ind w:firstLine="640" w:firstLineChars="200"/>
        <w:rPr>
          <w:rFonts w:ascii="方正仿宋_GBK" w:hAnsi="仿宋" w:eastAsia="方正仿宋_GBK"/>
          <w:sz w:val="32"/>
          <w:szCs w:val="32"/>
        </w:rPr>
      </w:pPr>
      <w:r>
        <w:rPr>
          <w:rFonts w:hint="eastAsia" w:ascii="方正仿宋_GBK" w:hAnsi="仿宋" w:eastAsia="方正仿宋_GBK"/>
          <w:sz w:val="32"/>
          <w:szCs w:val="32"/>
        </w:rPr>
        <w:t>市委政法委是市委领导政法工作的职能部门，具有监督指导政法各部门严格行使职权，指导协调全市维护社会稳定工作，指导协调全市社会治安综合治理工作</w:t>
      </w:r>
      <w:r>
        <w:rPr>
          <w:rFonts w:hint="eastAsia" w:ascii="方正仿宋_GBK" w:hAnsi="仿宋" w:eastAsia="方正仿宋_GBK"/>
          <w:sz w:val="32"/>
          <w:szCs w:val="32"/>
          <w:lang w:eastAsia="zh-CN"/>
        </w:rPr>
        <w:t>等</w:t>
      </w:r>
      <w:r>
        <w:rPr>
          <w:rFonts w:hint="eastAsia" w:ascii="方正仿宋_GBK" w:hAnsi="仿宋" w:eastAsia="方正仿宋_GBK"/>
          <w:sz w:val="32"/>
          <w:szCs w:val="32"/>
        </w:rPr>
        <w:t>，研究加强政法队伍建设，协助市委和市委组织部考察、管理政法部门领导干部等职能。</w:t>
      </w:r>
      <w:bookmarkStart w:id="192" w:name="_GoBack"/>
      <w:bookmarkEnd w:id="192"/>
    </w:p>
    <w:p>
      <w:pPr>
        <w:pStyle w:val="2"/>
        <w:spacing w:before="93"/>
        <w:rPr>
          <w:rFonts w:ascii="方正报宋_GBK" w:eastAsia="方正报宋_GBK"/>
        </w:rPr>
      </w:pPr>
      <w:r>
        <w:rPr>
          <w:rFonts w:hint="eastAsia" w:ascii="方正报宋_GBK" w:eastAsia="方正报宋_GBK"/>
        </w:rPr>
        <w:t>（二）</w:t>
      </w:r>
      <w:r>
        <w:rPr>
          <w:rFonts w:hint="eastAsia" w:ascii="Times New Roman" w:eastAsia="方正仿宋_GBK"/>
          <w:sz w:val="32"/>
          <w:szCs w:val="32"/>
        </w:rPr>
        <w:t>2021年</w:t>
      </w:r>
      <w:r>
        <w:rPr>
          <w:rFonts w:hint="eastAsia" w:ascii="方正报宋_GBK" w:eastAsia="方正报宋_GBK"/>
        </w:rPr>
        <w:t>重点工作</w:t>
      </w:r>
      <w:bookmarkEnd w:id="22"/>
      <w:bookmarkEnd w:id="23"/>
      <w:r>
        <w:rPr>
          <w:rFonts w:hint="eastAsia" w:ascii="方正报宋_GBK" w:eastAsia="方正报宋_GBK"/>
        </w:rPr>
        <w:t>完成情况</w:t>
      </w:r>
    </w:p>
    <w:p>
      <w:pPr>
        <w:snapToGrid w:val="0"/>
        <w:spacing w:line="520" w:lineRule="exact"/>
        <w:ind w:firstLine="640" w:firstLineChars="200"/>
        <w:rPr>
          <w:rFonts w:ascii="方正仿宋_GBK" w:hAnsi="仿宋" w:eastAsia="方正仿宋_GBK"/>
          <w:kern w:val="0"/>
          <w:sz w:val="32"/>
          <w:szCs w:val="32"/>
        </w:rPr>
      </w:pPr>
      <w:r>
        <w:rPr>
          <w:rFonts w:eastAsia="方正仿宋_GBK"/>
          <w:kern w:val="0"/>
          <w:sz w:val="32"/>
          <w:szCs w:val="32"/>
        </w:rPr>
        <w:t>2021</w:t>
      </w:r>
      <w:r>
        <w:rPr>
          <w:rFonts w:hint="eastAsia" w:ascii="方正仿宋_GBK" w:hAnsi="仿宋" w:eastAsia="方正仿宋_GBK"/>
          <w:kern w:val="0"/>
          <w:sz w:val="32"/>
          <w:szCs w:val="32"/>
        </w:rPr>
        <w:t>年确保了全国两会及全年重要敏感时段的社会治安大局稳定，扫黑除恶专项斗争取得明显成效，政法队伍建设进一步加强，没有发生在全国全省有影响的重大群体性事件、恶性案件以及暴力恐怖事件和民族分裂事件。</w:t>
      </w:r>
    </w:p>
    <w:p>
      <w:pPr>
        <w:pStyle w:val="4"/>
        <w:rPr>
          <w:rStyle w:val="27"/>
          <w:b w:val="0"/>
          <w:bCs w:val="0"/>
        </w:rPr>
      </w:pPr>
      <w:bookmarkStart w:id="24" w:name="_Toc113480903"/>
      <w:bookmarkStart w:id="25" w:name="_Toc15377200"/>
      <w:bookmarkStart w:id="26" w:name="_Toc15396601"/>
      <w:bookmarkStart w:id="27" w:name="_Toc113478937"/>
      <w:bookmarkStart w:id="28" w:name="_Toc113479753"/>
      <w:r>
        <w:rPr>
          <w:rFonts w:hint="eastAsia" w:ascii="黑体" w:eastAsia="黑体"/>
          <w:b w:val="0"/>
        </w:rPr>
        <w:t>二、</w:t>
      </w:r>
      <w:r>
        <w:rPr>
          <w:rFonts w:hint="eastAsia" w:ascii="黑体" w:hAnsi="黑体" w:eastAsia="黑体"/>
          <w:b w:val="0"/>
        </w:rPr>
        <w:t>机</w:t>
      </w:r>
      <w:r>
        <w:rPr>
          <w:rStyle w:val="27"/>
          <w:rFonts w:hint="eastAsia" w:ascii="黑体" w:hAnsi="黑体" w:eastAsia="黑体"/>
          <w:b w:val="0"/>
          <w:bCs w:val="0"/>
        </w:rPr>
        <w:t>构设置</w:t>
      </w:r>
      <w:bookmarkEnd w:id="24"/>
      <w:bookmarkEnd w:id="25"/>
      <w:bookmarkEnd w:id="26"/>
      <w:bookmarkEnd w:id="27"/>
      <w:bookmarkEnd w:id="28"/>
    </w:p>
    <w:p>
      <w:pPr>
        <w:pStyle w:val="2"/>
        <w:adjustRightInd w:val="0"/>
        <w:snapToGrid w:val="0"/>
        <w:spacing w:before="93" w:line="600" w:lineRule="exact"/>
        <w:ind w:firstLine="672" w:firstLineChars="210"/>
        <w:rPr>
          <w:rFonts w:ascii="Times New Roman" w:eastAsia="仿宋"/>
          <w:sz w:val="32"/>
          <w:szCs w:val="32"/>
        </w:rPr>
      </w:pPr>
      <w:r>
        <w:rPr>
          <w:rFonts w:ascii="Times New Roman" w:hAnsi="仿宋" w:eastAsia="仿宋"/>
          <w:sz w:val="32"/>
          <w:szCs w:val="32"/>
        </w:rPr>
        <w:t>攀枝花市委政法委下属二级单位</w:t>
      </w:r>
      <w:r>
        <w:rPr>
          <w:rFonts w:ascii="Times New Roman" w:eastAsia="仿宋"/>
          <w:sz w:val="32"/>
          <w:szCs w:val="32"/>
        </w:rPr>
        <w:t>1</w:t>
      </w:r>
      <w:r>
        <w:rPr>
          <w:rFonts w:ascii="Times New Roman" w:hAnsi="仿宋" w:eastAsia="仿宋"/>
          <w:sz w:val="32"/>
          <w:szCs w:val="32"/>
        </w:rPr>
        <w:t>个，代管单位</w:t>
      </w:r>
      <w:r>
        <w:rPr>
          <w:rFonts w:ascii="Times New Roman" w:eastAsia="仿宋"/>
          <w:sz w:val="32"/>
          <w:szCs w:val="32"/>
        </w:rPr>
        <w:t>1</w:t>
      </w:r>
      <w:r>
        <w:rPr>
          <w:rFonts w:ascii="Times New Roman" w:hAnsi="仿宋" w:eastAsia="仿宋"/>
          <w:sz w:val="32"/>
          <w:szCs w:val="32"/>
        </w:rPr>
        <w:t>个，其中行政单位</w:t>
      </w:r>
      <w:r>
        <w:rPr>
          <w:rFonts w:ascii="Times New Roman" w:eastAsia="仿宋"/>
          <w:sz w:val="32"/>
          <w:szCs w:val="32"/>
        </w:rPr>
        <w:t>0</w:t>
      </w:r>
      <w:r>
        <w:rPr>
          <w:rFonts w:ascii="Times New Roman" w:hAnsi="仿宋" w:eastAsia="仿宋"/>
          <w:sz w:val="32"/>
          <w:szCs w:val="32"/>
        </w:rPr>
        <w:t>个，参照公务员法管理的事业单位</w:t>
      </w:r>
      <w:r>
        <w:rPr>
          <w:rFonts w:ascii="Times New Roman" w:eastAsia="仿宋"/>
          <w:bCs/>
          <w:sz w:val="32"/>
          <w:szCs w:val="32"/>
        </w:rPr>
        <w:t>0</w:t>
      </w:r>
      <w:r>
        <w:rPr>
          <w:rFonts w:ascii="Times New Roman" w:hAnsi="仿宋" w:eastAsia="仿宋"/>
          <w:sz w:val="32"/>
          <w:szCs w:val="32"/>
        </w:rPr>
        <w:t>个，其他事业单位</w:t>
      </w:r>
      <w:r>
        <w:rPr>
          <w:rFonts w:ascii="Times New Roman" w:eastAsia="仿宋"/>
          <w:sz w:val="32"/>
          <w:szCs w:val="32"/>
        </w:rPr>
        <w:t>2</w:t>
      </w:r>
      <w:r>
        <w:rPr>
          <w:rFonts w:ascii="Times New Roman" w:hAnsi="仿宋" w:eastAsia="仿宋"/>
          <w:sz w:val="32"/>
          <w:szCs w:val="32"/>
        </w:rPr>
        <w:t>个。纳入</w:t>
      </w:r>
      <w:r>
        <w:rPr>
          <w:rFonts w:ascii="Times New Roman" w:eastAsia="仿宋"/>
          <w:sz w:val="32"/>
          <w:szCs w:val="32"/>
        </w:rPr>
        <w:t>2021</w:t>
      </w:r>
      <w:r>
        <w:rPr>
          <w:rFonts w:ascii="Times New Roman" w:hAnsi="仿宋" w:eastAsia="仿宋"/>
          <w:sz w:val="32"/>
          <w:szCs w:val="32"/>
        </w:rPr>
        <w:t>年度部门决算编制范围的二级预算单位包括：</w:t>
      </w:r>
    </w:p>
    <w:p>
      <w:pPr>
        <w:rPr>
          <w:rFonts w:eastAsia="方正仿宋_GBK"/>
          <w:sz w:val="32"/>
          <w:szCs w:val="32"/>
        </w:rPr>
      </w:pPr>
      <w:bookmarkStart w:id="29" w:name="_Toc113479754"/>
      <w:bookmarkStart w:id="30" w:name="_Toc113478938"/>
      <w:r>
        <w:rPr>
          <w:rFonts w:eastAsia="方正仿宋_GBK"/>
          <w:sz w:val="32"/>
          <w:szCs w:val="32"/>
        </w:rPr>
        <w:t>1.市社会治安综合治理中心</w:t>
      </w:r>
      <w:bookmarkEnd w:id="29"/>
      <w:bookmarkEnd w:id="30"/>
    </w:p>
    <w:p>
      <w:pPr>
        <w:rPr>
          <w:rFonts w:eastAsia="方正仿宋_GBK"/>
          <w:sz w:val="32"/>
          <w:szCs w:val="32"/>
        </w:rPr>
      </w:pPr>
      <w:bookmarkStart w:id="31" w:name="_Toc113479755"/>
      <w:bookmarkStart w:id="32" w:name="_Toc113478939"/>
      <w:r>
        <w:rPr>
          <w:rFonts w:eastAsia="方正仿宋_GBK"/>
          <w:sz w:val="32"/>
          <w:szCs w:val="32"/>
        </w:rPr>
        <w:t>2.市法学会</w:t>
      </w:r>
      <w:bookmarkEnd w:id="31"/>
      <w:bookmarkEnd w:id="32"/>
    </w:p>
    <w:p>
      <w:pPr>
        <w:pStyle w:val="3"/>
        <w:ind w:right="440"/>
        <w:jc w:val="center"/>
        <w:rPr>
          <w:rFonts w:ascii="黑体" w:hAnsi="黑体" w:eastAsia="黑体"/>
          <w:b w:val="0"/>
        </w:rPr>
      </w:pPr>
      <w:bookmarkStart w:id="33" w:name="_Toc113479756"/>
      <w:bookmarkStart w:id="34" w:name="_Toc113478940"/>
      <w:bookmarkStart w:id="35" w:name="_Toc15396602"/>
      <w:bookmarkStart w:id="36" w:name="_Toc113480904"/>
      <w:bookmarkStart w:id="37" w:name="_Toc15377204"/>
      <w:r>
        <w:rPr>
          <w:rFonts w:hint="eastAsia" w:ascii="黑体" w:hAnsi="黑体" w:eastAsia="黑体"/>
          <w:b w:val="0"/>
        </w:rPr>
        <w:t>第二部分 2021年度</w:t>
      </w:r>
      <w:r>
        <w:rPr>
          <w:rStyle w:val="26"/>
          <w:rFonts w:hint="eastAsia" w:ascii="黑体" w:hAnsi="黑体" w:eastAsia="黑体"/>
          <w:b w:val="0"/>
          <w:bCs/>
        </w:rPr>
        <w:t>部门决算情况说明</w:t>
      </w:r>
      <w:bookmarkEnd w:id="33"/>
      <w:bookmarkEnd w:id="34"/>
      <w:bookmarkEnd w:id="35"/>
      <w:bookmarkEnd w:id="36"/>
      <w:bookmarkEnd w:id="37"/>
    </w:p>
    <w:p>
      <w:pPr>
        <w:pStyle w:val="25"/>
        <w:numPr>
          <w:ilvl w:val="0"/>
          <w:numId w:val="2"/>
        </w:numPr>
        <w:spacing w:line="600" w:lineRule="exact"/>
        <w:ind w:firstLineChars="0"/>
        <w:outlineLvl w:val="1"/>
        <w:rPr>
          <w:rStyle w:val="27"/>
          <w:rFonts w:ascii="黑体" w:hAnsi="黑体" w:eastAsia="黑体"/>
          <w:b w:val="0"/>
        </w:rPr>
      </w:pPr>
      <w:bookmarkStart w:id="38" w:name="_Toc113479757"/>
      <w:bookmarkStart w:id="39" w:name="_Toc113478941"/>
      <w:bookmarkStart w:id="40" w:name="_Toc15396603"/>
      <w:bookmarkStart w:id="41" w:name="_Toc15377205"/>
      <w:bookmarkStart w:id="42" w:name="_Toc113480905"/>
      <w:r>
        <w:rPr>
          <w:rFonts w:hint="eastAsia" w:ascii="黑体" w:hAnsi="黑体" w:eastAsia="黑体"/>
          <w:sz w:val="32"/>
          <w:szCs w:val="32"/>
        </w:rPr>
        <w:t>收</w:t>
      </w:r>
      <w:r>
        <w:rPr>
          <w:rStyle w:val="27"/>
          <w:rFonts w:hint="eastAsia" w:ascii="黑体" w:hAnsi="黑体" w:eastAsia="黑体"/>
          <w:b w:val="0"/>
        </w:rPr>
        <w:t>入支出决算总体情况说明</w:t>
      </w:r>
      <w:bookmarkEnd w:id="38"/>
      <w:bookmarkEnd w:id="39"/>
      <w:bookmarkEnd w:id="40"/>
      <w:bookmarkEnd w:id="41"/>
      <w:bookmarkEnd w:id="42"/>
    </w:p>
    <w:p>
      <w:pPr>
        <w:ind w:firstLine="640" w:firstLineChars="200"/>
        <w:rPr>
          <w:rFonts w:ascii="方正仿宋_GBK" w:eastAsia="方正仿宋_GBK"/>
          <w:sz w:val="32"/>
          <w:szCs w:val="32"/>
        </w:rPr>
      </w:pPr>
      <w:r>
        <w:rPr>
          <w:rFonts w:hint="eastAsia" w:ascii="方正仿宋_GBK" w:eastAsia="方正仿宋_GBK"/>
          <w:sz w:val="32"/>
          <w:szCs w:val="32"/>
        </w:rPr>
        <w:t>2021年度收入总计983.19万元，含上年结余24.06万元，支出总计983.19万元。与2020年相比，收、支各减少5268.98万元、5306.92万元，下降84.27%、下降84.37%。主要变动原因是2021年项目减少经费减少，因此收入减少，支出减少。</w:t>
      </w:r>
    </w:p>
    <w:p>
      <w:pPr>
        <w:pStyle w:val="2"/>
        <w:spacing w:before="93"/>
      </w:pPr>
      <w:r>
        <w:drawing>
          <wp:inline distT="0" distB="0" distL="0" distR="0">
            <wp:extent cx="4862830" cy="2569845"/>
            <wp:effectExtent l="19050" t="0" r="13369" b="1545"/>
            <wp:docPr id="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jc w:val="center"/>
      </w:pPr>
      <w:r>
        <w:rPr>
          <w:rFonts w:hint="eastAsia" w:ascii="仿宋" w:hAnsi="仿宋" w:eastAsia="仿宋"/>
          <w:sz w:val="32"/>
          <w:szCs w:val="32"/>
        </w:rPr>
        <w:t>（图1：收、支决算总计变动情况图）（柱状图）</w:t>
      </w:r>
    </w:p>
    <w:p>
      <w:pPr>
        <w:pStyle w:val="25"/>
        <w:numPr>
          <w:ilvl w:val="0"/>
          <w:numId w:val="2"/>
        </w:numPr>
        <w:spacing w:line="600" w:lineRule="exact"/>
        <w:ind w:firstLineChars="0"/>
        <w:outlineLvl w:val="1"/>
        <w:rPr>
          <w:rStyle w:val="27"/>
          <w:rFonts w:ascii="黑体" w:hAnsi="黑体" w:eastAsia="黑体"/>
          <w:b w:val="0"/>
        </w:rPr>
      </w:pPr>
      <w:bookmarkStart w:id="43" w:name="_Toc113480906"/>
      <w:bookmarkStart w:id="44" w:name="_Toc113478942"/>
      <w:bookmarkStart w:id="45" w:name="_Toc113479758"/>
      <w:bookmarkStart w:id="46" w:name="_Toc15377206"/>
      <w:bookmarkStart w:id="47" w:name="_Toc15396604"/>
      <w:r>
        <w:rPr>
          <w:rFonts w:hint="eastAsia" w:ascii="黑体" w:hAnsi="黑体" w:eastAsia="黑体"/>
          <w:sz w:val="32"/>
          <w:szCs w:val="32"/>
        </w:rPr>
        <w:t>收</w:t>
      </w:r>
      <w:r>
        <w:rPr>
          <w:rStyle w:val="27"/>
          <w:rFonts w:hint="eastAsia" w:ascii="黑体" w:hAnsi="黑体" w:eastAsia="黑体"/>
          <w:b w:val="0"/>
        </w:rPr>
        <w:t>入决算情况说明</w:t>
      </w:r>
      <w:bookmarkEnd w:id="43"/>
      <w:bookmarkEnd w:id="44"/>
      <w:bookmarkEnd w:id="45"/>
      <w:bookmarkEnd w:id="46"/>
      <w:bookmarkEnd w:id="47"/>
    </w:p>
    <w:p>
      <w:pPr>
        <w:spacing w:line="600" w:lineRule="exact"/>
        <w:ind w:firstLine="640" w:firstLineChars="200"/>
        <w:rPr>
          <w:rFonts w:eastAsia="方正仿宋_GBK"/>
          <w:sz w:val="32"/>
          <w:szCs w:val="32"/>
        </w:rPr>
      </w:pPr>
      <w:bookmarkStart w:id="48" w:name="_Toc113478943"/>
      <w:r>
        <w:rPr>
          <w:rFonts w:eastAsia="方正仿宋_GBK"/>
          <w:sz w:val="32"/>
          <w:szCs w:val="32"/>
        </w:rPr>
        <w:t>2021年本年收入合计959.13万元，其中：一般公共预算财政拨款收入954.13万元，占99.48%；政府性基金预算财政拨款收入5万元，占0.52%；国有资本经营预算财政拨款收入0万元，占0%；上级补助收入0万元，占0%；事业收入0万元，占0%；经营收入0万元，占0%；附属单位上缴收入0万元，占0%；其他收入0万元，占0%。</w:t>
      </w:r>
      <w:bookmarkEnd w:id="48"/>
    </w:p>
    <w:p>
      <w:pPr>
        <w:pStyle w:val="2"/>
        <w:spacing w:before="93"/>
      </w:pPr>
      <w:r>
        <w:rPr>
          <w:rFonts w:hint="eastAsia"/>
        </w:rPr>
        <w:drawing>
          <wp:inline distT="0" distB="0" distL="0" distR="0">
            <wp:extent cx="5274310" cy="3076575"/>
            <wp:effectExtent l="19050" t="0" r="21590" b="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（图2：收入决算结构图）（饼状图）</w:t>
      </w:r>
    </w:p>
    <w:p>
      <w:pPr>
        <w:pStyle w:val="25"/>
        <w:numPr>
          <w:ilvl w:val="0"/>
          <w:numId w:val="2"/>
        </w:numPr>
        <w:spacing w:line="600" w:lineRule="exact"/>
        <w:ind w:firstLineChars="0"/>
        <w:outlineLvl w:val="1"/>
        <w:rPr>
          <w:rStyle w:val="27"/>
          <w:rFonts w:ascii="黑体" w:hAnsi="黑体" w:eastAsia="黑体"/>
          <w:b w:val="0"/>
        </w:rPr>
      </w:pPr>
      <w:bookmarkStart w:id="49" w:name="_Toc113479759"/>
      <w:bookmarkStart w:id="50" w:name="_Toc113480907"/>
      <w:bookmarkStart w:id="51" w:name="_Toc113478944"/>
      <w:bookmarkStart w:id="52" w:name="_Toc15377207"/>
      <w:bookmarkStart w:id="53" w:name="_Toc15396605"/>
      <w:r>
        <w:rPr>
          <w:rFonts w:hint="eastAsia" w:ascii="黑体" w:hAnsi="黑体" w:eastAsia="黑体"/>
          <w:sz w:val="32"/>
          <w:szCs w:val="32"/>
        </w:rPr>
        <w:t>支</w:t>
      </w:r>
      <w:r>
        <w:rPr>
          <w:rStyle w:val="27"/>
          <w:rFonts w:hint="eastAsia" w:ascii="黑体" w:hAnsi="黑体" w:eastAsia="黑体"/>
          <w:b w:val="0"/>
        </w:rPr>
        <w:t>出决算情况说明</w:t>
      </w:r>
      <w:bookmarkEnd w:id="49"/>
      <w:bookmarkEnd w:id="50"/>
      <w:bookmarkEnd w:id="51"/>
      <w:bookmarkEnd w:id="52"/>
      <w:bookmarkEnd w:id="53"/>
    </w:p>
    <w:p>
      <w:pPr>
        <w:ind w:firstLine="640" w:firstLineChars="200"/>
        <w:rPr>
          <w:rFonts w:eastAsia="方正仿宋_GBK"/>
          <w:sz w:val="32"/>
          <w:szCs w:val="32"/>
        </w:rPr>
      </w:pPr>
      <w:bookmarkStart w:id="54" w:name="_Toc113479760"/>
      <w:bookmarkStart w:id="55" w:name="_Toc113478945"/>
      <w:r>
        <w:rPr>
          <w:rFonts w:eastAsia="方正仿宋_GBK"/>
          <w:sz w:val="32"/>
          <w:szCs w:val="32"/>
        </w:rPr>
        <w:t>2021年本年支出合计983.19万元，其中：基本支出872.56万元，占88.75%；项目支出110.63万元，占11.25%；上缴上级支出0万元，占0%；经营支出0万元，占0%；对附属单位补助支出0万元，占0%。</w:t>
      </w:r>
      <w:bookmarkEnd w:id="54"/>
      <w:bookmarkEnd w:id="55"/>
    </w:p>
    <w:p>
      <w:pPr>
        <w:pStyle w:val="2"/>
        <w:spacing w:before="93"/>
      </w:pPr>
      <w:r>
        <w:rPr>
          <w:rFonts w:hint="eastAsia"/>
        </w:rPr>
        <w:drawing>
          <wp:inline distT="0" distB="0" distL="0" distR="0">
            <wp:extent cx="4542155" cy="2018030"/>
            <wp:effectExtent l="19050" t="0" r="10194" b="1030"/>
            <wp:docPr id="7"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（图3：支出决算结构图）（饼状图）</w:t>
      </w:r>
    </w:p>
    <w:p>
      <w:pPr>
        <w:spacing w:line="600" w:lineRule="exact"/>
        <w:ind w:firstLine="640" w:firstLineChars="200"/>
        <w:outlineLvl w:val="1"/>
        <w:rPr>
          <w:rStyle w:val="27"/>
          <w:rFonts w:ascii="黑体" w:hAnsi="黑体" w:eastAsia="黑体"/>
          <w:b w:val="0"/>
        </w:rPr>
      </w:pPr>
      <w:bookmarkStart w:id="56" w:name="_Toc15396606"/>
      <w:bookmarkStart w:id="57" w:name="_Toc113478946"/>
      <w:bookmarkStart w:id="58" w:name="_Toc113479761"/>
      <w:bookmarkStart w:id="59" w:name="_Toc113480908"/>
      <w:bookmarkStart w:id="60" w:name="_Toc15377208"/>
      <w:r>
        <w:rPr>
          <w:rFonts w:hint="eastAsia" w:ascii="黑体" w:hAnsi="黑体" w:eastAsia="黑体"/>
          <w:sz w:val="32"/>
          <w:szCs w:val="32"/>
        </w:rPr>
        <w:t>四、财</w:t>
      </w:r>
      <w:r>
        <w:rPr>
          <w:rStyle w:val="27"/>
          <w:rFonts w:hint="eastAsia" w:ascii="黑体" w:hAnsi="黑体" w:eastAsia="黑体"/>
          <w:b w:val="0"/>
        </w:rPr>
        <w:t>政拨款收入支出决算总体情况说明</w:t>
      </w:r>
      <w:bookmarkEnd w:id="56"/>
      <w:bookmarkEnd w:id="57"/>
      <w:bookmarkEnd w:id="58"/>
      <w:bookmarkEnd w:id="59"/>
      <w:bookmarkEnd w:id="60"/>
    </w:p>
    <w:p>
      <w:pPr>
        <w:spacing w:line="600" w:lineRule="exact"/>
        <w:ind w:firstLine="640" w:firstLineChars="200"/>
        <w:rPr>
          <w:rFonts w:eastAsia="仿宋"/>
          <w:sz w:val="32"/>
          <w:szCs w:val="32"/>
        </w:rPr>
      </w:pPr>
      <w:r>
        <w:rPr>
          <w:rFonts w:eastAsia="仿宋"/>
          <w:sz w:val="32"/>
          <w:szCs w:val="32"/>
        </w:rPr>
        <w:t>2021年财政拨款收、支总计983.19万元。与2020年相比，财政拨款收、支总计各减少5268.98万元、5306.92万，下降84.27%、下降84.37%。主要变动原因是2021年项目减少经费减少，因此收入减少，支出减少。</w:t>
      </w:r>
    </w:p>
    <w:p>
      <w:pPr>
        <w:pStyle w:val="2"/>
        <w:spacing w:before="93"/>
      </w:pPr>
      <w:r>
        <w:drawing>
          <wp:inline distT="0" distB="0" distL="0" distR="0">
            <wp:extent cx="4323080" cy="2113915"/>
            <wp:effectExtent l="19050" t="0" r="19839" b="600"/>
            <wp:docPr id="1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pPr>
        <w:spacing w:line="600" w:lineRule="exact"/>
        <w:ind w:firstLine="640" w:firstLineChars="200"/>
        <w:outlineLvl w:val="1"/>
        <w:rPr>
          <w:rStyle w:val="27"/>
          <w:rFonts w:ascii="黑体" w:hAnsi="黑体" w:eastAsia="黑体"/>
          <w:b w:val="0"/>
        </w:rPr>
      </w:pPr>
      <w:bookmarkStart w:id="61" w:name="_Toc15377209"/>
      <w:bookmarkStart w:id="62" w:name="_Toc113479762"/>
      <w:bookmarkStart w:id="63" w:name="_Toc113480909"/>
      <w:bookmarkStart w:id="64" w:name="_Toc113478947"/>
      <w:bookmarkStart w:id="65" w:name="_Toc15396607"/>
      <w:r>
        <w:rPr>
          <w:rFonts w:hint="eastAsia" w:ascii="黑体" w:hAnsi="黑体" w:eastAsia="黑体"/>
          <w:sz w:val="32"/>
          <w:szCs w:val="32"/>
        </w:rPr>
        <w:t>五、</w:t>
      </w:r>
      <w:r>
        <w:rPr>
          <w:rFonts w:hint="eastAsia" w:ascii="黑体" w:hAnsi="黑体" w:eastAsia="黑体"/>
          <w:b/>
          <w:sz w:val="32"/>
          <w:szCs w:val="32"/>
        </w:rPr>
        <w:t>一</w:t>
      </w:r>
      <w:r>
        <w:rPr>
          <w:rStyle w:val="27"/>
          <w:rFonts w:hint="eastAsia" w:ascii="黑体" w:hAnsi="黑体" w:eastAsia="黑体"/>
          <w:b w:val="0"/>
        </w:rPr>
        <w:t>般公共预算财政拨款支出决算情况说明</w:t>
      </w:r>
      <w:bookmarkEnd w:id="61"/>
      <w:bookmarkEnd w:id="62"/>
      <w:bookmarkEnd w:id="63"/>
      <w:bookmarkEnd w:id="64"/>
      <w:bookmarkEnd w:id="65"/>
    </w:p>
    <w:p>
      <w:pPr>
        <w:spacing w:line="600" w:lineRule="exact"/>
        <w:ind w:firstLine="642" w:firstLineChars="200"/>
        <w:outlineLvl w:val="2"/>
        <w:rPr>
          <w:rFonts w:ascii="仿宋" w:hAnsi="仿宋" w:eastAsia="仿宋"/>
          <w:b/>
          <w:sz w:val="32"/>
          <w:szCs w:val="32"/>
        </w:rPr>
      </w:pPr>
      <w:bookmarkStart w:id="66" w:name="_Toc113479763"/>
      <w:bookmarkStart w:id="67" w:name="_Toc113478948"/>
      <w:bookmarkStart w:id="68" w:name="_Toc15377210"/>
      <w:bookmarkStart w:id="69" w:name="_Toc113480910"/>
      <w:r>
        <w:rPr>
          <w:rFonts w:hint="eastAsia" w:ascii="仿宋" w:hAnsi="仿宋" w:eastAsia="仿宋"/>
          <w:b/>
          <w:sz w:val="32"/>
          <w:szCs w:val="32"/>
        </w:rPr>
        <w:t>（一）一般公共预算财政拨款支出决算总体情况</w:t>
      </w:r>
      <w:bookmarkEnd w:id="66"/>
      <w:bookmarkEnd w:id="67"/>
      <w:bookmarkEnd w:id="68"/>
      <w:bookmarkEnd w:id="69"/>
    </w:p>
    <w:p>
      <w:pPr>
        <w:spacing w:line="600" w:lineRule="exact"/>
        <w:ind w:firstLine="640" w:firstLineChars="200"/>
        <w:rPr>
          <w:rFonts w:eastAsia="仿宋"/>
          <w:sz w:val="32"/>
          <w:szCs w:val="32"/>
        </w:rPr>
      </w:pPr>
      <w:r>
        <w:rPr>
          <w:rFonts w:eastAsia="仿宋"/>
          <w:sz w:val="32"/>
          <w:szCs w:val="32"/>
        </w:rPr>
        <w:t>2021年一般公共预算财政拨款支出978.19万元，占本年支出合计的99.49%。与2020年相比，一般公共预算财政拨款支出减少1365.08万元，下降58.26%。主要变动原因是</w:t>
      </w:r>
    </w:p>
    <w:p>
      <w:pPr>
        <w:spacing w:line="600" w:lineRule="exact"/>
        <w:rPr>
          <w:rFonts w:eastAsia="仿宋"/>
          <w:sz w:val="32"/>
          <w:szCs w:val="32"/>
        </w:rPr>
      </w:pPr>
      <w:r>
        <w:rPr>
          <w:rFonts w:eastAsia="仿宋"/>
          <w:sz w:val="32"/>
          <w:szCs w:val="32"/>
        </w:rPr>
        <w:t>2021年项目减少，项目经费减少。</w:t>
      </w:r>
    </w:p>
    <w:p>
      <w:pPr>
        <w:pStyle w:val="2"/>
        <w:spacing w:before="93"/>
      </w:pPr>
      <w:r>
        <w:rPr>
          <w:rFonts w:hint="eastAsia"/>
        </w:rPr>
        <w:drawing>
          <wp:inline distT="0" distB="0" distL="0" distR="0">
            <wp:extent cx="4881880" cy="2001520"/>
            <wp:effectExtent l="19050" t="0" r="13386" b="0"/>
            <wp:docPr id="1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pPr>
        <w:spacing w:line="600" w:lineRule="exact"/>
        <w:ind w:firstLine="642" w:firstLineChars="200"/>
        <w:outlineLvl w:val="2"/>
        <w:rPr>
          <w:rFonts w:ascii="仿宋" w:hAnsi="仿宋" w:eastAsia="仿宋"/>
          <w:b/>
          <w:sz w:val="32"/>
          <w:szCs w:val="32"/>
        </w:rPr>
      </w:pPr>
      <w:bookmarkStart w:id="70" w:name="_Toc113478949"/>
      <w:bookmarkStart w:id="71" w:name="_Toc113479764"/>
      <w:bookmarkStart w:id="72" w:name="_Toc15377211"/>
      <w:bookmarkStart w:id="73" w:name="_Toc113480911"/>
      <w:r>
        <w:rPr>
          <w:rFonts w:hint="eastAsia" w:ascii="仿宋" w:hAnsi="仿宋" w:eastAsia="仿宋"/>
          <w:b/>
          <w:sz w:val="32"/>
          <w:szCs w:val="32"/>
        </w:rPr>
        <w:t>（二）一般公共预算财政拨款支出决算结构情况</w:t>
      </w:r>
      <w:bookmarkEnd w:id="70"/>
      <w:bookmarkEnd w:id="71"/>
      <w:bookmarkEnd w:id="72"/>
      <w:bookmarkEnd w:id="73"/>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21年一般公共预算财政拨款支出978.19万元，主要用于以下方面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支出745.82万元，占76.24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公共安全支出</w:t>
      </w:r>
      <w:r>
        <w:rPr>
          <w:rFonts w:hint="eastAsia" w:ascii="仿宋" w:hAnsi="仿宋" w:eastAsia="仿宋"/>
          <w:sz w:val="32"/>
          <w:szCs w:val="32"/>
        </w:rPr>
        <w:t>（类）支出76.36万元，占7.81%；</w:t>
      </w:r>
      <w:r>
        <w:rPr>
          <w:rFonts w:hint="eastAsia" w:ascii="仿宋" w:hAnsi="仿宋" w:eastAsia="仿宋"/>
          <w:b/>
          <w:sz w:val="32"/>
          <w:szCs w:val="32"/>
        </w:rPr>
        <w:t>社会保障和就业（类）</w:t>
      </w:r>
      <w:r>
        <w:rPr>
          <w:rFonts w:hint="eastAsia" w:ascii="仿宋" w:hAnsi="仿宋" w:eastAsia="仿宋"/>
          <w:sz w:val="32"/>
          <w:szCs w:val="32"/>
        </w:rPr>
        <w:t>支出94.67万元，占9.68</w:t>
      </w:r>
      <w:r>
        <w:rPr>
          <w:rFonts w:ascii="仿宋" w:hAnsi="仿宋" w:eastAsia="仿宋"/>
          <w:sz w:val="32"/>
          <w:szCs w:val="32"/>
        </w:rPr>
        <w:t>%</w:t>
      </w:r>
      <w:r>
        <w:rPr>
          <w:rFonts w:hint="eastAsia" w:ascii="仿宋" w:hAnsi="仿宋" w:eastAsia="仿宋"/>
          <w:sz w:val="32"/>
          <w:szCs w:val="32"/>
        </w:rPr>
        <w:t>；住房保障支出61.33万元，占6.27</w:t>
      </w:r>
      <w:r>
        <w:rPr>
          <w:rFonts w:ascii="仿宋" w:hAnsi="仿宋" w:eastAsia="仿宋"/>
          <w:sz w:val="32"/>
          <w:szCs w:val="32"/>
        </w:rPr>
        <w:t>%</w:t>
      </w:r>
      <w:r>
        <w:rPr>
          <w:rFonts w:hint="eastAsia" w:ascii="仿宋" w:hAnsi="仿宋" w:eastAsia="仿宋"/>
          <w:sz w:val="32"/>
          <w:szCs w:val="32"/>
        </w:rPr>
        <w:t>。</w:t>
      </w:r>
    </w:p>
    <w:p>
      <w:pPr>
        <w:pStyle w:val="2"/>
        <w:spacing w:before="93"/>
      </w:pPr>
      <w:r>
        <w:rPr>
          <w:rFonts w:hint="eastAsia"/>
        </w:rPr>
        <w:drawing>
          <wp:anchor distT="0" distB="0" distL="114300" distR="114300" simplePos="0" relativeHeight="251658240" behindDoc="1" locked="0" layoutInCell="1" allowOverlap="1">
            <wp:simplePos x="0" y="0"/>
            <wp:positionH relativeFrom="column">
              <wp:posOffset>358775</wp:posOffset>
            </wp:positionH>
            <wp:positionV relativeFrom="paragraph">
              <wp:posOffset>363855</wp:posOffset>
            </wp:positionV>
            <wp:extent cx="4476115" cy="1515745"/>
            <wp:effectExtent l="19050" t="0" r="19685" b="8255"/>
            <wp:wrapTight wrapText="bothSides">
              <wp:wrapPolygon>
                <wp:start x="-92" y="0"/>
                <wp:lineTo x="-92" y="21718"/>
                <wp:lineTo x="21695" y="21718"/>
                <wp:lineTo x="21695" y="0"/>
                <wp:lineTo x="-92" y="0"/>
              </wp:wrapPolygon>
            </wp:wrapTight>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pStyle w:val="2"/>
        <w:spacing w:before="93"/>
      </w:pPr>
    </w:p>
    <w:p>
      <w:pPr>
        <w:pStyle w:val="2"/>
        <w:spacing w:before="93"/>
      </w:pPr>
    </w:p>
    <w:p>
      <w:pPr>
        <w:spacing w:line="600" w:lineRule="exact"/>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pPr>
        <w:spacing w:line="600" w:lineRule="exact"/>
        <w:ind w:firstLine="642" w:firstLineChars="200"/>
        <w:outlineLvl w:val="2"/>
        <w:rPr>
          <w:rFonts w:ascii="仿宋" w:hAnsi="仿宋" w:eastAsia="仿宋"/>
          <w:b/>
          <w:sz w:val="32"/>
          <w:szCs w:val="32"/>
        </w:rPr>
      </w:pPr>
      <w:bookmarkStart w:id="74" w:name="_Toc113480912"/>
      <w:bookmarkStart w:id="75" w:name="_Toc15377212"/>
      <w:bookmarkStart w:id="76" w:name="_Toc113478950"/>
      <w:bookmarkStart w:id="77" w:name="_Toc113479765"/>
      <w:r>
        <w:rPr>
          <w:rFonts w:hint="eastAsia" w:ascii="仿宋" w:hAnsi="仿宋" w:eastAsia="仿宋"/>
          <w:b/>
          <w:sz w:val="32"/>
          <w:szCs w:val="32"/>
        </w:rPr>
        <w:t>（三）一般公共预算财政拨款支出决算具体情况</w:t>
      </w:r>
      <w:bookmarkEnd w:id="74"/>
      <w:bookmarkEnd w:id="75"/>
      <w:bookmarkEnd w:id="76"/>
      <w:bookmarkEnd w:id="77"/>
    </w:p>
    <w:p>
      <w:pPr>
        <w:ind w:firstLine="640" w:firstLineChars="200"/>
        <w:rPr>
          <w:rFonts w:ascii="方正仿宋_GBK" w:eastAsia="方正仿宋_GBK"/>
          <w:sz w:val="32"/>
          <w:szCs w:val="32"/>
        </w:rPr>
      </w:pPr>
      <w:bookmarkStart w:id="78" w:name="_Toc113479766"/>
      <w:bookmarkStart w:id="79" w:name="_Toc113478951"/>
      <w:bookmarkStart w:id="80" w:name="_Toc15378460"/>
      <w:bookmarkStart w:id="81" w:name="_Toc15377444"/>
      <w:bookmarkStart w:id="82" w:name="_Toc15377213"/>
      <w:r>
        <w:rPr>
          <w:rFonts w:hint="eastAsia" w:ascii="方正仿宋_GBK" w:eastAsia="方正仿宋_GBK"/>
          <w:sz w:val="32"/>
          <w:szCs w:val="32"/>
        </w:rPr>
        <w:t>2021年一般公共预算支出决算数为978.19万元，</w:t>
      </w:r>
      <w:r>
        <w:rPr>
          <w:rStyle w:val="16"/>
          <w:rFonts w:hint="eastAsia" w:ascii="方正仿宋_GBK" w:hAnsi="仿宋" w:eastAsia="方正仿宋_GBK"/>
          <w:b w:val="0"/>
          <w:bCs/>
          <w:sz w:val="32"/>
          <w:szCs w:val="32"/>
        </w:rPr>
        <w:t>完成预算117.43%。其中</w:t>
      </w:r>
      <w:r>
        <w:rPr>
          <w:rStyle w:val="16"/>
          <w:rFonts w:hint="eastAsia" w:ascii="方正仿宋_GBK" w:hAnsi="仿宋" w:eastAsia="方正仿宋_GBK"/>
          <w:bCs/>
          <w:sz w:val="32"/>
          <w:szCs w:val="32"/>
        </w:rPr>
        <w:t>：</w:t>
      </w:r>
      <w:bookmarkEnd w:id="78"/>
      <w:bookmarkEnd w:id="79"/>
      <w:bookmarkEnd w:id="80"/>
      <w:bookmarkEnd w:id="81"/>
      <w:bookmarkEnd w:id="82"/>
    </w:p>
    <w:p>
      <w:pPr>
        <w:spacing w:line="600" w:lineRule="exact"/>
        <w:ind w:firstLine="642" w:firstLineChars="200"/>
        <w:rPr>
          <w:rFonts w:ascii="仿宋" w:hAnsi="仿宋" w:eastAsia="仿宋"/>
          <w:b/>
          <w:bCs/>
          <w:sz w:val="32"/>
          <w:szCs w:val="32"/>
        </w:rPr>
      </w:pPr>
      <w:r>
        <w:rPr>
          <w:rStyle w:val="16"/>
          <w:rFonts w:ascii="仿宋" w:hAnsi="仿宋" w:eastAsia="仿宋"/>
          <w:bCs/>
          <w:sz w:val="32"/>
          <w:szCs w:val="32"/>
        </w:rPr>
        <w:t>1.</w:t>
      </w:r>
      <w:r>
        <w:rPr>
          <w:rStyle w:val="16"/>
          <w:rFonts w:hint="eastAsia" w:ascii="仿宋" w:hAnsi="仿宋" w:eastAsia="仿宋"/>
          <w:bCs/>
          <w:sz w:val="32"/>
          <w:szCs w:val="32"/>
        </w:rPr>
        <w:t>一般公共服务（类）13（款）商贸事务08（项）招商引资</w:t>
      </w:r>
      <w:r>
        <w:rPr>
          <w:rStyle w:val="32"/>
          <w:rFonts w:hint="eastAsia" w:ascii="仿宋" w:hAnsi="仿宋" w:eastAsia="仿宋"/>
          <w:b w:val="0"/>
          <w:bCs/>
          <w:color w:val="000000"/>
          <w:sz w:val="32"/>
          <w:szCs w:val="32"/>
        </w:rPr>
        <w:t>支出决算为:4.01万元</w:t>
      </w:r>
      <w:r>
        <w:rPr>
          <w:rStyle w:val="16"/>
          <w:rFonts w:hint="eastAsia" w:ascii="仿宋" w:hAnsi="仿宋" w:eastAsia="仿宋"/>
          <w:bCs/>
          <w:sz w:val="32"/>
          <w:szCs w:val="32"/>
        </w:rPr>
        <w:t>；一般公共服务（类）31（款）党委办公厅（室）及相关机构事务</w:t>
      </w:r>
      <w:r>
        <w:rPr>
          <w:rStyle w:val="16"/>
          <w:rFonts w:ascii="仿宋" w:hAnsi="仿宋" w:eastAsia="仿宋"/>
          <w:bCs/>
          <w:sz w:val="32"/>
          <w:szCs w:val="32"/>
        </w:rPr>
        <w:t>:</w:t>
      </w:r>
      <w:r>
        <w:rPr>
          <w:rStyle w:val="16"/>
          <w:rFonts w:ascii="仿宋" w:hAnsi="仿宋" w:eastAsia="仿宋"/>
          <w:b w:val="0"/>
          <w:bCs/>
          <w:sz w:val="32"/>
          <w:szCs w:val="32"/>
        </w:rPr>
        <w:t xml:space="preserve"> </w:t>
      </w:r>
      <w:r>
        <w:rPr>
          <w:rStyle w:val="32"/>
          <w:rFonts w:hint="eastAsia" w:ascii="仿宋" w:hAnsi="仿宋" w:eastAsia="仿宋"/>
          <w:b w:val="0"/>
          <w:bCs/>
          <w:color w:val="000000"/>
          <w:sz w:val="32"/>
          <w:szCs w:val="32"/>
        </w:rPr>
        <w:t>行政运行2103101</w:t>
      </w:r>
      <w:r>
        <w:rPr>
          <w:rStyle w:val="32"/>
          <w:rFonts w:hint="eastAsia" w:ascii="仿宋" w:hAnsi="仿宋" w:eastAsia="仿宋"/>
          <w:bCs/>
          <w:color w:val="000000"/>
          <w:sz w:val="32"/>
          <w:szCs w:val="32"/>
        </w:rPr>
        <w:t>：</w:t>
      </w:r>
      <w:r>
        <w:rPr>
          <w:rStyle w:val="32"/>
          <w:rFonts w:hint="eastAsia" w:ascii="仿宋" w:hAnsi="仿宋" w:eastAsia="仿宋"/>
          <w:b w:val="0"/>
          <w:bCs/>
          <w:color w:val="000000"/>
          <w:sz w:val="32"/>
          <w:szCs w:val="32"/>
        </w:rPr>
        <w:t xml:space="preserve"> 支出决算为:690.67万元，</w:t>
      </w:r>
      <w:r>
        <w:rPr>
          <w:rStyle w:val="32"/>
          <w:rFonts w:hint="eastAsia" w:ascii="仿宋" w:hAnsi="仿宋" w:eastAsia="仿宋"/>
          <w:b w:val="0"/>
          <w:color w:val="000000"/>
          <w:sz w:val="32"/>
          <w:szCs w:val="32"/>
        </w:rPr>
        <w:t>一般行政管理事务2013102：支出决算19.1万元，事业运行2013150：支出决算为22.09万元；</w:t>
      </w:r>
      <w:r>
        <w:rPr>
          <w:rStyle w:val="16"/>
          <w:rFonts w:hint="eastAsia" w:ascii="仿宋" w:hAnsi="仿宋" w:eastAsia="仿宋"/>
          <w:bCs/>
          <w:sz w:val="32"/>
          <w:szCs w:val="32"/>
        </w:rPr>
        <w:t>一般公共服务（类）32（款）组织事务：</w:t>
      </w:r>
      <w:r>
        <w:rPr>
          <w:rStyle w:val="32"/>
          <w:rFonts w:hint="eastAsia" w:ascii="仿宋" w:hAnsi="仿宋" w:eastAsia="仿宋"/>
          <w:b w:val="0"/>
          <w:color w:val="000000"/>
          <w:sz w:val="32"/>
          <w:szCs w:val="32"/>
        </w:rPr>
        <w:t>其他组织事务支出</w:t>
      </w:r>
      <w:r>
        <w:rPr>
          <w:rFonts w:hint="eastAsia" w:ascii="仿宋" w:hAnsi="仿宋" w:eastAsia="仿宋"/>
          <w:bCs/>
          <w:color w:val="000000"/>
          <w:sz w:val="32"/>
          <w:szCs w:val="32"/>
        </w:rPr>
        <w:t>2013299：</w:t>
      </w:r>
      <w:r>
        <w:rPr>
          <w:rStyle w:val="32"/>
          <w:rFonts w:hint="eastAsia" w:ascii="仿宋" w:hAnsi="仿宋" w:eastAsia="仿宋"/>
          <w:b w:val="0"/>
          <w:color w:val="000000"/>
          <w:sz w:val="32"/>
          <w:szCs w:val="32"/>
        </w:rPr>
        <w:t>支出决算为:9.96万元，</w:t>
      </w:r>
      <w:r>
        <w:rPr>
          <w:rStyle w:val="32"/>
          <w:rFonts w:hint="eastAsia" w:ascii="仿宋" w:hAnsi="仿宋" w:eastAsia="仿宋"/>
          <w:b w:val="0"/>
          <w:bCs/>
          <w:color w:val="000000"/>
          <w:sz w:val="32"/>
          <w:szCs w:val="32"/>
        </w:rPr>
        <w:t>完</w:t>
      </w:r>
      <w:r>
        <w:rPr>
          <w:rStyle w:val="32"/>
          <w:rFonts w:hint="eastAsia" w:ascii="仿宋" w:hAnsi="仿宋" w:eastAsia="仿宋"/>
          <w:b w:val="0"/>
          <w:color w:val="000000"/>
          <w:sz w:val="32"/>
          <w:szCs w:val="32"/>
        </w:rPr>
        <w:t>成预算</w:t>
      </w:r>
      <w:r>
        <w:rPr>
          <w:rStyle w:val="32"/>
          <w:rFonts w:hint="eastAsia" w:ascii="仿宋" w:hAnsi="仿宋"/>
          <w:b w:val="0"/>
          <w:color w:val="000000"/>
          <w:sz w:val="32"/>
          <w:szCs w:val="32"/>
        </w:rPr>
        <w:t>107.88</w:t>
      </w:r>
      <w:r>
        <w:rPr>
          <w:rStyle w:val="32"/>
          <w:rFonts w:hint="eastAsia" w:ascii="仿宋" w:hAnsi="仿宋" w:eastAsia="仿宋"/>
          <w:b w:val="0"/>
          <w:color w:val="000000"/>
          <w:sz w:val="32"/>
          <w:szCs w:val="32"/>
        </w:rPr>
        <w:t>%</w:t>
      </w:r>
      <w:r>
        <w:rPr>
          <w:rStyle w:val="32"/>
          <w:rFonts w:hint="eastAsia" w:ascii="仿宋" w:hAnsi="仿宋" w:eastAsia="仿宋"/>
          <w:b w:val="0"/>
          <w:bCs/>
          <w:color w:val="000000"/>
          <w:sz w:val="32"/>
          <w:szCs w:val="32"/>
        </w:rPr>
        <w:t>，决算数大于预算数的主要原因是人员增加、项目中途追加资金、上年结转资金。</w:t>
      </w:r>
    </w:p>
    <w:p>
      <w:pPr>
        <w:spacing w:line="600" w:lineRule="exact"/>
        <w:ind w:firstLine="642" w:firstLineChars="200"/>
        <w:rPr>
          <w:rStyle w:val="32"/>
          <w:rFonts w:ascii="仿宋" w:hAnsi="仿宋" w:eastAsia="仿宋" w:cs="Times New Roman"/>
          <w:b w:val="0"/>
          <w:color w:val="000000"/>
          <w:sz w:val="32"/>
          <w:szCs w:val="32"/>
        </w:rPr>
      </w:pPr>
      <w:r>
        <w:rPr>
          <w:rStyle w:val="32"/>
          <w:rFonts w:hint="eastAsia" w:ascii="仿宋" w:hAnsi="仿宋" w:eastAsia="仿宋"/>
          <w:bCs/>
          <w:color w:val="000000"/>
          <w:sz w:val="32"/>
          <w:szCs w:val="32"/>
        </w:rPr>
        <w:t>2.公共安全支出（类）99（款）:</w:t>
      </w:r>
      <w:r>
        <w:rPr>
          <w:rFonts w:hint="eastAsia"/>
        </w:rPr>
        <w:t xml:space="preserve"> </w:t>
      </w:r>
      <w:r>
        <w:rPr>
          <w:rStyle w:val="32"/>
          <w:rFonts w:hint="eastAsia" w:ascii="仿宋" w:hAnsi="仿宋" w:eastAsia="仿宋"/>
          <w:b w:val="0"/>
          <w:bCs/>
          <w:color w:val="000000"/>
          <w:sz w:val="32"/>
          <w:szCs w:val="32"/>
        </w:rPr>
        <w:t>其他公共安全支出2049999：支出决算为76.36万元，</w:t>
      </w:r>
      <w:r>
        <w:rPr>
          <w:rStyle w:val="32"/>
          <w:rFonts w:hint="eastAsia" w:ascii="仿宋" w:hAnsi="仿宋" w:eastAsia="仿宋"/>
          <w:b w:val="0"/>
          <w:color w:val="000000"/>
          <w:sz w:val="32"/>
          <w:szCs w:val="32"/>
        </w:rPr>
        <w:t>决算数大于预算数的主要原因是中途追加项目预算经费。</w:t>
      </w:r>
    </w:p>
    <w:p>
      <w:pPr>
        <w:spacing w:line="600" w:lineRule="exact"/>
        <w:ind w:firstLine="642" w:firstLineChars="200"/>
        <w:rPr>
          <w:rStyle w:val="32"/>
          <w:rFonts w:ascii="仿宋" w:hAnsi="仿宋" w:eastAsia="仿宋"/>
          <w:b w:val="0"/>
          <w:bCs/>
          <w:color w:val="000000"/>
          <w:sz w:val="32"/>
          <w:szCs w:val="32"/>
        </w:rPr>
      </w:pPr>
      <w:r>
        <w:rPr>
          <w:rStyle w:val="32"/>
          <w:rFonts w:hint="eastAsia" w:ascii="仿宋" w:hAnsi="仿宋" w:eastAsia="仿宋"/>
          <w:bCs/>
          <w:color w:val="000000"/>
          <w:sz w:val="32"/>
          <w:szCs w:val="32"/>
        </w:rPr>
        <w:t>3.社会保障和就业（类）05（款）:</w:t>
      </w:r>
      <w:r>
        <w:rPr>
          <w:rStyle w:val="32"/>
          <w:rFonts w:hint="eastAsia" w:ascii="仿宋" w:hAnsi="仿宋" w:eastAsia="仿宋"/>
          <w:b w:val="0"/>
          <w:color w:val="000000"/>
          <w:sz w:val="32"/>
          <w:szCs w:val="32"/>
        </w:rPr>
        <w:t>行政单位离退休2080501</w:t>
      </w:r>
      <w:r>
        <w:rPr>
          <w:rStyle w:val="32"/>
          <w:rFonts w:hint="eastAsia" w:ascii="仿宋" w:hAnsi="仿宋" w:eastAsia="仿宋"/>
          <w:b w:val="0"/>
          <w:bCs/>
          <w:color w:val="000000"/>
          <w:sz w:val="32"/>
          <w:szCs w:val="32"/>
        </w:rPr>
        <w:t>: 支出决算为47.28万元，</w:t>
      </w:r>
      <w:r>
        <w:rPr>
          <w:rStyle w:val="32"/>
          <w:rFonts w:hint="eastAsia" w:ascii="仿宋" w:hAnsi="仿宋" w:eastAsia="仿宋"/>
          <w:b w:val="0"/>
          <w:color w:val="000000"/>
          <w:sz w:val="32"/>
          <w:szCs w:val="32"/>
        </w:rPr>
        <w:t>机关事业单位养老保险缴费支出 2080505：支出决算为46.19万元，儿童福利2081001：支出决算为1.2万元，完成预算116.54%，决算数大于预算数的主要原因是中途追加项目预算经费和人员增加，增加了经费。</w:t>
      </w:r>
    </w:p>
    <w:p>
      <w:pPr>
        <w:spacing w:line="600" w:lineRule="exact"/>
        <w:ind w:firstLine="642" w:firstLineChars="200"/>
        <w:rPr>
          <w:rStyle w:val="32"/>
          <w:rFonts w:ascii="仿宋" w:hAnsi="仿宋" w:eastAsia="仿宋"/>
          <w:bCs/>
          <w:color w:val="000000"/>
          <w:sz w:val="32"/>
          <w:szCs w:val="32"/>
        </w:rPr>
      </w:pPr>
      <w:r>
        <w:rPr>
          <w:rStyle w:val="32"/>
          <w:rFonts w:hint="eastAsia" w:ascii="仿宋" w:hAnsi="仿宋" w:eastAsia="仿宋"/>
          <w:bCs/>
          <w:color w:val="000000"/>
          <w:sz w:val="32"/>
          <w:szCs w:val="32"/>
        </w:rPr>
        <w:t>4.住房保障（类）02（款）：</w:t>
      </w:r>
      <w:r>
        <w:rPr>
          <w:rStyle w:val="32"/>
          <w:rFonts w:hint="eastAsia" w:ascii="仿宋" w:hAnsi="仿宋" w:eastAsia="仿宋"/>
          <w:b w:val="0"/>
          <w:color w:val="000000"/>
          <w:sz w:val="32"/>
          <w:szCs w:val="32"/>
        </w:rPr>
        <w:t>住房公积金2210201:支出决算为61.33万元，完成预算101.51%，决算数大于预算数的主要原因是人员增加，增加了经费。</w:t>
      </w:r>
    </w:p>
    <w:p>
      <w:pPr>
        <w:tabs>
          <w:tab w:val="right" w:pos="8306"/>
        </w:tabs>
        <w:spacing w:line="600" w:lineRule="exact"/>
        <w:ind w:firstLine="640"/>
        <w:outlineLvl w:val="1"/>
        <w:rPr>
          <w:rStyle w:val="27"/>
        </w:rPr>
      </w:pPr>
      <w:bookmarkStart w:id="83" w:name="_Toc15396608"/>
      <w:bookmarkStart w:id="84" w:name="_Toc113479767"/>
      <w:bookmarkStart w:id="85" w:name="_Toc113478952"/>
      <w:bookmarkStart w:id="86" w:name="_Toc113480913"/>
      <w:bookmarkStart w:id="87"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7"/>
          <w:rFonts w:hint="eastAsia" w:ascii="黑体" w:hAnsi="黑体" w:eastAsia="黑体"/>
          <w:b w:val="0"/>
        </w:rPr>
        <w:t>般公共预算财政拨款基本支出决算情况说明</w:t>
      </w:r>
      <w:bookmarkEnd w:id="83"/>
      <w:bookmarkEnd w:id="84"/>
      <w:bookmarkEnd w:id="85"/>
      <w:bookmarkEnd w:id="86"/>
      <w:bookmarkEnd w:id="87"/>
      <w:r>
        <w:rPr>
          <w:rStyle w:val="27"/>
          <w:rFonts w:ascii="黑体" w:hAnsi="黑体" w:eastAsia="黑体"/>
          <w:b w:val="0"/>
        </w:rPr>
        <w:tab/>
      </w:r>
    </w:p>
    <w:p>
      <w:pPr>
        <w:spacing w:line="600" w:lineRule="exact"/>
        <w:ind w:firstLine="645"/>
        <w:rPr>
          <w:rFonts w:eastAsia="方正仿宋_GBK"/>
          <w:sz w:val="32"/>
          <w:szCs w:val="32"/>
        </w:rPr>
      </w:pPr>
      <w:r>
        <w:rPr>
          <w:rFonts w:eastAsia="方正仿宋_GBK"/>
          <w:sz w:val="32"/>
          <w:szCs w:val="32"/>
        </w:rPr>
        <w:t>2021年一般公共预算财政拨款基本支出867.56万元，其中：</w:t>
      </w:r>
    </w:p>
    <w:p>
      <w:pPr>
        <w:spacing w:line="600" w:lineRule="exact"/>
        <w:ind w:firstLine="645"/>
        <w:rPr>
          <w:rFonts w:eastAsia="方正仿宋_GBK"/>
          <w:sz w:val="32"/>
          <w:szCs w:val="32"/>
        </w:rPr>
      </w:pPr>
      <w:r>
        <w:rPr>
          <w:rFonts w:eastAsia="方正仿宋_GBK"/>
          <w:sz w:val="32"/>
          <w:szCs w:val="32"/>
        </w:rPr>
        <w:t>人员经费799.53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p>
    <w:p>
      <w:pPr>
        <w:spacing w:line="600" w:lineRule="exact"/>
        <w:ind w:firstLine="645"/>
        <w:rPr>
          <w:rFonts w:eastAsia="方正仿宋_GBK"/>
          <w:sz w:val="32"/>
          <w:szCs w:val="32"/>
        </w:rPr>
      </w:pPr>
      <w:r>
        <w:rPr>
          <w:rFonts w:eastAsia="方正仿宋_GBK"/>
          <w:sz w:val="32"/>
          <w:szCs w:val="32"/>
        </w:rPr>
        <w:t>公用经费68.03万元，主要包括：办公费、印刷费、咨询费、手续费、水费、电费、邮电费、取暖费、物业管理费、差旅费、维修（护）费、租赁费、会议费、培训费、公务接待费、劳务费、委托业务费、工会经费、福利费、公务用车运行维护费、其他交通费、其他商品和服务支出、办公设备购置、其他资本性支出等。</w:t>
      </w:r>
    </w:p>
    <w:p>
      <w:pPr>
        <w:spacing w:line="600" w:lineRule="exact"/>
        <w:ind w:firstLine="640"/>
        <w:outlineLvl w:val="1"/>
        <w:rPr>
          <w:rStyle w:val="27"/>
          <w:rFonts w:ascii="黑体" w:hAnsi="黑体" w:eastAsia="黑体"/>
          <w:b w:val="0"/>
        </w:rPr>
      </w:pPr>
      <w:bookmarkStart w:id="88" w:name="_Toc113480914"/>
      <w:bookmarkStart w:id="89" w:name="_Toc15396609"/>
      <w:bookmarkStart w:id="90" w:name="_Toc113479768"/>
      <w:bookmarkStart w:id="91" w:name="_Toc113478953"/>
      <w:bookmarkStart w:id="92" w:name="_Toc15377215"/>
      <w:r>
        <w:rPr>
          <w:rFonts w:hint="eastAsia" w:ascii="黑体" w:eastAsia="黑体"/>
          <w:sz w:val="32"/>
          <w:szCs w:val="32"/>
        </w:rPr>
        <w:t>七、</w:t>
      </w:r>
      <w:r>
        <w:rPr>
          <w:rStyle w:val="27"/>
          <w:rFonts w:hint="eastAsia" w:ascii="黑体" w:hAnsi="黑体" w:eastAsia="黑体"/>
        </w:rPr>
        <w:t>“</w:t>
      </w:r>
      <w:r>
        <w:rPr>
          <w:rStyle w:val="27"/>
          <w:rFonts w:hint="eastAsia" w:ascii="黑体" w:hAnsi="黑体" w:eastAsia="黑体"/>
          <w:b w:val="0"/>
        </w:rPr>
        <w:t>三公”经费财政拨款支出决算情况说明</w:t>
      </w:r>
      <w:bookmarkEnd w:id="88"/>
      <w:bookmarkEnd w:id="89"/>
      <w:bookmarkEnd w:id="90"/>
      <w:bookmarkEnd w:id="91"/>
      <w:bookmarkEnd w:id="92"/>
    </w:p>
    <w:p>
      <w:pPr>
        <w:spacing w:line="600" w:lineRule="exact"/>
        <w:ind w:firstLine="640"/>
        <w:outlineLvl w:val="2"/>
        <w:rPr>
          <w:rFonts w:ascii="仿宋" w:hAnsi="仿宋" w:eastAsia="仿宋"/>
          <w:b/>
          <w:sz w:val="32"/>
          <w:szCs w:val="32"/>
        </w:rPr>
      </w:pPr>
      <w:bookmarkStart w:id="93" w:name="_Toc113480915"/>
      <w:bookmarkStart w:id="94" w:name="_Toc113478954"/>
      <w:bookmarkStart w:id="95" w:name="_Toc113479769"/>
      <w:bookmarkStart w:id="96" w:name="_Toc15377216"/>
      <w:r>
        <w:rPr>
          <w:rFonts w:hint="eastAsia" w:ascii="仿宋" w:hAnsi="仿宋" w:eastAsia="仿宋"/>
          <w:b/>
          <w:sz w:val="32"/>
          <w:szCs w:val="32"/>
        </w:rPr>
        <w:t>（一）“三公”经费财政拨款支出决算总体情况说明</w:t>
      </w:r>
      <w:bookmarkEnd w:id="93"/>
      <w:bookmarkEnd w:id="94"/>
      <w:bookmarkEnd w:id="95"/>
      <w:bookmarkEnd w:id="96"/>
    </w:p>
    <w:p>
      <w:pPr>
        <w:spacing w:line="600" w:lineRule="exact"/>
        <w:ind w:firstLine="640"/>
        <w:rPr>
          <w:rFonts w:eastAsia="方正仿宋_GBK"/>
          <w:sz w:val="32"/>
          <w:szCs w:val="32"/>
        </w:rPr>
      </w:pPr>
      <w:r>
        <w:rPr>
          <w:rFonts w:eastAsia="方正仿宋_GBK"/>
          <w:sz w:val="32"/>
          <w:szCs w:val="32"/>
        </w:rPr>
        <w:t>2021年“三公”经费财政拨款支出决算为7.7万元，完成预算81.05%，决算数小于预算数的主要原因是年底资金未全部支付。</w:t>
      </w:r>
    </w:p>
    <w:p>
      <w:pPr>
        <w:spacing w:line="600" w:lineRule="exact"/>
        <w:ind w:firstLine="640"/>
        <w:outlineLvl w:val="2"/>
        <w:rPr>
          <w:rFonts w:ascii="仿宋" w:hAnsi="仿宋" w:eastAsia="仿宋"/>
          <w:b/>
          <w:sz w:val="32"/>
          <w:szCs w:val="32"/>
        </w:rPr>
      </w:pPr>
      <w:bookmarkStart w:id="97" w:name="_Toc113478955"/>
      <w:bookmarkStart w:id="98" w:name="_Toc15377217"/>
      <w:bookmarkStart w:id="99" w:name="_Toc113479770"/>
      <w:bookmarkStart w:id="100" w:name="_Toc113480916"/>
      <w:r>
        <w:rPr>
          <w:rFonts w:hint="eastAsia" w:ascii="仿宋" w:hAnsi="仿宋" w:eastAsia="仿宋"/>
          <w:b/>
          <w:sz w:val="32"/>
          <w:szCs w:val="32"/>
        </w:rPr>
        <w:t>（二）“三公”经费财政拨款支出决算具体情况说明</w:t>
      </w:r>
      <w:bookmarkEnd w:id="97"/>
      <w:bookmarkEnd w:id="98"/>
      <w:bookmarkEnd w:id="99"/>
      <w:bookmarkEnd w:id="100"/>
    </w:p>
    <w:p>
      <w:pPr>
        <w:spacing w:line="600" w:lineRule="exact"/>
        <w:ind w:firstLine="640"/>
        <w:rPr>
          <w:rFonts w:eastAsia="方正仿宋_GBK"/>
          <w:sz w:val="32"/>
          <w:szCs w:val="32"/>
        </w:rPr>
      </w:pPr>
      <w:r>
        <w:rPr>
          <w:rFonts w:eastAsia="方正仿宋_GBK"/>
          <w:sz w:val="32"/>
          <w:szCs w:val="32"/>
        </w:rPr>
        <w:t>2021年“三公”经费财政拨款支出决算中，因公出国（境）费支出决算0万元，占0%；公务用车购置及运行维护费支出决算7.7万元，占100%；公务接待费支出决算0万元，占0%。具体情况如下：</w:t>
      </w:r>
    </w:p>
    <w:p>
      <w:pPr>
        <w:pStyle w:val="2"/>
        <w:spacing w:before="93"/>
        <w:rPr>
          <w:rFonts w:ascii="仿宋" w:hAnsi="仿宋" w:eastAsia="仿宋"/>
          <w:sz w:val="32"/>
          <w:szCs w:val="32"/>
        </w:rPr>
      </w:pPr>
      <w:r>
        <w:rPr>
          <w:rFonts w:hint="eastAsia"/>
        </w:rPr>
        <w:drawing>
          <wp:anchor distT="0" distB="0" distL="114300" distR="114300" simplePos="0" relativeHeight="251659264" behindDoc="1" locked="0" layoutInCell="1" allowOverlap="1">
            <wp:simplePos x="0" y="0"/>
            <wp:positionH relativeFrom="column">
              <wp:posOffset>210820</wp:posOffset>
            </wp:positionH>
            <wp:positionV relativeFrom="paragraph">
              <wp:posOffset>161290</wp:posOffset>
            </wp:positionV>
            <wp:extent cx="4972685" cy="1574165"/>
            <wp:effectExtent l="4445" t="4445" r="13970" b="21590"/>
            <wp:wrapTight wrapText="bothSides">
              <wp:wrapPolygon>
                <wp:start x="-19" y="-61"/>
                <wp:lineTo x="-19" y="21373"/>
                <wp:lineTo x="21578" y="21373"/>
                <wp:lineTo x="21578" y="-61"/>
                <wp:lineTo x="-19" y="-61"/>
              </wp:wrapPolygon>
            </wp:wrapTight>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hint="eastAsia"/>
          <w:lang w:val="en-US" w:eastAsia="zh-CN"/>
        </w:rPr>
        <w:t xml:space="preserve">   </w:t>
      </w:r>
      <w:r>
        <w:rPr>
          <w:rFonts w:hint="eastAsia" w:ascii="仿宋" w:hAnsi="仿宋" w:eastAsia="仿宋"/>
          <w:sz w:val="32"/>
          <w:szCs w:val="32"/>
        </w:rPr>
        <w:t>（图7：“三公”经费财政拨款支出结构）（饼状图）</w:t>
      </w:r>
    </w:p>
    <w:p>
      <w:pPr>
        <w:spacing w:line="600" w:lineRule="exact"/>
        <w:ind w:firstLine="640"/>
        <w:rPr>
          <w:rFonts w:eastAsia="方正仿宋_GBK"/>
          <w:b/>
          <w:sz w:val="32"/>
          <w:szCs w:val="32"/>
        </w:rPr>
      </w:pPr>
      <w:r>
        <w:rPr>
          <w:rFonts w:eastAsia="仿宋_GB2312"/>
          <w:b/>
          <w:sz w:val="32"/>
          <w:szCs w:val="32"/>
        </w:rPr>
        <w:t>1</w:t>
      </w:r>
      <w:r>
        <w:rPr>
          <w:rFonts w:eastAsia="方正仿宋_GBK"/>
          <w:b/>
          <w:sz w:val="32"/>
          <w:szCs w:val="32"/>
        </w:rPr>
        <w:t>.因公出国（境）经费支出</w:t>
      </w:r>
      <w:r>
        <w:rPr>
          <w:rFonts w:eastAsia="方正仿宋_GBK"/>
          <w:sz w:val="32"/>
          <w:szCs w:val="32"/>
        </w:rPr>
        <w:t>0万元，</w:t>
      </w:r>
      <w:r>
        <w:rPr>
          <w:rStyle w:val="16"/>
          <w:rFonts w:eastAsia="方正仿宋_GBK"/>
          <w:b w:val="0"/>
          <w:bCs/>
          <w:sz w:val="32"/>
          <w:szCs w:val="32"/>
        </w:rPr>
        <w:t>完成预算0%。</w:t>
      </w:r>
      <w:r>
        <w:rPr>
          <w:rFonts w:eastAsia="方正仿宋_GBK"/>
          <w:sz w:val="32"/>
          <w:szCs w:val="32"/>
        </w:rPr>
        <w:t>全年安排因公出国（境）团组0次，出国（境）0人。因公出国（境）支出决算比2020年增加/减少0万元，增长/下降0%。主要原因是无人出国出境。</w:t>
      </w:r>
    </w:p>
    <w:p>
      <w:pPr>
        <w:rPr>
          <w:rFonts w:eastAsia="方正仿宋_GBK"/>
        </w:rPr>
      </w:pPr>
      <w:r>
        <w:rPr>
          <w:rFonts w:eastAsia="仿宋_GB2312"/>
          <w:b/>
          <w:sz w:val="32"/>
          <w:szCs w:val="32"/>
        </w:rPr>
        <w:t xml:space="preserve">    2.</w:t>
      </w:r>
      <w:r>
        <w:rPr>
          <w:rFonts w:eastAsia="方正仿宋_GBK"/>
          <w:b/>
          <w:sz w:val="32"/>
          <w:szCs w:val="32"/>
        </w:rPr>
        <w:t>公务用车购置及运行维护费支出</w:t>
      </w:r>
      <w:r>
        <w:rPr>
          <w:rFonts w:eastAsia="方正仿宋_GBK"/>
          <w:sz w:val="32"/>
          <w:szCs w:val="32"/>
        </w:rPr>
        <w:t>7.7万元,完成预算95.06%。公务用车购置及运行维护费支出决算比2020年增加0.43万元，增长5.91%。主要原因是1、2021年我市成立政法队伍教育整顿领导小组，办公室设在我委，负责日常工作。2、2021年新冠肺炎疫情防控，市委政法委负责市应急指挥部“社会稳定组”相关工作，在疫情防控期间到各点位开展工作。</w:t>
      </w:r>
    </w:p>
    <w:p>
      <w:pPr>
        <w:spacing w:line="600" w:lineRule="exact"/>
        <w:ind w:firstLine="642" w:firstLineChars="200"/>
        <w:rPr>
          <w:rFonts w:eastAsia="方正仿宋_GBK"/>
          <w:b/>
          <w:sz w:val="32"/>
          <w:szCs w:val="32"/>
        </w:rPr>
      </w:pPr>
      <w:r>
        <w:rPr>
          <w:rFonts w:eastAsia="方正仿宋_GBK"/>
          <w:b/>
          <w:sz w:val="32"/>
          <w:szCs w:val="32"/>
        </w:rPr>
        <w:t>其中：公务用车购置支出0万元。全年按规定更新购置公务用车0辆，其中：轿车0辆、金额0万元，越野车0辆、金额0万元，载客汽车0辆、金额0万元。截至2021年12月底，单位共有公务用车8辆（其中1辆编制在市委办，另有6辆已报废或拍卖未下账），其中：轿车0辆、越野车2辆、载客汽车0辆。</w:t>
      </w:r>
    </w:p>
    <w:p>
      <w:pPr>
        <w:spacing w:line="600" w:lineRule="exact"/>
        <w:ind w:firstLine="640"/>
        <w:rPr>
          <w:rFonts w:eastAsia="方正仿宋_GBK"/>
          <w:b/>
          <w:sz w:val="32"/>
          <w:szCs w:val="32"/>
        </w:rPr>
      </w:pPr>
      <w:r>
        <w:rPr>
          <w:rFonts w:eastAsia="方正仿宋_GBK"/>
          <w:b/>
          <w:sz w:val="32"/>
          <w:szCs w:val="32"/>
        </w:rPr>
        <w:t>公务用车运行维护费支出7.7万元。主要用于综治、维稳、防邪等所需的公务用车燃料费、维修费、过路过桥费、保险费等支出。</w:t>
      </w:r>
    </w:p>
    <w:p>
      <w:pPr>
        <w:spacing w:line="600" w:lineRule="exact"/>
        <w:ind w:firstLine="640"/>
        <w:rPr>
          <w:rFonts w:eastAsia="方正仿宋_GBK"/>
          <w:b/>
          <w:sz w:val="32"/>
          <w:szCs w:val="32"/>
        </w:rPr>
      </w:pPr>
      <w:r>
        <w:rPr>
          <w:rFonts w:eastAsia="方正仿宋_GBK"/>
          <w:b/>
          <w:sz w:val="32"/>
          <w:szCs w:val="32"/>
        </w:rPr>
        <w:t>3.公务接待费支出0万元</w:t>
      </w:r>
      <w:r>
        <w:rPr>
          <w:rFonts w:eastAsia="方正仿宋_GBK"/>
        </w:rPr>
        <w:t>。</w:t>
      </w:r>
      <w:r>
        <w:rPr>
          <w:rFonts w:eastAsia="方正仿宋_GBK"/>
          <w:b/>
          <w:sz w:val="32"/>
          <w:szCs w:val="32"/>
        </w:rPr>
        <w:t>公务接待费支出决算比2020年减少1.66万元，下降100%。主要原因是2021年因资金压力导致公务接待费用未支付。其中：</w:t>
      </w:r>
    </w:p>
    <w:p>
      <w:pPr>
        <w:spacing w:line="600" w:lineRule="exact"/>
        <w:ind w:firstLine="640"/>
        <w:rPr>
          <w:rFonts w:eastAsia="方正仿宋_GBK"/>
          <w:b/>
          <w:sz w:val="32"/>
          <w:szCs w:val="32"/>
        </w:rPr>
      </w:pPr>
      <w:r>
        <w:rPr>
          <w:rFonts w:eastAsia="方正仿宋_GBK"/>
          <w:b/>
          <w:sz w:val="32"/>
          <w:szCs w:val="32"/>
        </w:rPr>
        <w:t>国内公务接待支出0万元。国内公务接待0批次，0人次（不包括陪同人员），共计支出0万元。</w:t>
      </w:r>
    </w:p>
    <w:p>
      <w:pPr>
        <w:spacing w:line="600" w:lineRule="exact"/>
        <w:ind w:firstLine="642" w:firstLineChars="200"/>
        <w:rPr>
          <w:rFonts w:eastAsia="方正仿宋_GBK"/>
          <w:b/>
          <w:sz w:val="32"/>
          <w:szCs w:val="32"/>
        </w:rPr>
      </w:pPr>
      <w:r>
        <w:rPr>
          <w:rFonts w:eastAsia="方正仿宋_GBK"/>
          <w:b/>
          <w:sz w:val="32"/>
          <w:szCs w:val="32"/>
        </w:rPr>
        <w:t>外事接待支出0万元，外事接待0批次，0人，共计支出0万元。</w:t>
      </w:r>
      <w:bookmarkStart w:id="101" w:name="_Toc15396610"/>
      <w:bookmarkStart w:id="102" w:name="_Toc15377218"/>
    </w:p>
    <w:p>
      <w:pPr>
        <w:spacing w:line="600" w:lineRule="exact"/>
        <w:ind w:firstLine="640" w:firstLineChars="200"/>
        <w:rPr>
          <w:rFonts w:ascii="方正黑体_GBK" w:eastAsia="方正黑体_GBK"/>
          <w:bCs/>
        </w:rPr>
      </w:pPr>
      <w:bookmarkStart w:id="103" w:name="_Toc113478956"/>
      <w:r>
        <w:rPr>
          <w:rFonts w:hint="eastAsia" w:ascii="方正黑体_GBK" w:eastAsia="方正黑体_GBK"/>
          <w:sz w:val="32"/>
          <w:szCs w:val="32"/>
        </w:rPr>
        <w:t>八、政府性基金预算支出决算情况说明</w:t>
      </w:r>
      <w:bookmarkEnd w:id="101"/>
      <w:bookmarkEnd w:id="102"/>
      <w:bookmarkEnd w:id="103"/>
    </w:p>
    <w:p>
      <w:pPr>
        <w:spacing w:line="600" w:lineRule="exact"/>
        <w:ind w:firstLine="642" w:firstLineChars="200"/>
        <w:rPr>
          <w:rFonts w:ascii="方正仿宋_GBK" w:eastAsia="方正仿宋_GBK"/>
          <w:b/>
          <w:sz w:val="32"/>
          <w:szCs w:val="32"/>
        </w:rPr>
      </w:pPr>
      <w:r>
        <w:rPr>
          <w:rFonts w:ascii="方正仿宋_GBK" w:eastAsia="方正仿宋_GBK"/>
          <w:b/>
          <w:sz w:val="32"/>
          <w:szCs w:val="32"/>
        </w:rPr>
        <w:t>20</w:t>
      </w:r>
      <w:r>
        <w:rPr>
          <w:rFonts w:hint="eastAsia" w:ascii="方正仿宋_GBK" w:eastAsia="方正仿宋_GBK"/>
          <w:b/>
          <w:sz w:val="32"/>
          <w:szCs w:val="32"/>
        </w:rPr>
        <w:t>21年政府性基金预算财政拨款支出5万元，为中途追加资金。</w:t>
      </w:r>
    </w:p>
    <w:p>
      <w:pPr>
        <w:spacing w:line="600" w:lineRule="exact"/>
        <w:ind w:firstLine="640" w:firstLineChars="200"/>
        <w:rPr>
          <w:rFonts w:ascii="方正仿宋_GBK" w:eastAsia="方正仿宋_GBK"/>
          <w:bCs/>
          <w:sz w:val="32"/>
          <w:szCs w:val="32"/>
        </w:rPr>
      </w:pPr>
      <w:bookmarkStart w:id="104" w:name="_Toc113478957"/>
      <w:bookmarkStart w:id="105" w:name="_Toc15377219"/>
      <w:bookmarkStart w:id="106" w:name="_Toc15396611"/>
      <w:r>
        <w:rPr>
          <w:rFonts w:hint="eastAsia" w:ascii="方正仿宋_GBK" w:eastAsia="方正仿宋_GBK"/>
          <w:bCs/>
          <w:sz w:val="32"/>
          <w:szCs w:val="32"/>
        </w:rPr>
        <w:t>国有资本经营预算支出决算情况说明</w:t>
      </w:r>
      <w:bookmarkEnd w:id="104"/>
      <w:bookmarkEnd w:id="105"/>
      <w:bookmarkEnd w:id="106"/>
    </w:p>
    <w:p>
      <w:pPr>
        <w:spacing w:line="600" w:lineRule="exact"/>
        <w:ind w:firstLine="642" w:firstLineChars="200"/>
        <w:rPr>
          <w:rFonts w:ascii="方正仿宋_GBK" w:eastAsia="方正仿宋_GBK"/>
          <w:b/>
          <w:sz w:val="32"/>
          <w:szCs w:val="32"/>
        </w:rPr>
      </w:pPr>
      <w:r>
        <w:rPr>
          <w:rFonts w:ascii="方正仿宋_GBK" w:eastAsia="方正仿宋_GBK"/>
          <w:b/>
          <w:sz w:val="32"/>
          <w:szCs w:val="32"/>
        </w:rPr>
        <w:t>20</w:t>
      </w:r>
      <w:r>
        <w:rPr>
          <w:rFonts w:hint="eastAsia" w:ascii="方正仿宋_GBK" w:eastAsia="方正仿宋_GBK"/>
          <w:b/>
          <w:sz w:val="32"/>
          <w:szCs w:val="32"/>
        </w:rPr>
        <w:t>21年国有资本经营预算财政拨款支出0万元。</w:t>
      </w:r>
    </w:p>
    <w:p>
      <w:pPr>
        <w:spacing w:line="600" w:lineRule="exact"/>
        <w:ind w:firstLine="640" w:firstLineChars="200"/>
        <w:rPr>
          <w:rFonts w:ascii="方正仿宋_GBK" w:eastAsia="方正仿宋_GBK"/>
          <w:bCs/>
          <w:sz w:val="32"/>
          <w:szCs w:val="32"/>
        </w:rPr>
      </w:pPr>
      <w:bookmarkStart w:id="107" w:name="_Toc15396612"/>
      <w:bookmarkStart w:id="108" w:name="_Toc113478958"/>
      <w:bookmarkStart w:id="109" w:name="_Toc15377221"/>
      <w:r>
        <w:rPr>
          <w:rFonts w:hint="eastAsia" w:ascii="方正仿宋_GBK" w:eastAsia="方正仿宋_GBK"/>
          <w:bCs/>
          <w:sz w:val="32"/>
          <w:szCs w:val="32"/>
        </w:rPr>
        <w:t>其他重要事项的情况说明</w:t>
      </w:r>
      <w:bookmarkEnd w:id="107"/>
      <w:bookmarkEnd w:id="108"/>
      <w:bookmarkEnd w:id="109"/>
    </w:p>
    <w:p>
      <w:pPr>
        <w:spacing w:line="600" w:lineRule="exact"/>
        <w:ind w:firstLine="642" w:firstLineChars="200"/>
        <w:rPr>
          <w:rFonts w:ascii="方正仿宋_GBK" w:eastAsia="方正仿宋_GBK"/>
          <w:b/>
          <w:sz w:val="32"/>
          <w:szCs w:val="32"/>
        </w:rPr>
      </w:pPr>
      <w:bookmarkStart w:id="110" w:name="_Toc113478959"/>
      <w:bookmarkStart w:id="111" w:name="_Toc15377222"/>
      <w:r>
        <w:rPr>
          <w:rFonts w:hint="eastAsia" w:ascii="方正仿宋_GBK" w:eastAsia="方正仿宋_GBK"/>
          <w:b/>
          <w:sz w:val="32"/>
          <w:szCs w:val="32"/>
        </w:rPr>
        <w:t>（一）机关运行经费支出情况</w:t>
      </w:r>
      <w:bookmarkEnd w:id="110"/>
      <w:bookmarkEnd w:id="111"/>
    </w:p>
    <w:p>
      <w:pPr>
        <w:spacing w:line="600" w:lineRule="exact"/>
        <w:ind w:firstLine="640" w:firstLineChars="200"/>
        <w:rPr>
          <w:rFonts w:ascii="方正仿宋_GBK" w:eastAsia="方正仿宋_GBK"/>
          <w:bCs/>
          <w:sz w:val="32"/>
          <w:szCs w:val="32"/>
        </w:rPr>
      </w:pPr>
      <w:r>
        <w:rPr>
          <w:rFonts w:hint="eastAsia" w:ascii="方正仿宋_GBK" w:eastAsia="方正仿宋_GBK"/>
          <w:bCs/>
          <w:sz w:val="32"/>
          <w:szCs w:val="32"/>
        </w:rPr>
        <w:t>2021年，市委政法委机关运行经费支出68.03万元，比2020年减少26.79万元，下降28.25%。主要原因是21年财政资金压力大，支付受限，相关经费未支付。</w:t>
      </w:r>
    </w:p>
    <w:p>
      <w:pPr>
        <w:autoSpaceDE w:val="0"/>
        <w:autoSpaceDN w:val="0"/>
        <w:adjustRightInd w:val="0"/>
        <w:spacing w:line="600" w:lineRule="exact"/>
        <w:ind w:firstLine="642" w:firstLineChars="200"/>
        <w:jc w:val="left"/>
        <w:outlineLvl w:val="2"/>
        <w:rPr>
          <w:rFonts w:ascii="方正仿宋_GBK" w:hAnsi="仿宋" w:eastAsia="方正仿宋_GBK"/>
          <w:b/>
          <w:sz w:val="32"/>
          <w:szCs w:val="32"/>
        </w:rPr>
      </w:pPr>
      <w:bookmarkStart w:id="112" w:name="_Toc15377223"/>
      <w:bookmarkStart w:id="113" w:name="_Toc113480917"/>
      <w:bookmarkStart w:id="114" w:name="_Toc113479771"/>
      <w:bookmarkStart w:id="115" w:name="_Toc113478960"/>
      <w:r>
        <w:rPr>
          <w:rFonts w:hint="eastAsia" w:ascii="方正仿宋_GBK" w:hAnsi="仿宋" w:eastAsia="方正仿宋_GBK"/>
          <w:b/>
          <w:sz w:val="32"/>
          <w:szCs w:val="32"/>
        </w:rPr>
        <w:t>（二）政府采购支出情况</w:t>
      </w:r>
      <w:bookmarkEnd w:id="112"/>
      <w:bookmarkEnd w:id="113"/>
      <w:bookmarkEnd w:id="114"/>
      <w:bookmarkEnd w:id="115"/>
    </w:p>
    <w:p>
      <w:pPr>
        <w:spacing w:line="600" w:lineRule="exact"/>
        <w:ind w:firstLine="640" w:firstLineChars="200"/>
        <w:rPr>
          <w:rFonts w:ascii="方正仿宋_GBK" w:eastAsia="方正仿宋_GBK"/>
          <w:sz w:val="32"/>
          <w:szCs w:val="32"/>
        </w:rPr>
      </w:pPr>
      <w:r>
        <w:rPr>
          <w:rFonts w:hint="eastAsia" w:ascii="方正仿宋_GBK" w:eastAsia="方正仿宋_GBK"/>
          <w:sz w:val="32"/>
          <w:szCs w:val="32"/>
        </w:rPr>
        <w:t>2021年，市委政法委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autoSpaceDE w:val="0"/>
        <w:autoSpaceDN w:val="0"/>
        <w:adjustRightInd w:val="0"/>
        <w:spacing w:line="600" w:lineRule="exact"/>
        <w:ind w:firstLine="642" w:firstLineChars="200"/>
        <w:jc w:val="left"/>
        <w:outlineLvl w:val="2"/>
        <w:rPr>
          <w:rFonts w:ascii="方正仿宋_GBK" w:hAnsi="仿宋" w:eastAsia="方正仿宋_GBK"/>
          <w:b/>
          <w:sz w:val="32"/>
          <w:szCs w:val="32"/>
        </w:rPr>
      </w:pPr>
      <w:bookmarkStart w:id="116" w:name="_Toc113480918"/>
      <w:bookmarkStart w:id="117" w:name="_Toc113479772"/>
      <w:bookmarkStart w:id="118" w:name="_Toc113478961"/>
      <w:bookmarkStart w:id="119" w:name="_Toc15377224"/>
      <w:r>
        <w:rPr>
          <w:rFonts w:hint="eastAsia" w:ascii="方正仿宋_GBK" w:hAnsi="仿宋" w:eastAsia="方正仿宋_GBK"/>
          <w:b/>
          <w:sz w:val="32"/>
          <w:szCs w:val="32"/>
        </w:rPr>
        <w:t>（三）国有资产占有使用情况</w:t>
      </w:r>
      <w:bookmarkEnd w:id="116"/>
      <w:bookmarkEnd w:id="117"/>
      <w:bookmarkEnd w:id="118"/>
      <w:bookmarkEnd w:id="119"/>
    </w:p>
    <w:p>
      <w:pPr>
        <w:rPr>
          <w:rFonts w:ascii="方正仿宋_GBK" w:eastAsia="方正仿宋_GBK"/>
          <w:sz w:val="32"/>
          <w:szCs w:val="32"/>
        </w:rPr>
      </w:pPr>
      <w:r>
        <w:rPr>
          <w:rFonts w:hint="eastAsia" w:ascii="方正仿宋_GBK" w:eastAsia="方正仿宋_GBK"/>
          <w:sz w:val="32"/>
          <w:szCs w:val="32"/>
        </w:rPr>
        <w:t>截至2021年12月31日，</w:t>
      </w:r>
      <w:r>
        <w:rPr>
          <w:rFonts w:hint="eastAsia" w:ascii="方正仿宋_GBK" w:eastAsia="方正仿宋_GBK"/>
          <w:color w:val="000000"/>
          <w:sz w:val="32"/>
          <w:szCs w:val="32"/>
        </w:rPr>
        <w:t>市委政法委</w:t>
      </w:r>
      <w:r>
        <w:rPr>
          <w:rFonts w:hint="eastAsia" w:ascii="方正仿宋_GBK" w:eastAsia="方正仿宋_GBK"/>
          <w:sz w:val="32"/>
          <w:szCs w:val="32"/>
        </w:rPr>
        <w:t>共有车辆8辆，其中：主要领导干部用车0辆、机要通信用车0辆、应急保障用车8辆（其中有6辆已报废或拍卖未下账）、其他用车0辆，</w:t>
      </w:r>
      <w:r>
        <w:rPr>
          <w:rFonts w:hint="eastAsia" w:ascii="方正仿宋_GBK" w:eastAsia="方正仿宋_GBK"/>
          <w:color w:val="000000"/>
          <w:sz w:val="32"/>
          <w:szCs w:val="32"/>
        </w:rPr>
        <w:t>其他用车主要是用于市委政法委到基层单位开展检查、调研等工作用车</w:t>
      </w:r>
      <w:r>
        <w:rPr>
          <w:rFonts w:hint="eastAsia" w:ascii="方正仿宋_GBK" w:eastAsia="方正仿宋_GBK"/>
          <w:sz w:val="32"/>
          <w:szCs w:val="32"/>
        </w:rPr>
        <w:t>。单价50万元以上通用设备0台（套），单价100万元以上专用设备0台（套）。</w:t>
      </w:r>
    </w:p>
    <w:p>
      <w:pPr>
        <w:autoSpaceDE w:val="0"/>
        <w:autoSpaceDN w:val="0"/>
        <w:adjustRightInd w:val="0"/>
        <w:spacing w:line="600" w:lineRule="exact"/>
        <w:ind w:firstLine="642" w:firstLineChars="200"/>
        <w:jc w:val="left"/>
        <w:outlineLvl w:val="2"/>
        <w:rPr>
          <w:rFonts w:ascii="仿宋" w:hAnsi="仿宋" w:eastAsia="仿宋"/>
          <w:b/>
          <w:sz w:val="32"/>
          <w:szCs w:val="32"/>
        </w:rPr>
      </w:pPr>
      <w:bookmarkStart w:id="120" w:name="_Toc113479773"/>
      <w:bookmarkStart w:id="121" w:name="_Toc113480919"/>
      <w:bookmarkStart w:id="122" w:name="_Toc113478962"/>
      <w:r>
        <w:rPr>
          <w:rFonts w:hint="eastAsia" w:ascii="仿宋" w:hAnsi="仿宋" w:eastAsia="仿宋"/>
          <w:b/>
          <w:sz w:val="32"/>
          <w:szCs w:val="32"/>
        </w:rPr>
        <w:t>（四）预算绩效管理情况</w:t>
      </w:r>
      <w:bookmarkEnd w:id="120"/>
      <w:bookmarkEnd w:id="121"/>
      <w:bookmarkEnd w:id="122"/>
    </w:p>
    <w:p>
      <w:pPr>
        <w:spacing w:line="580" w:lineRule="exact"/>
        <w:ind w:firstLine="640" w:firstLineChars="200"/>
        <w:rPr>
          <w:rFonts w:ascii="方正仿宋_GBK" w:eastAsia="方正仿宋_GBK"/>
          <w:sz w:val="32"/>
          <w:szCs w:val="32"/>
        </w:rPr>
      </w:pPr>
      <w:r>
        <w:rPr>
          <w:rFonts w:hint="eastAsia" w:ascii="方正仿宋_GBK" w:eastAsia="方正仿宋_GBK"/>
          <w:sz w:val="32"/>
          <w:szCs w:val="32"/>
        </w:rPr>
        <w:t>根据预算绩效管理要求，本部门（单位）在年初预算编制阶段，组织对三电专项经费、业务运行经费、社会管理创新工作项目等11个开展了预算事前绩效评估，对11个项目编制了绩效目标，预算执行过程中，选取5个项目开展绩效监控，年终执行完毕后，对5个项目开展了绩效目标完成情况自评。</w:t>
      </w:r>
      <w:r>
        <w:rPr>
          <w:rFonts w:hint="eastAsia" w:ascii="方正仿宋_GBK" w:hAnsi="仿宋_GB2312" w:eastAsia="方正仿宋_GBK" w:cs="仿宋_GB2312"/>
          <w:sz w:val="32"/>
          <w:szCs w:val="32"/>
        </w:rPr>
        <w:t>同时，本部门对2021年部门整体开展绩效自评，《2021年市委政法委部门整体绩效评价报告》见附件（第四部分）。</w:t>
      </w:r>
    </w:p>
    <w:p>
      <w:pPr>
        <w:spacing w:line="580" w:lineRule="exact"/>
        <w:ind w:firstLine="640" w:firstLineChars="200"/>
        <w:rPr>
          <w:rFonts w:ascii="仿宋_GB2312" w:eastAsia="仿宋_GB2312"/>
          <w:sz w:val="32"/>
          <w:szCs w:val="32"/>
        </w:rPr>
      </w:pPr>
    </w:p>
    <w:p>
      <w:pPr>
        <w:pStyle w:val="2"/>
        <w:rPr>
          <w:rFonts w:ascii="仿宋_GB2312" w:eastAsia="仿宋_GB2312"/>
          <w:sz w:val="32"/>
          <w:szCs w:val="32"/>
        </w:rPr>
      </w:pPr>
    </w:p>
    <w:p>
      <w:pPr>
        <w:pStyle w:val="2"/>
        <w:rPr>
          <w:rFonts w:ascii="仿宋_GB2312" w:eastAsia="仿宋_GB2312"/>
          <w:sz w:val="32"/>
          <w:szCs w:val="32"/>
        </w:rPr>
      </w:pPr>
    </w:p>
    <w:p>
      <w:pPr>
        <w:pStyle w:val="2"/>
        <w:rPr>
          <w:rFonts w:ascii="仿宋_GB2312" w:eastAsia="仿宋_GB2312"/>
          <w:sz w:val="32"/>
          <w:szCs w:val="32"/>
        </w:rPr>
      </w:pPr>
    </w:p>
    <w:p>
      <w:pPr>
        <w:pStyle w:val="2"/>
        <w:rPr>
          <w:rFonts w:ascii="仿宋_GB2312" w:eastAsia="仿宋_GB2312"/>
          <w:sz w:val="32"/>
          <w:szCs w:val="32"/>
        </w:rPr>
      </w:pPr>
    </w:p>
    <w:p>
      <w:pPr>
        <w:pStyle w:val="2"/>
        <w:rPr>
          <w:rFonts w:ascii="仿宋_GB2312" w:eastAsia="仿宋_GB2312"/>
          <w:sz w:val="32"/>
          <w:szCs w:val="32"/>
        </w:rPr>
      </w:pPr>
    </w:p>
    <w:p>
      <w:pPr>
        <w:pStyle w:val="2"/>
        <w:rPr>
          <w:rFonts w:ascii="仿宋_GB2312" w:eastAsia="仿宋_GB2312"/>
          <w:sz w:val="32"/>
          <w:szCs w:val="32"/>
        </w:rPr>
      </w:pPr>
    </w:p>
    <w:p>
      <w:pPr>
        <w:spacing w:line="580" w:lineRule="exact"/>
        <w:ind w:firstLine="640" w:firstLineChars="200"/>
        <w:rPr>
          <w:rFonts w:ascii="仿宋_GB2312" w:eastAsia="仿宋_GB2312"/>
          <w:sz w:val="32"/>
          <w:szCs w:val="32"/>
        </w:rPr>
      </w:pPr>
    </w:p>
    <w:p>
      <w:pPr>
        <w:numPr>
          <w:ilvl w:val="0"/>
          <w:numId w:val="3"/>
        </w:numPr>
        <w:spacing w:line="600" w:lineRule="exact"/>
        <w:ind w:firstLine="660" w:firstLineChars="150"/>
        <w:jc w:val="center"/>
        <w:outlineLvl w:val="0"/>
        <w:rPr>
          <w:rStyle w:val="26"/>
          <w:rFonts w:ascii="黑体" w:hAnsi="黑体" w:eastAsia="黑体"/>
          <w:b w:val="0"/>
        </w:rPr>
      </w:pPr>
      <w:bookmarkStart w:id="123" w:name="_Toc113479774"/>
      <w:bookmarkStart w:id="124" w:name="_Toc113480920"/>
      <w:bookmarkStart w:id="125" w:name="_Toc15396613"/>
      <w:bookmarkStart w:id="126" w:name="_Toc15377225"/>
      <w:bookmarkStart w:id="127" w:name="_Toc113478963"/>
      <w:r>
        <w:rPr>
          <w:rFonts w:hint="eastAsia" w:ascii="黑体" w:hAnsi="黑体" w:eastAsia="黑体"/>
          <w:sz w:val="44"/>
          <w:szCs w:val="44"/>
        </w:rPr>
        <w:t>名</w:t>
      </w:r>
      <w:r>
        <w:rPr>
          <w:rStyle w:val="26"/>
          <w:rFonts w:hint="eastAsia" w:ascii="黑体" w:hAnsi="黑体" w:eastAsia="黑体"/>
          <w:b w:val="0"/>
        </w:rPr>
        <w:t>词解释</w:t>
      </w:r>
      <w:bookmarkEnd w:id="123"/>
      <w:bookmarkEnd w:id="124"/>
      <w:bookmarkEnd w:id="125"/>
      <w:bookmarkEnd w:id="126"/>
      <w:bookmarkEnd w:id="127"/>
    </w:p>
    <w:p>
      <w:pPr>
        <w:spacing w:line="600" w:lineRule="exact"/>
        <w:jc w:val="left"/>
        <w:rPr>
          <w:rFonts w:ascii="宋体"/>
          <w:b/>
          <w:sz w:val="44"/>
          <w:szCs w:val="44"/>
        </w:rPr>
      </w:pP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1.财政拨款收入：指单位从同级财政部门取得的财政预算资金。</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2.事业收入：指事业单位开展专业业务活动及辅助活动取得的收入。</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3.经营收入：指事业单位在专业业务活动及其辅助活动之外开展非独立核算经营活动取得的收入。</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 xml:space="preserve">4.其他收入：指单位取得的除上述收入以外的各项收入。 </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 xml:space="preserve">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 xml:space="preserve">6.年初结转和结余：指以前年度尚未完成、结转到本年按有关规定继续使用的资金。 </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7.结余分配：指事业单位按照事业单位会计制度的规定从非财政补助结余中分配的事业基金和职工福利基金等。</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8、年末结转和结余：指单位按有关规定结转到下年或以后年度继续使用的资金。</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9.一般公共服务（类）201商贸事务（款）13  招商引资08（项）用于招商引资、优化经济环境等方面支出。</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其他共产党事务支出（款）31：</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行政运行（01）项: 指行政单位（包括实行公务员管理的事业单位）的基本支出。</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一般行政管理事务（02）项：指行政单位未单独设置项级科目的其他项目支出。</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事业运行（50)项：指事业单位事业人员基本支出。</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10.公共安全（类）204其他公共安全支出（款）99：</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其他公共安全支出（99）：指其他用于其他公共安全的支出。</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 xml:space="preserve">11.社会保障和就业（类）行政事业单位离退休（款）  </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①、归口管理的行政单位离退休（01）: 指归口管理的行政单位（包括实行公务员管理的事业单位）开支的离退休支出。</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②、机关事业单位基本养老保险缴费支出（05）：指机关事业单位实施养老保险制度有单位缴纳的基本养老保险费支出。</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社会保障和就业（类）社会福利（款）</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①、儿童福利（01）: 指儿童福利方面的支出。</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12.城乡社区（类）212国有土地使用权出让收入安排的支出（款）08：</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土地开发支出（02）：反映地方政府用于前期土地开发性支出及前期土地开发相关的费用等支出。</w:t>
      </w:r>
    </w:p>
    <w:p>
      <w:pPr>
        <w:autoSpaceDE w:val="0"/>
        <w:autoSpaceDN w:val="0"/>
        <w:adjustRightInd w:val="0"/>
        <w:spacing w:line="600" w:lineRule="exact"/>
        <w:ind w:firstLine="640" w:firstLineChars="200"/>
        <w:jc w:val="left"/>
        <w:rPr>
          <w:rFonts w:ascii="方正仿宋_GBK" w:eastAsia="方正仿宋_GBK"/>
          <w:sz w:val="32"/>
          <w:szCs w:val="32"/>
        </w:rPr>
      </w:pPr>
      <w:r>
        <w:rPr>
          <w:rFonts w:hint="eastAsia" w:ascii="方正仿宋_GBK" w:eastAsia="方正仿宋_GBK"/>
          <w:sz w:val="32"/>
          <w:szCs w:val="32"/>
        </w:rPr>
        <w:t>13.住房保障支出221（类）住房改革支出02（款）住房公积金01（项）：指行政事业单位按人力资源和社会保障部、财政部规定的基本工资和津贴补贴以及规定比例为职工缴纳的住房公积金。</w:t>
      </w:r>
    </w:p>
    <w:p>
      <w:pPr>
        <w:ind w:firstLine="640" w:firstLineChars="200"/>
        <w:rPr>
          <w:rFonts w:ascii="方正仿宋_GBK" w:eastAsia="方正仿宋_GBK"/>
          <w:sz w:val="32"/>
          <w:szCs w:val="32"/>
        </w:rPr>
      </w:pPr>
      <w:r>
        <w:rPr>
          <w:rFonts w:hint="eastAsia" w:ascii="方正仿宋_GBK" w:eastAsia="方正仿宋_GBK"/>
          <w:sz w:val="32"/>
          <w:szCs w:val="32"/>
        </w:rPr>
        <w:t>14</w:t>
      </w:r>
      <w:r>
        <w:rPr>
          <w:rFonts w:ascii="方正仿宋_GBK" w:eastAsia="方正仿宋_GBK"/>
          <w:sz w:val="32"/>
          <w:szCs w:val="32"/>
        </w:rPr>
        <w:t>.</w:t>
      </w:r>
      <w:r>
        <w:rPr>
          <w:rFonts w:hint="eastAsia" w:ascii="方正仿宋_GBK" w:eastAsia="方正仿宋_GBK"/>
          <w:sz w:val="32"/>
          <w:szCs w:val="32"/>
        </w:rPr>
        <w:t>基本支出：指为保障机构正常运转、完成日常工作任务而发生的人员支出和公用支出。</w:t>
      </w:r>
    </w:p>
    <w:p>
      <w:pPr>
        <w:ind w:firstLine="640" w:firstLineChars="200"/>
        <w:rPr>
          <w:rFonts w:ascii="方正仿宋_GBK" w:eastAsia="方正仿宋_GBK"/>
          <w:sz w:val="32"/>
          <w:szCs w:val="32"/>
        </w:rPr>
      </w:pPr>
      <w:r>
        <w:rPr>
          <w:rFonts w:hint="eastAsia" w:ascii="方正仿宋_GBK" w:eastAsia="方正仿宋_GBK"/>
          <w:sz w:val="32"/>
          <w:szCs w:val="32"/>
        </w:rPr>
        <w:t>15</w:t>
      </w:r>
      <w:r>
        <w:rPr>
          <w:rFonts w:ascii="方正仿宋_GBK" w:eastAsia="方正仿宋_GBK"/>
          <w:sz w:val="32"/>
          <w:szCs w:val="32"/>
        </w:rPr>
        <w:t>.</w:t>
      </w:r>
      <w:r>
        <w:rPr>
          <w:rFonts w:hint="eastAsia" w:ascii="方正仿宋_GBK" w:eastAsia="方正仿宋_GBK"/>
          <w:sz w:val="32"/>
          <w:szCs w:val="32"/>
        </w:rPr>
        <w:t>项目支出：指在基本支出之外为完成特定行政任务和事业发展目标所发生的支出。</w:t>
      </w:r>
      <w:r>
        <w:rPr>
          <w:rFonts w:ascii="方正仿宋_GBK" w:eastAsia="方正仿宋_GBK"/>
          <w:sz w:val="32"/>
          <w:szCs w:val="32"/>
        </w:rPr>
        <w:t xml:space="preserve"> </w:t>
      </w:r>
    </w:p>
    <w:p>
      <w:pPr>
        <w:ind w:firstLine="640" w:firstLineChars="200"/>
        <w:rPr>
          <w:rFonts w:ascii="方正仿宋_GBK" w:eastAsia="方正仿宋_GBK"/>
          <w:sz w:val="32"/>
          <w:szCs w:val="32"/>
        </w:rPr>
      </w:pPr>
      <w:r>
        <w:rPr>
          <w:rFonts w:hint="eastAsia" w:ascii="方正仿宋_GBK" w:eastAsia="方正仿宋_GBK"/>
          <w:sz w:val="32"/>
          <w:szCs w:val="32"/>
        </w:rPr>
        <w:t>16</w:t>
      </w:r>
      <w:r>
        <w:rPr>
          <w:rFonts w:ascii="方正仿宋_GBK" w:eastAsia="方正仿宋_GBK"/>
          <w:sz w:val="32"/>
          <w:szCs w:val="32"/>
        </w:rPr>
        <w:t>.</w:t>
      </w:r>
      <w:r>
        <w:rPr>
          <w:rFonts w:hint="eastAsia" w:ascii="方正仿宋_GBK" w:eastAsia="方正仿宋_GBK"/>
          <w:sz w:val="32"/>
          <w:szCs w:val="32"/>
        </w:rPr>
        <w:t>经营支出：指事业单位在专业业务活动及其辅助活动之外开展非独立核算经营活动发生的支出。</w:t>
      </w:r>
    </w:p>
    <w:p>
      <w:pPr>
        <w:pStyle w:val="24"/>
        <w:spacing w:line="560" w:lineRule="exact"/>
        <w:ind w:firstLine="640" w:firstLineChars="200"/>
        <w:rPr>
          <w:rFonts w:ascii="方正仿宋_GBK" w:hAnsi="Times New Roman" w:eastAsia="方正仿宋_GBK" w:cs="Times New Roman"/>
          <w:color w:val="auto"/>
          <w:kern w:val="2"/>
          <w:sz w:val="32"/>
          <w:szCs w:val="32"/>
        </w:rPr>
      </w:pPr>
      <w:r>
        <w:rPr>
          <w:rFonts w:hint="eastAsia" w:ascii="方正仿宋_GBK" w:hAnsi="Times New Roman" w:eastAsia="方正仿宋_GBK" w:cs="Times New Roman"/>
          <w:color w:val="auto"/>
          <w:kern w:val="2"/>
          <w:sz w:val="32"/>
          <w:szCs w:val="32"/>
        </w:rPr>
        <w:t>17</w:t>
      </w:r>
      <w:r>
        <w:rPr>
          <w:rFonts w:ascii="方正仿宋_GBK" w:hAnsi="Times New Roman" w:eastAsia="方正仿宋_GBK" w:cs="Times New Roman"/>
          <w:color w:val="auto"/>
          <w:kern w:val="2"/>
          <w:sz w:val="32"/>
          <w:szCs w:val="32"/>
        </w:rPr>
        <w:t>.</w:t>
      </w:r>
      <w:r>
        <w:rPr>
          <w:rFonts w:hint="eastAsia" w:ascii="方正仿宋_GBK" w:hAnsi="Times New Roman" w:eastAsia="方正仿宋_GBK" w:cs="Times New Roman"/>
          <w:color w:val="auto"/>
          <w:kern w:val="2"/>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4"/>
        <w:spacing w:line="560" w:lineRule="exact"/>
        <w:ind w:firstLine="640" w:firstLineChars="200"/>
        <w:rPr>
          <w:rFonts w:hint="eastAsia" w:ascii="方正仿宋_GBK" w:hAnsi="Times New Roman" w:eastAsia="方正仿宋_GBK" w:cs="Times New Roman"/>
          <w:color w:val="auto"/>
          <w:kern w:val="2"/>
          <w:sz w:val="32"/>
          <w:szCs w:val="32"/>
        </w:rPr>
      </w:pPr>
      <w:r>
        <w:rPr>
          <w:rFonts w:hint="eastAsia" w:ascii="方正仿宋_GBK" w:hAnsi="Times New Roman" w:eastAsia="方正仿宋_GBK" w:cs="Times New Roman"/>
          <w:color w:val="auto"/>
          <w:kern w:val="2"/>
          <w:sz w:val="32"/>
          <w:szCs w:val="32"/>
        </w:rPr>
        <w:t>18</w:t>
      </w:r>
      <w:r>
        <w:rPr>
          <w:rFonts w:ascii="方正仿宋_GBK" w:hAnsi="Times New Roman" w:eastAsia="方正仿宋_GBK" w:cs="Times New Roman"/>
          <w:color w:val="auto"/>
          <w:kern w:val="2"/>
          <w:sz w:val="32"/>
          <w:szCs w:val="32"/>
        </w:rPr>
        <w:t>.</w:t>
      </w:r>
      <w:r>
        <w:rPr>
          <w:rFonts w:hint="eastAsia" w:ascii="方正仿宋_GBK" w:hAnsi="Times New Roman" w:eastAsia="方正仿宋_GBK" w:cs="Times New Roman"/>
          <w:color w:val="auto"/>
          <w:kern w:val="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4"/>
        <w:spacing w:line="560" w:lineRule="exact"/>
        <w:ind w:firstLine="640" w:firstLineChars="200"/>
        <w:rPr>
          <w:rFonts w:hint="eastAsia" w:ascii="方正仿宋_GBK" w:hAnsi="Times New Roman" w:eastAsia="方正仿宋_GBK" w:cs="Times New Roman"/>
          <w:color w:val="auto"/>
          <w:kern w:val="2"/>
          <w:sz w:val="32"/>
          <w:szCs w:val="32"/>
        </w:rPr>
      </w:pPr>
    </w:p>
    <w:p>
      <w:pPr>
        <w:pStyle w:val="24"/>
        <w:spacing w:line="560" w:lineRule="exact"/>
        <w:ind w:firstLine="640" w:firstLineChars="200"/>
        <w:rPr>
          <w:rFonts w:hint="eastAsia" w:ascii="方正仿宋_GBK" w:hAnsi="Times New Roman" w:eastAsia="方正仿宋_GBK" w:cs="Times New Roman"/>
          <w:color w:val="auto"/>
          <w:kern w:val="2"/>
          <w:sz w:val="32"/>
          <w:szCs w:val="32"/>
        </w:rPr>
      </w:pPr>
    </w:p>
    <w:p>
      <w:pPr>
        <w:pStyle w:val="3"/>
        <w:jc w:val="center"/>
        <w:rPr>
          <w:rFonts w:ascii="方正黑体_GBK" w:eastAsia="方正黑体_GBK"/>
          <w:sz w:val="32"/>
          <w:szCs w:val="32"/>
        </w:rPr>
      </w:pPr>
      <w:bookmarkStart w:id="128" w:name="_Toc15377226"/>
      <w:r>
        <w:rPr>
          <w:rFonts w:ascii="宋体"/>
        </w:rPr>
        <w:br w:type="page"/>
      </w:r>
      <w:bookmarkStart w:id="129" w:name="_Toc113480921"/>
      <w:bookmarkStart w:id="130" w:name="_Toc113478964"/>
      <w:bookmarkStart w:id="131" w:name="_Toc113479775"/>
      <w:bookmarkStart w:id="132" w:name="_Toc15396614"/>
      <w:bookmarkStart w:id="133" w:name="_Toc15396618"/>
      <w:r>
        <w:rPr>
          <w:rFonts w:hint="eastAsia" w:ascii="方正黑体_GBK" w:eastAsia="方正黑体_GBK"/>
          <w:sz w:val="32"/>
          <w:szCs w:val="32"/>
        </w:rPr>
        <w:t>第四部分 附件</w:t>
      </w:r>
      <w:bookmarkEnd w:id="129"/>
      <w:bookmarkEnd w:id="130"/>
      <w:bookmarkEnd w:id="131"/>
      <w:bookmarkEnd w:id="132"/>
    </w:p>
    <w:p>
      <w:pPr>
        <w:rPr>
          <w:rFonts w:ascii="方正黑体_GBK" w:hAnsi="方正小标宋简体" w:eastAsia="方正黑体_GBK" w:cs="方正小标宋简体"/>
          <w:sz w:val="32"/>
          <w:szCs w:val="32"/>
        </w:rPr>
      </w:pPr>
      <w:bookmarkStart w:id="134" w:name="_Toc113478965"/>
      <w:bookmarkStart w:id="135" w:name="_Toc113479776"/>
      <w:r>
        <w:rPr>
          <w:rFonts w:hint="eastAsia" w:ascii="方正黑体_GBK" w:eastAsia="方正黑体_GBK"/>
          <w:sz w:val="32"/>
          <w:szCs w:val="32"/>
        </w:rPr>
        <w:t>附件</w:t>
      </w:r>
      <w:bookmarkEnd w:id="134"/>
      <w:bookmarkEnd w:id="135"/>
    </w:p>
    <w:p>
      <w:pPr>
        <w:spacing w:line="572" w:lineRule="exact"/>
        <w:jc w:val="center"/>
        <w:rPr>
          <w:rFonts w:ascii="方正小标宋简体" w:hAnsi="宋体" w:eastAsia="方正小标宋简体"/>
          <w:kern w:val="0"/>
          <w:sz w:val="40"/>
          <w:szCs w:val="44"/>
          <w:lang w:val="zh-CN"/>
        </w:rPr>
      </w:pPr>
      <w:r>
        <w:rPr>
          <w:rFonts w:hint="eastAsia" w:ascii="方正小标宋简体" w:hAnsi="宋体" w:eastAsia="方正小标宋简体"/>
          <w:kern w:val="0"/>
          <w:sz w:val="40"/>
          <w:szCs w:val="44"/>
        </w:rPr>
        <w:t>2021年市委政法委部门整体绩效评价报告</w:t>
      </w:r>
    </w:p>
    <w:p>
      <w:pPr>
        <w:widowControl/>
        <w:adjustRightInd w:val="0"/>
        <w:snapToGrid w:val="0"/>
        <w:spacing w:line="572" w:lineRule="exact"/>
        <w:ind w:firstLine="640" w:firstLineChars="200"/>
        <w:contextualSpacing/>
        <w:jc w:val="left"/>
        <w:rPr>
          <w:rFonts w:ascii="黑体" w:hAnsi="宋体" w:eastAsia="黑体" w:cs="宋体"/>
          <w:kern w:val="0"/>
          <w:sz w:val="32"/>
          <w:szCs w:val="32"/>
          <w:shd w:val="clear" w:color="auto" w:fill="FFFFFF"/>
          <w:lang w:val="zh-CN"/>
        </w:rPr>
      </w:pPr>
      <w:r>
        <w:rPr>
          <w:rFonts w:hint="eastAsia" w:ascii="仿宋_GB2312" w:eastAsia="仿宋_GB2312"/>
          <w:sz w:val="32"/>
          <w:szCs w:val="32"/>
        </w:rPr>
        <w:t>一、部门（单位）概况</w:t>
      </w:r>
    </w:p>
    <w:p>
      <w:pPr>
        <w:widowControl/>
        <w:adjustRightInd w:val="0"/>
        <w:snapToGrid w:val="0"/>
        <w:spacing w:line="572" w:lineRule="exact"/>
        <w:ind w:firstLine="640" w:firstLineChars="200"/>
        <w:contextualSpacing/>
        <w:jc w:val="left"/>
        <w:rPr>
          <w:rFonts w:ascii="仿宋_GB2312" w:eastAsia="仿宋_GB2312"/>
          <w:sz w:val="32"/>
          <w:szCs w:val="32"/>
        </w:rPr>
      </w:pPr>
      <w:r>
        <w:rPr>
          <w:rFonts w:hint="eastAsia" w:ascii="仿宋_GB2312" w:eastAsia="仿宋_GB2312"/>
          <w:sz w:val="32"/>
          <w:szCs w:val="32"/>
        </w:rPr>
        <w:t>（一）机构组成。</w:t>
      </w:r>
    </w:p>
    <w:p>
      <w:pPr>
        <w:pStyle w:val="2"/>
        <w:adjustRightInd w:val="0"/>
        <w:snapToGrid w:val="0"/>
        <w:spacing w:before="93" w:line="600" w:lineRule="exact"/>
        <w:ind w:firstLine="672" w:firstLineChars="210"/>
        <w:rPr>
          <w:rFonts w:ascii="方正仿宋_GBK" w:eastAsia="方正仿宋_GBK"/>
          <w:kern w:val="2"/>
          <w:sz w:val="32"/>
          <w:szCs w:val="32"/>
        </w:rPr>
      </w:pPr>
      <w:r>
        <w:rPr>
          <w:rFonts w:hint="eastAsia" w:ascii="方正仿宋_GBK" w:eastAsia="方正仿宋_GBK"/>
          <w:kern w:val="2"/>
          <w:sz w:val="32"/>
          <w:szCs w:val="32"/>
        </w:rPr>
        <w:t>政法委下设办公室、政策研究科、维稳指导科等10个科室。下属事业单位1个（市综治中心），代管事业单位1个市法学会。无独立核算下属单位。</w:t>
      </w:r>
    </w:p>
    <w:p>
      <w:pPr>
        <w:widowControl/>
        <w:adjustRightInd w:val="0"/>
        <w:snapToGrid w:val="0"/>
        <w:spacing w:line="572" w:lineRule="exact"/>
        <w:ind w:firstLine="640" w:firstLineChars="200"/>
        <w:contextualSpacing/>
        <w:jc w:val="left"/>
        <w:rPr>
          <w:rFonts w:ascii="仿宋_GB2312" w:eastAsia="仿宋_GB2312"/>
          <w:sz w:val="32"/>
          <w:szCs w:val="32"/>
        </w:rPr>
      </w:pPr>
      <w:r>
        <w:rPr>
          <w:rFonts w:hint="eastAsia" w:ascii="仿宋_GB2312" w:eastAsia="仿宋_GB2312"/>
          <w:sz w:val="32"/>
          <w:szCs w:val="32"/>
        </w:rPr>
        <w:t>（二）机构职能。</w:t>
      </w:r>
    </w:p>
    <w:p>
      <w:pPr>
        <w:pStyle w:val="2"/>
        <w:adjustRightInd w:val="0"/>
        <w:snapToGrid w:val="0"/>
        <w:spacing w:before="93" w:line="600" w:lineRule="exact"/>
        <w:ind w:firstLine="672" w:firstLineChars="210"/>
        <w:rPr>
          <w:rFonts w:ascii="方正仿宋_GBK" w:eastAsia="方正仿宋_GBK"/>
          <w:kern w:val="2"/>
          <w:sz w:val="32"/>
          <w:szCs w:val="32"/>
        </w:rPr>
      </w:pPr>
      <w:r>
        <w:rPr>
          <w:rFonts w:hint="eastAsia" w:ascii="方正仿宋_GBK" w:eastAsia="方正仿宋_GBK"/>
          <w:kern w:val="2"/>
          <w:sz w:val="32"/>
          <w:szCs w:val="32"/>
        </w:rPr>
        <w:t>市委政法委是市委领导政法工作的职能部门，具有监督指导政法各部门严格行使职权，指导协调全市维护社会稳定工作，负责对“法轮功”及其他邪教组织的调查处理，指导协调全市社会治安综合治理工作，研究加强政法队伍建设，协助市委和市委组织部考察、管理政法部门领导干部等职能。代管攀枝花市法学会。</w:t>
      </w:r>
    </w:p>
    <w:p>
      <w:pPr>
        <w:spacing w:line="560" w:lineRule="exact"/>
        <w:ind w:firstLine="588"/>
        <w:rPr>
          <w:rFonts w:ascii="仿宋_GB2312" w:eastAsia="仿宋_GB2312"/>
          <w:sz w:val="32"/>
          <w:szCs w:val="32"/>
        </w:rPr>
      </w:pPr>
      <w:r>
        <w:rPr>
          <w:rFonts w:hint="eastAsia" w:ascii="仿宋_GB2312" w:eastAsia="仿宋_GB2312"/>
          <w:sz w:val="32"/>
          <w:szCs w:val="32"/>
        </w:rPr>
        <w:t>（三）人员概况。</w:t>
      </w:r>
    </w:p>
    <w:p>
      <w:pPr>
        <w:pStyle w:val="2"/>
        <w:adjustRightInd w:val="0"/>
        <w:snapToGrid w:val="0"/>
        <w:spacing w:before="93" w:line="600" w:lineRule="exact"/>
        <w:ind w:firstLine="672" w:firstLineChars="210"/>
        <w:rPr>
          <w:rFonts w:ascii="方正仿宋_GBK" w:eastAsia="方正仿宋_GBK"/>
          <w:kern w:val="2"/>
          <w:sz w:val="32"/>
          <w:szCs w:val="32"/>
        </w:rPr>
      </w:pPr>
      <w:r>
        <w:rPr>
          <w:rFonts w:hint="eastAsia" w:ascii="方正仿宋_GBK" w:eastAsia="方正仿宋_GBK"/>
          <w:kern w:val="2"/>
          <w:sz w:val="32"/>
          <w:szCs w:val="32"/>
        </w:rPr>
        <w:t>单位年末实有人数共38人，其中公务员26人，工勤人员4，事业员4人，其他4人。</w:t>
      </w:r>
    </w:p>
    <w:p>
      <w:pPr>
        <w:widowControl/>
        <w:adjustRightInd w:val="0"/>
        <w:snapToGrid w:val="0"/>
        <w:spacing w:line="572" w:lineRule="exact"/>
        <w:ind w:firstLine="640" w:firstLineChars="200"/>
        <w:contextualSpacing/>
        <w:jc w:val="left"/>
        <w:rPr>
          <w:rFonts w:ascii="仿宋_GB2312" w:eastAsia="仿宋_GB2312"/>
          <w:sz w:val="32"/>
          <w:szCs w:val="32"/>
        </w:rPr>
      </w:pPr>
      <w:r>
        <w:rPr>
          <w:rFonts w:hint="eastAsia" w:ascii="仿宋_GB2312" w:eastAsia="仿宋_GB2312"/>
          <w:sz w:val="32"/>
          <w:szCs w:val="32"/>
        </w:rPr>
        <w:t>二、部门财政资金收支情况</w:t>
      </w:r>
    </w:p>
    <w:p>
      <w:pPr>
        <w:widowControl/>
        <w:adjustRightInd w:val="0"/>
        <w:snapToGrid w:val="0"/>
        <w:spacing w:line="572" w:lineRule="exact"/>
        <w:ind w:firstLine="640" w:firstLineChars="200"/>
        <w:contextualSpacing/>
        <w:jc w:val="left"/>
        <w:rPr>
          <w:rFonts w:ascii="仿宋_GB2312" w:eastAsia="仿宋_GB2312"/>
          <w:sz w:val="32"/>
          <w:szCs w:val="32"/>
        </w:rPr>
      </w:pPr>
      <w:r>
        <w:rPr>
          <w:rFonts w:hint="eastAsia" w:ascii="仿宋_GB2312" w:eastAsia="仿宋_GB2312"/>
          <w:sz w:val="32"/>
          <w:szCs w:val="32"/>
        </w:rPr>
        <w:t>（一）部门财政资金收入情况。</w:t>
      </w:r>
    </w:p>
    <w:p>
      <w:pPr>
        <w:pStyle w:val="2"/>
        <w:adjustRightInd w:val="0"/>
        <w:snapToGrid w:val="0"/>
        <w:spacing w:before="93" w:line="600" w:lineRule="exact"/>
        <w:ind w:firstLine="672" w:firstLineChars="210"/>
        <w:rPr>
          <w:rFonts w:ascii="方正仿宋_GBK" w:eastAsia="方正仿宋_GBK"/>
          <w:kern w:val="2"/>
          <w:sz w:val="32"/>
          <w:szCs w:val="32"/>
        </w:rPr>
      </w:pPr>
      <w:r>
        <w:rPr>
          <w:rFonts w:hint="eastAsia" w:ascii="方正仿宋_GBK" w:eastAsia="方正仿宋_GBK"/>
          <w:kern w:val="2"/>
          <w:sz w:val="32"/>
          <w:szCs w:val="32"/>
        </w:rPr>
        <w:t>2021年本年收入合计959.13万元，其中：一般公共预算财政拨款收入954.13万元，占99.48%；政府性基金预算财政拨款收入5万元，占0.52%。</w:t>
      </w:r>
    </w:p>
    <w:p>
      <w:pPr>
        <w:widowControl/>
        <w:adjustRightInd w:val="0"/>
        <w:snapToGrid w:val="0"/>
        <w:spacing w:line="572" w:lineRule="exact"/>
        <w:ind w:firstLine="640" w:firstLineChars="200"/>
        <w:contextualSpacing/>
        <w:jc w:val="left"/>
        <w:rPr>
          <w:rFonts w:ascii="仿宋_GB2312" w:eastAsia="仿宋_GB2312"/>
          <w:sz w:val="32"/>
          <w:szCs w:val="32"/>
        </w:rPr>
      </w:pPr>
      <w:r>
        <w:rPr>
          <w:rFonts w:hint="eastAsia" w:ascii="仿宋_GB2312" w:eastAsia="仿宋_GB2312"/>
          <w:sz w:val="32"/>
          <w:szCs w:val="32"/>
        </w:rPr>
        <w:t>（二）部门财政资金支出情况。</w:t>
      </w:r>
    </w:p>
    <w:p>
      <w:pPr>
        <w:pStyle w:val="2"/>
        <w:adjustRightInd w:val="0"/>
        <w:snapToGrid w:val="0"/>
        <w:spacing w:before="93" w:line="600" w:lineRule="exact"/>
        <w:ind w:firstLine="672" w:firstLineChars="210"/>
        <w:rPr>
          <w:rFonts w:ascii="方正仿宋_GBK" w:eastAsia="方正仿宋_GBK"/>
          <w:kern w:val="2"/>
          <w:sz w:val="32"/>
          <w:szCs w:val="32"/>
        </w:rPr>
      </w:pPr>
      <w:r>
        <w:rPr>
          <w:rFonts w:hint="eastAsia" w:ascii="方正仿宋_GBK" w:eastAsia="方正仿宋_GBK"/>
          <w:kern w:val="2"/>
          <w:sz w:val="32"/>
          <w:szCs w:val="32"/>
        </w:rPr>
        <w:t>2021年支出983.19万元，比上年减少5306.91万元， 减少539.76%。</w:t>
      </w:r>
    </w:p>
    <w:p>
      <w:pPr>
        <w:pStyle w:val="2"/>
        <w:adjustRightInd w:val="0"/>
        <w:snapToGrid w:val="0"/>
        <w:spacing w:before="93" w:line="600" w:lineRule="exact"/>
        <w:ind w:firstLine="672" w:firstLineChars="210"/>
        <w:rPr>
          <w:rFonts w:ascii="方正仿宋_GBK" w:eastAsia="方正仿宋_GBK"/>
          <w:kern w:val="2"/>
          <w:sz w:val="32"/>
          <w:szCs w:val="32"/>
        </w:rPr>
      </w:pPr>
      <w:r>
        <w:rPr>
          <w:rFonts w:hint="eastAsia" w:ascii="方正仿宋_GBK" w:eastAsia="方正仿宋_GBK"/>
          <w:kern w:val="2"/>
          <w:sz w:val="32"/>
          <w:szCs w:val="32"/>
        </w:rPr>
        <w:t>2021年本年支出合计983.19万元，其中：基本支出872.56万元，占88.75%；项目支出110.63万元，占11.25%。</w:t>
      </w:r>
    </w:p>
    <w:p>
      <w:pPr>
        <w:widowControl/>
        <w:adjustRightInd w:val="0"/>
        <w:snapToGrid w:val="0"/>
        <w:spacing w:line="572" w:lineRule="exact"/>
        <w:ind w:firstLine="640" w:firstLineChars="200"/>
        <w:contextualSpacing/>
        <w:jc w:val="left"/>
        <w:rPr>
          <w:rFonts w:ascii="仿宋_GB2312" w:eastAsia="仿宋_GB2312"/>
          <w:sz w:val="32"/>
          <w:szCs w:val="32"/>
        </w:rPr>
      </w:pPr>
      <w:r>
        <w:rPr>
          <w:rFonts w:hint="eastAsia" w:ascii="仿宋_GB2312" w:eastAsia="仿宋_GB2312"/>
          <w:sz w:val="32"/>
          <w:szCs w:val="32"/>
        </w:rPr>
        <w:t>三、部门整体预算绩效管理情况</w:t>
      </w:r>
    </w:p>
    <w:p>
      <w:pPr>
        <w:widowControl/>
        <w:adjustRightInd w:val="0"/>
        <w:snapToGrid w:val="0"/>
        <w:spacing w:line="572" w:lineRule="exact"/>
        <w:ind w:firstLine="640" w:firstLineChars="200"/>
        <w:contextualSpacing/>
        <w:jc w:val="left"/>
        <w:rPr>
          <w:rFonts w:ascii="仿宋_GB2312" w:eastAsia="仿宋_GB2312"/>
          <w:sz w:val="32"/>
          <w:szCs w:val="32"/>
        </w:rPr>
      </w:pPr>
      <w:r>
        <w:rPr>
          <w:rFonts w:hint="eastAsia" w:ascii="仿宋_GB2312" w:eastAsia="仿宋_GB2312"/>
          <w:sz w:val="32"/>
          <w:szCs w:val="32"/>
        </w:rPr>
        <w:t>（一）部门预算项目绩效管理。</w:t>
      </w:r>
    </w:p>
    <w:p>
      <w:pPr>
        <w:pStyle w:val="2"/>
        <w:adjustRightInd w:val="0"/>
        <w:snapToGrid w:val="0"/>
        <w:spacing w:before="93" w:line="600" w:lineRule="exact"/>
        <w:ind w:firstLine="672" w:firstLineChars="210"/>
        <w:rPr>
          <w:rFonts w:ascii="方正仿宋_GBK" w:eastAsia="方正仿宋_GBK"/>
          <w:kern w:val="2"/>
          <w:sz w:val="32"/>
          <w:szCs w:val="32"/>
        </w:rPr>
      </w:pPr>
      <w:r>
        <w:rPr>
          <w:rFonts w:hint="eastAsia" w:ascii="方正仿宋_GBK" w:eastAsia="方正仿宋_GBK"/>
          <w:kern w:val="2"/>
          <w:sz w:val="32"/>
          <w:szCs w:val="32"/>
        </w:rPr>
        <w:t>依据部门所要实现的总体绩效目标，结合部门的各项具体工作职责，将其转化为具体的工作任务，确定每项工作任务预计要达到的产出和效果，并从中总结提炼出最能反映工作任务实现程度的关键性指标，确定2021年部门整体绩效目标，并按要求提交本级财政部门进行审核。</w:t>
      </w:r>
    </w:p>
    <w:p>
      <w:pPr>
        <w:widowControl/>
        <w:adjustRightInd w:val="0"/>
        <w:snapToGrid w:val="0"/>
        <w:spacing w:line="572" w:lineRule="exact"/>
        <w:ind w:firstLine="640" w:firstLineChars="200"/>
        <w:contextualSpacing/>
        <w:jc w:val="left"/>
        <w:rPr>
          <w:rFonts w:ascii="仿宋_GB2312" w:eastAsia="仿宋_GB2312"/>
          <w:sz w:val="32"/>
          <w:szCs w:val="32"/>
        </w:rPr>
      </w:pPr>
      <w:r>
        <w:rPr>
          <w:rFonts w:hint="eastAsia" w:ascii="仿宋_GB2312" w:eastAsia="仿宋_GB2312"/>
          <w:sz w:val="32"/>
          <w:szCs w:val="32"/>
        </w:rPr>
        <w:t>（二）结果应用情况。</w:t>
      </w:r>
    </w:p>
    <w:p>
      <w:pPr>
        <w:pStyle w:val="2"/>
        <w:adjustRightInd w:val="0"/>
        <w:snapToGrid w:val="0"/>
        <w:spacing w:before="93" w:line="600" w:lineRule="exact"/>
        <w:ind w:firstLine="672" w:firstLineChars="210"/>
        <w:rPr>
          <w:rFonts w:ascii="方正仿宋_GBK" w:eastAsia="方正仿宋_GBK"/>
          <w:kern w:val="2"/>
          <w:sz w:val="32"/>
          <w:szCs w:val="32"/>
        </w:rPr>
      </w:pPr>
      <w:r>
        <w:rPr>
          <w:rFonts w:hint="eastAsia" w:ascii="方正仿宋_GBK" w:eastAsia="方正仿宋_GBK"/>
          <w:kern w:val="2"/>
          <w:sz w:val="32"/>
          <w:szCs w:val="32"/>
        </w:rPr>
        <w:t>绩效自评对全年工作目标起到积极的促进作用。强调部门目标的层层分解与传递以明确岗位职责提高执行力，为明年的工作开展及实施奠定坚实的基础。我单位将绩效自评结果运用到下一年工作的统筹安排、项目资金划拨及按照工作任务的重要性来明确资金使用上，以提高工作效率保质保量完成市委市政府交代的各项工作。</w:t>
      </w:r>
    </w:p>
    <w:p>
      <w:pPr>
        <w:widowControl/>
        <w:adjustRightInd w:val="0"/>
        <w:snapToGrid w:val="0"/>
        <w:spacing w:line="572" w:lineRule="exact"/>
        <w:ind w:firstLine="640" w:firstLineChars="200"/>
        <w:contextualSpacing/>
        <w:jc w:val="left"/>
        <w:rPr>
          <w:rFonts w:ascii="仿宋_GB2312" w:eastAsia="仿宋_GB2312"/>
          <w:sz w:val="32"/>
          <w:szCs w:val="32"/>
        </w:rPr>
      </w:pPr>
      <w:r>
        <w:rPr>
          <w:rFonts w:hint="eastAsia" w:ascii="仿宋_GB2312" w:eastAsia="仿宋_GB2312"/>
          <w:sz w:val="32"/>
          <w:szCs w:val="32"/>
        </w:rPr>
        <w:t>四、评价结论及建议</w:t>
      </w:r>
    </w:p>
    <w:p>
      <w:pPr>
        <w:widowControl/>
        <w:adjustRightInd w:val="0"/>
        <w:snapToGrid w:val="0"/>
        <w:spacing w:line="572" w:lineRule="exact"/>
        <w:ind w:firstLine="640" w:firstLineChars="200"/>
        <w:contextualSpacing/>
        <w:jc w:val="left"/>
        <w:rPr>
          <w:rFonts w:ascii="仿宋_GB2312" w:eastAsia="仿宋_GB2312"/>
          <w:sz w:val="32"/>
          <w:szCs w:val="32"/>
        </w:rPr>
      </w:pPr>
      <w:r>
        <w:rPr>
          <w:rFonts w:hint="eastAsia" w:ascii="仿宋_GB2312" w:eastAsia="仿宋_GB2312"/>
          <w:sz w:val="32"/>
          <w:szCs w:val="32"/>
        </w:rPr>
        <w:t>（一）评价结论。</w:t>
      </w:r>
    </w:p>
    <w:p>
      <w:pPr>
        <w:pStyle w:val="2"/>
        <w:adjustRightInd w:val="0"/>
        <w:snapToGrid w:val="0"/>
        <w:spacing w:before="93" w:line="600" w:lineRule="exact"/>
        <w:ind w:firstLine="672" w:firstLineChars="210"/>
        <w:rPr>
          <w:rFonts w:ascii="方正仿宋_GBK" w:eastAsia="方正仿宋_GBK"/>
          <w:kern w:val="2"/>
          <w:sz w:val="32"/>
          <w:szCs w:val="32"/>
        </w:rPr>
      </w:pPr>
      <w:r>
        <w:rPr>
          <w:rFonts w:hint="eastAsia" w:ascii="方正仿宋_GBK" w:eastAsia="方正仿宋_GBK"/>
          <w:kern w:val="2"/>
          <w:sz w:val="32"/>
          <w:szCs w:val="32"/>
        </w:rPr>
        <w:t>按照预算绩效管理要求，本部门对2021年整体支出开展绩效自评，自评得分95分，各项目标任务，省委下达各项保证目标均超额完成，未发生在全国全省有影响的重大群体性事件和社会治安案件，暴力恐怖事件，综治、维稳、防邪等主要工作均排名全省前列，群众安全感、满意度达90%以上。</w:t>
      </w:r>
    </w:p>
    <w:p>
      <w:pPr>
        <w:pStyle w:val="2"/>
        <w:adjustRightInd w:val="0"/>
        <w:snapToGrid w:val="0"/>
        <w:spacing w:before="93" w:line="600" w:lineRule="exact"/>
        <w:ind w:firstLine="672" w:firstLineChars="210"/>
        <w:rPr>
          <w:sz w:val="32"/>
          <w:szCs w:val="32"/>
        </w:rPr>
      </w:pPr>
      <w:r>
        <w:rPr>
          <w:rFonts w:hint="eastAsia" w:ascii="方正仿宋_GBK" w:eastAsia="方正仿宋_GBK"/>
          <w:kern w:val="2"/>
          <w:sz w:val="32"/>
          <w:szCs w:val="32"/>
        </w:rPr>
        <w:t>（二）</w:t>
      </w:r>
      <w:r>
        <w:rPr>
          <w:rFonts w:hint="eastAsia"/>
          <w:sz w:val="32"/>
          <w:szCs w:val="32"/>
        </w:rPr>
        <w:t>存在问题。</w:t>
      </w:r>
    </w:p>
    <w:p>
      <w:pPr>
        <w:spacing w:line="600" w:lineRule="atLeast"/>
        <w:ind w:firstLine="640" w:firstLineChars="200"/>
        <w:rPr>
          <w:rFonts w:ascii="方正仿宋_GBK" w:eastAsia="方正仿宋_GBK"/>
          <w:sz w:val="32"/>
          <w:szCs w:val="32"/>
        </w:rPr>
      </w:pPr>
      <w:r>
        <w:rPr>
          <w:rFonts w:hint="eastAsia" w:ascii="方正仿宋_GBK" w:eastAsia="方正仿宋_GBK"/>
          <w:sz w:val="32"/>
          <w:szCs w:val="32"/>
        </w:rPr>
        <w:t>一是财务制度管理还不够健全，二是固定资产管理存在报废资产申报不够及时，三是财务人员教育培训还需经一部提高，四是财政资金下达后执行进度还不够迅速。</w:t>
      </w:r>
    </w:p>
    <w:p>
      <w:pPr>
        <w:widowControl/>
        <w:adjustRightInd w:val="0"/>
        <w:snapToGrid w:val="0"/>
        <w:spacing w:line="572" w:lineRule="exact"/>
        <w:ind w:firstLine="640" w:firstLineChars="200"/>
        <w:contextualSpacing/>
        <w:jc w:val="left"/>
        <w:rPr>
          <w:rFonts w:ascii="仿宋_GB2312" w:eastAsia="仿宋_GB2312"/>
          <w:sz w:val="32"/>
          <w:szCs w:val="32"/>
        </w:rPr>
      </w:pPr>
      <w:r>
        <w:rPr>
          <w:rFonts w:hint="eastAsia" w:ascii="仿宋_GB2312" w:eastAsia="仿宋_GB2312"/>
          <w:sz w:val="32"/>
          <w:szCs w:val="32"/>
        </w:rPr>
        <w:t>（三）改进建议。</w:t>
      </w:r>
    </w:p>
    <w:p>
      <w:pPr>
        <w:spacing w:line="600" w:lineRule="atLeast"/>
        <w:ind w:firstLine="640" w:firstLineChars="200"/>
        <w:rPr>
          <w:rFonts w:ascii="方正仿宋_GBK" w:eastAsia="方正仿宋_GBK"/>
          <w:sz w:val="32"/>
          <w:szCs w:val="32"/>
        </w:rPr>
      </w:pPr>
      <w:r>
        <w:rPr>
          <w:rFonts w:hint="eastAsia" w:ascii="方正仿宋_GBK" w:eastAsia="方正仿宋_GBK"/>
          <w:sz w:val="32"/>
          <w:szCs w:val="32"/>
        </w:rPr>
        <w:t>进一步加强财务人员业务培训，健全财务规章制度，完善内部控制，加强资产管理工作，对应报废资产及时处置，加强财政资金的执行进度管理工作。</w:t>
      </w:r>
    </w:p>
    <w:p>
      <w:pPr>
        <w:widowControl/>
        <w:adjustRightInd w:val="0"/>
        <w:snapToGrid w:val="0"/>
        <w:spacing w:line="572" w:lineRule="exact"/>
        <w:contextualSpacing/>
        <w:jc w:val="left"/>
        <w:rPr>
          <w:rFonts w:ascii="仿宋_GB2312" w:eastAsia="仿宋_GB2312"/>
          <w:sz w:val="32"/>
          <w:szCs w:val="32"/>
        </w:rPr>
      </w:pPr>
    </w:p>
    <w:p>
      <w:pPr>
        <w:widowControl/>
        <w:adjustRightInd w:val="0"/>
        <w:snapToGrid w:val="0"/>
        <w:spacing w:line="572" w:lineRule="exact"/>
        <w:contextualSpacing/>
        <w:jc w:val="left"/>
        <w:rPr>
          <w:rFonts w:ascii="仿宋_GB2312" w:eastAsia="仿宋_GB2312"/>
          <w:sz w:val="32"/>
          <w:szCs w:val="32"/>
        </w:rPr>
      </w:pPr>
    </w:p>
    <w:p>
      <w:pPr>
        <w:widowControl/>
        <w:adjustRightInd w:val="0"/>
        <w:snapToGrid w:val="0"/>
        <w:spacing w:line="572" w:lineRule="exact"/>
        <w:contextualSpacing/>
        <w:jc w:val="left"/>
        <w:rPr>
          <w:rFonts w:ascii="仿宋_GB2312" w:eastAsia="仿宋_GB2312"/>
          <w:sz w:val="32"/>
          <w:szCs w:val="32"/>
        </w:rPr>
      </w:pPr>
    </w:p>
    <w:p>
      <w:pPr>
        <w:widowControl/>
        <w:adjustRightInd w:val="0"/>
        <w:snapToGrid w:val="0"/>
        <w:spacing w:line="572" w:lineRule="exact"/>
        <w:contextualSpacing/>
        <w:jc w:val="left"/>
        <w:rPr>
          <w:rFonts w:ascii="仿宋_GB2312" w:eastAsia="仿宋_GB2312"/>
          <w:sz w:val="32"/>
          <w:szCs w:val="32"/>
        </w:rPr>
      </w:pPr>
    </w:p>
    <w:p>
      <w:pPr>
        <w:widowControl/>
        <w:adjustRightInd w:val="0"/>
        <w:snapToGrid w:val="0"/>
        <w:spacing w:line="572" w:lineRule="exact"/>
        <w:contextualSpacing/>
        <w:jc w:val="left"/>
        <w:rPr>
          <w:rFonts w:ascii="仿宋_GB2312" w:eastAsia="仿宋_GB2312"/>
          <w:sz w:val="32"/>
          <w:szCs w:val="32"/>
        </w:rPr>
      </w:pPr>
    </w:p>
    <w:p>
      <w:pPr>
        <w:widowControl/>
        <w:adjustRightInd w:val="0"/>
        <w:snapToGrid w:val="0"/>
        <w:spacing w:line="572" w:lineRule="exact"/>
        <w:contextualSpacing/>
        <w:jc w:val="left"/>
        <w:rPr>
          <w:rFonts w:ascii="仿宋_GB2312" w:eastAsia="仿宋_GB2312"/>
          <w:sz w:val="32"/>
          <w:szCs w:val="32"/>
        </w:rPr>
      </w:pPr>
    </w:p>
    <w:p>
      <w:pPr>
        <w:widowControl/>
        <w:adjustRightInd w:val="0"/>
        <w:snapToGrid w:val="0"/>
        <w:spacing w:line="572" w:lineRule="exact"/>
        <w:contextualSpacing/>
        <w:jc w:val="left"/>
        <w:rPr>
          <w:rFonts w:ascii="仿宋_GB2312" w:eastAsia="仿宋_GB2312"/>
          <w:sz w:val="32"/>
          <w:szCs w:val="32"/>
        </w:rPr>
      </w:pPr>
    </w:p>
    <w:p>
      <w:pPr>
        <w:widowControl/>
        <w:adjustRightInd w:val="0"/>
        <w:snapToGrid w:val="0"/>
        <w:spacing w:line="572" w:lineRule="exact"/>
        <w:contextualSpacing/>
        <w:jc w:val="left"/>
        <w:rPr>
          <w:rFonts w:ascii="仿宋_GB2312" w:eastAsia="仿宋_GB2312"/>
          <w:sz w:val="32"/>
          <w:szCs w:val="32"/>
        </w:rPr>
      </w:pPr>
    </w:p>
    <w:p>
      <w:pPr>
        <w:rPr>
          <w:rFonts w:ascii="方正黑体_GBK" w:eastAsia="方正黑体_GBK"/>
          <w:sz w:val="32"/>
          <w:szCs w:val="32"/>
        </w:rPr>
      </w:pPr>
      <w:r>
        <w:rPr>
          <w:rFonts w:hint="eastAsia" w:ascii="方正黑体_GBK" w:eastAsia="方正黑体_GBK"/>
          <w:sz w:val="32"/>
          <w:szCs w:val="32"/>
        </w:rPr>
        <w:t>附件</w:t>
      </w:r>
    </w:p>
    <w:p>
      <w:pPr>
        <w:spacing w:line="600" w:lineRule="exact"/>
        <w:jc w:val="center"/>
        <w:rPr>
          <w:rFonts w:ascii="方正小标宋简体" w:hAnsi="方正小标宋简体" w:eastAsia="方正小标宋简体" w:cs="方正小标宋简体"/>
          <w:sz w:val="40"/>
          <w:szCs w:val="40"/>
          <w:lang w:val="zh-CN"/>
        </w:rPr>
      </w:pPr>
      <w:r>
        <w:rPr>
          <w:rFonts w:hint="eastAsia" w:ascii="方正小标宋简体" w:hAnsi="方正小标宋简体" w:eastAsia="方正小标宋简体" w:cs="方正小标宋简体"/>
          <w:sz w:val="40"/>
          <w:szCs w:val="40"/>
        </w:rPr>
        <w:t>2021年</w:t>
      </w:r>
      <w:r>
        <w:rPr>
          <w:rFonts w:hint="eastAsia" w:ascii="方正小标宋简体" w:hAnsi="方正小标宋简体" w:eastAsia="方正小标宋简体" w:cs="方正小标宋简体"/>
          <w:sz w:val="40"/>
          <w:szCs w:val="40"/>
          <w:lang w:val="zh-CN"/>
        </w:rPr>
        <w:t>专项预算项目支出绩效自评报告</w:t>
      </w:r>
    </w:p>
    <w:p>
      <w:pPr>
        <w:pStyle w:val="7"/>
        <w:spacing w:line="600" w:lineRule="exact"/>
        <w:ind w:firstLine="720" w:firstLineChars="200"/>
        <w:jc w:val="center"/>
        <w:rPr>
          <w:rFonts w:ascii="方正小标宋_GBK" w:hAnsi="黑体" w:eastAsia="方正小标宋_GBK" w:cs="黑体"/>
          <w:sz w:val="36"/>
          <w:szCs w:val="36"/>
        </w:rPr>
      </w:pPr>
      <w:r>
        <w:rPr>
          <w:rFonts w:hint="eastAsia" w:ascii="方正小标宋_GBK" w:hAnsi="黑体" w:eastAsia="方正小标宋_GBK" w:cs="黑体"/>
          <w:sz w:val="36"/>
          <w:szCs w:val="36"/>
        </w:rPr>
        <w:t>（大调解工作经费、业务运行费）</w:t>
      </w:r>
    </w:p>
    <w:p>
      <w:pPr>
        <w:adjustRightInd w:val="0"/>
        <w:snapToGrid w:val="0"/>
        <w:spacing w:line="60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spacing w:line="600" w:lineRule="atLeast"/>
        <w:ind w:firstLine="640" w:firstLineChars="200"/>
        <w:rPr>
          <w:rFonts w:ascii="方正仿宋_GBK" w:eastAsia="方正仿宋_GBK"/>
          <w:sz w:val="32"/>
          <w:szCs w:val="32"/>
        </w:rPr>
      </w:pPr>
      <w:r>
        <w:rPr>
          <w:rFonts w:ascii="方正仿宋_GBK" w:eastAsia="方正仿宋_GBK"/>
          <w:sz w:val="32"/>
          <w:szCs w:val="32"/>
        </w:rPr>
        <w:t>1</w:t>
      </w:r>
      <w:r>
        <w:rPr>
          <w:rFonts w:hint="eastAsia" w:ascii="方正仿宋_GBK" w:eastAsia="方正仿宋_GBK"/>
          <w:sz w:val="32"/>
          <w:szCs w:val="32"/>
        </w:rPr>
        <w:t>.</w:t>
      </w:r>
      <w:r>
        <w:rPr>
          <w:rFonts w:ascii="方正仿宋_GBK" w:eastAsia="方正仿宋_GBK"/>
          <w:sz w:val="32"/>
          <w:szCs w:val="32"/>
        </w:rPr>
        <w:t>说明项目主管部门（单位）在该项目管理中的职能。</w:t>
      </w:r>
    </w:p>
    <w:p>
      <w:pPr>
        <w:spacing w:line="600" w:lineRule="atLeast"/>
        <w:ind w:firstLine="640" w:firstLineChars="200"/>
        <w:rPr>
          <w:rFonts w:ascii="方正仿宋_GBK" w:eastAsia="方正仿宋_GBK"/>
          <w:sz w:val="32"/>
          <w:szCs w:val="32"/>
        </w:rPr>
      </w:pPr>
      <w:r>
        <w:rPr>
          <w:rFonts w:hint="eastAsia" w:ascii="方正仿宋_GBK" w:eastAsia="方正仿宋_GBK"/>
          <w:sz w:val="32"/>
          <w:szCs w:val="32"/>
        </w:rPr>
        <w:t>市委政法委是市委领导政法工作的职能部门，具有监督指导政法各部门严格行使职权，指导协调全市维护社会稳定、矛盾多元化解等工作，推进平安建设，社会治理等。</w:t>
      </w:r>
    </w:p>
    <w:p>
      <w:pPr>
        <w:spacing w:line="600" w:lineRule="atLeast"/>
        <w:ind w:firstLine="640" w:firstLineChars="200"/>
        <w:rPr>
          <w:rFonts w:ascii="方正仿宋_GBK" w:eastAsia="方正仿宋_GBK"/>
          <w:sz w:val="32"/>
          <w:szCs w:val="32"/>
        </w:rPr>
      </w:pPr>
      <w:r>
        <w:rPr>
          <w:rFonts w:ascii="方正仿宋_GBK" w:eastAsia="方正仿宋_GBK"/>
          <w:sz w:val="32"/>
          <w:szCs w:val="32"/>
        </w:rPr>
        <w:t>2</w:t>
      </w:r>
      <w:r>
        <w:rPr>
          <w:rFonts w:hint="eastAsia" w:ascii="方正仿宋_GBK" w:eastAsia="方正仿宋_GBK"/>
          <w:sz w:val="32"/>
          <w:szCs w:val="32"/>
        </w:rPr>
        <w:t>.</w:t>
      </w:r>
      <w:r>
        <w:rPr>
          <w:rFonts w:ascii="方正仿宋_GBK" w:eastAsia="方正仿宋_GBK"/>
          <w:sz w:val="32"/>
          <w:szCs w:val="32"/>
        </w:rPr>
        <w:t>项目立项、资金申报的依据。</w:t>
      </w:r>
    </w:p>
    <w:p>
      <w:pPr>
        <w:spacing w:line="600" w:lineRule="atLeast"/>
        <w:ind w:firstLine="640" w:firstLineChars="200"/>
        <w:rPr>
          <w:rFonts w:ascii="方正仿宋_GBK" w:eastAsia="方正仿宋_GBK"/>
          <w:sz w:val="32"/>
          <w:szCs w:val="32"/>
        </w:rPr>
      </w:pPr>
      <w:r>
        <w:rPr>
          <w:rFonts w:ascii="方正仿宋_GBK" w:eastAsia="方正仿宋_GBK"/>
          <w:sz w:val="32"/>
          <w:szCs w:val="32"/>
        </w:rPr>
        <w:t>为履行特定职责、人民调解案件和开展业务工作支出的专项工作经费。</w:t>
      </w:r>
    </w:p>
    <w:p>
      <w:pPr>
        <w:spacing w:line="600" w:lineRule="atLeast"/>
        <w:ind w:firstLine="640" w:firstLineChars="200"/>
        <w:rPr>
          <w:rFonts w:ascii="方正仿宋_GBK" w:eastAsia="方正仿宋_GBK"/>
          <w:sz w:val="32"/>
          <w:szCs w:val="32"/>
        </w:rPr>
      </w:pPr>
      <w:r>
        <w:rPr>
          <w:rFonts w:ascii="方正仿宋_GBK" w:eastAsia="方正仿宋_GBK"/>
          <w:sz w:val="32"/>
          <w:szCs w:val="32"/>
        </w:rPr>
        <w:t>资金管理办法制定情况，资金支持具体项目的条件、范围与支持方式概况。</w:t>
      </w:r>
    </w:p>
    <w:p>
      <w:pPr>
        <w:spacing w:line="600" w:lineRule="atLeast"/>
        <w:ind w:firstLine="640" w:firstLineChars="200"/>
        <w:rPr>
          <w:rFonts w:ascii="方正仿宋_GBK" w:eastAsia="方正仿宋_GBK"/>
          <w:sz w:val="32"/>
          <w:szCs w:val="32"/>
        </w:rPr>
      </w:pPr>
      <w:r>
        <w:rPr>
          <w:rFonts w:hint="eastAsia" w:ascii="方正仿宋_GBK" w:eastAsia="方正仿宋_GBK"/>
          <w:sz w:val="32"/>
          <w:szCs w:val="32"/>
        </w:rPr>
        <w:t>3.资金管理按照市财政局关于项目经费管理办法进行管理，严格要求专款专用的原则支付使用资金。</w:t>
      </w:r>
    </w:p>
    <w:p>
      <w:pPr>
        <w:spacing w:line="600" w:lineRule="atLeast"/>
        <w:ind w:firstLine="640" w:firstLineChars="200"/>
        <w:rPr>
          <w:rFonts w:ascii="方正仿宋_GBK" w:eastAsia="方正仿宋_GBK"/>
          <w:sz w:val="32"/>
          <w:szCs w:val="32"/>
        </w:rPr>
      </w:pPr>
      <w:r>
        <w:rPr>
          <w:rFonts w:hint="eastAsia" w:ascii="方正仿宋_GBK" w:eastAsia="方正仿宋_GBK"/>
          <w:sz w:val="32"/>
          <w:szCs w:val="32"/>
        </w:rPr>
        <w:t>4.</w:t>
      </w:r>
      <w:r>
        <w:rPr>
          <w:rFonts w:ascii="方正仿宋_GBK" w:eastAsia="方正仿宋_GBK"/>
          <w:sz w:val="32"/>
          <w:szCs w:val="32"/>
        </w:rPr>
        <w:t>资金分配的原则及考虑因素。</w:t>
      </w:r>
    </w:p>
    <w:p>
      <w:pPr>
        <w:spacing w:line="600" w:lineRule="atLeast"/>
        <w:ind w:firstLine="640" w:firstLineChars="200"/>
        <w:rPr>
          <w:rFonts w:ascii="方正仿宋_GBK" w:eastAsia="方正仿宋_GBK"/>
          <w:sz w:val="32"/>
          <w:szCs w:val="32"/>
        </w:rPr>
      </w:pPr>
      <w:r>
        <w:rPr>
          <w:rFonts w:hint="eastAsia" w:ascii="方正仿宋_GBK" w:eastAsia="方正仿宋_GBK"/>
          <w:sz w:val="32"/>
          <w:szCs w:val="32"/>
        </w:rPr>
        <w:t>不存在资金分配。</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（二）项目绩效目标。</w:t>
      </w:r>
    </w:p>
    <w:p>
      <w:pPr>
        <w:autoSpaceDE w:val="0"/>
        <w:autoSpaceDN w:val="0"/>
        <w:adjustRightInd w:val="0"/>
        <w:spacing w:line="600" w:lineRule="exact"/>
        <w:ind w:firstLine="640" w:firstLineChars="200"/>
        <w:jc w:val="left"/>
        <w:rPr>
          <w:rFonts w:ascii="方正仿宋_GBK" w:eastAsia="方正仿宋_GBK"/>
          <w:sz w:val="32"/>
          <w:szCs w:val="32"/>
        </w:rPr>
      </w:pPr>
      <w:r>
        <w:rPr>
          <w:rFonts w:ascii="方正仿宋_GBK" w:eastAsia="方正仿宋_GBK"/>
          <w:sz w:val="32"/>
          <w:szCs w:val="32"/>
        </w:rPr>
        <w:t>1．项目主要内容。</w:t>
      </w:r>
      <w:r>
        <w:rPr>
          <w:rFonts w:hint="eastAsia" w:ascii="方正仿宋_GBK" w:eastAsia="方正仿宋_GBK"/>
          <w:sz w:val="32"/>
          <w:szCs w:val="32"/>
        </w:rPr>
        <w:t>用于矛盾多元化解，大调解等相关业务工作的工作经费。</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2</w:t>
      </w:r>
      <w:r>
        <w:rPr>
          <w:rFonts w:ascii="仿宋_GB2312" w:eastAsia="仿宋_GB2312"/>
          <w:kern w:val="0"/>
          <w:sz w:val="32"/>
          <w:szCs w:val="32"/>
        </w:rPr>
        <w:t>．项目应实现的具体绩效目标，包括目标的量化、细化情况以及项目实施进度计划等。</w:t>
      </w:r>
    </w:p>
    <w:p>
      <w:pPr>
        <w:autoSpaceDE w:val="0"/>
        <w:autoSpaceDN w:val="0"/>
        <w:adjustRightInd w:val="0"/>
        <w:spacing w:line="600" w:lineRule="exact"/>
        <w:ind w:firstLine="640" w:firstLineChars="200"/>
        <w:jc w:val="left"/>
        <w:rPr>
          <w:rFonts w:ascii="方正仿宋_GBK" w:eastAsia="方正仿宋_GBK"/>
          <w:sz w:val="32"/>
          <w:szCs w:val="32"/>
        </w:rPr>
      </w:pPr>
      <w:r>
        <w:rPr>
          <w:rFonts w:ascii="方正仿宋_GBK" w:eastAsia="方正仿宋_GBK"/>
          <w:sz w:val="32"/>
          <w:szCs w:val="32"/>
        </w:rPr>
        <w:t>维持本年度全</w:t>
      </w:r>
      <w:r>
        <w:rPr>
          <w:rFonts w:hint="eastAsia" w:ascii="方正仿宋_GBK" w:eastAsia="方正仿宋_GBK"/>
          <w:sz w:val="32"/>
          <w:szCs w:val="32"/>
        </w:rPr>
        <w:t>市</w:t>
      </w:r>
      <w:r>
        <w:rPr>
          <w:rFonts w:ascii="方正仿宋_GBK" w:eastAsia="方正仿宋_GBK"/>
          <w:sz w:val="32"/>
          <w:szCs w:val="32"/>
        </w:rPr>
        <w:t>矛盾化解工作</w:t>
      </w:r>
      <w:r>
        <w:rPr>
          <w:rFonts w:hint="eastAsia" w:ascii="方正仿宋_GBK" w:eastAsia="方正仿宋_GBK"/>
          <w:sz w:val="32"/>
          <w:szCs w:val="32"/>
        </w:rPr>
        <w:t>开展督导，完成单位年度目标任务。</w:t>
      </w:r>
    </w:p>
    <w:p>
      <w:pPr>
        <w:numPr>
          <w:ilvl w:val="0"/>
          <w:numId w:val="4"/>
        </w:numPr>
        <w:autoSpaceDE w:val="0"/>
        <w:autoSpaceDN w:val="0"/>
        <w:adjustRightInd w:val="0"/>
        <w:spacing w:line="600" w:lineRule="exact"/>
        <w:ind w:firstLine="640" w:firstLineChars="200"/>
        <w:jc w:val="left"/>
        <w:rPr>
          <w:rFonts w:eastAsia="仿宋_GB2312"/>
          <w:kern w:val="0"/>
          <w:sz w:val="32"/>
          <w:szCs w:val="32"/>
        </w:rPr>
      </w:pPr>
      <w:r>
        <w:rPr>
          <w:rFonts w:ascii="仿宋_GB2312" w:eastAsia="仿宋_GB2312"/>
          <w:kern w:val="0"/>
          <w:sz w:val="32"/>
          <w:szCs w:val="32"/>
        </w:rPr>
        <w:t>分析评价申报内容是否与实际相符，申报目标是否合理可行。</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合理</w:t>
      </w:r>
    </w:p>
    <w:p>
      <w:pPr>
        <w:autoSpaceDE w:val="0"/>
        <w:autoSpaceDN w:val="0"/>
        <w:adjustRightInd w:val="0"/>
        <w:spacing w:line="600" w:lineRule="exact"/>
        <w:ind w:firstLine="640" w:firstLineChars="200"/>
        <w:jc w:val="left"/>
        <w:rPr>
          <w:rFonts w:eastAsia="楷体_GB2312"/>
          <w:kern w:val="0"/>
          <w:sz w:val="32"/>
          <w:szCs w:val="32"/>
        </w:rPr>
      </w:pPr>
      <w:r>
        <w:rPr>
          <w:rFonts w:ascii="黑体" w:eastAsia="黑体"/>
          <w:kern w:val="0"/>
          <w:sz w:val="32"/>
          <w:szCs w:val="32"/>
        </w:rPr>
        <w:t>二、项目资金申报及使用情况</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（一）项目资金申报及批复情况。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大调解工作经费、业务运行费均属年初预算资金，</w:t>
      </w:r>
      <w:r>
        <w:rPr>
          <w:rFonts w:hint="eastAsia" w:eastAsia="仿宋_GB2312"/>
          <w:kern w:val="0"/>
          <w:sz w:val="32"/>
          <w:szCs w:val="32"/>
        </w:rPr>
        <w:t>2021</w:t>
      </w:r>
      <w:r>
        <w:rPr>
          <w:rFonts w:hint="eastAsia" w:ascii="仿宋_GB2312" w:eastAsia="仿宋_GB2312"/>
          <w:kern w:val="0"/>
          <w:sz w:val="32"/>
          <w:szCs w:val="32"/>
        </w:rPr>
        <w:t>年预算批复资金分别为</w:t>
      </w:r>
      <w:r>
        <w:rPr>
          <w:rFonts w:hint="eastAsia" w:eastAsia="仿宋_GB2312"/>
          <w:kern w:val="0"/>
          <w:sz w:val="32"/>
          <w:szCs w:val="32"/>
        </w:rPr>
        <w:t>2</w:t>
      </w:r>
      <w:r>
        <w:rPr>
          <w:rFonts w:hint="eastAsia" w:ascii="仿宋_GB2312" w:eastAsia="仿宋_GB2312"/>
          <w:kern w:val="0"/>
          <w:sz w:val="32"/>
          <w:szCs w:val="32"/>
        </w:rPr>
        <w:t>万元、</w:t>
      </w:r>
      <w:r>
        <w:rPr>
          <w:rFonts w:hint="eastAsia" w:eastAsia="仿宋_GB2312"/>
          <w:kern w:val="0"/>
          <w:sz w:val="32"/>
          <w:szCs w:val="32"/>
        </w:rPr>
        <w:t>9</w:t>
      </w:r>
      <w:r>
        <w:rPr>
          <w:rFonts w:hint="eastAsia" w:ascii="仿宋_GB2312" w:eastAsia="仿宋_GB2312"/>
          <w:kern w:val="0"/>
          <w:sz w:val="32"/>
          <w:szCs w:val="32"/>
        </w:rPr>
        <w:t>万元</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（二）资金计划、到位及使用情况（可用表格形式反映）。</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1</w:t>
      </w:r>
      <w:r>
        <w:rPr>
          <w:rFonts w:ascii="楷体_GB2312" w:eastAsia="楷体_GB2312"/>
          <w:kern w:val="0"/>
          <w:sz w:val="32"/>
          <w:szCs w:val="32"/>
        </w:rPr>
        <w:t>．资金计划。</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资金全部为市级资金。</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2</w:t>
      </w:r>
      <w:r>
        <w:rPr>
          <w:rFonts w:ascii="楷体_GB2312" w:eastAsia="楷体_GB2312"/>
          <w:kern w:val="0"/>
          <w:sz w:val="32"/>
          <w:szCs w:val="32"/>
        </w:rPr>
        <w:t>．资金到位。</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资金于</w:t>
      </w:r>
      <w:r>
        <w:rPr>
          <w:rFonts w:hint="eastAsia" w:eastAsia="仿宋_GB2312"/>
          <w:kern w:val="0"/>
          <w:sz w:val="32"/>
          <w:szCs w:val="32"/>
        </w:rPr>
        <w:t>2021</w:t>
      </w:r>
      <w:r>
        <w:rPr>
          <w:rFonts w:hint="eastAsia" w:ascii="仿宋_GB2312" w:eastAsia="仿宋_GB2312"/>
          <w:kern w:val="0"/>
          <w:sz w:val="32"/>
          <w:szCs w:val="32"/>
        </w:rPr>
        <w:t>年</w:t>
      </w:r>
      <w:r>
        <w:rPr>
          <w:rFonts w:hint="eastAsia" w:eastAsia="仿宋_GB2312"/>
          <w:kern w:val="0"/>
          <w:sz w:val="32"/>
          <w:szCs w:val="32"/>
        </w:rPr>
        <w:t>3</w:t>
      </w:r>
      <w:r>
        <w:rPr>
          <w:rFonts w:hint="eastAsia" w:ascii="仿宋_GB2312" w:eastAsia="仿宋_GB2312"/>
          <w:kern w:val="0"/>
          <w:sz w:val="32"/>
          <w:szCs w:val="32"/>
        </w:rPr>
        <w:t>月由财政将指标通过大平台下至我单位。</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3</w:t>
      </w:r>
      <w:r>
        <w:rPr>
          <w:rFonts w:ascii="楷体_GB2312" w:eastAsia="楷体_GB2312"/>
          <w:kern w:val="0"/>
          <w:sz w:val="32"/>
          <w:szCs w:val="32"/>
        </w:rPr>
        <w:t>．资金使用。</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资金主要用于矛盾纠纷排查工作经费及日常相关业务工作运行的工作经费。</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（三）项目财务管理情况。</w:t>
      </w:r>
    </w:p>
    <w:p>
      <w:pPr>
        <w:autoSpaceDE w:val="0"/>
        <w:autoSpaceDN w:val="0"/>
        <w:adjustRightInd w:val="0"/>
        <w:spacing w:line="600" w:lineRule="exact"/>
        <w:ind w:firstLine="640" w:firstLineChars="200"/>
        <w:jc w:val="left"/>
        <w:rPr>
          <w:rFonts w:eastAsia="仿宋_GB2312"/>
          <w:kern w:val="0"/>
          <w:sz w:val="32"/>
          <w:szCs w:val="32"/>
        </w:rPr>
      </w:pPr>
      <w:r>
        <w:rPr>
          <w:rFonts w:ascii="仿宋_GB2312" w:eastAsia="仿宋_GB2312"/>
          <w:kern w:val="0"/>
          <w:sz w:val="32"/>
          <w:szCs w:val="32"/>
        </w:rPr>
        <w:t>财务管理制度是健全，执行财务管理制度，账务处理及时，会计核算规范。</w:t>
      </w:r>
    </w:p>
    <w:p>
      <w:pPr>
        <w:autoSpaceDE w:val="0"/>
        <w:autoSpaceDN w:val="0"/>
        <w:adjustRightInd w:val="0"/>
        <w:spacing w:line="600" w:lineRule="exact"/>
        <w:ind w:firstLine="640" w:firstLineChars="200"/>
        <w:jc w:val="left"/>
        <w:rPr>
          <w:rFonts w:eastAsia="黑体"/>
          <w:kern w:val="0"/>
          <w:sz w:val="32"/>
          <w:szCs w:val="32"/>
        </w:rPr>
      </w:pPr>
      <w:r>
        <w:rPr>
          <w:rFonts w:ascii="黑体" w:eastAsia="黑体"/>
          <w:kern w:val="0"/>
          <w:sz w:val="32"/>
          <w:szCs w:val="32"/>
        </w:rPr>
        <w:t>三、项目实施及管理情况</w:t>
      </w:r>
    </w:p>
    <w:p>
      <w:pPr>
        <w:autoSpaceDE w:val="0"/>
        <w:autoSpaceDN w:val="0"/>
        <w:adjustRightInd w:val="0"/>
        <w:spacing w:line="600" w:lineRule="exact"/>
        <w:ind w:firstLine="640" w:firstLineChars="200"/>
        <w:jc w:val="left"/>
        <w:rPr>
          <w:rFonts w:eastAsia="仿宋_GB2312"/>
          <w:kern w:val="0"/>
          <w:sz w:val="32"/>
          <w:szCs w:val="32"/>
        </w:rPr>
      </w:pPr>
      <w:r>
        <w:rPr>
          <w:rFonts w:ascii="仿宋_GB2312" w:eastAsia="仿宋_GB2312"/>
          <w:kern w:val="0"/>
          <w:sz w:val="32"/>
          <w:szCs w:val="32"/>
        </w:rPr>
        <w:t>结合项目组织实施管理办法，重点围绕以下内容进行分析评价，并对自评中发现的问题分析说明。</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（一）项目组织架构及实施流程。</w:t>
      </w:r>
    </w:p>
    <w:p>
      <w:pPr>
        <w:pStyle w:val="13"/>
        <w:widowControl/>
        <w:spacing w:before="0" w:beforeAutospacing="0" w:after="0" w:afterAutospacing="0"/>
        <w:ind w:firstLine="640" w:firstLineChars="200"/>
        <w:rPr>
          <w:rFonts w:eastAsia="仿宋_GB2312"/>
          <w:sz w:val="32"/>
          <w:szCs w:val="32"/>
        </w:rPr>
      </w:pPr>
      <w:r>
        <w:rPr>
          <w:rFonts w:ascii="楷体_GB2312" w:eastAsia="楷体_GB2312"/>
          <w:sz w:val="32"/>
          <w:szCs w:val="32"/>
        </w:rPr>
        <w:t>（二）项目管理情况。</w:t>
      </w:r>
      <w:r>
        <w:rPr>
          <w:rFonts w:ascii="仿宋_GB2312" w:eastAsia="仿宋_GB2312"/>
          <w:sz w:val="32"/>
          <w:szCs w:val="32"/>
        </w:rPr>
        <w:t>由承担项目股室对绩效完成情况进行自评并编制绩效报告；计财股对该绩效目标完成情况进行初步审核，按照有关规定组织绩效评价，编写绩效评价报告。项目实施严格按照要求进行管理。</w:t>
      </w:r>
    </w:p>
    <w:p>
      <w:pPr>
        <w:autoSpaceDE w:val="0"/>
        <w:autoSpaceDN w:val="0"/>
        <w:adjustRightInd w:val="0"/>
        <w:spacing w:line="600" w:lineRule="exact"/>
        <w:ind w:firstLine="640" w:firstLineChars="200"/>
        <w:jc w:val="left"/>
        <w:rPr>
          <w:rFonts w:eastAsia="仿宋_GB2312"/>
          <w:kern w:val="0"/>
          <w:sz w:val="32"/>
          <w:szCs w:val="32"/>
        </w:rPr>
      </w:pPr>
      <w:r>
        <w:rPr>
          <w:rFonts w:ascii="楷体_GB2312" w:eastAsia="楷体_GB2312"/>
          <w:kern w:val="0"/>
          <w:sz w:val="32"/>
          <w:szCs w:val="32"/>
        </w:rPr>
        <w:t>（三）项目监管情况。</w:t>
      </w:r>
      <w:r>
        <w:rPr>
          <w:rFonts w:hint="eastAsia" w:ascii="仿宋_GB2312" w:eastAsia="仿宋_GB2312"/>
          <w:kern w:val="0"/>
          <w:sz w:val="32"/>
          <w:szCs w:val="32"/>
        </w:rPr>
        <w:t>因项目属于工作经费，严格执行中央八项规定、省市“十项规定”及差旅费管理规定。</w:t>
      </w:r>
    </w:p>
    <w:p>
      <w:pPr>
        <w:autoSpaceDE w:val="0"/>
        <w:autoSpaceDN w:val="0"/>
        <w:adjustRightInd w:val="0"/>
        <w:spacing w:line="600" w:lineRule="exact"/>
        <w:ind w:firstLine="640" w:firstLineChars="200"/>
        <w:jc w:val="left"/>
        <w:rPr>
          <w:rFonts w:eastAsia="黑体"/>
          <w:kern w:val="0"/>
          <w:sz w:val="32"/>
          <w:szCs w:val="32"/>
        </w:rPr>
      </w:pPr>
      <w:r>
        <w:rPr>
          <w:rFonts w:ascii="黑体" w:eastAsia="黑体"/>
          <w:kern w:val="0"/>
          <w:sz w:val="32"/>
          <w:szCs w:val="32"/>
        </w:rPr>
        <w:t>四、项目绩效情况</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（一）项目完成情况。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2021</w:t>
      </w:r>
      <w:r>
        <w:rPr>
          <w:rFonts w:hint="eastAsia" w:ascii="仿宋_GB2312" w:eastAsia="仿宋_GB2312"/>
          <w:kern w:val="0"/>
          <w:sz w:val="32"/>
          <w:szCs w:val="32"/>
        </w:rPr>
        <w:t>年项目全部完成，资金已全部支付。</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（二）项目效益情况。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color w:val="333333"/>
          <w:kern w:val="0"/>
          <w:sz w:val="32"/>
          <w:szCs w:val="32"/>
        </w:rPr>
        <w:t>健全完善多元化矛盾纠纷调解机制，积极推进</w:t>
      </w:r>
      <w:r>
        <w:rPr>
          <w:rFonts w:ascii="仿宋_GB2312" w:eastAsia="仿宋_GB2312"/>
          <w:kern w:val="0"/>
          <w:sz w:val="32"/>
          <w:szCs w:val="32"/>
        </w:rPr>
        <w:t>矛盾纠纷</w:t>
      </w:r>
      <w:r>
        <w:rPr>
          <w:rFonts w:hint="eastAsia" w:ascii="仿宋_GB2312" w:eastAsia="仿宋_GB2312"/>
          <w:color w:val="333333"/>
          <w:kern w:val="0"/>
          <w:sz w:val="32"/>
          <w:szCs w:val="32"/>
        </w:rPr>
        <w:t>研判预警机制，善化解纠纷，维护双方合法权益，有效避免了集体访和越级访发生。一年来，</w:t>
      </w:r>
      <w:r>
        <w:rPr>
          <w:rFonts w:ascii="仿宋_GB2312" w:eastAsia="仿宋_GB2312"/>
          <w:kern w:val="0"/>
          <w:sz w:val="32"/>
          <w:szCs w:val="32"/>
        </w:rPr>
        <w:t>全市共受理矛盾纠纷</w:t>
      </w:r>
      <w:r>
        <w:rPr>
          <w:rFonts w:eastAsia="仿宋_GB2312"/>
          <w:kern w:val="0"/>
          <w:sz w:val="32"/>
          <w:szCs w:val="32"/>
        </w:rPr>
        <w:t>11576</w:t>
      </w:r>
      <w:r>
        <w:rPr>
          <w:rFonts w:ascii="仿宋_GB2312" w:eastAsia="仿宋_GB2312"/>
          <w:kern w:val="0"/>
          <w:sz w:val="32"/>
          <w:szCs w:val="32"/>
        </w:rPr>
        <w:t>件，调处</w:t>
      </w:r>
      <w:r>
        <w:rPr>
          <w:rFonts w:eastAsia="仿宋_GB2312"/>
          <w:kern w:val="0"/>
          <w:sz w:val="32"/>
          <w:szCs w:val="32"/>
        </w:rPr>
        <w:t>11607</w:t>
      </w:r>
      <w:r>
        <w:rPr>
          <w:rFonts w:ascii="仿宋_GB2312" w:eastAsia="仿宋_GB2312"/>
          <w:kern w:val="0"/>
          <w:sz w:val="32"/>
          <w:szCs w:val="32"/>
        </w:rPr>
        <w:t>件，成功化解</w:t>
      </w:r>
      <w:r>
        <w:rPr>
          <w:rFonts w:eastAsia="仿宋_GB2312"/>
          <w:kern w:val="0"/>
          <w:sz w:val="32"/>
          <w:szCs w:val="32"/>
        </w:rPr>
        <w:t>11570</w:t>
      </w:r>
      <w:r>
        <w:rPr>
          <w:rFonts w:ascii="仿宋_GB2312" w:eastAsia="仿宋_GB2312"/>
          <w:kern w:val="0"/>
          <w:sz w:val="32"/>
          <w:szCs w:val="32"/>
        </w:rPr>
        <w:t>件，调解成功率</w:t>
      </w:r>
      <w:r>
        <w:rPr>
          <w:rFonts w:eastAsia="仿宋_GB2312"/>
          <w:kern w:val="0"/>
          <w:sz w:val="32"/>
          <w:szCs w:val="32"/>
        </w:rPr>
        <w:t>99.7%</w:t>
      </w:r>
      <w:r>
        <w:rPr>
          <w:rFonts w:hint="eastAsia" w:ascii="仿宋_GB2312" w:eastAsia="仿宋_GB2312"/>
          <w:kern w:val="0"/>
          <w:sz w:val="32"/>
          <w:szCs w:val="32"/>
        </w:rPr>
        <w:t>，完成</w:t>
      </w:r>
      <w:r>
        <w:rPr>
          <w:rFonts w:hint="eastAsia" w:eastAsia="仿宋_GB2312"/>
          <w:kern w:val="0"/>
          <w:sz w:val="32"/>
          <w:szCs w:val="32"/>
        </w:rPr>
        <w:t>2021</w:t>
      </w:r>
      <w:r>
        <w:rPr>
          <w:rFonts w:hint="eastAsia" w:ascii="仿宋_GB2312" w:eastAsia="仿宋_GB2312"/>
          <w:kern w:val="0"/>
          <w:sz w:val="32"/>
          <w:szCs w:val="32"/>
        </w:rPr>
        <w:t>年上级下达目标任务</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eastAsia="黑体"/>
          <w:kern w:val="0"/>
          <w:sz w:val="32"/>
          <w:szCs w:val="32"/>
        </w:rPr>
      </w:pPr>
      <w:r>
        <w:rPr>
          <w:rFonts w:ascii="黑体" w:eastAsia="黑体"/>
          <w:kern w:val="0"/>
          <w:sz w:val="32"/>
          <w:szCs w:val="32"/>
        </w:rPr>
        <w:t>五、评价结论及建议</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（一）评价结论。</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color w:val="333333"/>
          <w:kern w:val="0"/>
          <w:sz w:val="32"/>
          <w:szCs w:val="32"/>
        </w:rPr>
        <w:t>以财政预算为基础，根据</w:t>
      </w:r>
      <w:r>
        <w:rPr>
          <w:rFonts w:hint="eastAsia" w:ascii="仿宋_GB2312" w:eastAsia="仿宋_GB2312"/>
          <w:kern w:val="0"/>
          <w:sz w:val="32"/>
          <w:szCs w:val="32"/>
        </w:rPr>
        <w:t>工作</w:t>
      </w:r>
      <w:r>
        <w:rPr>
          <w:rFonts w:hint="eastAsia" w:ascii="仿宋_GB2312" w:eastAsia="仿宋_GB2312"/>
          <w:color w:val="333333"/>
          <w:kern w:val="0"/>
          <w:sz w:val="32"/>
          <w:szCs w:val="32"/>
        </w:rPr>
        <w:t>情况</w:t>
      </w:r>
      <w:r>
        <w:rPr>
          <w:rFonts w:hint="eastAsia" w:ascii="仿宋_GB2312" w:eastAsia="仿宋_GB2312"/>
          <w:kern w:val="0"/>
          <w:sz w:val="32"/>
          <w:szCs w:val="32"/>
        </w:rPr>
        <w:t>实现资金支付</w:t>
      </w:r>
      <w:r>
        <w:rPr>
          <w:rFonts w:hint="eastAsia" w:ascii="仿宋_GB2312" w:eastAsia="仿宋_GB2312"/>
          <w:color w:val="333333"/>
          <w:kern w:val="0"/>
          <w:sz w:val="32"/>
          <w:szCs w:val="32"/>
        </w:rPr>
        <w:t>，项目资金现已完成了</w:t>
      </w:r>
      <w:r>
        <w:rPr>
          <w:rFonts w:hint="eastAsia" w:eastAsia="仿宋_GB2312"/>
          <w:color w:val="333333"/>
          <w:kern w:val="0"/>
          <w:sz w:val="32"/>
          <w:szCs w:val="32"/>
        </w:rPr>
        <w:t>100%</w:t>
      </w:r>
      <w:r>
        <w:rPr>
          <w:rFonts w:hint="eastAsia" w:ascii="仿宋_GB2312" w:eastAsia="仿宋_GB2312"/>
          <w:kern w:val="0"/>
          <w:sz w:val="32"/>
          <w:szCs w:val="32"/>
        </w:rPr>
        <w:t>且基本实现目标绩效。</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（二）存在的问题。</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color w:val="333333"/>
          <w:kern w:val="0"/>
          <w:sz w:val="32"/>
          <w:szCs w:val="32"/>
        </w:rPr>
        <w:t>存在经费支出监管力度不足的情况</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（三）相关建议。</w:t>
      </w:r>
    </w:p>
    <w:p>
      <w:pPr>
        <w:pStyle w:val="7"/>
        <w:ind w:firstLine="960" w:firstLineChars="300"/>
        <w:rPr>
          <w:rFonts w:ascii="Times New Roman" w:hAnsi="Times New Roman" w:cs="Times New Roman"/>
          <w:sz w:val="32"/>
          <w:szCs w:val="32"/>
        </w:rPr>
      </w:pPr>
      <w:r>
        <w:rPr>
          <w:rFonts w:hint="eastAsia" w:ascii="仿宋_GB2312" w:hAnsi="Times New Roman" w:eastAsia="仿宋_GB2312" w:cs="Times New Roman"/>
          <w:kern w:val="0"/>
          <w:sz w:val="32"/>
          <w:szCs w:val="32"/>
        </w:rPr>
        <w:t>申报绩效目标时，结合当年经费开支范围，合理预计当年</w:t>
      </w:r>
      <w:r>
        <w:rPr>
          <w:rFonts w:hint="eastAsia" w:ascii="Times New Roman" w:hAnsi="Times New Roman" w:eastAsia="仿宋_GB2312" w:cs="Times New Roman"/>
          <w:kern w:val="0"/>
          <w:sz w:val="32"/>
          <w:szCs w:val="32"/>
        </w:rPr>
        <w:t xml:space="preserve"> </w:t>
      </w:r>
      <w:r>
        <w:rPr>
          <w:rFonts w:hint="eastAsia" w:ascii="仿宋_GB2312" w:hAnsi="Times New Roman" w:eastAsia="仿宋_GB2312" w:cs="Times New Roman"/>
          <w:kern w:val="0"/>
          <w:sz w:val="32"/>
          <w:szCs w:val="32"/>
        </w:rPr>
        <w:t>工作情况，将当年申报的绩效目标与当年的工作经费相匹配。</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pPr>
        <w:adjustRightInd w:val="0"/>
        <w:snapToGrid w:val="0"/>
        <w:spacing w:line="600" w:lineRule="exact"/>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针对项目自评中发现的问题，提出下一步改进完善的意见及有关政策性建议。</w:t>
      </w: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r>
        <w:rPr>
          <w:rFonts w:hint="eastAsia"/>
          <w:lang w:val="zh-CN"/>
        </w:rPr>
        <w:t>附件</w:t>
      </w:r>
    </w:p>
    <w:p>
      <w:pPr>
        <w:jc w:val="center"/>
        <w:rPr>
          <w:rFonts w:ascii="方正黑体_GBK" w:eastAsia="方正黑体_GBK"/>
          <w:sz w:val="32"/>
          <w:szCs w:val="32"/>
          <w:lang w:val="zh-CN"/>
        </w:rPr>
      </w:pPr>
      <w:r>
        <w:rPr>
          <w:rFonts w:hint="eastAsia" w:ascii="方正黑体_GBK" w:eastAsia="方正黑体_GBK"/>
          <w:sz w:val="32"/>
          <w:szCs w:val="32"/>
        </w:rPr>
        <w:t>2021年</w:t>
      </w:r>
      <w:r>
        <w:rPr>
          <w:rFonts w:hint="eastAsia" w:ascii="方正黑体_GBK" w:eastAsia="方正黑体_GBK"/>
          <w:sz w:val="32"/>
          <w:szCs w:val="32"/>
          <w:lang w:val="zh-CN"/>
        </w:rPr>
        <w:t>专项预算项目支出绩效自评报告</w:t>
      </w:r>
    </w:p>
    <w:p>
      <w:pPr>
        <w:jc w:val="center"/>
        <w:rPr>
          <w:rFonts w:ascii="方正黑体_GBK" w:hAnsi="黑体" w:eastAsia="方正黑体_GBK" w:cs="黑体"/>
          <w:sz w:val="32"/>
          <w:szCs w:val="32"/>
        </w:rPr>
      </w:pPr>
      <w:r>
        <w:rPr>
          <w:rFonts w:hint="eastAsia" w:ascii="方正黑体_GBK" w:hAnsi="黑体" w:eastAsia="方正黑体_GBK" w:cs="黑体"/>
          <w:sz w:val="32"/>
          <w:szCs w:val="32"/>
        </w:rPr>
        <w:t>（三电专项整治经费）</w:t>
      </w:r>
    </w:p>
    <w:p>
      <w:pPr>
        <w:autoSpaceDE w:val="0"/>
        <w:autoSpaceDN w:val="0"/>
        <w:adjustRightInd w:val="0"/>
        <w:spacing w:line="600" w:lineRule="exact"/>
        <w:ind w:firstLine="640" w:firstLineChars="200"/>
        <w:jc w:val="left"/>
        <w:rPr>
          <w:rFonts w:eastAsia="黑体"/>
          <w:kern w:val="0"/>
          <w:sz w:val="32"/>
          <w:szCs w:val="32"/>
        </w:rPr>
      </w:pPr>
      <w:r>
        <w:rPr>
          <w:rFonts w:ascii="黑体" w:eastAsia="黑体"/>
          <w:kern w:val="0"/>
          <w:sz w:val="32"/>
          <w:szCs w:val="32"/>
        </w:rPr>
        <w:t>一、项目概况</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（一）项目基本情况。</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1</w:t>
      </w:r>
      <w:r>
        <w:rPr>
          <w:rFonts w:ascii="仿宋_GB2312" w:eastAsia="仿宋_GB2312"/>
          <w:kern w:val="0"/>
          <w:sz w:val="32"/>
          <w:szCs w:val="32"/>
        </w:rPr>
        <w:t>．通过开展</w:t>
      </w:r>
      <w:r>
        <w:rPr>
          <w:rFonts w:eastAsia="仿宋_GB2312"/>
          <w:kern w:val="0"/>
          <w:sz w:val="32"/>
          <w:szCs w:val="32"/>
        </w:rPr>
        <w:t>“</w:t>
      </w:r>
      <w:r>
        <w:rPr>
          <w:rFonts w:ascii="仿宋_GB2312" w:eastAsia="仿宋_GB2312"/>
          <w:kern w:val="0"/>
          <w:sz w:val="32"/>
          <w:szCs w:val="32"/>
        </w:rPr>
        <w:t>三电</w:t>
      </w:r>
      <w:r>
        <w:rPr>
          <w:rFonts w:eastAsia="仿宋_GB2312"/>
          <w:kern w:val="0"/>
          <w:sz w:val="32"/>
          <w:szCs w:val="32"/>
        </w:rPr>
        <w:t>”</w:t>
      </w:r>
      <w:r>
        <w:rPr>
          <w:rFonts w:ascii="仿宋_GB2312" w:eastAsia="仿宋_GB2312"/>
          <w:kern w:val="0"/>
          <w:sz w:val="32"/>
          <w:szCs w:val="32"/>
        </w:rPr>
        <w:t>专项斗争，破获一批盗窃、破坏</w:t>
      </w:r>
      <w:r>
        <w:rPr>
          <w:rFonts w:eastAsia="仿宋_GB2312"/>
          <w:kern w:val="0"/>
          <w:sz w:val="32"/>
          <w:szCs w:val="32"/>
        </w:rPr>
        <w:t>“</w:t>
      </w:r>
      <w:r>
        <w:rPr>
          <w:rFonts w:ascii="仿宋_GB2312" w:eastAsia="仿宋_GB2312"/>
          <w:kern w:val="0"/>
          <w:sz w:val="32"/>
          <w:szCs w:val="32"/>
        </w:rPr>
        <w:t>三电</w:t>
      </w:r>
      <w:r>
        <w:rPr>
          <w:rFonts w:eastAsia="仿宋_GB2312"/>
          <w:kern w:val="0"/>
          <w:sz w:val="32"/>
          <w:szCs w:val="32"/>
        </w:rPr>
        <w:t>”</w:t>
      </w:r>
      <w:r>
        <w:rPr>
          <w:rFonts w:ascii="仿宋_GB2312" w:eastAsia="仿宋_GB2312"/>
          <w:kern w:val="0"/>
          <w:sz w:val="32"/>
          <w:szCs w:val="32"/>
        </w:rPr>
        <w:t>设施的重大案件，打掉一批违法犯罪团伙，依法惩处一批违法犯罪人员，坚决遏制</w:t>
      </w:r>
      <w:r>
        <w:rPr>
          <w:rFonts w:eastAsia="仿宋_GB2312"/>
          <w:kern w:val="0"/>
          <w:sz w:val="32"/>
          <w:szCs w:val="32"/>
        </w:rPr>
        <w:t>“</w:t>
      </w:r>
      <w:r>
        <w:rPr>
          <w:rFonts w:ascii="仿宋_GB2312" w:eastAsia="仿宋_GB2312"/>
          <w:kern w:val="0"/>
          <w:sz w:val="32"/>
          <w:szCs w:val="32"/>
        </w:rPr>
        <w:t>三电</w:t>
      </w:r>
      <w:r>
        <w:rPr>
          <w:rFonts w:eastAsia="仿宋_GB2312"/>
          <w:kern w:val="0"/>
          <w:sz w:val="32"/>
          <w:szCs w:val="32"/>
        </w:rPr>
        <w:t>”</w:t>
      </w:r>
      <w:r>
        <w:rPr>
          <w:rFonts w:ascii="仿宋_GB2312" w:eastAsia="仿宋_GB2312"/>
          <w:kern w:val="0"/>
          <w:sz w:val="32"/>
          <w:szCs w:val="32"/>
        </w:rPr>
        <w:t>案件的高发势头；严格废旧物品收购站点监管，严厉打击非法收购被盗</w:t>
      </w:r>
      <w:r>
        <w:rPr>
          <w:rFonts w:eastAsia="仿宋_GB2312"/>
          <w:kern w:val="0"/>
          <w:sz w:val="32"/>
          <w:szCs w:val="32"/>
        </w:rPr>
        <w:t>“</w:t>
      </w:r>
      <w:r>
        <w:rPr>
          <w:rFonts w:ascii="仿宋_GB2312" w:eastAsia="仿宋_GB2312"/>
          <w:kern w:val="0"/>
          <w:sz w:val="32"/>
          <w:szCs w:val="32"/>
        </w:rPr>
        <w:t>三电</w:t>
      </w:r>
      <w:r>
        <w:rPr>
          <w:rFonts w:eastAsia="仿宋_GB2312"/>
          <w:kern w:val="0"/>
          <w:sz w:val="32"/>
          <w:szCs w:val="32"/>
        </w:rPr>
        <w:t>”</w:t>
      </w:r>
      <w:r>
        <w:rPr>
          <w:rFonts w:ascii="仿宋_GB2312" w:eastAsia="仿宋_GB2312"/>
          <w:kern w:val="0"/>
          <w:sz w:val="32"/>
          <w:szCs w:val="32"/>
        </w:rPr>
        <w:t>设施器材的违法犯罪活动，清理取缔一批非法废旧物品收购站点；切实加强电力、电信、广播影视企业事业单位内部治安保卫工作；广泛发动群众，充分发挥基层组织的作用，提高广大人民群众对</w:t>
      </w:r>
      <w:r>
        <w:rPr>
          <w:rFonts w:eastAsia="仿宋_GB2312"/>
          <w:kern w:val="0"/>
          <w:sz w:val="32"/>
          <w:szCs w:val="32"/>
        </w:rPr>
        <w:t>“</w:t>
      </w:r>
      <w:r>
        <w:rPr>
          <w:rFonts w:ascii="仿宋_GB2312" w:eastAsia="仿宋_GB2312"/>
          <w:kern w:val="0"/>
          <w:sz w:val="32"/>
          <w:szCs w:val="32"/>
        </w:rPr>
        <w:t>三电</w:t>
      </w:r>
      <w:r>
        <w:rPr>
          <w:rFonts w:eastAsia="仿宋_GB2312"/>
          <w:kern w:val="0"/>
          <w:sz w:val="32"/>
          <w:szCs w:val="32"/>
        </w:rPr>
        <w:t>”</w:t>
      </w:r>
      <w:r>
        <w:rPr>
          <w:rFonts w:ascii="仿宋_GB2312" w:eastAsia="仿宋_GB2312"/>
          <w:kern w:val="0"/>
          <w:sz w:val="32"/>
          <w:szCs w:val="32"/>
        </w:rPr>
        <w:t>设施安全保护重要性的认识；进一步完善全市</w:t>
      </w:r>
      <w:r>
        <w:rPr>
          <w:rFonts w:eastAsia="仿宋_GB2312"/>
          <w:kern w:val="0"/>
          <w:sz w:val="32"/>
          <w:szCs w:val="32"/>
        </w:rPr>
        <w:t>“</w:t>
      </w:r>
      <w:r>
        <w:rPr>
          <w:rFonts w:ascii="仿宋_GB2312" w:eastAsia="仿宋_GB2312"/>
          <w:kern w:val="0"/>
          <w:sz w:val="32"/>
          <w:szCs w:val="32"/>
        </w:rPr>
        <w:t>三电</w:t>
      </w:r>
      <w:r>
        <w:rPr>
          <w:rFonts w:eastAsia="仿宋_GB2312"/>
          <w:kern w:val="0"/>
          <w:sz w:val="32"/>
          <w:szCs w:val="32"/>
        </w:rPr>
        <w:t>”</w:t>
      </w:r>
      <w:r>
        <w:rPr>
          <w:rFonts w:ascii="仿宋_GB2312" w:eastAsia="仿宋_GB2312"/>
          <w:kern w:val="0"/>
          <w:sz w:val="32"/>
          <w:szCs w:val="32"/>
        </w:rPr>
        <w:t>群防群治护线队伍，将</w:t>
      </w:r>
      <w:r>
        <w:rPr>
          <w:rFonts w:eastAsia="仿宋_GB2312"/>
          <w:kern w:val="0"/>
          <w:sz w:val="32"/>
          <w:szCs w:val="32"/>
        </w:rPr>
        <w:t>“</w:t>
      </w:r>
      <w:r>
        <w:rPr>
          <w:rFonts w:ascii="仿宋_GB2312" w:eastAsia="仿宋_GB2312"/>
          <w:kern w:val="0"/>
          <w:sz w:val="32"/>
          <w:szCs w:val="32"/>
        </w:rPr>
        <w:t>三电</w:t>
      </w:r>
      <w:r>
        <w:rPr>
          <w:rFonts w:eastAsia="仿宋_GB2312"/>
          <w:kern w:val="0"/>
          <w:sz w:val="32"/>
          <w:szCs w:val="32"/>
        </w:rPr>
        <w:t>”</w:t>
      </w:r>
      <w:r>
        <w:rPr>
          <w:rFonts w:ascii="仿宋_GB2312" w:eastAsia="仿宋_GB2312"/>
          <w:kern w:val="0"/>
          <w:sz w:val="32"/>
          <w:szCs w:val="32"/>
        </w:rPr>
        <w:t>设施保护纳入平安村（社区）创建活动的内容，初步形成</w:t>
      </w:r>
      <w:r>
        <w:rPr>
          <w:rFonts w:eastAsia="仿宋_GB2312"/>
          <w:kern w:val="0"/>
          <w:sz w:val="32"/>
          <w:szCs w:val="32"/>
        </w:rPr>
        <w:t>“</w:t>
      </w:r>
      <w:r>
        <w:rPr>
          <w:rFonts w:ascii="仿宋_GB2312" w:eastAsia="仿宋_GB2312"/>
          <w:kern w:val="0"/>
          <w:sz w:val="32"/>
          <w:szCs w:val="32"/>
        </w:rPr>
        <w:t>打、防、控</w:t>
      </w:r>
      <w:r>
        <w:rPr>
          <w:rFonts w:eastAsia="仿宋_GB2312"/>
          <w:kern w:val="0"/>
          <w:sz w:val="32"/>
          <w:szCs w:val="32"/>
        </w:rPr>
        <w:t>”</w:t>
      </w:r>
      <w:r>
        <w:rPr>
          <w:rFonts w:ascii="仿宋_GB2312" w:eastAsia="仿宋_GB2312"/>
          <w:kern w:val="0"/>
          <w:sz w:val="32"/>
          <w:szCs w:val="32"/>
        </w:rPr>
        <w:t>一体化的</w:t>
      </w:r>
      <w:r>
        <w:rPr>
          <w:rFonts w:eastAsia="仿宋_GB2312"/>
          <w:kern w:val="0"/>
          <w:sz w:val="32"/>
          <w:szCs w:val="32"/>
        </w:rPr>
        <w:t>“</w:t>
      </w:r>
      <w:r>
        <w:rPr>
          <w:rFonts w:ascii="仿宋_GB2312" w:eastAsia="仿宋_GB2312"/>
          <w:kern w:val="0"/>
          <w:sz w:val="32"/>
          <w:szCs w:val="32"/>
        </w:rPr>
        <w:t>三电</w:t>
      </w:r>
      <w:r>
        <w:rPr>
          <w:rFonts w:eastAsia="仿宋_GB2312"/>
          <w:kern w:val="0"/>
          <w:sz w:val="32"/>
          <w:szCs w:val="32"/>
        </w:rPr>
        <w:t>”</w:t>
      </w:r>
      <w:r>
        <w:rPr>
          <w:rFonts w:ascii="仿宋_GB2312" w:eastAsia="仿宋_GB2312"/>
          <w:kern w:val="0"/>
          <w:sz w:val="32"/>
          <w:szCs w:val="32"/>
        </w:rPr>
        <w:t>设施安全保护长效工作机制。</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2</w:t>
      </w:r>
      <w:r>
        <w:rPr>
          <w:rFonts w:ascii="仿宋_GB2312" w:eastAsia="仿宋_GB2312"/>
          <w:kern w:val="0"/>
          <w:sz w:val="32"/>
          <w:szCs w:val="32"/>
        </w:rPr>
        <w:t>．</w:t>
      </w:r>
      <w:r>
        <w:rPr>
          <w:rFonts w:hint="eastAsia" w:ascii="仿宋_GB2312" w:eastAsia="仿宋_GB2312"/>
          <w:kern w:val="0"/>
          <w:sz w:val="32"/>
          <w:szCs w:val="32"/>
        </w:rPr>
        <w:t>该项目实施资金来源为财政拨款，主要用于组织开展整治工作相关会议费、车辆租赁费、燃油费以及抽调人员办公费用等支出。</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（二）项目绩效目标。</w:t>
      </w:r>
    </w:p>
    <w:p>
      <w:pPr>
        <w:autoSpaceDE w:val="0"/>
        <w:autoSpaceDN w:val="0"/>
        <w:adjustRightInd w:val="0"/>
        <w:spacing w:line="600" w:lineRule="exact"/>
        <w:ind w:firstLine="642" w:firstLineChars="200"/>
        <w:jc w:val="left"/>
        <w:rPr>
          <w:rFonts w:eastAsia="仿宋_GB2312"/>
          <w:kern w:val="0"/>
          <w:sz w:val="32"/>
          <w:szCs w:val="32"/>
        </w:rPr>
      </w:pPr>
      <w:r>
        <w:rPr>
          <w:rFonts w:eastAsia="仿宋_GB2312"/>
          <w:b/>
          <w:bCs/>
          <w:kern w:val="0"/>
          <w:sz w:val="32"/>
          <w:szCs w:val="32"/>
        </w:rPr>
        <w:t>1</w:t>
      </w:r>
      <w:r>
        <w:rPr>
          <w:rFonts w:ascii="仿宋_GB2312" w:eastAsia="仿宋_GB2312"/>
          <w:b/>
          <w:bCs/>
          <w:kern w:val="0"/>
          <w:sz w:val="32"/>
          <w:szCs w:val="32"/>
        </w:rPr>
        <w:t>．项目主要内容</w:t>
      </w:r>
      <w:r>
        <w:rPr>
          <w:rFonts w:hint="eastAsia" w:ascii="仿宋_GB2312" w:eastAsia="仿宋_GB2312"/>
          <w:b/>
          <w:bCs/>
          <w:kern w:val="0"/>
          <w:sz w:val="32"/>
          <w:szCs w:val="32"/>
        </w:rPr>
        <w:t>：</w:t>
      </w:r>
      <w:r>
        <w:rPr>
          <w:rFonts w:hint="eastAsia" w:ascii="仿宋_GB2312" w:eastAsia="仿宋_GB2312"/>
          <w:kern w:val="0"/>
          <w:sz w:val="32"/>
          <w:szCs w:val="32"/>
        </w:rPr>
        <w:t>开展三电设施保护专项整治。</w:t>
      </w:r>
    </w:p>
    <w:p>
      <w:pPr>
        <w:autoSpaceDE w:val="0"/>
        <w:autoSpaceDN w:val="0"/>
        <w:adjustRightInd w:val="0"/>
        <w:spacing w:line="600" w:lineRule="exact"/>
        <w:ind w:firstLine="642" w:firstLineChars="200"/>
        <w:jc w:val="left"/>
        <w:rPr>
          <w:rFonts w:eastAsia="仿宋_GB2312"/>
          <w:b/>
          <w:bCs/>
          <w:kern w:val="0"/>
          <w:sz w:val="32"/>
          <w:szCs w:val="32"/>
        </w:rPr>
      </w:pPr>
      <w:r>
        <w:rPr>
          <w:rFonts w:eastAsia="仿宋_GB2312"/>
          <w:b/>
          <w:bCs/>
          <w:kern w:val="0"/>
          <w:sz w:val="32"/>
          <w:szCs w:val="32"/>
        </w:rPr>
        <w:t>2</w:t>
      </w:r>
      <w:r>
        <w:rPr>
          <w:rFonts w:ascii="仿宋_GB2312" w:eastAsia="仿宋_GB2312"/>
          <w:b/>
          <w:bCs/>
          <w:kern w:val="0"/>
          <w:sz w:val="32"/>
          <w:szCs w:val="32"/>
        </w:rPr>
        <w:t>．项目应实现的具体绩效目标，包括目标的量化、细化情况以及项目实施进度计划等。</w:t>
      </w:r>
    </w:p>
    <w:p>
      <w:pPr>
        <w:autoSpaceDE w:val="0"/>
        <w:spacing w:line="600" w:lineRule="exact"/>
        <w:ind w:firstLine="640" w:firstLineChars="200"/>
        <w:rPr>
          <w:rFonts w:ascii="仿宋_GB2312" w:eastAsia="仿宋_GB2312"/>
          <w:kern w:val="0"/>
          <w:sz w:val="32"/>
          <w:szCs w:val="32"/>
        </w:rPr>
      </w:pPr>
      <w:r>
        <w:rPr>
          <w:rFonts w:hint="eastAsia" w:ascii="仿宋_GB2312" w:eastAsia="仿宋_GB2312"/>
          <w:kern w:val="0"/>
          <w:sz w:val="32"/>
          <w:szCs w:val="32"/>
        </w:rPr>
        <w:t>本项目是为确保广电、电力、通信线路安全畅通，不发生因线路被盗割、破坏而引发的社会治安事件和经济损失。每季度开展一次，组织三电巡线员开展巡查工作，按时开展整治工作，减少通信、广电、电力企业损失。</w:t>
      </w:r>
    </w:p>
    <w:p>
      <w:pPr>
        <w:autoSpaceDE w:val="0"/>
        <w:autoSpaceDN w:val="0"/>
        <w:adjustRightInd w:val="0"/>
        <w:spacing w:line="600" w:lineRule="exact"/>
        <w:ind w:firstLine="640" w:firstLineChars="200"/>
        <w:jc w:val="left"/>
        <w:rPr>
          <w:rFonts w:eastAsia="仿宋_GB2312"/>
          <w:sz w:val="32"/>
          <w:szCs w:val="32"/>
          <w:shd w:val="clear" w:color="auto" w:fill="FFFFFF"/>
        </w:rPr>
      </w:pPr>
      <w:r>
        <w:rPr>
          <w:rFonts w:eastAsia="仿宋_GB2312"/>
          <w:kern w:val="0"/>
          <w:sz w:val="32"/>
          <w:szCs w:val="32"/>
        </w:rPr>
        <w:t>3</w:t>
      </w:r>
      <w:r>
        <w:rPr>
          <w:rFonts w:ascii="仿宋_GB2312" w:eastAsia="仿宋_GB2312"/>
          <w:kern w:val="0"/>
          <w:sz w:val="32"/>
          <w:szCs w:val="32"/>
        </w:rPr>
        <w:t>．</w:t>
      </w:r>
      <w:r>
        <w:rPr>
          <w:rFonts w:hint="eastAsia" w:ascii="仿宋_GB2312" w:eastAsia="仿宋_GB2312"/>
          <w:kern w:val="0"/>
          <w:sz w:val="32"/>
          <w:szCs w:val="32"/>
        </w:rPr>
        <w:t>该项目申报内容与实际实施内容一致，所申报目标切实保障了“三电”设施安全和经济建设顺利进行，为全市的经济发展创造了稳定和谐的环境。</w:t>
      </w:r>
    </w:p>
    <w:p>
      <w:pPr>
        <w:autoSpaceDE w:val="0"/>
        <w:autoSpaceDN w:val="0"/>
        <w:adjustRightInd w:val="0"/>
        <w:spacing w:line="600" w:lineRule="exact"/>
        <w:ind w:firstLine="640" w:firstLineChars="200"/>
        <w:jc w:val="left"/>
        <w:rPr>
          <w:rFonts w:eastAsia="楷体_GB2312"/>
          <w:color w:val="000000"/>
          <w:kern w:val="0"/>
          <w:sz w:val="32"/>
          <w:szCs w:val="32"/>
        </w:rPr>
      </w:pPr>
      <w:r>
        <w:rPr>
          <w:rFonts w:ascii="黑体" w:eastAsia="黑体"/>
          <w:color w:val="000000"/>
          <w:kern w:val="0"/>
          <w:sz w:val="32"/>
          <w:szCs w:val="32"/>
        </w:rPr>
        <w:t>二、项目资金申报及使用情况</w:t>
      </w:r>
    </w:p>
    <w:p>
      <w:pPr>
        <w:autoSpaceDE w:val="0"/>
        <w:autoSpaceDN w:val="0"/>
        <w:adjustRightInd w:val="0"/>
        <w:spacing w:line="600" w:lineRule="exact"/>
        <w:ind w:firstLine="640" w:firstLineChars="200"/>
        <w:jc w:val="left"/>
        <w:rPr>
          <w:rFonts w:eastAsia="楷体_GB2312"/>
          <w:color w:val="000000"/>
          <w:kern w:val="0"/>
          <w:sz w:val="32"/>
          <w:szCs w:val="32"/>
        </w:rPr>
      </w:pPr>
      <w:r>
        <w:rPr>
          <w:rFonts w:ascii="楷体_GB2312" w:eastAsia="楷体_GB2312"/>
          <w:color w:val="000000"/>
          <w:kern w:val="0"/>
          <w:sz w:val="32"/>
          <w:szCs w:val="32"/>
        </w:rPr>
        <w:t>（一）项目资金申报及批复情况。</w:t>
      </w:r>
    </w:p>
    <w:p>
      <w:pPr>
        <w:autoSpaceDE w:val="0"/>
        <w:autoSpaceDN w:val="0"/>
        <w:adjustRightInd w:val="0"/>
        <w:spacing w:line="600" w:lineRule="exact"/>
        <w:ind w:firstLine="640" w:firstLineChars="200"/>
        <w:jc w:val="left"/>
        <w:rPr>
          <w:rFonts w:eastAsia="楷体_GB2312"/>
          <w:color w:val="000000"/>
          <w:kern w:val="0"/>
          <w:sz w:val="32"/>
          <w:szCs w:val="32"/>
        </w:rPr>
      </w:pPr>
      <w:r>
        <w:rPr>
          <w:rFonts w:hint="eastAsia" w:ascii="仿宋_GB2312" w:eastAsia="仿宋_GB2312"/>
          <w:color w:val="000000"/>
          <w:kern w:val="0"/>
          <w:sz w:val="32"/>
          <w:szCs w:val="32"/>
        </w:rPr>
        <w:t>该项目资金为年初预算下达，于</w:t>
      </w:r>
      <w:r>
        <w:rPr>
          <w:rFonts w:hint="eastAsia" w:eastAsia="仿宋_GB2312"/>
          <w:color w:val="000000"/>
          <w:kern w:val="0"/>
          <w:sz w:val="32"/>
          <w:szCs w:val="32"/>
        </w:rPr>
        <w:t>2021</w:t>
      </w:r>
      <w:r>
        <w:rPr>
          <w:rFonts w:hint="eastAsia" w:ascii="仿宋_GB2312" w:eastAsia="仿宋_GB2312"/>
          <w:color w:val="000000"/>
          <w:kern w:val="0"/>
          <w:sz w:val="32"/>
          <w:szCs w:val="32"/>
        </w:rPr>
        <w:t>年</w:t>
      </w:r>
      <w:r>
        <w:rPr>
          <w:rFonts w:hint="eastAsia" w:eastAsia="仿宋_GB2312"/>
          <w:color w:val="000000"/>
          <w:kern w:val="0"/>
          <w:sz w:val="32"/>
          <w:szCs w:val="32"/>
        </w:rPr>
        <w:t>3</w:t>
      </w:r>
      <w:r>
        <w:rPr>
          <w:rFonts w:hint="eastAsia" w:ascii="仿宋_GB2312" w:eastAsia="仿宋_GB2312"/>
          <w:color w:val="000000"/>
          <w:kern w:val="0"/>
          <w:sz w:val="32"/>
          <w:szCs w:val="32"/>
        </w:rPr>
        <w:t>月市财政局通过大平台下达我单位预算指标。</w:t>
      </w:r>
    </w:p>
    <w:p>
      <w:pPr>
        <w:autoSpaceDE w:val="0"/>
        <w:autoSpaceDN w:val="0"/>
        <w:adjustRightInd w:val="0"/>
        <w:spacing w:line="600" w:lineRule="exact"/>
        <w:ind w:firstLine="640" w:firstLineChars="200"/>
        <w:jc w:val="left"/>
        <w:rPr>
          <w:rFonts w:eastAsia="楷体_GB2312"/>
          <w:color w:val="000000"/>
          <w:kern w:val="0"/>
          <w:sz w:val="32"/>
          <w:szCs w:val="32"/>
        </w:rPr>
      </w:pPr>
      <w:r>
        <w:rPr>
          <w:rFonts w:ascii="楷体_GB2312" w:eastAsia="楷体_GB2312"/>
          <w:color w:val="000000"/>
          <w:kern w:val="0"/>
          <w:sz w:val="32"/>
          <w:szCs w:val="32"/>
        </w:rPr>
        <w:t>（二）资金计划、到位及使用情况（可用表格形式反映）。</w:t>
      </w:r>
    </w:p>
    <w:p>
      <w:pPr>
        <w:autoSpaceDE w:val="0"/>
        <w:autoSpaceDN w:val="0"/>
        <w:adjustRightInd w:val="0"/>
        <w:spacing w:line="600" w:lineRule="exact"/>
        <w:ind w:firstLine="640" w:firstLineChars="200"/>
        <w:jc w:val="left"/>
        <w:rPr>
          <w:rFonts w:eastAsia="楷体_GB2312"/>
          <w:color w:val="000000"/>
          <w:kern w:val="0"/>
          <w:sz w:val="32"/>
          <w:szCs w:val="32"/>
        </w:rPr>
      </w:pPr>
      <w:r>
        <w:rPr>
          <w:rFonts w:eastAsia="楷体_GB2312"/>
          <w:color w:val="000000"/>
          <w:kern w:val="0"/>
          <w:sz w:val="32"/>
          <w:szCs w:val="32"/>
        </w:rPr>
        <w:t>1</w:t>
      </w:r>
      <w:r>
        <w:rPr>
          <w:rFonts w:ascii="楷体_GB2312" w:eastAsia="楷体_GB2312"/>
          <w:color w:val="000000"/>
          <w:kern w:val="0"/>
          <w:sz w:val="32"/>
          <w:szCs w:val="32"/>
        </w:rPr>
        <w:t>．资金计划。</w:t>
      </w:r>
    </w:p>
    <w:p>
      <w:pPr>
        <w:autoSpaceDE w:val="0"/>
        <w:autoSpaceDN w:val="0"/>
        <w:adjustRightInd w:val="0"/>
        <w:spacing w:line="600" w:lineRule="exact"/>
        <w:ind w:firstLine="640" w:firstLineChars="200"/>
        <w:jc w:val="left"/>
        <w:rPr>
          <w:rFonts w:eastAsia="楷体_GB2312"/>
          <w:color w:val="000000"/>
          <w:kern w:val="0"/>
          <w:sz w:val="32"/>
          <w:szCs w:val="32"/>
        </w:rPr>
      </w:pPr>
      <w:r>
        <w:rPr>
          <w:rFonts w:hint="eastAsia" w:ascii="仿宋_GB2312" w:eastAsia="仿宋_GB2312"/>
          <w:color w:val="000000"/>
          <w:kern w:val="0"/>
          <w:sz w:val="32"/>
          <w:szCs w:val="32"/>
        </w:rPr>
        <w:t>该资金为市级资金，金额为</w:t>
      </w:r>
      <w:r>
        <w:rPr>
          <w:rFonts w:hint="eastAsia" w:eastAsia="仿宋_GB2312"/>
          <w:color w:val="000000"/>
          <w:kern w:val="0"/>
          <w:sz w:val="32"/>
          <w:szCs w:val="32"/>
        </w:rPr>
        <w:t>2.7</w:t>
      </w:r>
      <w:r>
        <w:rPr>
          <w:rFonts w:hint="eastAsia" w:ascii="仿宋_GB2312" w:eastAsia="仿宋_GB2312"/>
          <w:color w:val="000000"/>
          <w:kern w:val="0"/>
          <w:sz w:val="32"/>
          <w:szCs w:val="32"/>
        </w:rPr>
        <w:t>万元。</w:t>
      </w:r>
    </w:p>
    <w:p>
      <w:pPr>
        <w:autoSpaceDE w:val="0"/>
        <w:autoSpaceDN w:val="0"/>
        <w:adjustRightInd w:val="0"/>
        <w:spacing w:line="600" w:lineRule="exact"/>
        <w:ind w:firstLine="640" w:firstLineChars="200"/>
        <w:jc w:val="left"/>
        <w:rPr>
          <w:rFonts w:eastAsia="楷体_GB2312"/>
          <w:color w:val="000000"/>
          <w:kern w:val="0"/>
          <w:sz w:val="32"/>
          <w:szCs w:val="32"/>
        </w:rPr>
      </w:pPr>
      <w:r>
        <w:rPr>
          <w:rFonts w:eastAsia="楷体_GB2312"/>
          <w:color w:val="000000"/>
          <w:kern w:val="0"/>
          <w:sz w:val="32"/>
          <w:szCs w:val="32"/>
        </w:rPr>
        <w:t>2</w:t>
      </w:r>
      <w:r>
        <w:rPr>
          <w:rFonts w:ascii="楷体_GB2312" w:eastAsia="楷体_GB2312"/>
          <w:color w:val="000000"/>
          <w:kern w:val="0"/>
          <w:sz w:val="32"/>
          <w:szCs w:val="32"/>
        </w:rPr>
        <w:t>．资金到位。</w:t>
      </w:r>
    </w:p>
    <w:p>
      <w:pPr>
        <w:autoSpaceDE w:val="0"/>
        <w:autoSpaceDN w:val="0"/>
        <w:adjustRightInd w:val="0"/>
        <w:spacing w:line="600" w:lineRule="exact"/>
        <w:ind w:firstLine="640" w:firstLineChars="200"/>
        <w:jc w:val="left"/>
        <w:rPr>
          <w:rFonts w:eastAsia="仿宋_GB2312"/>
          <w:color w:val="000000"/>
          <w:kern w:val="0"/>
          <w:sz w:val="32"/>
          <w:szCs w:val="32"/>
        </w:rPr>
      </w:pPr>
      <w:r>
        <w:rPr>
          <w:rFonts w:hint="eastAsia" w:ascii="仿宋_GB2312" w:eastAsia="仿宋_GB2312"/>
          <w:color w:val="000000"/>
          <w:kern w:val="0"/>
          <w:sz w:val="32"/>
          <w:szCs w:val="32"/>
        </w:rPr>
        <w:t>该资金于</w:t>
      </w:r>
      <w:r>
        <w:rPr>
          <w:rFonts w:hint="eastAsia" w:eastAsia="仿宋_GB2312"/>
          <w:color w:val="000000"/>
          <w:kern w:val="0"/>
          <w:sz w:val="32"/>
          <w:szCs w:val="32"/>
        </w:rPr>
        <w:t>2021</w:t>
      </w:r>
      <w:r>
        <w:rPr>
          <w:rFonts w:hint="eastAsia" w:ascii="仿宋_GB2312" w:eastAsia="仿宋_GB2312"/>
          <w:color w:val="000000"/>
          <w:kern w:val="0"/>
          <w:sz w:val="32"/>
          <w:szCs w:val="32"/>
        </w:rPr>
        <w:t>年</w:t>
      </w:r>
      <w:r>
        <w:rPr>
          <w:rFonts w:hint="eastAsia" w:eastAsia="仿宋_GB2312"/>
          <w:color w:val="000000"/>
          <w:kern w:val="0"/>
          <w:sz w:val="32"/>
          <w:szCs w:val="32"/>
        </w:rPr>
        <w:t>3</w:t>
      </w:r>
      <w:r>
        <w:rPr>
          <w:rFonts w:hint="eastAsia" w:ascii="仿宋_GB2312" w:eastAsia="仿宋_GB2312"/>
          <w:color w:val="000000"/>
          <w:kern w:val="0"/>
          <w:sz w:val="32"/>
          <w:szCs w:val="32"/>
        </w:rPr>
        <w:t>月市财政局通过大平台下达我单位预算指标，到位及时。</w:t>
      </w:r>
    </w:p>
    <w:p>
      <w:pPr>
        <w:autoSpaceDE w:val="0"/>
        <w:autoSpaceDN w:val="0"/>
        <w:adjustRightInd w:val="0"/>
        <w:spacing w:line="600" w:lineRule="exact"/>
        <w:ind w:firstLine="640" w:firstLineChars="200"/>
        <w:jc w:val="left"/>
        <w:rPr>
          <w:rFonts w:eastAsia="楷体_GB2312"/>
          <w:color w:val="000000"/>
          <w:kern w:val="0"/>
          <w:sz w:val="32"/>
          <w:szCs w:val="32"/>
        </w:rPr>
      </w:pPr>
      <w:r>
        <w:rPr>
          <w:rFonts w:eastAsia="楷体_GB2312"/>
          <w:color w:val="000000"/>
          <w:kern w:val="0"/>
          <w:sz w:val="32"/>
          <w:szCs w:val="32"/>
        </w:rPr>
        <w:t>3</w:t>
      </w:r>
      <w:r>
        <w:rPr>
          <w:rFonts w:ascii="楷体_GB2312" w:eastAsia="楷体_GB2312"/>
          <w:color w:val="000000"/>
          <w:kern w:val="0"/>
          <w:sz w:val="32"/>
          <w:szCs w:val="32"/>
        </w:rPr>
        <w:t>．资金使用。</w:t>
      </w:r>
    </w:p>
    <w:p>
      <w:pPr>
        <w:autoSpaceDE w:val="0"/>
        <w:autoSpaceDN w:val="0"/>
        <w:adjustRightInd w:val="0"/>
        <w:spacing w:line="600" w:lineRule="exact"/>
        <w:ind w:firstLine="640" w:firstLineChars="200"/>
        <w:jc w:val="left"/>
        <w:rPr>
          <w:rFonts w:eastAsia="仿宋_GB2312"/>
          <w:color w:val="000000"/>
          <w:kern w:val="0"/>
          <w:sz w:val="32"/>
          <w:szCs w:val="32"/>
        </w:rPr>
      </w:pPr>
      <w:r>
        <w:rPr>
          <w:rFonts w:hint="eastAsia" w:ascii="仿宋_GB2312" w:eastAsia="仿宋_GB2312"/>
          <w:color w:val="000000"/>
          <w:kern w:val="0"/>
          <w:sz w:val="32"/>
          <w:szCs w:val="32"/>
        </w:rPr>
        <w:t>资金主要用日常相关业务工作运行的工作经费，无违规开支其他费用。</w:t>
      </w:r>
    </w:p>
    <w:p>
      <w:pPr>
        <w:autoSpaceDE w:val="0"/>
        <w:autoSpaceDN w:val="0"/>
        <w:adjustRightInd w:val="0"/>
        <w:spacing w:line="600" w:lineRule="exact"/>
        <w:ind w:firstLine="640" w:firstLineChars="200"/>
        <w:jc w:val="left"/>
        <w:rPr>
          <w:rFonts w:eastAsia="楷体_GB2312"/>
          <w:color w:val="000000"/>
          <w:kern w:val="0"/>
          <w:sz w:val="32"/>
          <w:szCs w:val="32"/>
        </w:rPr>
      </w:pPr>
      <w:r>
        <w:rPr>
          <w:rFonts w:ascii="楷体_GB2312" w:eastAsia="楷体_GB2312"/>
          <w:color w:val="000000"/>
          <w:kern w:val="0"/>
          <w:sz w:val="32"/>
          <w:szCs w:val="32"/>
        </w:rPr>
        <w:t>（三）项目财务管理情况。</w:t>
      </w:r>
    </w:p>
    <w:p>
      <w:pPr>
        <w:autoSpaceDE w:val="0"/>
        <w:autoSpaceDN w:val="0"/>
        <w:adjustRightInd w:val="0"/>
        <w:spacing w:line="600" w:lineRule="exact"/>
        <w:ind w:firstLine="640" w:firstLineChars="200"/>
        <w:jc w:val="left"/>
        <w:rPr>
          <w:rFonts w:eastAsia="仿宋_GB2312"/>
          <w:color w:val="000000"/>
          <w:kern w:val="0"/>
          <w:sz w:val="32"/>
          <w:szCs w:val="32"/>
        </w:rPr>
      </w:pPr>
      <w:r>
        <w:rPr>
          <w:rFonts w:ascii="仿宋_GB2312" w:eastAsia="仿宋_GB2312"/>
          <w:color w:val="000000"/>
          <w:kern w:val="0"/>
          <w:sz w:val="32"/>
          <w:szCs w:val="32"/>
        </w:rPr>
        <w:t>财务管理制度健全，执行</w:t>
      </w:r>
      <w:r>
        <w:rPr>
          <w:rFonts w:hint="eastAsia" w:ascii="仿宋_GB2312" w:eastAsia="仿宋_GB2312"/>
          <w:color w:val="000000"/>
          <w:kern w:val="0"/>
          <w:sz w:val="32"/>
          <w:szCs w:val="32"/>
        </w:rPr>
        <w:t>相关</w:t>
      </w:r>
      <w:r>
        <w:rPr>
          <w:rFonts w:ascii="仿宋_GB2312" w:eastAsia="仿宋_GB2312"/>
          <w:color w:val="000000"/>
          <w:kern w:val="0"/>
          <w:sz w:val="32"/>
          <w:szCs w:val="32"/>
        </w:rPr>
        <w:t>财务管理制度，账务处理及时，</w:t>
      </w:r>
      <w:r>
        <w:rPr>
          <w:rFonts w:hint="eastAsia" w:ascii="仿宋_GB2312" w:eastAsia="仿宋_GB2312"/>
          <w:color w:val="000000"/>
          <w:kern w:val="0"/>
          <w:sz w:val="32"/>
          <w:szCs w:val="32"/>
        </w:rPr>
        <w:t>符合中央八项规定。</w:t>
      </w:r>
    </w:p>
    <w:p>
      <w:pPr>
        <w:pStyle w:val="25"/>
        <w:numPr>
          <w:ilvl w:val="0"/>
          <w:numId w:val="2"/>
        </w:numPr>
        <w:autoSpaceDE w:val="0"/>
        <w:autoSpaceDN w:val="0"/>
        <w:adjustRightInd w:val="0"/>
        <w:spacing w:line="600" w:lineRule="exact"/>
        <w:ind w:firstLineChars="0"/>
        <w:jc w:val="left"/>
        <w:rPr>
          <w:rFonts w:eastAsia="黑体"/>
          <w:kern w:val="0"/>
          <w:sz w:val="32"/>
          <w:szCs w:val="32"/>
        </w:rPr>
      </w:pPr>
      <w:r>
        <w:rPr>
          <w:rFonts w:ascii="黑体" w:eastAsia="黑体"/>
          <w:kern w:val="0"/>
          <w:sz w:val="32"/>
          <w:szCs w:val="32"/>
        </w:rPr>
        <w:t>项目实施及管理情况</w:t>
      </w:r>
    </w:p>
    <w:p>
      <w:pPr>
        <w:autoSpaceDE w:val="0"/>
        <w:autoSpaceDN w:val="0"/>
        <w:adjustRightInd w:val="0"/>
        <w:spacing w:line="600" w:lineRule="exact"/>
        <w:jc w:val="left"/>
        <w:rPr>
          <w:rFonts w:eastAsia="楷体_GB2312"/>
          <w:kern w:val="0"/>
          <w:sz w:val="32"/>
          <w:szCs w:val="32"/>
        </w:rPr>
      </w:pPr>
      <w:r>
        <w:rPr>
          <w:rFonts w:hint="eastAsia" w:ascii="楷体_GB2312" w:eastAsia="楷体_GB2312"/>
          <w:kern w:val="0"/>
          <w:sz w:val="32"/>
          <w:szCs w:val="32"/>
        </w:rPr>
        <w:t xml:space="preserve">    （一）</w:t>
      </w:r>
      <w:r>
        <w:rPr>
          <w:rFonts w:ascii="楷体_GB2312" w:eastAsia="楷体_GB2312"/>
          <w:kern w:val="0"/>
          <w:sz w:val="32"/>
          <w:szCs w:val="32"/>
        </w:rPr>
        <w:t>项目组织架构及实施流程。</w:t>
      </w:r>
    </w:p>
    <w:p>
      <w:pPr>
        <w:autoSpaceDE w:val="0"/>
        <w:autoSpaceDN w:val="0"/>
        <w:adjustRightInd w:val="0"/>
        <w:spacing w:line="600" w:lineRule="exact"/>
        <w:ind w:firstLine="640" w:firstLineChars="200"/>
        <w:jc w:val="left"/>
        <w:rPr>
          <w:rFonts w:eastAsia="仿宋_GB2312"/>
          <w:kern w:val="0"/>
          <w:sz w:val="32"/>
          <w:szCs w:val="32"/>
        </w:rPr>
      </w:pPr>
      <w:r>
        <w:rPr>
          <w:rFonts w:ascii="楷体_GB2312" w:eastAsia="楷体_GB2312"/>
          <w:kern w:val="0"/>
          <w:sz w:val="32"/>
          <w:szCs w:val="32"/>
        </w:rPr>
        <w:t>（二）项目管理情况。</w:t>
      </w:r>
      <w:r>
        <w:rPr>
          <w:rFonts w:ascii="仿宋_GB2312" w:eastAsia="仿宋_GB2312"/>
          <w:kern w:val="0"/>
          <w:sz w:val="32"/>
          <w:szCs w:val="32"/>
        </w:rPr>
        <w:t>该项目执行过程中，严格执行国家有关法律法规的规定，没有挪用，超范围支出等情况出现，支出规范合理。</w:t>
      </w:r>
    </w:p>
    <w:p>
      <w:pPr>
        <w:autoSpaceDE w:val="0"/>
        <w:autoSpaceDN w:val="0"/>
        <w:adjustRightInd w:val="0"/>
        <w:spacing w:line="600" w:lineRule="exact"/>
        <w:ind w:firstLine="640" w:firstLineChars="200"/>
        <w:jc w:val="left"/>
        <w:rPr>
          <w:rFonts w:eastAsia="仿宋_GB2312"/>
          <w:kern w:val="0"/>
          <w:sz w:val="32"/>
          <w:szCs w:val="32"/>
        </w:rPr>
      </w:pPr>
      <w:r>
        <w:rPr>
          <w:rFonts w:ascii="楷体_GB2312" w:eastAsia="楷体_GB2312"/>
          <w:kern w:val="0"/>
          <w:sz w:val="32"/>
          <w:szCs w:val="32"/>
        </w:rPr>
        <w:t>（三）项目监管情况。</w:t>
      </w:r>
      <w:r>
        <w:rPr>
          <w:rFonts w:ascii="仿宋_GB2312" w:eastAsia="仿宋_GB2312"/>
          <w:kern w:val="0"/>
          <w:sz w:val="32"/>
          <w:szCs w:val="32"/>
        </w:rPr>
        <w:t>市委政法委加强项目管理</w:t>
      </w:r>
      <w:r>
        <w:rPr>
          <w:rFonts w:hint="eastAsia" w:ascii="仿宋_GB2312" w:eastAsia="仿宋_GB2312"/>
          <w:kern w:val="0"/>
          <w:sz w:val="32"/>
          <w:szCs w:val="32"/>
        </w:rPr>
        <w:t>，严格执行相关财务管理规定，未发生违反财经纪律以及其他违规违纪的情况</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eastAsia="黑体"/>
          <w:kern w:val="0"/>
          <w:sz w:val="32"/>
          <w:szCs w:val="32"/>
        </w:rPr>
      </w:pPr>
      <w:r>
        <w:rPr>
          <w:rFonts w:ascii="黑体" w:eastAsia="黑体"/>
          <w:kern w:val="0"/>
          <w:sz w:val="32"/>
          <w:szCs w:val="32"/>
        </w:rPr>
        <w:t>四、项目绩效情况</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（一）项目完成情况。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该项目按照年度计划全部实施完毕，圆满完成了各项目标任务，取得了良好的社会效益，提升了群众和企业满意度。</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（二）项目效益情况。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本</w:t>
      </w:r>
      <w:r>
        <w:rPr>
          <w:rFonts w:ascii="仿宋_GB2312" w:eastAsia="仿宋_GB2312"/>
          <w:kern w:val="0"/>
          <w:sz w:val="32"/>
          <w:szCs w:val="32"/>
        </w:rPr>
        <w:t>项目</w:t>
      </w:r>
      <w:r>
        <w:rPr>
          <w:rFonts w:hint="eastAsia" w:ascii="仿宋_GB2312" w:eastAsia="仿宋_GB2312"/>
          <w:kern w:val="0"/>
          <w:sz w:val="32"/>
          <w:szCs w:val="32"/>
        </w:rPr>
        <w:t>从</w:t>
      </w:r>
      <w:r>
        <w:rPr>
          <w:rFonts w:ascii="仿宋_GB2312" w:eastAsia="仿宋_GB2312"/>
          <w:kern w:val="0"/>
          <w:sz w:val="32"/>
          <w:szCs w:val="32"/>
        </w:rPr>
        <w:t>经济效益</w:t>
      </w:r>
      <w:r>
        <w:rPr>
          <w:rFonts w:hint="eastAsia" w:ascii="仿宋_GB2312" w:eastAsia="仿宋_GB2312"/>
          <w:kern w:val="0"/>
          <w:sz w:val="32"/>
          <w:szCs w:val="32"/>
        </w:rPr>
        <w:t>方面来看：极大的减少了相关企业经济损失，维护了企业利益；从社会效益来看：有效的维护了正常的生产生活秩序；从</w:t>
      </w:r>
      <w:r>
        <w:rPr>
          <w:rFonts w:ascii="仿宋_GB2312" w:eastAsia="仿宋_GB2312"/>
          <w:kern w:val="0"/>
          <w:sz w:val="32"/>
          <w:szCs w:val="32"/>
        </w:rPr>
        <w:t>服务对象满意度方面</w:t>
      </w:r>
      <w:r>
        <w:rPr>
          <w:rFonts w:hint="eastAsia" w:ascii="仿宋_GB2312" w:eastAsia="仿宋_GB2312"/>
          <w:kern w:val="0"/>
          <w:sz w:val="32"/>
          <w:szCs w:val="32"/>
        </w:rPr>
        <w:t>来看：项目的实施企业、群众满意度得到了提高</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eastAsia="黑体"/>
          <w:kern w:val="0"/>
          <w:sz w:val="32"/>
          <w:szCs w:val="32"/>
        </w:rPr>
      </w:pPr>
      <w:r>
        <w:rPr>
          <w:rFonts w:ascii="黑体" w:eastAsia="黑体"/>
          <w:kern w:val="0"/>
          <w:sz w:val="32"/>
          <w:szCs w:val="32"/>
        </w:rPr>
        <w:t>五、评价结论及建议</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（一）评价结论。</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 xml:space="preserve"> </w:t>
      </w:r>
      <w:r>
        <w:rPr>
          <w:rFonts w:hint="eastAsia" w:ascii="仿宋_GB2312" w:eastAsia="仿宋_GB2312"/>
          <w:kern w:val="0"/>
          <w:sz w:val="32"/>
          <w:szCs w:val="32"/>
        </w:rPr>
        <w:t>在各级各部门的协同配合下，通过项目实施，破获了一批盗窃、破坏“三电”设施的重大案件，打掉了一批违法犯罪团伙，依法惩处了一批违法犯罪人员，遏制了“三电”案件的高发势头，初步形成“打、防、控”一体化的“三电”设施安全保护长效工作机制，有效的维护了生产生活和经营秩序。</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（二）存在的问题。</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由于财政预算的缩减，导致项目在实施过程中工作拓展和延伸存在困难。</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（三）相关建议。</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加大资金投入。</w:t>
      </w:r>
    </w:p>
    <w:p>
      <w:pPr>
        <w:pStyle w:val="7"/>
        <w:spacing w:line="600" w:lineRule="exact"/>
        <w:ind w:firstLine="640" w:firstLineChars="200"/>
        <w:jc w:val="left"/>
        <w:rPr>
          <w:rFonts w:ascii="黑体" w:eastAsia="黑体" w:cs="仿宋_GB2312"/>
          <w:sz w:val="32"/>
          <w:szCs w:val="32"/>
        </w:rPr>
      </w:pPr>
      <w:r>
        <w:rPr>
          <w:rFonts w:hint="eastAsia" w:ascii="黑体" w:eastAsia="黑体" w:cs="仿宋_GB2312"/>
          <w:sz w:val="32"/>
          <w:szCs w:val="32"/>
        </w:rPr>
        <w:t xml:space="preserve"> </w:t>
      </w:r>
    </w:p>
    <w:p>
      <w:pPr>
        <w:pStyle w:val="2"/>
        <w:spacing w:before="93"/>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p>
    <w:p>
      <w:pPr>
        <w:pStyle w:val="2"/>
        <w:spacing w:before="93"/>
        <w:rPr>
          <w:lang w:val="zh-CN"/>
        </w:rPr>
      </w:pPr>
      <w:r>
        <w:rPr>
          <w:rFonts w:hint="eastAsia"/>
          <w:lang w:val="zh-CN"/>
        </w:rPr>
        <w:t>附件</w:t>
      </w:r>
    </w:p>
    <w:p>
      <w:pPr>
        <w:spacing w:line="600" w:lineRule="exact"/>
        <w:jc w:val="center"/>
        <w:rPr>
          <w:rFonts w:ascii="方正小标宋简体" w:hAnsi="方正小标宋简体" w:eastAsia="方正小标宋简体" w:cs="方正小标宋简体"/>
          <w:sz w:val="40"/>
          <w:szCs w:val="40"/>
          <w:lang w:val="zh-CN"/>
        </w:rPr>
      </w:pPr>
      <w:r>
        <w:rPr>
          <w:rFonts w:hint="eastAsia" w:ascii="方正小标宋简体" w:hAnsi="方正小标宋简体" w:eastAsia="方正小标宋简体" w:cs="方正小标宋简体"/>
          <w:sz w:val="40"/>
          <w:szCs w:val="40"/>
        </w:rPr>
        <w:t>2021年</w:t>
      </w:r>
      <w:r>
        <w:rPr>
          <w:rFonts w:hint="eastAsia" w:ascii="方正小标宋简体" w:hAnsi="方正小标宋简体" w:eastAsia="方正小标宋简体" w:cs="方正小标宋简体"/>
          <w:sz w:val="40"/>
          <w:szCs w:val="40"/>
          <w:lang w:val="zh-CN"/>
        </w:rPr>
        <w:t>专项预算项目支出绩效自评报告</w:t>
      </w:r>
    </w:p>
    <w:p>
      <w:pPr>
        <w:autoSpaceDE w:val="0"/>
        <w:autoSpaceDN w:val="0"/>
        <w:adjustRightInd w:val="0"/>
        <w:spacing w:line="600" w:lineRule="exact"/>
        <w:ind w:firstLine="640" w:firstLineChars="200"/>
        <w:jc w:val="center"/>
        <w:rPr>
          <w:rFonts w:ascii="楷体_GB2312" w:eastAsia="楷体_GB2312"/>
          <w:kern w:val="0"/>
          <w:sz w:val="32"/>
          <w:szCs w:val="32"/>
        </w:rPr>
      </w:pPr>
      <w:r>
        <w:rPr>
          <w:rFonts w:hint="eastAsia" w:ascii="楷体_GB2312" w:eastAsia="楷体_GB2312"/>
          <w:kern w:val="0"/>
          <w:sz w:val="32"/>
          <w:szCs w:val="32"/>
        </w:rPr>
        <w:t>（关工委经费）</w:t>
      </w:r>
    </w:p>
    <w:p>
      <w:pPr>
        <w:autoSpaceDE w:val="0"/>
        <w:autoSpaceDN w:val="0"/>
        <w:adjustRightInd w:val="0"/>
        <w:spacing w:line="600" w:lineRule="exact"/>
        <w:ind w:firstLine="640" w:firstLineChars="200"/>
        <w:jc w:val="left"/>
        <w:rPr>
          <w:rFonts w:eastAsia="黑体"/>
          <w:kern w:val="0"/>
          <w:sz w:val="32"/>
          <w:szCs w:val="32"/>
        </w:rPr>
      </w:pPr>
      <w:r>
        <w:rPr>
          <w:rFonts w:ascii="黑体" w:hAnsi="黑体" w:eastAsia="黑体"/>
          <w:kern w:val="0"/>
          <w:sz w:val="32"/>
          <w:szCs w:val="32"/>
        </w:rPr>
        <w:t>一、项目概况</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（一）项目基本情况。</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1</w:t>
      </w:r>
      <w:r>
        <w:rPr>
          <w:rFonts w:ascii="仿宋_GB2312" w:eastAsia="仿宋_GB2312"/>
          <w:kern w:val="0"/>
          <w:sz w:val="32"/>
          <w:szCs w:val="32"/>
        </w:rPr>
        <w:t>．说明项目主管部门（单位）在该项目管理中的职能。市委政法委2011年成立了关心下一代工作委员会，共有成员7名，其中离退休老干部</w:t>
      </w:r>
      <w:r>
        <w:rPr>
          <w:rFonts w:hint="eastAsia" w:ascii="仿宋_GB2312" w:eastAsia="仿宋_GB2312"/>
          <w:kern w:val="0"/>
          <w:sz w:val="32"/>
          <w:szCs w:val="32"/>
        </w:rPr>
        <w:t>2</w:t>
      </w:r>
      <w:r>
        <w:rPr>
          <w:rFonts w:ascii="仿宋_GB2312" w:eastAsia="仿宋_GB2312"/>
          <w:kern w:val="0"/>
          <w:sz w:val="32"/>
          <w:szCs w:val="32"/>
        </w:rPr>
        <w:t>名，关工委主任由市委政法委常务副书记刘文权同志担任，执行主任由离退休老干部刘定汶同志担任。</w:t>
      </w:r>
      <w:r>
        <w:rPr>
          <w:rFonts w:hint="eastAsia" w:ascii="仿宋_GB2312" w:eastAsia="仿宋_GB2312"/>
          <w:kern w:val="0"/>
          <w:sz w:val="32"/>
          <w:szCs w:val="32"/>
        </w:rPr>
        <w:t>我委</w:t>
      </w:r>
      <w:r>
        <w:rPr>
          <w:rFonts w:ascii="仿宋_GB2312" w:eastAsia="仿宋_GB2312"/>
          <w:kern w:val="0"/>
          <w:sz w:val="32"/>
          <w:szCs w:val="32"/>
        </w:rPr>
        <w:t>在</w:t>
      </w:r>
      <w:r>
        <w:rPr>
          <w:rFonts w:hint="eastAsia" w:ascii="仿宋_GB2312" w:eastAsia="仿宋_GB2312"/>
          <w:kern w:val="0"/>
          <w:sz w:val="32"/>
          <w:szCs w:val="32"/>
        </w:rPr>
        <w:t>机关党总支</w:t>
      </w:r>
      <w:r>
        <w:rPr>
          <w:rFonts w:ascii="仿宋_GB2312" w:eastAsia="仿宋_GB2312"/>
          <w:kern w:val="0"/>
          <w:sz w:val="32"/>
          <w:szCs w:val="32"/>
        </w:rPr>
        <w:t>设立了关工委办公室作为关心下一代工作的常设机构，办公室主任由机关党总支书记刘春明同志兼任，负责日常工作的组织协调，</w:t>
      </w:r>
      <w:r>
        <w:rPr>
          <w:rFonts w:hint="eastAsia" w:ascii="仿宋_GB2312" w:eastAsia="仿宋_GB2312"/>
          <w:kern w:val="0"/>
          <w:sz w:val="32"/>
          <w:szCs w:val="32"/>
        </w:rPr>
        <w:t>具体工作由机关党总支青年委员王彩虹负责，在关工委项目支出中履行审批、使用、监督职能</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2</w:t>
      </w:r>
      <w:r>
        <w:rPr>
          <w:rFonts w:ascii="仿宋_GB2312" w:eastAsia="仿宋_GB2312"/>
          <w:kern w:val="0"/>
          <w:sz w:val="32"/>
          <w:szCs w:val="32"/>
        </w:rPr>
        <w:t>．项目立项、资金申报的依据。</w:t>
      </w:r>
      <w:r>
        <w:rPr>
          <w:rFonts w:hint="eastAsia" w:ascii="仿宋_GB2312" w:eastAsia="仿宋_GB2312"/>
          <w:kern w:val="0"/>
          <w:sz w:val="32"/>
          <w:szCs w:val="32"/>
        </w:rPr>
        <w:t>按照市委工委2021年工作重点开展工作，申报资金。</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3</w:t>
      </w:r>
      <w:r>
        <w:rPr>
          <w:rFonts w:ascii="仿宋_GB2312" w:eastAsia="仿宋_GB2312"/>
          <w:kern w:val="0"/>
          <w:sz w:val="32"/>
          <w:szCs w:val="32"/>
        </w:rPr>
        <w:t>．资金管理办法制定情况，资金支持具体项目的条件、范围与支持方式概况。</w:t>
      </w:r>
      <w:r>
        <w:rPr>
          <w:rFonts w:hint="eastAsia" w:ascii="仿宋_GB2312" w:eastAsia="仿宋_GB2312"/>
          <w:kern w:val="0"/>
          <w:sz w:val="32"/>
          <w:szCs w:val="32"/>
        </w:rPr>
        <w:t>奖金用于关心下一代费用支出。</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4</w:t>
      </w:r>
      <w:r>
        <w:rPr>
          <w:rFonts w:ascii="仿宋_GB2312" w:eastAsia="仿宋_GB2312"/>
          <w:kern w:val="0"/>
          <w:sz w:val="32"/>
          <w:szCs w:val="32"/>
        </w:rPr>
        <w:t>．资金分配的原则及考虑因素。</w:t>
      </w:r>
      <w:r>
        <w:rPr>
          <w:rFonts w:hint="eastAsia" w:ascii="仿宋_GB2312" w:eastAsia="仿宋_GB2312"/>
          <w:kern w:val="0"/>
          <w:sz w:val="32"/>
          <w:szCs w:val="32"/>
        </w:rPr>
        <w:t>从有利于关心下一代工作出发，在项目资金限额内据实使用。</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（二）项目绩效目标。</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1</w:t>
      </w:r>
      <w:r>
        <w:rPr>
          <w:rFonts w:ascii="仿宋_GB2312" w:eastAsia="仿宋_GB2312"/>
          <w:kern w:val="0"/>
          <w:sz w:val="32"/>
          <w:szCs w:val="32"/>
        </w:rPr>
        <w:t>．项目主要内容。</w:t>
      </w:r>
      <w:r>
        <w:rPr>
          <w:rFonts w:hint="eastAsia" w:ascii="仿宋_GB2312" w:eastAsia="仿宋_GB2312"/>
          <w:kern w:val="0"/>
          <w:sz w:val="32"/>
          <w:szCs w:val="32"/>
        </w:rPr>
        <w:t>12000元用于关心下一代工作。</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2</w:t>
      </w:r>
      <w:r>
        <w:rPr>
          <w:rFonts w:ascii="仿宋_GB2312" w:eastAsia="仿宋_GB2312"/>
          <w:kern w:val="0"/>
          <w:sz w:val="32"/>
          <w:szCs w:val="32"/>
        </w:rPr>
        <w:t>．项目应实现的具体绩效目标，包括目标的量化、细化情况以及项目实施进度计划等。</w:t>
      </w:r>
      <w:r>
        <w:rPr>
          <w:rFonts w:hint="eastAsia" w:ascii="仿宋_GB2312" w:eastAsia="仿宋_GB2312"/>
          <w:kern w:val="0"/>
          <w:sz w:val="32"/>
          <w:szCs w:val="32"/>
        </w:rPr>
        <w:t>六一儿童节购买图书关心委机关干部职工未满18周岁子女；办公经费支出。</w:t>
      </w:r>
    </w:p>
    <w:p>
      <w:pPr>
        <w:spacing w:line="600" w:lineRule="exact"/>
        <w:ind w:firstLine="640" w:firstLineChars="200"/>
        <w:rPr>
          <w:rFonts w:ascii="仿宋_GB2312" w:eastAsia="仿宋_GB2312"/>
          <w:kern w:val="0"/>
          <w:sz w:val="32"/>
          <w:szCs w:val="32"/>
        </w:rPr>
      </w:pPr>
      <w:r>
        <w:rPr>
          <w:rFonts w:eastAsia="仿宋_GB2312"/>
          <w:kern w:val="0"/>
          <w:sz w:val="32"/>
          <w:szCs w:val="32"/>
        </w:rPr>
        <w:t>3</w:t>
      </w:r>
      <w:r>
        <w:rPr>
          <w:rFonts w:ascii="仿宋_GB2312" w:eastAsia="仿宋_GB2312"/>
          <w:kern w:val="0"/>
          <w:sz w:val="32"/>
          <w:szCs w:val="32"/>
        </w:rPr>
        <w:t>．分析评价申报内容是否与实际相符，申报目标是否合理可行。</w:t>
      </w:r>
      <w:r>
        <w:rPr>
          <w:rFonts w:hint="eastAsia" w:ascii="仿宋_GB2312" w:eastAsia="仿宋_GB2312"/>
          <w:kern w:val="0"/>
          <w:sz w:val="32"/>
          <w:szCs w:val="32"/>
        </w:rPr>
        <w:t>在项目经费限额内购买图书关心下一代，丰富了他们的知识，提升学习能力</w:t>
      </w:r>
      <w:r>
        <w:rPr>
          <w:rFonts w:hint="eastAsia" w:eastAsia="方正仿宋_GBK"/>
          <w:sz w:val="33"/>
          <w:szCs w:val="33"/>
        </w:rPr>
        <w:t>，</w:t>
      </w:r>
      <w:r>
        <w:rPr>
          <w:rFonts w:ascii="仿宋_GB2312" w:eastAsia="仿宋_GB2312"/>
          <w:kern w:val="0"/>
          <w:sz w:val="32"/>
          <w:szCs w:val="32"/>
        </w:rPr>
        <w:t>营造全社会都来关心青少年健康成长的良好氛围。</w:t>
      </w:r>
      <w:r>
        <w:rPr>
          <w:rFonts w:hint="eastAsia" w:ascii="仿宋_GB2312" w:eastAsia="仿宋_GB2312"/>
          <w:kern w:val="0"/>
          <w:sz w:val="32"/>
          <w:szCs w:val="32"/>
        </w:rPr>
        <w:t>与实际相符，申报目标合理可行。</w:t>
      </w:r>
    </w:p>
    <w:p>
      <w:pPr>
        <w:autoSpaceDE w:val="0"/>
        <w:autoSpaceDN w:val="0"/>
        <w:adjustRightInd w:val="0"/>
        <w:spacing w:line="600" w:lineRule="exact"/>
        <w:ind w:firstLine="640" w:firstLineChars="200"/>
        <w:jc w:val="left"/>
        <w:rPr>
          <w:rFonts w:eastAsia="楷体_GB2312"/>
          <w:kern w:val="0"/>
          <w:sz w:val="32"/>
          <w:szCs w:val="32"/>
        </w:rPr>
      </w:pPr>
      <w:r>
        <w:rPr>
          <w:rFonts w:ascii="黑体" w:hAnsi="黑体" w:eastAsia="黑体"/>
          <w:kern w:val="0"/>
          <w:sz w:val="32"/>
          <w:szCs w:val="32"/>
        </w:rPr>
        <w:t>二、项目资金申报及使用情况</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（一）项目资金申报及批复情况。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项目按程序</w:t>
      </w:r>
      <w:r>
        <w:rPr>
          <w:rFonts w:ascii="仿宋_GB2312" w:eastAsia="仿宋_GB2312"/>
          <w:kern w:val="0"/>
          <w:sz w:val="32"/>
          <w:szCs w:val="32"/>
        </w:rPr>
        <w:t>申报、</w:t>
      </w:r>
      <w:r>
        <w:rPr>
          <w:rFonts w:hint="eastAsia" w:ascii="仿宋_GB2312" w:eastAsia="仿宋_GB2312"/>
          <w:kern w:val="0"/>
          <w:sz w:val="32"/>
          <w:szCs w:val="32"/>
        </w:rPr>
        <w:t>2021年7月追加</w:t>
      </w:r>
      <w:r>
        <w:rPr>
          <w:rFonts w:ascii="仿宋_GB2312" w:eastAsia="仿宋_GB2312"/>
          <w:kern w:val="0"/>
          <w:sz w:val="32"/>
          <w:szCs w:val="32"/>
        </w:rPr>
        <w:t>预算</w:t>
      </w:r>
      <w:r>
        <w:rPr>
          <w:rFonts w:hint="eastAsia" w:ascii="仿宋_GB2312"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（二）资金计划、到位及使用情况（可用表格形式反映）。</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1</w:t>
      </w:r>
      <w:r>
        <w:rPr>
          <w:rFonts w:ascii="楷体_GB2312" w:eastAsia="楷体_GB2312"/>
          <w:kern w:val="0"/>
          <w:sz w:val="32"/>
          <w:szCs w:val="32"/>
        </w:rPr>
        <w:t>．资金计划。</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计划资金12000元，均为市级资金</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2</w:t>
      </w:r>
      <w:r>
        <w:rPr>
          <w:rFonts w:ascii="楷体_GB2312" w:eastAsia="楷体_GB2312"/>
          <w:kern w:val="0"/>
          <w:sz w:val="32"/>
          <w:szCs w:val="32"/>
        </w:rPr>
        <w:t>．资金到位。</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实际到位12000元</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3</w:t>
      </w:r>
      <w:r>
        <w:rPr>
          <w:rFonts w:ascii="楷体_GB2312" w:eastAsia="楷体_GB2312"/>
          <w:kern w:val="0"/>
          <w:sz w:val="32"/>
          <w:szCs w:val="32"/>
        </w:rPr>
        <w:t>．资金使用。</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其中11500元用于举办</w:t>
      </w:r>
      <w:r>
        <w:rPr>
          <w:rFonts w:ascii="仿宋_GB2312" w:eastAsia="仿宋_GB2312"/>
          <w:kern w:val="0"/>
          <w:sz w:val="32"/>
          <w:szCs w:val="32"/>
        </w:rPr>
        <w:t>“夏伴书香，悦读悦享”读书庆六一活动</w:t>
      </w:r>
      <w:r>
        <w:rPr>
          <w:rFonts w:hint="eastAsia" w:ascii="仿宋_GB2312" w:eastAsia="仿宋_GB2312"/>
          <w:kern w:val="0"/>
          <w:sz w:val="32"/>
          <w:szCs w:val="32"/>
        </w:rPr>
        <w:t>，500元用于办公经费支出</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（三）项目财务管理情况。</w:t>
      </w:r>
    </w:p>
    <w:p>
      <w:pPr>
        <w:autoSpaceDE w:val="0"/>
        <w:autoSpaceDN w:val="0"/>
        <w:adjustRightInd w:val="0"/>
        <w:spacing w:line="600" w:lineRule="exact"/>
        <w:ind w:firstLine="640" w:firstLineChars="200"/>
        <w:jc w:val="left"/>
        <w:rPr>
          <w:rFonts w:eastAsia="仿宋_GB2312"/>
          <w:kern w:val="0"/>
          <w:sz w:val="32"/>
          <w:szCs w:val="32"/>
        </w:rPr>
      </w:pPr>
      <w:r>
        <w:rPr>
          <w:rFonts w:ascii="仿宋_GB2312" w:eastAsia="仿宋_GB2312"/>
          <w:kern w:val="0"/>
          <w:sz w:val="32"/>
          <w:szCs w:val="32"/>
        </w:rPr>
        <w:t>严格执行财务管理制度，账务处理及时，会计核算规范。</w:t>
      </w:r>
    </w:p>
    <w:p>
      <w:pPr>
        <w:autoSpaceDE w:val="0"/>
        <w:autoSpaceDN w:val="0"/>
        <w:adjustRightInd w:val="0"/>
        <w:spacing w:line="600" w:lineRule="exact"/>
        <w:ind w:firstLine="640" w:firstLineChars="200"/>
        <w:jc w:val="left"/>
        <w:rPr>
          <w:rFonts w:eastAsia="黑体"/>
          <w:kern w:val="0"/>
          <w:sz w:val="32"/>
          <w:szCs w:val="32"/>
        </w:rPr>
      </w:pPr>
      <w:r>
        <w:rPr>
          <w:rFonts w:ascii="黑体" w:hAnsi="黑体" w:eastAsia="黑体"/>
          <w:kern w:val="0"/>
          <w:sz w:val="32"/>
          <w:szCs w:val="32"/>
        </w:rPr>
        <w:t>三、项目实施及管理情况</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（一）项目组织架构及实施流程。</w:t>
      </w:r>
      <w:r>
        <w:rPr>
          <w:rFonts w:hint="eastAsia" w:ascii="仿宋_GB2312" w:eastAsia="仿宋_GB2312"/>
          <w:kern w:val="0"/>
          <w:sz w:val="32"/>
          <w:szCs w:val="32"/>
        </w:rPr>
        <w:t>由政法委机关政治部拟定关心下一代工作方案，写明活动目的及资金需求，报分管领导审批后实施。</w:t>
      </w:r>
    </w:p>
    <w:p>
      <w:pPr>
        <w:autoSpaceDE w:val="0"/>
        <w:autoSpaceDN w:val="0"/>
        <w:adjustRightInd w:val="0"/>
        <w:spacing w:line="600" w:lineRule="exact"/>
        <w:ind w:firstLine="640" w:firstLineChars="200"/>
        <w:jc w:val="left"/>
        <w:rPr>
          <w:rFonts w:eastAsia="仿宋_GB2312"/>
          <w:kern w:val="0"/>
          <w:sz w:val="32"/>
          <w:szCs w:val="32"/>
        </w:rPr>
      </w:pPr>
      <w:r>
        <w:rPr>
          <w:rFonts w:ascii="楷体_GB2312" w:eastAsia="楷体_GB2312"/>
          <w:kern w:val="0"/>
          <w:sz w:val="32"/>
          <w:szCs w:val="32"/>
        </w:rPr>
        <w:t>（二）项目管理情况。</w:t>
      </w:r>
      <w:r>
        <w:rPr>
          <w:rFonts w:hint="eastAsia" w:ascii="仿宋_GB2312" w:eastAsia="仿宋_GB2312"/>
          <w:kern w:val="0"/>
          <w:sz w:val="32"/>
          <w:szCs w:val="32"/>
        </w:rPr>
        <w:t>资金使用严格按照相关规定进行</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ascii="楷体_GB2312" w:eastAsia="楷体_GB2312"/>
          <w:kern w:val="0"/>
          <w:sz w:val="32"/>
          <w:szCs w:val="32"/>
        </w:rPr>
        <w:t>（三）项目监管情况。</w:t>
      </w:r>
      <w:r>
        <w:rPr>
          <w:rFonts w:hint="eastAsia" w:ascii="仿宋_GB2312" w:eastAsia="仿宋_GB2312"/>
          <w:kern w:val="0"/>
          <w:sz w:val="32"/>
          <w:szCs w:val="32"/>
        </w:rPr>
        <w:t>资金使用与审批部门分离，监管到位。</w:t>
      </w:r>
    </w:p>
    <w:p>
      <w:pPr>
        <w:autoSpaceDE w:val="0"/>
        <w:autoSpaceDN w:val="0"/>
        <w:adjustRightInd w:val="0"/>
        <w:spacing w:line="600" w:lineRule="exact"/>
        <w:ind w:firstLine="640" w:firstLineChars="200"/>
        <w:jc w:val="left"/>
        <w:rPr>
          <w:rFonts w:eastAsia="黑体"/>
          <w:kern w:val="0"/>
          <w:sz w:val="32"/>
          <w:szCs w:val="32"/>
        </w:rPr>
      </w:pPr>
      <w:r>
        <w:rPr>
          <w:rFonts w:ascii="黑体" w:hAnsi="黑体" w:eastAsia="黑体"/>
          <w:kern w:val="0"/>
          <w:sz w:val="32"/>
          <w:szCs w:val="32"/>
        </w:rPr>
        <w:t>四、项目绩效情况</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（一）项目完成情况。</w:t>
      </w:r>
    </w:p>
    <w:p>
      <w:pPr>
        <w:autoSpaceDE w:val="0"/>
        <w:autoSpaceDN w:val="0"/>
        <w:adjustRightInd w:val="0"/>
        <w:spacing w:line="600" w:lineRule="exact"/>
        <w:ind w:firstLine="640" w:firstLineChars="200"/>
        <w:jc w:val="left"/>
        <w:rPr>
          <w:rFonts w:eastAsia="仿宋_GB2312"/>
          <w:kern w:val="0"/>
          <w:sz w:val="32"/>
          <w:szCs w:val="32"/>
        </w:rPr>
      </w:pPr>
      <w:r>
        <w:rPr>
          <w:rFonts w:ascii="仿宋_GB2312" w:eastAsia="仿宋_GB2312"/>
          <w:kern w:val="0"/>
          <w:sz w:val="32"/>
          <w:szCs w:val="32"/>
        </w:rPr>
        <w:t>对照项目计划完成目标，</w:t>
      </w:r>
      <w:r>
        <w:rPr>
          <w:rFonts w:hint="eastAsia" w:ascii="仿宋_GB2312" w:eastAsia="仿宋_GB2312"/>
          <w:kern w:val="0"/>
          <w:sz w:val="32"/>
          <w:szCs w:val="32"/>
        </w:rPr>
        <w:t>已全面完成目标任务</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（二）项目效益情况。</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通过</w:t>
      </w:r>
      <w:r>
        <w:rPr>
          <w:rFonts w:ascii="仿宋_GB2312" w:eastAsia="仿宋_GB2312"/>
          <w:kern w:val="0"/>
          <w:sz w:val="32"/>
          <w:szCs w:val="32"/>
        </w:rPr>
        <w:t>举行“夏伴书香，悦读悦享”读书庆六一活动，发放各类图书</w:t>
      </w:r>
      <w:r>
        <w:rPr>
          <w:rFonts w:hint="eastAsia" w:ascii="仿宋_GB2312" w:eastAsia="仿宋_GB2312"/>
          <w:kern w:val="0"/>
          <w:sz w:val="32"/>
          <w:szCs w:val="32"/>
        </w:rPr>
        <w:t>近百份，</w:t>
      </w:r>
      <w:r>
        <w:rPr>
          <w:rFonts w:ascii="仿宋_GB2312" w:eastAsia="仿宋_GB2312"/>
          <w:kern w:val="0"/>
          <w:sz w:val="32"/>
          <w:szCs w:val="32"/>
        </w:rPr>
        <w:t>针对委机关青少年及职工子女积极开展</w:t>
      </w:r>
      <w:r>
        <w:rPr>
          <w:rFonts w:hint="eastAsia" w:ascii="仿宋_GB2312" w:eastAsia="仿宋_GB2312"/>
          <w:kern w:val="0"/>
          <w:sz w:val="32"/>
          <w:szCs w:val="32"/>
        </w:rPr>
        <w:t>了</w:t>
      </w:r>
      <w:r>
        <w:rPr>
          <w:rFonts w:ascii="仿宋_GB2312" w:eastAsia="仿宋_GB2312"/>
          <w:kern w:val="0"/>
          <w:sz w:val="32"/>
          <w:szCs w:val="32"/>
        </w:rPr>
        <w:t>思想道德教育、</w:t>
      </w:r>
      <w:r>
        <w:rPr>
          <w:rFonts w:hint="eastAsia" w:ascii="仿宋_GB2312" w:eastAsia="仿宋_GB2312"/>
          <w:kern w:val="0"/>
          <w:sz w:val="32"/>
          <w:szCs w:val="32"/>
        </w:rPr>
        <w:t>法治</w:t>
      </w:r>
      <w:r>
        <w:rPr>
          <w:rFonts w:ascii="仿宋_GB2312" w:eastAsia="仿宋_GB2312"/>
          <w:kern w:val="0"/>
          <w:sz w:val="32"/>
          <w:szCs w:val="32"/>
        </w:rPr>
        <w:t>教育、家庭教育及心理关爱</w:t>
      </w:r>
      <w:r>
        <w:rPr>
          <w:rFonts w:hint="eastAsia" w:ascii="仿宋_GB2312" w:eastAsia="仿宋_GB2312"/>
          <w:kern w:val="0"/>
          <w:sz w:val="32"/>
          <w:szCs w:val="32"/>
        </w:rPr>
        <w:t>，丰富了他们的知识，提升学习能力，</w:t>
      </w:r>
      <w:r>
        <w:rPr>
          <w:rFonts w:ascii="仿宋_GB2312" w:eastAsia="仿宋_GB2312"/>
          <w:kern w:val="0"/>
          <w:sz w:val="32"/>
          <w:szCs w:val="32"/>
        </w:rPr>
        <w:t>营造全社会都来关心青少年健康成长的良好氛围</w:t>
      </w:r>
      <w:r>
        <w:rPr>
          <w:rFonts w:hint="eastAsia" w:ascii="仿宋_GB2312" w:eastAsia="仿宋_GB2312"/>
          <w:kern w:val="0"/>
          <w:sz w:val="32"/>
          <w:szCs w:val="32"/>
        </w:rPr>
        <w:t>。</w:t>
      </w:r>
    </w:p>
    <w:p>
      <w:pPr>
        <w:autoSpaceDE w:val="0"/>
        <w:autoSpaceDN w:val="0"/>
        <w:adjustRightInd w:val="0"/>
        <w:spacing w:line="600" w:lineRule="exact"/>
        <w:ind w:firstLine="640" w:firstLineChars="200"/>
        <w:jc w:val="left"/>
        <w:rPr>
          <w:rFonts w:eastAsia="黑体"/>
          <w:kern w:val="0"/>
          <w:sz w:val="32"/>
          <w:szCs w:val="32"/>
        </w:rPr>
      </w:pPr>
      <w:r>
        <w:rPr>
          <w:rFonts w:ascii="黑体" w:hAnsi="黑体" w:eastAsia="黑体"/>
          <w:kern w:val="0"/>
          <w:sz w:val="32"/>
          <w:szCs w:val="32"/>
        </w:rPr>
        <w:t>五、评价结论及建议</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（一）评价结论。</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此项目有助于提升政法委机关关心下一代工作水平，改善办公条件</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（二）存在的问题。</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经费总量小，开展活动不畅</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（三）相关建议。</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适当增加经费总量</w:t>
      </w:r>
      <w:r>
        <w:rPr>
          <w:rFonts w:ascii="仿宋_GB2312" w:eastAsia="仿宋_GB2312"/>
          <w:kern w:val="0"/>
          <w:sz w:val="32"/>
          <w:szCs w:val="32"/>
        </w:rPr>
        <w:t>。</w:t>
      </w:r>
    </w:p>
    <w:p>
      <w:pPr>
        <w:pStyle w:val="2"/>
        <w:spacing w:before="93"/>
      </w:pPr>
    </w:p>
    <w:p>
      <w:pPr>
        <w:pStyle w:val="2"/>
        <w:spacing w:before="93"/>
        <w:rPr>
          <w:lang w:val="zh-CN"/>
        </w:rPr>
      </w:pPr>
    </w:p>
    <w:p>
      <w:pPr>
        <w:pStyle w:val="2"/>
        <w:spacing w:before="93"/>
        <w:rPr>
          <w:lang w:val="zh-CN"/>
        </w:rPr>
      </w:pPr>
      <w:r>
        <w:rPr>
          <w:rFonts w:hint="eastAsia"/>
          <w:lang w:val="zh-CN"/>
        </w:rPr>
        <w:t>附件</w:t>
      </w:r>
    </w:p>
    <w:p>
      <w:pPr>
        <w:jc w:val="center"/>
        <w:rPr>
          <w:rFonts w:ascii="方正黑体_GBK" w:eastAsia="方正黑体_GBK"/>
          <w:sz w:val="32"/>
          <w:szCs w:val="32"/>
        </w:rPr>
      </w:pPr>
      <w:r>
        <w:rPr>
          <w:rFonts w:hint="eastAsia" w:ascii="方正黑体_GBK" w:eastAsia="方正黑体_GBK"/>
          <w:sz w:val="32"/>
          <w:szCs w:val="32"/>
        </w:rPr>
        <w:t>2021年</w:t>
      </w:r>
      <w:r>
        <w:rPr>
          <w:rFonts w:hint="eastAsia" w:ascii="方正黑体_GBK" w:eastAsia="方正黑体_GBK"/>
          <w:sz w:val="32"/>
          <w:szCs w:val="32"/>
          <w:lang w:val="zh-CN"/>
        </w:rPr>
        <w:t>专项预算项目支出绩效自评报告</w:t>
      </w:r>
    </w:p>
    <w:p>
      <w:pPr>
        <w:jc w:val="center"/>
        <w:rPr>
          <w:rFonts w:ascii="方正黑体_GBK" w:eastAsia="方正黑体_GBK"/>
          <w:sz w:val="32"/>
          <w:szCs w:val="32"/>
        </w:rPr>
      </w:pPr>
      <w:r>
        <w:rPr>
          <w:rFonts w:hint="eastAsia" w:ascii="方正黑体_GBK" w:eastAsia="方正黑体_GBK"/>
          <w:sz w:val="32"/>
          <w:szCs w:val="32"/>
        </w:rPr>
        <w:t>（社会治理创新专项经费项目）</w:t>
      </w:r>
    </w:p>
    <w:p>
      <w:pPr>
        <w:autoSpaceDE w:val="0"/>
        <w:autoSpaceDN w:val="0"/>
        <w:adjustRightInd w:val="0"/>
        <w:spacing w:line="600" w:lineRule="exact"/>
        <w:jc w:val="left"/>
        <w:rPr>
          <w:rFonts w:eastAsia="黑体"/>
          <w:kern w:val="0"/>
          <w:sz w:val="32"/>
          <w:szCs w:val="32"/>
        </w:rPr>
      </w:pPr>
      <w:r>
        <w:rPr>
          <w:rFonts w:ascii="黑体" w:eastAsia="黑体"/>
          <w:kern w:val="0"/>
          <w:sz w:val="32"/>
          <w:szCs w:val="32"/>
        </w:rPr>
        <w:t>一、项目概况</w:t>
      </w:r>
    </w:p>
    <w:p>
      <w:pPr>
        <w:autoSpaceDE w:val="0"/>
        <w:autoSpaceDN w:val="0"/>
        <w:adjustRightInd w:val="0"/>
        <w:spacing w:line="600" w:lineRule="exact"/>
        <w:ind w:firstLine="642" w:firstLineChars="200"/>
        <w:jc w:val="left"/>
        <w:rPr>
          <w:rFonts w:eastAsia="方正楷体_GBK"/>
          <w:b/>
          <w:bCs/>
          <w:kern w:val="0"/>
          <w:sz w:val="32"/>
          <w:szCs w:val="32"/>
        </w:rPr>
      </w:pPr>
      <w:r>
        <w:rPr>
          <w:rFonts w:ascii="方正楷体_GBK" w:eastAsia="方正楷体_GBK"/>
          <w:b/>
          <w:bCs/>
          <w:kern w:val="0"/>
          <w:sz w:val="32"/>
          <w:szCs w:val="32"/>
        </w:rPr>
        <w:t>（一）项目基本情况。</w:t>
      </w:r>
    </w:p>
    <w:p>
      <w:pPr>
        <w:autoSpaceDE w:val="0"/>
        <w:autoSpaceDN w:val="0"/>
        <w:adjustRightInd w:val="0"/>
        <w:spacing w:line="600" w:lineRule="exact"/>
        <w:ind w:firstLine="642" w:firstLineChars="200"/>
        <w:jc w:val="left"/>
        <w:rPr>
          <w:rFonts w:ascii="仿宋_GB2312" w:eastAsia="仿宋_GB2312"/>
          <w:b/>
          <w:bCs/>
          <w:kern w:val="0"/>
          <w:sz w:val="32"/>
          <w:szCs w:val="32"/>
        </w:rPr>
      </w:pPr>
      <w:r>
        <w:rPr>
          <w:rFonts w:eastAsia="仿宋_GB2312"/>
          <w:b/>
          <w:bCs/>
          <w:kern w:val="0"/>
          <w:sz w:val="32"/>
          <w:szCs w:val="32"/>
        </w:rPr>
        <w:t>1</w:t>
      </w:r>
      <w:r>
        <w:rPr>
          <w:rFonts w:ascii="仿宋_GB2312" w:eastAsia="仿宋_GB2312"/>
          <w:b/>
          <w:bCs/>
          <w:kern w:val="0"/>
          <w:sz w:val="32"/>
          <w:szCs w:val="32"/>
        </w:rPr>
        <w:t>．说明项目主管部门（单位）在该项目管理中的职能。</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ascii="仿宋_GB2312" w:eastAsia="仿宋_GB2312"/>
          <w:kern w:val="0"/>
          <w:sz w:val="32"/>
          <w:szCs w:val="32"/>
        </w:rPr>
        <w:t>市平安建设暨市域社会治理现代化工作领导小组成立2020年，下设领导小组办公室（简称：市市域办），办公室主任有市委常委、政法委书记担任。办公室第一副主任由市委政法委常务副书记刘文权担任，办公室常务副主任由市委政法委副书记邓静担任，具体工作由市市域</w:t>
      </w:r>
      <w:r>
        <w:rPr>
          <w:rFonts w:hint="eastAsia" w:ascii="仿宋_GB2312" w:eastAsia="仿宋_GB2312"/>
          <w:kern w:val="0"/>
          <w:sz w:val="32"/>
          <w:szCs w:val="32"/>
        </w:rPr>
        <w:t>办曾泽润</w:t>
      </w:r>
      <w:r>
        <w:rPr>
          <w:rFonts w:ascii="仿宋_GB2312" w:eastAsia="仿宋_GB2312"/>
          <w:kern w:val="0"/>
          <w:sz w:val="32"/>
          <w:szCs w:val="32"/>
        </w:rPr>
        <w:t>负责，市市域办负责统筹推进我市市域社会治理现代化的日常工作。</w:t>
      </w:r>
    </w:p>
    <w:p>
      <w:pPr>
        <w:autoSpaceDE w:val="0"/>
        <w:autoSpaceDN w:val="0"/>
        <w:adjustRightInd w:val="0"/>
        <w:spacing w:line="600" w:lineRule="exact"/>
        <w:ind w:firstLine="642" w:firstLineChars="200"/>
        <w:jc w:val="left"/>
        <w:rPr>
          <w:rFonts w:ascii="仿宋_GB2312" w:eastAsia="仿宋_GB2312"/>
          <w:kern w:val="0"/>
          <w:sz w:val="32"/>
          <w:szCs w:val="32"/>
        </w:rPr>
      </w:pPr>
      <w:r>
        <w:rPr>
          <w:rFonts w:eastAsia="仿宋_GB2312"/>
          <w:b/>
          <w:bCs/>
          <w:kern w:val="0"/>
          <w:sz w:val="32"/>
          <w:szCs w:val="32"/>
        </w:rPr>
        <w:t>2</w:t>
      </w:r>
      <w:r>
        <w:rPr>
          <w:rFonts w:ascii="仿宋_GB2312" w:eastAsia="仿宋_GB2312"/>
          <w:b/>
          <w:bCs/>
          <w:kern w:val="0"/>
          <w:sz w:val="32"/>
          <w:szCs w:val="32"/>
        </w:rPr>
        <w:t>．项目立项、资金申报的依据。</w:t>
      </w:r>
      <w:r>
        <w:rPr>
          <w:rFonts w:ascii="仿宋_GB2312" w:eastAsia="仿宋_GB2312"/>
          <w:kern w:val="0"/>
          <w:sz w:val="32"/>
          <w:szCs w:val="32"/>
        </w:rPr>
        <w:t>根据《全国市域社会治理现代化试点工作指引》项目任务开展相关工作，申报资金。</w:t>
      </w:r>
    </w:p>
    <w:p>
      <w:pPr>
        <w:autoSpaceDE w:val="0"/>
        <w:autoSpaceDN w:val="0"/>
        <w:adjustRightInd w:val="0"/>
        <w:spacing w:line="600" w:lineRule="exact"/>
        <w:ind w:firstLine="642" w:firstLineChars="200"/>
        <w:jc w:val="left"/>
        <w:rPr>
          <w:rFonts w:eastAsia="仿宋_GB2312"/>
          <w:b/>
          <w:bCs/>
          <w:kern w:val="0"/>
          <w:sz w:val="32"/>
          <w:szCs w:val="32"/>
        </w:rPr>
      </w:pPr>
      <w:r>
        <w:rPr>
          <w:rFonts w:eastAsia="仿宋_GB2312"/>
          <w:b/>
          <w:bCs/>
          <w:kern w:val="0"/>
          <w:sz w:val="32"/>
          <w:szCs w:val="32"/>
        </w:rPr>
        <w:t>3</w:t>
      </w:r>
      <w:r>
        <w:rPr>
          <w:rFonts w:ascii="仿宋_GB2312" w:eastAsia="仿宋_GB2312"/>
          <w:b/>
          <w:bCs/>
          <w:kern w:val="0"/>
          <w:sz w:val="32"/>
          <w:szCs w:val="32"/>
        </w:rPr>
        <w:t>．资金管理办法制定情况，资金支持具体项目的条件、范围与支持方式概况。</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ascii="仿宋_GB2312" w:eastAsia="仿宋_GB2312"/>
          <w:kern w:val="0"/>
          <w:sz w:val="32"/>
          <w:szCs w:val="32"/>
        </w:rPr>
        <w:t>资金</w:t>
      </w:r>
      <w:r>
        <w:rPr>
          <w:rFonts w:hint="eastAsia" w:ascii="仿宋_GB2312" w:eastAsia="仿宋_GB2312"/>
          <w:kern w:val="0"/>
          <w:sz w:val="32"/>
          <w:szCs w:val="32"/>
        </w:rPr>
        <w:t>按照规定使用，主要</w:t>
      </w:r>
      <w:r>
        <w:rPr>
          <w:rFonts w:ascii="仿宋_GB2312" w:eastAsia="仿宋_GB2312"/>
          <w:kern w:val="0"/>
          <w:sz w:val="32"/>
          <w:szCs w:val="32"/>
        </w:rPr>
        <w:t>用于会务、开展调研、印制资料、市域社会治理现代化研究中心研究经费。</w:t>
      </w:r>
    </w:p>
    <w:p>
      <w:pPr>
        <w:autoSpaceDE w:val="0"/>
        <w:autoSpaceDN w:val="0"/>
        <w:adjustRightInd w:val="0"/>
        <w:spacing w:line="600" w:lineRule="exact"/>
        <w:ind w:firstLine="642" w:firstLineChars="200"/>
        <w:jc w:val="left"/>
        <w:rPr>
          <w:rFonts w:eastAsia="仿宋_GB2312"/>
          <w:b/>
          <w:bCs/>
          <w:kern w:val="0"/>
          <w:sz w:val="32"/>
          <w:szCs w:val="32"/>
        </w:rPr>
      </w:pPr>
      <w:r>
        <w:rPr>
          <w:rFonts w:eastAsia="仿宋_GB2312"/>
          <w:b/>
          <w:bCs/>
          <w:kern w:val="0"/>
          <w:sz w:val="32"/>
          <w:szCs w:val="32"/>
        </w:rPr>
        <w:t>4</w:t>
      </w:r>
      <w:r>
        <w:rPr>
          <w:rFonts w:ascii="仿宋_GB2312" w:eastAsia="仿宋_GB2312"/>
          <w:b/>
          <w:bCs/>
          <w:kern w:val="0"/>
          <w:sz w:val="32"/>
          <w:szCs w:val="32"/>
        </w:rPr>
        <w:t>．资金分配的原则及考虑因素。</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因资金主要是工作经费性质根据实际发生使用，不存在分配。</w:t>
      </w:r>
    </w:p>
    <w:p>
      <w:pPr>
        <w:autoSpaceDE w:val="0"/>
        <w:autoSpaceDN w:val="0"/>
        <w:adjustRightInd w:val="0"/>
        <w:spacing w:line="600" w:lineRule="exact"/>
        <w:ind w:firstLine="642" w:firstLineChars="200"/>
        <w:jc w:val="left"/>
        <w:rPr>
          <w:rFonts w:eastAsia="方正楷体_GBK"/>
          <w:b/>
          <w:bCs/>
          <w:kern w:val="0"/>
          <w:sz w:val="32"/>
          <w:szCs w:val="32"/>
        </w:rPr>
      </w:pPr>
      <w:r>
        <w:rPr>
          <w:rFonts w:ascii="方正楷体_GBK" w:eastAsia="方正楷体_GBK"/>
          <w:b/>
          <w:bCs/>
          <w:kern w:val="0"/>
          <w:sz w:val="32"/>
          <w:szCs w:val="32"/>
        </w:rPr>
        <w:t>（二）项目绩效目标。</w:t>
      </w:r>
    </w:p>
    <w:p>
      <w:pPr>
        <w:autoSpaceDE w:val="0"/>
        <w:autoSpaceDN w:val="0"/>
        <w:adjustRightInd w:val="0"/>
        <w:spacing w:line="600" w:lineRule="exact"/>
        <w:ind w:firstLine="642" w:firstLineChars="200"/>
        <w:jc w:val="left"/>
        <w:rPr>
          <w:rFonts w:ascii="仿宋_GB2312" w:eastAsia="仿宋_GB2312"/>
          <w:kern w:val="0"/>
          <w:sz w:val="32"/>
          <w:szCs w:val="32"/>
        </w:rPr>
      </w:pPr>
      <w:r>
        <w:rPr>
          <w:rFonts w:eastAsia="仿宋_GB2312"/>
          <w:b/>
          <w:bCs/>
          <w:kern w:val="0"/>
          <w:sz w:val="32"/>
          <w:szCs w:val="32"/>
        </w:rPr>
        <w:t>1</w:t>
      </w:r>
      <w:r>
        <w:rPr>
          <w:rFonts w:ascii="仿宋_GB2312" w:eastAsia="仿宋_GB2312"/>
          <w:b/>
          <w:bCs/>
          <w:kern w:val="0"/>
          <w:sz w:val="32"/>
          <w:szCs w:val="32"/>
        </w:rPr>
        <w:t>．项目主要内容。</w:t>
      </w:r>
      <w:r>
        <w:rPr>
          <w:rFonts w:ascii="仿宋_GB2312" w:eastAsia="仿宋_GB2312"/>
          <w:kern w:val="0"/>
          <w:sz w:val="32"/>
          <w:szCs w:val="32"/>
        </w:rPr>
        <w:t>2</w:t>
      </w:r>
      <w:r>
        <w:rPr>
          <w:rFonts w:hint="eastAsia" w:ascii="仿宋_GB2312" w:eastAsia="仿宋_GB2312"/>
          <w:kern w:val="0"/>
          <w:sz w:val="32"/>
          <w:szCs w:val="32"/>
        </w:rPr>
        <w:t>.7万</w:t>
      </w:r>
      <w:r>
        <w:rPr>
          <w:rFonts w:ascii="仿宋_GB2312" w:eastAsia="仿宋_GB2312"/>
          <w:kern w:val="0"/>
          <w:sz w:val="32"/>
          <w:szCs w:val="32"/>
        </w:rPr>
        <w:t>元用于会务、开展调研、印制资料、组织市域社会治理现代化研究中心开展理论研究，日常办公经费支出。</w:t>
      </w:r>
    </w:p>
    <w:p>
      <w:pPr>
        <w:autoSpaceDE w:val="0"/>
        <w:autoSpaceDN w:val="0"/>
        <w:adjustRightInd w:val="0"/>
        <w:spacing w:line="600" w:lineRule="exact"/>
        <w:ind w:firstLine="642" w:firstLineChars="200"/>
        <w:jc w:val="left"/>
        <w:rPr>
          <w:rFonts w:ascii="仿宋_GB2312" w:eastAsia="仿宋_GB2312"/>
          <w:kern w:val="0"/>
          <w:sz w:val="32"/>
          <w:szCs w:val="32"/>
        </w:rPr>
      </w:pPr>
      <w:r>
        <w:rPr>
          <w:rFonts w:eastAsia="仿宋_GB2312"/>
          <w:b/>
          <w:bCs/>
          <w:kern w:val="0"/>
          <w:sz w:val="32"/>
          <w:szCs w:val="32"/>
        </w:rPr>
        <w:t>2</w:t>
      </w:r>
      <w:r>
        <w:rPr>
          <w:rFonts w:ascii="仿宋_GB2312" w:eastAsia="仿宋_GB2312"/>
          <w:b/>
          <w:bCs/>
          <w:kern w:val="0"/>
          <w:sz w:val="32"/>
          <w:szCs w:val="32"/>
        </w:rPr>
        <w:t>．项目应实现的具体绩效目标，包括目标的量化、细化情况以及项目实施进度计划等。</w:t>
      </w:r>
      <w:r>
        <w:rPr>
          <w:rFonts w:ascii="仿宋_GB2312" w:eastAsia="仿宋_GB2312"/>
          <w:kern w:val="0"/>
          <w:sz w:val="32"/>
          <w:szCs w:val="32"/>
        </w:rPr>
        <w:t>按照《全国市域社会治理现代化工作指引》要求开展相关工作，召开了我市市域社会治理现代化试点工作推进会，组织参加全国、全省市域社会治理现代化相关会议，我市智慧城市运营中心、三说会堂、第三方调解、回龙湾治理等经验在全国、全省推广交流</w:t>
      </w:r>
      <w:r>
        <w:rPr>
          <w:rFonts w:hint="eastAsia" w:ascii="仿宋_GB2312" w:eastAsia="仿宋_GB2312"/>
          <w:kern w:val="0"/>
          <w:sz w:val="32"/>
          <w:szCs w:val="32"/>
        </w:rPr>
        <w:t>。</w:t>
      </w:r>
    </w:p>
    <w:p>
      <w:pPr>
        <w:autoSpaceDE w:val="0"/>
        <w:autoSpaceDN w:val="0"/>
        <w:adjustRightInd w:val="0"/>
        <w:spacing w:line="600" w:lineRule="exact"/>
        <w:ind w:firstLine="642" w:firstLineChars="200"/>
        <w:jc w:val="left"/>
        <w:rPr>
          <w:rFonts w:eastAsia="仿宋_GB2312"/>
          <w:b/>
          <w:bCs/>
          <w:kern w:val="0"/>
          <w:sz w:val="32"/>
          <w:szCs w:val="32"/>
        </w:rPr>
      </w:pPr>
      <w:r>
        <w:rPr>
          <w:rFonts w:eastAsia="仿宋_GB2312"/>
          <w:b/>
          <w:bCs/>
          <w:kern w:val="0"/>
          <w:sz w:val="32"/>
          <w:szCs w:val="32"/>
        </w:rPr>
        <w:t>3</w:t>
      </w:r>
      <w:r>
        <w:rPr>
          <w:rFonts w:ascii="仿宋_GB2312" w:eastAsia="仿宋_GB2312"/>
          <w:b/>
          <w:bCs/>
          <w:kern w:val="0"/>
          <w:sz w:val="32"/>
          <w:szCs w:val="32"/>
        </w:rPr>
        <w:t>．分析评价申报内容是否与实际相符，申报目标是否合理可行。</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ascii="仿宋_GB2312" w:eastAsia="仿宋_GB2312"/>
          <w:kern w:val="0"/>
          <w:sz w:val="32"/>
          <w:szCs w:val="32"/>
        </w:rPr>
        <w:t>开展社会管理创新项目</w:t>
      </w:r>
      <w:r>
        <w:rPr>
          <w:rFonts w:hint="eastAsia" w:ascii="仿宋_GB2312" w:eastAsia="仿宋_GB2312"/>
          <w:kern w:val="0"/>
          <w:sz w:val="32"/>
          <w:szCs w:val="32"/>
        </w:rPr>
        <w:t>，</w:t>
      </w:r>
      <w:r>
        <w:rPr>
          <w:rFonts w:ascii="仿宋_GB2312" w:eastAsia="仿宋_GB2312"/>
          <w:kern w:val="0"/>
          <w:sz w:val="32"/>
          <w:szCs w:val="32"/>
        </w:rPr>
        <w:t>推进全市社会治理工作不断前进</w:t>
      </w:r>
      <w:r>
        <w:rPr>
          <w:rFonts w:hint="eastAsia" w:ascii="仿宋_GB2312" w:eastAsia="仿宋_GB2312"/>
          <w:kern w:val="0"/>
          <w:sz w:val="32"/>
          <w:szCs w:val="32"/>
        </w:rPr>
        <w:t>，</w:t>
      </w:r>
      <w:r>
        <w:rPr>
          <w:rFonts w:ascii="仿宋_GB2312" w:eastAsia="仿宋_GB2312"/>
          <w:kern w:val="0"/>
          <w:sz w:val="32"/>
          <w:szCs w:val="32"/>
        </w:rPr>
        <w:t>申报内容与实际相符。</w:t>
      </w:r>
    </w:p>
    <w:p>
      <w:pPr>
        <w:numPr>
          <w:ilvl w:val="0"/>
          <w:numId w:val="5"/>
        </w:numPr>
        <w:autoSpaceDE w:val="0"/>
        <w:autoSpaceDN w:val="0"/>
        <w:adjustRightInd w:val="0"/>
        <w:spacing w:line="600" w:lineRule="exact"/>
        <w:ind w:firstLine="640" w:firstLineChars="200"/>
        <w:jc w:val="left"/>
        <w:rPr>
          <w:rFonts w:eastAsia="黑体"/>
          <w:kern w:val="0"/>
          <w:sz w:val="32"/>
          <w:szCs w:val="32"/>
        </w:rPr>
      </w:pPr>
      <w:r>
        <w:rPr>
          <w:rFonts w:ascii="黑体" w:eastAsia="黑体"/>
          <w:kern w:val="0"/>
          <w:sz w:val="32"/>
          <w:szCs w:val="32"/>
        </w:rPr>
        <w:t>项目资金申报及使用情况</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项目资金按照实际发生进行申报，资金支付金额为2.7万元。</w:t>
      </w:r>
    </w:p>
    <w:p>
      <w:pPr>
        <w:autoSpaceDE w:val="0"/>
        <w:autoSpaceDN w:val="0"/>
        <w:adjustRightInd w:val="0"/>
        <w:spacing w:line="600" w:lineRule="exact"/>
        <w:ind w:firstLine="640" w:firstLineChars="200"/>
        <w:jc w:val="left"/>
        <w:rPr>
          <w:rFonts w:eastAsia="黑体"/>
          <w:kern w:val="0"/>
          <w:sz w:val="32"/>
          <w:szCs w:val="32"/>
        </w:rPr>
      </w:pPr>
      <w:r>
        <w:rPr>
          <w:rFonts w:ascii="黑体" w:eastAsia="黑体"/>
          <w:kern w:val="0"/>
          <w:sz w:val="32"/>
          <w:szCs w:val="32"/>
        </w:rPr>
        <w:t>三、项目实施及管理情况</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ascii="仿宋_GB2312" w:eastAsia="仿宋_GB2312"/>
          <w:kern w:val="0"/>
          <w:sz w:val="32"/>
          <w:szCs w:val="32"/>
        </w:rPr>
        <w:t>结合项目组织实施管理办法，重点围绕以下内容进行分析评价，并对自评中发现的问题分析说明。</w:t>
      </w:r>
    </w:p>
    <w:p>
      <w:pPr>
        <w:autoSpaceDE w:val="0"/>
        <w:autoSpaceDN w:val="0"/>
        <w:adjustRightInd w:val="0"/>
        <w:spacing w:line="600" w:lineRule="exact"/>
        <w:ind w:firstLine="642" w:firstLineChars="200"/>
        <w:jc w:val="left"/>
        <w:rPr>
          <w:rFonts w:ascii="仿宋_GB2312" w:eastAsia="仿宋_GB2312"/>
          <w:kern w:val="0"/>
          <w:sz w:val="32"/>
          <w:szCs w:val="32"/>
        </w:rPr>
      </w:pPr>
      <w:r>
        <w:rPr>
          <w:rFonts w:ascii="方正楷体_GBK" w:eastAsia="方正楷体_GBK"/>
          <w:b/>
          <w:bCs/>
          <w:kern w:val="0"/>
          <w:sz w:val="32"/>
          <w:szCs w:val="32"/>
        </w:rPr>
        <w:t>（一）项目组织架构及实施流程。</w:t>
      </w:r>
      <w:r>
        <w:rPr>
          <w:rFonts w:ascii="仿宋_GB2312" w:eastAsia="仿宋_GB2312"/>
          <w:kern w:val="0"/>
          <w:sz w:val="32"/>
          <w:szCs w:val="32"/>
        </w:rPr>
        <w:t>市市域办设置在市委政法委，相关经费支出由市委政法委统一管理，市市域办相关项目及资金需求，严格按照市委政法委项目资金申报要求和《攀枝花市平安建设暨市域社会治理现代化工作领导小组办公室工作规则》，报分管领导审批后实施。</w:t>
      </w:r>
    </w:p>
    <w:p>
      <w:pPr>
        <w:autoSpaceDE w:val="0"/>
        <w:autoSpaceDN w:val="0"/>
        <w:adjustRightInd w:val="0"/>
        <w:spacing w:line="600" w:lineRule="exact"/>
        <w:ind w:firstLine="642" w:firstLineChars="200"/>
        <w:jc w:val="left"/>
        <w:rPr>
          <w:rFonts w:eastAsia="方正楷体_GBK"/>
          <w:b/>
          <w:bCs/>
          <w:kern w:val="0"/>
          <w:sz w:val="32"/>
          <w:szCs w:val="32"/>
        </w:rPr>
      </w:pPr>
      <w:r>
        <w:rPr>
          <w:rFonts w:ascii="方正楷体_GBK" w:eastAsia="方正楷体_GBK"/>
          <w:b/>
          <w:bCs/>
          <w:kern w:val="0"/>
          <w:sz w:val="32"/>
          <w:szCs w:val="32"/>
        </w:rPr>
        <w:t>（二）项目管理情况</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ascii="仿宋_GB2312" w:eastAsia="仿宋_GB2312"/>
          <w:kern w:val="0"/>
          <w:sz w:val="32"/>
          <w:szCs w:val="32"/>
        </w:rPr>
        <w:t>资金使用严格按照相关规定进行。</w:t>
      </w:r>
    </w:p>
    <w:p>
      <w:pPr>
        <w:numPr>
          <w:ilvl w:val="0"/>
          <w:numId w:val="6"/>
        </w:numPr>
        <w:autoSpaceDE w:val="0"/>
        <w:autoSpaceDN w:val="0"/>
        <w:adjustRightInd w:val="0"/>
        <w:spacing w:line="600" w:lineRule="exact"/>
        <w:ind w:firstLine="642" w:firstLineChars="200"/>
        <w:jc w:val="left"/>
        <w:rPr>
          <w:rFonts w:eastAsia="方正楷体_GBK"/>
          <w:b/>
          <w:bCs/>
          <w:kern w:val="0"/>
          <w:sz w:val="32"/>
          <w:szCs w:val="32"/>
        </w:rPr>
      </w:pPr>
      <w:r>
        <w:rPr>
          <w:rFonts w:ascii="方正楷体_GBK" w:eastAsia="方正楷体_GBK"/>
          <w:b/>
          <w:bCs/>
          <w:kern w:val="0"/>
          <w:sz w:val="32"/>
          <w:szCs w:val="32"/>
        </w:rPr>
        <w:t>项目监管情况。</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ascii="仿宋_GB2312" w:eastAsia="仿宋_GB2312"/>
          <w:kern w:val="0"/>
          <w:sz w:val="32"/>
          <w:szCs w:val="32"/>
        </w:rPr>
        <w:t>资金使用与审批部门分离，监管到位，市市域办加强市域社会治理项目的管理，严格审批报告程序，确保市域社会治理现代化工作有序开展。</w:t>
      </w:r>
    </w:p>
    <w:p>
      <w:pPr>
        <w:autoSpaceDE w:val="0"/>
        <w:autoSpaceDN w:val="0"/>
        <w:adjustRightInd w:val="0"/>
        <w:spacing w:line="600" w:lineRule="exact"/>
        <w:ind w:firstLine="640" w:firstLineChars="200"/>
        <w:jc w:val="left"/>
        <w:rPr>
          <w:rFonts w:eastAsia="黑体"/>
          <w:kern w:val="0"/>
          <w:sz w:val="32"/>
          <w:szCs w:val="32"/>
        </w:rPr>
      </w:pPr>
      <w:r>
        <w:rPr>
          <w:rFonts w:ascii="黑体" w:eastAsia="黑体"/>
          <w:kern w:val="0"/>
          <w:sz w:val="32"/>
          <w:szCs w:val="32"/>
        </w:rPr>
        <w:t>四、项目绩效情况</w:t>
      </w:r>
    </w:p>
    <w:p>
      <w:pPr>
        <w:autoSpaceDE w:val="0"/>
        <w:autoSpaceDN w:val="0"/>
        <w:adjustRightInd w:val="0"/>
        <w:spacing w:line="600" w:lineRule="exact"/>
        <w:ind w:firstLine="642" w:firstLineChars="200"/>
        <w:jc w:val="left"/>
        <w:rPr>
          <w:rFonts w:eastAsia="方正楷体_GBK"/>
          <w:b/>
          <w:bCs/>
          <w:kern w:val="0"/>
          <w:sz w:val="32"/>
          <w:szCs w:val="32"/>
        </w:rPr>
      </w:pPr>
      <w:r>
        <w:rPr>
          <w:rFonts w:ascii="方正楷体_GBK" w:eastAsia="方正楷体_GBK"/>
          <w:b/>
          <w:bCs/>
          <w:kern w:val="0"/>
          <w:sz w:val="32"/>
          <w:szCs w:val="32"/>
        </w:rPr>
        <w:t>（一）项目完成情况。</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ascii="仿宋_GB2312" w:eastAsia="仿宋_GB2312"/>
          <w:kern w:val="0"/>
          <w:sz w:val="32"/>
          <w:szCs w:val="32"/>
        </w:rPr>
        <w:t>全国市域社会治理现代化试点工作以来，我市社会治理智能化建设水平逐步提高，积极推进城市运营管理、应急联动指挥、综治中心“三中心合一”。攀枝花市委政法委在第四次全国市域社会治理现代化工作交流会上，围绕“智治支撑”主题作了经验交流发言。“三说会堂”、“第三方调解”、“回龙湾治理”等经验在全国、全省推广交流。对照《全国工作指引》有序推进各项任务，截至2021年底，自评得分971分（满分1000分）。</w:t>
      </w:r>
      <w:r>
        <w:rPr>
          <w:rFonts w:hint="eastAsia" w:ascii="仿宋_GB2312" w:eastAsia="仿宋_GB2312"/>
          <w:kern w:val="0"/>
          <w:sz w:val="32"/>
          <w:szCs w:val="32"/>
        </w:rPr>
        <w:t>持续</w:t>
      </w:r>
      <w:r>
        <w:rPr>
          <w:rFonts w:ascii="仿宋_GB2312" w:eastAsia="仿宋_GB2312"/>
          <w:kern w:val="0"/>
          <w:sz w:val="32"/>
          <w:szCs w:val="32"/>
        </w:rPr>
        <w:t>深化网格化服务、“六无社区”创建等工作，</w:t>
      </w:r>
      <w:r>
        <w:rPr>
          <w:rFonts w:hint="eastAsia" w:ascii="仿宋_GB2312" w:eastAsia="仿宋_GB2312"/>
          <w:kern w:val="0"/>
          <w:sz w:val="32"/>
          <w:szCs w:val="32"/>
        </w:rPr>
        <w:t>全市矛盾</w:t>
      </w:r>
      <w:r>
        <w:rPr>
          <w:rFonts w:ascii="仿宋_GB2312" w:eastAsia="仿宋_GB2312"/>
          <w:kern w:val="0"/>
          <w:sz w:val="32"/>
          <w:szCs w:val="32"/>
        </w:rPr>
        <w:t>调处成功率达98%，平安建设群众满意度测评总分及4项核心指标全部上升。</w:t>
      </w:r>
    </w:p>
    <w:p>
      <w:pPr>
        <w:autoSpaceDE w:val="0"/>
        <w:autoSpaceDN w:val="0"/>
        <w:adjustRightInd w:val="0"/>
        <w:spacing w:line="600" w:lineRule="exact"/>
        <w:ind w:firstLine="642" w:firstLineChars="200"/>
        <w:jc w:val="left"/>
        <w:rPr>
          <w:rFonts w:eastAsia="方正楷体_GBK"/>
          <w:b/>
          <w:bCs/>
          <w:kern w:val="0"/>
          <w:sz w:val="32"/>
          <w:szCs w:val="32"/>
        </w:rPr>
      </w:pPr>
      <w:r>
        <w:rPr>
          <w:rFonts w:ascii="方正楷体_GBK" w:eastAsia="方正楷体_GBK"/>
          <w:b/>
          <w:bCs/>
          <w:kern w:val="0"/>
          <w:sz w:val="32"/>
          <w:szCs w:val="32"/>
        </w:rPr>
        <w:t>（二）项目效益情况。</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ascii="仿宋_GB2312" w:eastAsia="仿宋_GB2312"/>
          <w:kern w:val="0"/>
          <w:sz w:val="32"/>
          <w:szCs w:val="32"/>
        </w:rPr>
        <w:t>市市域办紧紧围绕市委市政府“一三三三”总体发展战略，以推进市域社会治理能力现代化为主要任务，以基层社区发展为重心，以体制机制改革为突破，以群众实际需求为导向，加强和创新社会治理，推进社会治理精细化，建立完善了“党委领导、政府负责、民主协商、社会协同、公众参与、法治保障、科技支撑”的市域社会治理机制，不断构建共建共治共享的社会治理格局，有效防控化解五大风险，将大矛盾大风险控制在市域、化解在市域，确保社会风险隐患不外溢不扩散。</w:t>
      </w:r>
    </w:p>
    <w:p>
      <w:pPr>
        <w:autoSpaceDE w:val="0"/>
        <w:autoSpaceDN w:val="0"/>
        <w:adjustRightInd w:val="0"/>
        <w:spacing w:line="600" w:lineRule="exact"/>
        <w:ind w:firstLine="640" w:firstLineChars="200"/>
        <w:jc w:val="left"/>
        <w:rPr>
          <w:rFonts w:eastAsia="黑体"/>
          <w:kern w:val="0"/>
          <w:sz w:val="32"/>
          <w:szCs w:val="32"/>
        </w:rPr>
      </w:pPr>
      <w:r>
        <w:rPr>
          <w:rFonts w:ascii="黑体" w:eastAsia="黑体"/>
          <w:kern w:val="0"/>
          <w:sz w:val="32"/>
          <w:szCs w:val="32"/>
        </w:rPr>
        <w:t>五、评价结论及建议</w:t>
      </w:r>
    </w:p>
    <w:p>
      <w:pPr>
        <w:autoSpaceDE w:val="0"/>
        <w:autoSpaceDN w:val="0"/>
        <w:adjustRightInd w:val="0"/>
        <w:spacing w:line="600" w:lineRule="exact"/>
        <w:ind w:firstLine="642" w:firstLineChars="200"/>
        <w:jc w:val="left"/>
        <w:rPr>
          <w:rFonts w:eastAsia="方正楷体_GBK"/>
          <w:b/>
          <w:bCs/>
          <w:kern w:val="0"/>
          <w:sz w:val="32"/>
          <w:szCs w:val="32"/>
        </w:rPr>
      </w:pPr>
      <w:r>
        <w:rPr>
          <w:rFonts w:ascii="方正楷体_GBK" w:eastAsia="方正楷体_GBK"/>
          <w:b/>
          <w:bCs/>
          <w:kern w:val="0"/>
          <w:sz w:val="32"/>
          <w:szCs w:val="32"/>
        </w:rPr>
        <w:t>（一）评价结论。</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ascii="仿宋_GB2312" w:eastAsia="仿宋_GB2312"/>
          <w:kern w:val="0"/>
          <w:sz w:val="32"/>
          <w:szCs w:val="32"/>
        </w:rPr>
        <w:t>市域社会治理现代化试点工作开展以来，我市市域社会治理水平不断提升，治理体制不断完善，探索出三说会堂、第三方调解、遵法评理、137志愿服务等一批创新经验，社会大局持续稳定和谐。</w:t>
      </w:r>
    </w:p>
    <w:p>
      <w:pPr>
        <w:autoSpaceDE w:val="0"/>
        <w:autoSpaceDN w:val="0"/>
        <w:adjustRightInd w:val="0"/>
        <w:spacing w:line="600" w:lineRule="exact"/>
        <w:ind w:firstLine="642" w:firstLineChars="200"/>
        <w:jc w:val="left"/>
        <w:rPr>
          <w:rFonts w:eastAsia="方正楷体_GBK"/>
          <w:b/>
          <w:bCs/>
          <w:kern w:val="0"/>
          <w:sz w:val="32"/>
          <w:szCs w:val="32"/>
        </w:rPr>
      </w:pPr>
      <w:r>
        <w:rPr>
          <w:rFonts w:ascii="方正楷体_GBK" w:eastAsia="方正楷体_GBK"/>
          <w:b/>
          <w:bCs/>
          <w:kern w:val="0"/>
          <w:sz w:val="32"/>
          <w:szCs w:val="32"/>
        </w:rPr>
        <w:t>（二）存在的问题。</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ascii="仿宋_GB2312" w:eastAsia="仿宋_GB2312"/>
          <w:kern w:val="0"/>
          <w:sz w:val="32"/>
          <w:szCs w:val="32"/>
        </w:rPr>
        <w:t>由于市域社会治理现代化工作点多面广，涉及多领域多层级多部门，现有经费仅能满足日常办公需求，如平安智慧小区建设、雪亮工程建设、见义勇为、常态扫黑除恶斗争等一些相关工作缺乏资金支持，工作开展难度大。</w:t>
      </w:r>
    </w:p>
    <w:p>
      <w:pPr>
        <w:autoSpaceDE w:val="0"/>
        <w:autoSpaceDN w:val="0"/>
        <w:adjustRightInd w:val="0"/>
        <w:spacing w:line="600" w:lineRule="exact"/>
        <w:ind w:firstLine="642" w:firstLineChars="200"/>
        <w:jc w:val="left"/>
        <w:rPr>
          <w:rFonts w:eastAsia="方正楷体_GBK"/>
          <w:b/>
          <w:bCs/>
          <w:kern w:val="0"/>
          <w:sz w:val="32"/>
          <w:szCs w:val="32"/>
        </w:rPr>
      </w:pPr>
      <w:r>
        <w:rPr>
          <w:rFonts w:ascii="方正楷体_GBK" w:eastAsia="方正楷体_GBK"/>
          <w:b/>
          <w:bCs/>
          <w:kern w:val="0"/>
          <w:sz w:val="32"/>
          <w:szCs w:val="32"/>
        </w:rPr>
        <w:t>（三）相关建议。</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ascii="仿宋_GB2312" w:eastAsia="仿宋_GB2312"/>
          <w:kern w:val="0"/>
          <w:sz w:val="32"/>
          <w:szCs w:val="32"/>
        </w:rPr>
        <w:t>建议加强预算资金管理，加大资金投入，实现预算项目效益最大化。</w:t>
      </w:r>
    </w:p>
    <w:p>
      <w:pPr>
        <w:pStyle w:val="2"/>
        <w:spacing w:before="93"/>
      </w:pPr>
    </w:p>
    <w:p>
      <w:pPr>
        <w:pStyle w:val="2"/>
        <w:spacing w:before="93"/>
      </w:pPr>
      <w:r>
        <w:rPr>
          <w:rFonts w:hint="eastAsia"/>
        </w:rPr>
        <w:t>附件</w:t>
      </w:r>
    </w:p>
    <w:p>
      <w:pPr>
        <w:pStyle w:val="7"/>
        <w:spacing w:line="600" w:lineRule="exact"/>
        <w:ind w:firstLine="640" w:firstLineChars="200"/>
        <w:jc w:val="center"/>
        <w:rPr>
          <w:rFonts w:ascii="方正黑体_GBK" w:hAnsi="Times New Roman" w:eastAsia="方正黑体_GBK"/>
          <w:sz w:val="32"/>
          <w:szCs w:val="32"/>
        </w:rPr>
      </w:pPr>
      <w:r>
        <w:rPr>
          <w:rFonts w:hint="eastAsia" w:ascii="方正黑体_GBK" w:hAnsi="方正小标宋简体" w:eastAsia="方正黑体_GBK" w:cs="方正小标宋简体"/>
          <w:sz w:val="32"/>
          <w:szCs w:val="32"/>
        </w:rPr>
        <w:t>2021年</w:t>
      </w:r>
      <w:r>
        <w:rPr>
          <w:rFonts w:hint="eastAsia" w:ascii="方正黑体_GBK" w:hAnsi="方正小标宋简体" w:eastAsia="方正黑体_GBK" w:cs="方正小标宋简体"/>
          <w:sz w:val="32"/>
          <w:szCs w:val="32"/>
          <w:lang w:val="zh-CN"/>
        </w:rPr>
        <w:t>专项预算项目支出绩效自评报告</w:t>
      </w:r>
    </w:p>
    <w:p>
      <w:pPr>
        <w:pStyle w:val="7"/>
        <w:spacing w:line="600" w:lineRule="exact"/>
        <w:ind w:firstLine="640" w:firstLineChars="200"/>
        <w:jc w:val="center"/>
        <w:rPr>
          <w:rFonts w:ascii="方正黑体_GBK" w:hAnsi="黑体" w:eastAsia="方正黑体_GBK" w:cs="黑体"/>
          <w:sz w:val="32"/>
          <w:szCs w:val="32"/>
        </w:rPr>
      </w:pPr>
      <w:r>
        <w:rPr>
          <w:rFonts w:hint="eastAsia" w:ascii="方正黑体_GBK" w:hAnsi="黑体" w:eastAsia="方正黑体_GBK" w:cs="黑体"/>
          <w:sz w:val="32"/>
          <w:szCs w:val="32"/>
        </w:rPr>
        <w:t>（</w:t>
      </w:r>
      <w:r>
        <w:rPr>
          <w:rFonts w:hint="eastAsia" w:ascii="方正黑体_GBK" w:hAnsi="黑体" w:eastAsia="方正黑体_GBK" w:cs="黑体"/>
          <w:sz w:val="32"/>
          <w:szCs w:val="32"/>
          <w:lang w:eastAsia="zh-CN"/>
        </w:rPr>
        <w:t>维稳工作经费</w:t>
      </w:r>
      <w:r>
        <w:rPr>
          <w:rFonts w:hint="eastAsia" w:ascii="方正黑体_GBK" w:hAnsi="黑体" w:eastAsia="方正黑体_GBK" w:cs="黑体"/>
          <w:sz w:val="32"/>
          <w:szCs w:val="32"/>
        </w:rPr>
        <w:t>涉密不公开）</w:t>
      </w:r>
    </w:p>
    <w:p>
      <w:pPr>
        <w:pStyle w:val="2"/>
        <w:spacing w:before="93"/>
        <w:rPr>
          <w:rFonts w:hint="eastAsia"/>
        </w:rPr>
      </w:pPr>
    </w:p>
    <w:p>
      <w:pPr>
        <w:pStyle w:val="2"/>
        <w:spacing w:before="93"/>
        <w:rPr>
          <w:rFonts w:hint="eastAsia"/>
        </w:rPr>
      </w:pPr>
    </w:p>
    <w:p>
      <w:pPr>
        <w:pStyle w:val="2"/>
        <w:spacing w:before="93"/>
        <w:rPr>
          <w:rFonts w:hint="eastAsia"/>
        </w:rPr>
      </w:pPr>
    </w:p>
    <w:p>
      <w:pPr>
        <w:pStyle w:val="2"/>
        <w:spacing w:before="93"/>
        <w:rPr>
          <w:rFonts w:hint="eastAsia"/>
        </w:rPr>
      </w:pPr>
    </w:p>
    <w:p>
      <w:pPr>
        <w:pStyle w:val="2"/>
        <w:spacing w:before="93"/>
        <w:rPr>
          <w:rFonts w:hint="eastAsia"/>
        </w:rPr>
      </w:pPr>
    </w:p>
    <w:p>
      <w:pPr>
        <w:pStyle w:val="2"/>
        <w:spacing w:before="93"/>
        <w:rPr>
          <w:rFonts w:hint="eastAsia"/>
        </w:rPr>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7"/>
        <w:spacing w:line="600" w:lineRule="exact"/>
        <w:ind w:firstLine="640" w:firstLineChars="200"/>
        <w:jc w:val="left"/>
        <w:rPr>
          <w:rFonts w:ascii="方正仿宋_GBK" w:hAnsi="黑体" w:eastAsia="方正仿宋_GBK" w:cs="黑体"/>
          <w:sz w:val="32"/>
          <w:szCs w:val="32"/>
        </w:rPr>
      </w:pPr>
      <w:r>
        <w:rPr>
          <w:rFonts w:hint="eastAsia" w:ascii="方正仿宋_GBK" w:hAnsi="黑体" w:eastAsia="方正仿宋_GBK" w:cs="黑体"/>
          <w:sz w:val="32"/>
          <w:szCs w:val="32"/>
        </w:rPr>
        <w:t>附件</w:t>
      </w:r>
    </w:p>
    <w:p>
      <w:pPr>
        <w:pStyle w:val="7"/>
        <w:spacing w:line="600" w:lineRule="exact"/>
        <w:ind w:firstLine="640" w:firstLineChars="200"/>
        <w:jc w:val="center"/>
        <w:rPr>
          <w:rFonts w:ascii="方正黑体_GBK" w:hAnsi="黑体" w:eastAsia="方正黑体_GBK" w:cs="黑体"/>
          <w:sz w:val="32"/>
          <w:szCs w:val="32"/>
        </w:rPr>
      </w:pPr>
      <w:r>
        <w:rPr>
          <w:rFonts w:hint="eastAsia" w:ascii="方正黑体_GBK" w:hAnsi="黑体" w:eastAsia="方正黑体_GBK" w:cs="黑体"/>
          <w:sz w:val="32"/>
          <w:szCs w:val="32"/>
        </w:rPr>
        <w:t>2021年度专项预算项目支出绩效自评报告</w:t>
      </w:r>
    </w:p>
    <w:p>
      <w:pPr>
        <w:autoSpaceDE w:val="0"/>
        <w:autoSpaceDN w:val="0"/>
        <w:adjustRightInd w:val="0"/>
        <w:spacing w:line="600" w:lineRule="exact"/>
        <w:ind w:firstLine="640" w:firstLineChars="200"/>
        <w:jc w:val="center"/>
        <w:rPr>
          <w:rFonts w:ascii="方正黑体_GBK" w:eastAsia="方正黑体_GBK"/>
          <w:kern w:val="0"/>
          <w:sz w:val="32"/>
          <w:szCs w:val="32"/>
        </w:rPr>
      </w:pPr>
      <w:r>
        <w:rPr>
          <w:rFonts w:hint="eastAsia" w:ascii="方正黑体_GBK" w:eastAsia="方正黑体_GBK"/>
          <w:kern w:val="0"/>
          <w:sz w:val="32"/>
          <w:szCs w:val="32"/>
        </w:rPr>
        <w:t>（援彝干部补助、市级挂职干部补助）</w:t>
      </w:r>
    </w:p>
    <w:p>
      <w:pPr>
        <w:autoSpaceDE w:val="0"/>
        <w:autoSpaceDN w:val="0"/>
        <w:adjustRightInd w:val="0"/>
        <w:spacing w:line="600" w:lineRule="exact"/>
        <w:ind w:firstLine="640" w:firstLineChars="200"/>
        <w:jc w:val="left"/>
        <w:rPr>
          <w:rFonts w:eastAsia="黑体"/>
          <w:kern w:val="0"/>
          <w:sz w:val="32"/>
          <w:szCs w:val="32"/>
        </w:rPr>
      </w:pPr>
      <w:r>
        <w:rPr>
          <w:rFonts w:ascii="黑体" w:hAnsi="黑体" w:eastAsia="黑体"/>
          <w:kern w:val="0"/>
          <w:sz w:val="32"/>
          <w:szCs w:val="32"/>
        </w:rPr>
        <w:t>一、项目概况</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（一）项目基本情况。</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1</w:t>
      </w:r>
      <w:r>
        <w:rPr>
          <w:rFonts w:ascii="仿宋_GB2312" w:eastAsia="仿宋_GB2312"/>
          <w:kern w:val="0"/>
          <w:sz w:val="32"/>
          <w:szCs w:val="32"/>
        </w:rPr>
        <w:t>．说明项目主管部门（单位）在该项目管理中的职能。</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我单位干部杨剑同志于2018年6月至2021年5月挂职凉山州昭觉县政法委副书记，主要负责法学会、协助负责禁毒、统筹禁毒帮扶工作；敬波同志按照省委组织部、省政法委统一安排，挂职四川省应急管理厅教育训练处副处长；张磊同志担任盐边县原鱤鱼彝族乡新建村脱贫攻坚第一书记。</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2</w:t>
      </w:r>
      <w:r>
        <w:rPr>
          <w:rFonts w:ascii="仿宋_GB2312" w:eastAsia="仿宋_GB2312"/>
          <w:kern w:val="0"/>
          <w:sz w:val="32"/>
          <w:szCs w:val="32"/>
        </w:rPr>
        <w:t>．项目立项、资金申报的依据。</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根据市委组织部 市财政局市人社局《关于进一步明确挂职干部人才有关待遇的通知》（攀组通〔2018〕112 号）、关于印发 《 攀枝花市援藏援彝干部人才管理实施细则 （ 试行 ）》 的通知（攀组发〔2018〕10 号）、《关于做好攀枝花市挂职干部人才交通保障工作的通知》（（攀财行政〔2020〕4 号）等文件通知要求申报资金。</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3</w:t>
      </w:r>
      <w:r>
        <w:rPr>
          <w:rFonts w:ascii="仿宋_GB2312" w:eastAsia="仿宋_GB2312"/>
          <w:kern w:val="0"/>
          <w:sz w:val="32"/>
          <w:szCs w:val="32"/>
        </w:rPr>
        <w:t>．资金管理办法制定情况，资金支持具体项目的条件、范围与支持方式概况。</w:t>
      </w:r>
      <w:r>
        <w:rPr>
          <w:rFonts w:hint="eastAsia" w:ascii="仿宋_GB2312" w:eastAsia="仿宋_GB2312"/>
          <w:kern w:val="0"/>
          <w:sz w:val="32"/>
          <w:szCs w:val="32"/>
        </w:rPr>
        <w:t>严格按照财务资金管理办法开展工作。</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4</w:t>
      </w:r>
      <w:r>
        <w:rPr>
          <w:rFonts w:ascii="仿宋_GB2312" w:eastAsia="仿宋_GB2312"/>
          <w:kern w:val="0"/>
          <w:sz w:val="32"/>
          <w:szCs w:val="32"/>
        </w:rPr>
        <w:t>．资金分配的原则及考虑因素。</w:t>
      </w:r>
      <w:r>
        <w:rPr>
          <w:rFonts w:hint="eastAsia" w:ascii="仿宋_GB2312" w:eastAsia="仿宋_GB2312"/>
          <w:kern w:val="0"/>
          <w:sz w:val="32"/>
          <w:szCs w:val="32"/>
        </w:rPr>
        <w:t>严格按照文件规定内容据实核算、发放。</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（二）项目绩效目标。</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1</w:t>
      </w:r>
      <w:r>
        <w:rPr>
          <w:rFonts w:ascii="仿宋_GB2312" w:eastAsia="仿宋_GB2312"/>
          <w:kern w:val="0"/>
          <w:sz w:val="32"/>
          <w:szCs w:val="32"/>
        </w:rPr>
        <w:t>．项目主要内容。</w:t>
      </w:r>
      <w:r>
        <w:rPr>
          <w:rFonts w:hint="eastAsia" w:ascii="仿宋_GB2312" w:eastAsia="仿宋_GB2312"/>
          <w:kern w:val="0"/>
          <w:sz w:val="32"/>
          <w:szCs w:val="32"/>
        </w:rPr>
        <w:t>援彝干部补助4万元，市级挂职干部补助70484元。</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2</w:t>
      </w:r>
      <w:r>
        <w:rPr>
          <w:rFonts w:ascii="仿宋_GB2312" w:eastAsia="仿宋_GB2312"/>
          <w:kern w:val="0"/>
          <w:sz w:val="32"/>
          <w:szCs w:val="32"/>
        </w:rPr>
        <w:t>．项目应实现的具体绩效目标</w:t>
      </w:r>
      <w:r>
        <w:rPr>
          <w:rFonts w:hint="eastAsia" w:ascii="仿宋_GB2312" w:eastAsia="仿宋_GB2312"/>
          <w:kern w:val="0"/>
          <w:sz w:val="32"/>
          <w:szCs w:val="32"/>
        </w:rPr>
        <w:t>。按相关规定据实核算，统一报销。</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3</w:t>
      </w:r>
      <w:r>
        <w:rPr>
          <w:rFonts w:ascii="仿宋_GB2312" w:eastAsia="仿宋_GB2312"/>
          <w:kern w:val="0"/>
          <w:sz w:val="32"/>
          <w:szCs w:val="32"/>
        </w:rPr>
        <w:t>．分析评价申报内容是否与实际相符，申报目标是否合理可行。</w:t>
      </w:r>
      <w:r>
        <w:rPr>
          <w:rFonts w:hint="eastAsia" w:ascii="仿宋_GB2312" w:eastAsia="仿宋_GB2312"/>
          <w:kern w:val="0"/>
          <w:sz w:val="32"/>
          <w:szCs w:val="32"/>
        </w:rPr>
        <w:t>申报内容与实际相符，申报目标合理可行。</w:t>
      </w:r>
    </w:p>
    <w:p>
      <w:pPr>
        <w:autoSpaceDE w:val="0"/>
        <w:autoSpaceDN w:val="0"/>
        <w:adjustRightInd w:val="0"/>
        <w:spacing w:line="600" w:lineRule="exact"/>
        <w:ind w:firstLine="640" w:firstLineChars="200"/>
        <w:jc w:val="left"/>
        <w:rPr>
          <w:rFonts w:eastAsia="楷体_GB2312"/>
          <w:kern w:val="0"/>
          <w:sz w:val="32"/>
          <w:szCs w:val="32"/>
        </w:rPr>
      </w:pPr>
      <w:r>
        <w:rPr>
          <w:rFonts w:ascii="黑体" w:hAnsi="黑体" w:eastAsia="黑体"/>
          <w:kern w:val="0"/>
          <w:sz w:val="32"/>
          <w:szCs w:val="32"/>
        </w:rPr>
        <w:t>二、项目资金申报及使用情况</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（一）项目资金申报及批复情况。</w:t>
      </w:r>
    </w:p>
    <w:p>
      <w:pPr>
        <w:autoSpaceDE w:val="0"/>
        <w:autoSpaceDN w:val="0"/>
        <w:adjustRightInd w:val="0"/>
        <w:spacing w:line="600" w:lineRule="exact"/>
        <w:ind w:firstLine="640" w:firstLineChars="200"/>
        <w:jc w:val="left"/>
        <w:rPr>
          <w:rFonts w:eastAsia="仿宋_GB2312"/>
          <w:kern w:val="0"/>
          <w:sz w:val="32"/>
          <w:szCs w:val="32"/>
        </w:rPr>
      </w:pPr>
      <w:r>
        <w:rPr>
          <w:rFonts w:ascii="仿宋_GB2312" w:eastAsia="仿宋_GB2312"/>
          <w:kern w:val="0"/>
          <w:sz w:val="32"/>
          <w:szCs w:val="32"/>
        </w:rPr>
        <w:t>说明项目资金申报、批复及预算调整等程序的相关情况。</w:t>
      </w:r>
      <w:r>
        <w:rPr>
          <w:rFonts w:hint="eastAsia" w:ascii="仿宋_GB2312" w:eastAsia="仿宋_GB2312"/>
          <w:kern w:val="0"/>
          <w:sz w:val="32"/>
          <w:szCs w:val="32"/>
        </w:rPr>
        <w:t>按程序申报项目奖金。</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（二）资金计划、到位及使用情况（可用表格形式反映）。</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1</w:t>
      </w:r>
      <w:r>
        <w:rPr>
          <w:rFonts w:ascii="楷体_GB2312" w:eastAsia="楷体_GB2312"/>
          <w:kern w:val="0"/>
          <w:sz w:val="32"/>
          <w:szCs w:val="32"/>
        </w:rPr>
        <w:t>．资金计划。</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按计划申报资金。援彝干部补助4万元于2021年3月下达预算指标，市级挂职干部补助70484元于2021年7月追加预算指标。</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2</w:t>
      </w:r>
      <w:r>
        <w:rPr>
          <w:rFonts w:ascii="楷体_GB2312" w:eastAsia="楷体_GB2312"/>
          <w:kern w:val="0"/>
          <w:sz w:val="32"/>
          <w:szCs w:val="32"/>
        </w:rPr>
        <w:t>．资金到位。</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援彝干部补助4万元，市级挂职干部补助70484元已全部到位。</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3</w:t>
      </w:r>
      <w:r>
        <w:rPr>
          <w:rFonts w:ascii="楷体_GB2312" w:eastAsia="楷体_GB2312"/>
          <w:kern w:val="0"/>
          <w:sz w:val="32"/>
          <w:szCs w:val="32"/>
        </w:rPr>
        <w:t>．资金使用。</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援彝干部补助4万元，市级挂职干部补助59572元已全部发放到个人。</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（三）项目财务管理情况。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严格按照全市</w:t>
      </w:r>
      <w:r>
        <w:rPr>
          <w:rFonts w:ascii="仿宋_GB2312" w:eastAsia="仿宋_GB2312"/>
          <w:kern w:val="0"/>
          <w:sz w:val="32"/>
          <w:szCs w:val="32"/>
        </w:rPr>
        <w:t>财务管理制度执行，账务处理及时，会计核算规范。</w:t>
      </w:r>
    </w:p>
    <w:p>
      <w:pPr>
        <w:autoSpaceDE w:val="0"/>
        <w:autoSpaceDN w:val="0"/>
        <w:adjustRightInd w:val="0"/>
        <w:spacing w:line="600" w:lineRule="exact"/>
        <w:ind w:firstLine="640" w:firstLineChars="200"/>
        <w:jc w:val="left"/>
        <w:rPr>
          <w:rFonts w:eastAsia="黑体"/>
          <w:kern w:val="0"/>
          <w:sz w:val="32"/>
          <w:szCs w:val="32"/>
        </w:rPr>
      </w:pPr>
      <w:r>
        <w:rPr>
          <w:rFonts w:ascii="黑体" w:hAnsi="黑体" w:eastAsia="黑体"/>
          <w:kern w:val="0"/>
          <w:sz w:val="32"/>
          <w:szCs w:val="32"/>
        </w:rPr>
        <w:t>三、项目实施及管理情况</w:t>
      </w:r>
    </w:p>
    <w:p>
      <w:pPr>
        <w:autoSpaceDE w:val="0"/>
        <w:autoSpaceDN w:val="0"/>
        <w:adjustRightInd w:val="0"/>
        <w:spacing w:line="600" w:lineRule="exact"/>
        <w:ind w:firstLine="640" w:firstLineChars="200"/>
        <w:jc w:val="left"/>
        <w:rPr>
          <w:rFonts w:eastAsia="仿宋_GB2312"/>
          <w:kern w:val="0"/>
          <w:sz w:val="32"/>
          <w:szCs w:val="32"/>
        </w:rPr>
      </w:pPr>
      <w:r>
        <w:rPr>
          <w:rFonts w:ascii="仿宋_GB2312" w:eastAsia="仿宋_GB2312"/>
          <w:kern w:val="0"/>
          <w:sz w:val="32"/>
          <w:szCs w:val="32"/>
        </w:rPr>
        <w:t>结合项目组织实施管理办法，重点围绕以下内容进行分析评价，并对自评中发现的问题分析说明。</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（一）项目组织架构及实施流程。</w:t>
      </w:r>
      <w:r>
        <w:rPr>
          <w:rFonts w:hint="eastAsia" w:ascii="仿宋_GB2312" w:eastAsia="仿宋_GB2312"/>
          <w:kern w:val="0"/>
          <w:sz w:val="32"/>
          <w:szCs w:val="32"/>
        </w:rPr>
        <w:t>由政法委机关政治部拟定援彝干部补助、市级挂职干部补助工作方案，写明项目意义及资金需求，报分管领导审批后实施。</w:t>
      </w:r>
    </w:p>
    <w:p>
      <w:pPr>
        <w:autoSpaceDE w:val="0"/>
        <w:autoSpaceDN w:val="0"/>
        <w:adjustRightInd w:val="0"/>
        <w:spacing w:line="600" w:lineRule="exact"/>
        <w:ind w:firstLine="640" w:firstLineChars="200"/>
        <w:jc w:val="left"/>
        <w:rPr>
          <w:rFonts w:eastAsia="仿宋_GB2312"/>
          <w:kern w:val="0"/>
          <w:sz w:val="32"/>
          <w:szCs w:val="32"/>
        </w:rPr>
      </w:pPr>
      <w:r>
        <w:rPr>
          <w:rFonts w:ascii="楷体_GB2312" w:eastAsia="楷体_GB2312"/>
          <w:kern w:val="0"/>
          <w:sz w:val="32"/>
          <w:szCs w:val="32"/>
        </w:rPr>
        <w:t>（二）项目管理情况。</w:t>
      </w:r>
      <w:r>
        <w:rPr>
          <w:rFonts w:hint="eastAsia" w:ascii="仿宋_GB2312" w:eastAsia="仿宋_GB2312"/>
          <w:kern w:val="0"/>
          <w:sz w:val="32"/>
          <w:szCs w:val="32"/>
        </w:rPr>
        <w:t>资金使用严格按照相关规定进行</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ascii="楷体_GB2312" w:eastAsia="楷体_GB2312"/>
          <w:kern w:val="0"/>
          <w:sz w:val="32"/>
          <w:szCs w:val="32"/>
        </w:rPr>
        <w:t>（三）项目监管情况。</w:t>
      </w:r>
      <w:r>
        <w:rPr>
          <w:rFonts w:hint="eastAsia" w:ascii="仿宋_GB2312" w:eastAsia="仿宋_GB2312"/>
          <w:kern w:val="0"/>
          <w:sz w:val="32"/>
          <w:szCs w:val="32"/>
        </w:rPr>
        <w:t>资金使用与审批部门分离，监管到位。</w:t>
      </w:r>
    </w:p>
    <w:p>
      <w:pPr>
        <w:autoSpaceDE w:val="0"/>
        <w:autoSpaceDN w:val="0"/>
        <w:adjustRightInd w:val="0"/>
        <w:spacing w:line="600" w:lineRule="exact"/>
        <w:ind w:firstLine="640" w:firstLineChars="200"/>
        <w:jc w:val="left"/>
        <w:rPr>
          <w:rFonts w:eastAsia="黑体"/>
          <w:kern w:val="0"/>
          <w:sz w:val="32"/>
          <w:szCs w:val="32"/>
        </w:rPr>
      </w:pPr>
      <w:r>
        <w:rPr>
          <w:rFonts w:ascii="黑体" w:hAnsi="黑体" w:eastAsia="黑体"/>
          <w:kern w:val="0"/>
          <w:sz w:val="32"/>
          <w:szCs w:val="32"/>
        </w:rPr>
        <w:t>四、项目绩效情况</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（一）项目完成情况。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援彝干部补助4万元，市级挂职干部补助59572元已全部到位并发放到个人。</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（二）项目效益情况。</w:t>
      </w:r>
      <w:r>
        <w:rPr>
          <w:rFonts w:hint="eastAsia" w:ascii="楷体_GB2312" w:eastAsia="楷体_GB2312"/>
          <w:kern w:val="0"/>
          <w:sz w:val="32"/>
          <w:szCs w:val="32"/>
        </w:rPr>
        <w:t>完成目标任务。</w:t>
      </w:r>
    </w:p>
    <w:p>
      <w:pPr>
        <w:autoSpaceDE w:val="0"/>
        <w:autoSpaceDN w:val="0"/>
        <w:adjustRightInd w:val="0"/>
        <w:spacing w:line="600" w:lineRule="exact"/>
        <w:ind w:firstLine="640" w:firstLineChars="200"/>
        <w:jc w:val="left"/>
        <w:rPr>
          <w:rFonts w:eastAsia="黑体"/>
          <w:kern w:val="0"/>
          <w:sz w:val="32"/>
          <w:szCs w:val="32"/>
        </w:rPr>
      </w:pPr>
      <w:r>
        <w:rPr>
          <w:rFonts w:ascii="黑体" w:hAnsi="黑体" w:eastAsia="黑体"/>
          <w:kern w:val="0"/>
          <w:sz w:val="32"/>
          <w:szCs w:val="32"/>
        </w:rPr>
        <w:t>五、评价结论及建议</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（一）评价结论。</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通过援彝干部补助、市级挂职干部补助项目，有力地推动了援彝、挂职工作顺利开展，调动了援助及挂职干部积极性，解决了他们的后顾之忧。</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（二）存在的问题。</w:t>
      </w:r>
      <w:r>
        <w:rPr>
          <w:rFonts w:hint="eastAsia" w:ascii="仿宋_GB2312" w:eastAsia="仿宋_GB2312"/>
          <w:kern w:val="0"/>
          <w:sz w:val="32"/>
          <w:szCs w:val="32"/>
        </w:rPr>
        <w:t>无</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（三）相关建议。</w:t>
      </w:r>
      <w:r>
        <w:rPr>
          <w:rFonts w:hint="eastAsia" w:eastAsia="仿宋_GB2312"/>
          <w:kern w:val="0"/>
          <w:sz w:val="32"/>
          <w:szCs w:val="32"/>
        </w:rPr>
        <w:t>无。</w:t>
      </w:r>
    </w:p>
    <w:p>
      <w:pPr>
        <w:pStyle w:val="7"/>
        <w:spacing w:line="600" w:lineRule="exact"/>
        <w:ind w:firstLine="720" w:firstLineChars="200"/>
        <w:jc w:val="center"/>
        <w:rPr>
          <w:rFonts w:ascii="方正小标宋_GBK" w:hAnsi="黑体" w:eastAsia="方正小标宋_GBK" w:cs="黑体"/>
          <w:sz w:val="36"/>
          <w:szCs w:val="36"/>
        </w:rPr>
      </w:pPr>
    </w:p>
    <w:p>
      <w:pPr>
        <w:pStyle w:val="7"/>
        <w:spacing w:line="600" w:lineRule="exact"/>
        <w:ind w:firstLine="720" w:firstLineChars="200"/>
        <w:jc w:val="left"/>
        <w:rPr>
          <w:rFonts w:ascii="方正小标宋_GBK" w:hAnsi="黑体" w:eastAsia="方正小标宋_GBK" w:cs="黑体"/>
          <w:sz w:val="36"/>
          <w:szCs w:val="36"/>
        </w:rPr>
      </w:pPr>
      <w:r>
        <w:rPr>
          <w:rFonts w:hint="eastAsia" w:ascii="方正小标宋_GBK" w:hAnsi="黑体" w:eastAsia="方正小标宋_GBK" w:cs="黑体"/>
          <w:sz w:val="36"/>
          <w:szCs w:val="36"/>
        </w:rPr>
        <w:t>附件</w:t>
      </w:r>
    </w:p>
    <w:p>
      <w:pPr>
        <w:jc w:val="center"/>
        <w:rPr>
          <w:rFonts w:ascii="方正黑体_GBK" w:eastAsia="方正黑体_GBK"/>
          <w:sz w:val="32"/>
          <w:szCs w:val="32"/>
        </w:rPr>
      </w:pPr>
      <w:r>
        <w:rPr>
          <w:rFonts w:hint="eastAsia" w:ascii="方正黑体_GBK" w:eastAsia="方正黑体_GBK"/>
          <w:sz w:val="32"/>
          <w:szCs w:val="32"/>
        </w:rPr>
        <w:t>2021年度专项预算项目支出绩效自评报告</w:t>
      </w:r>
    </w:p>
    <w:p>
      <w:pPr>
        <w:jc w:val="center"/>
        <w:rPr>
          <w:rFonts w:ascii="方正黑体_GBK" w:eastAsia="方正黑体_GBK"/>
          <w:sz w:val="32"/>
          <w:szCs w:val="32"/>
        </w:rPr>
      </w:pPr>
      <w:r>
        <w:rPr>
          <w:rFonts w:hint="eastAsia" w:ascii="方正黑体_GBK" w:eastAsia="方正黑体_GBK"/>
          <w:sz w:val="32"/>
          <w:szCs w:val="32"/>
        </w:rPr>
        <w:t>（市政法队伍教育整顿资金项目）</w:t>
      </w:r>
    </w:p>
    <w:p>
      <w:pPr>
        <w:autoSpaceDE w:val="0"/>
        <w:autoSpaceDN w:val="0"/>
        <w:adjustRightInd w:val="0"/>
        <w:spacing w:line="600" w:lineRule="exact"/>
        <w:ind w:firstLine="640" w:firstLineChars="200"/>
        <w:jc w:val="left"/>
        <w:rPr>
          <w:rFonts w:eastAsia="黑体"/>
          <w:kern w:val="0"/>
          <w:sz w:val="32"/>
          <w:szCs w:val="32"/>
        </w:rPr>
      </w:pPr>
      <w:r>
        <w:rPr>
          <w:rFonts w:ascii="黑体" w:eastAsia="黑体"/>
          <w:kern w:val="0"/>
          <w:sz w:val="32"/>
          <w:szCs w:val="32"/>
        </w:rPr>
        <w:t>一、项目概况</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（一）项目基本情况。</w:t>
      </w:r>
    </w:p>
    <w:p>
      <w:pPr>
        <w:autoSpaceDE w:val="0"/>
        <w:autoSpaceDN w:val="0"/>
        <w:adjustRightInd w:val="0"/>
        <w:spacing w:line="600" w:lineRule="exact"/>
        <w:ind w:firstLine="640" w:firstLineChars="200"/>
        <w:jc w:val="left"/>
        <w:rPr>
          <w:rFonts w:ascii="方正仿宋_GBK" w:hAnsi="Calibri" w:eastAsia="方正仿宋_GBK" w:cs="Calibri"/>
          <w:color w:val="000000"/>
          <w:kern w:val="0"/>
          <w:sz w:val="33"/>
          <w:szCs w:val="33"/>
        </w:rPr>
      </w:pPr>
      <w:r>
        <w:rPr>
          <w:rFonts w:hint="eastAsia" w:ascii="仿宋_GB2312" w:eastAsia="仿宋_GB2312"/>
          <w:kern w:val="0"/>
          <w:sz w:val="32"/>
          <w:szCs w:val="32"/>
        </w:rPr>
        <w:t>贯彻落实中央、省委和市委关于政法队伍教育整顿的决策部署， 市政法队伍教育整顿办公室负责处理市政法队伍教育整顿领导小组日常事务工作，负责全市政法队伍教育整顿工作统筹协调、整体推进和督促落实。按照攀枝花第十届市委常委会第175次会议、市委《关于开展全市政法队伍教育整顿的实施方案》精神，市级政法队伍教育整顿经费由市级财政保障。</w:t>
      </w:r>
    </w:p>
    <w:p>
      <w:pPr>
        <w:numPr>
          <w:ilvl w:val="0"/>
          <w:numId w:val="7"/>
        </w:numPr>
        <w:autoSpaceDE w:val="0"/>
        <w:autoSpaceDN w:val="0"/>
        <w:adjustRightInd w:val="0"/>
        <w:spacing w:line="600" w:lineRule="exact"/>
        <w:ind w:firstLine="640" w:firstLineChars="200"/>
        <w:jc w:val="left"/>
        <w:rPr>
          <w:rFonts w:eastAsia="楷体_GB2312"/>
          <w:color w:val="000000"/>
          <w:kern w:val="0"/>
          <w:sz w:val="32"/>
          <w:szCs w:val="32"/>
        </w:rPr>
      </w:pPr>
      <w:r>
        <w:rPr>
          <w:rFonts w:ascii="楷体_GB2312" w:eastAsia="楷体_GB2312"/>
          <w:color w:val="000000"/>
          <w:kern w:val="0"/>
          <w:sz w:val="32"/>
          <w:szCs w:val="32"/>
        </w:rPr>
        <w:t>项目绩效目标。</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突出筑牢政治忠诚、清除害群之马、整治顽瘴痼疾、弘扬英模精神“四项任务”，扎实推进学习教育、查纠整改、总结提升“三个环节”，全面正风肃纪、反腐强警，加强革命化、正规化、专业化、职业化建设，使政法单位政治生态进一步优化、纪律作风进一步好转、能力素质进一步增强、执法司法公信力进一步提升，打造一支党和人民信得过、靠得住、能放心的政法铁军。从</w:t>
      </w:r>
      <w:r>
        <w:rPr>
          <w:rFonts w:ascii="仿宋_GB2312" w:eastAsia="仿宋_GB2312"/>
          <w:kern w:val="0"/>
          <w:sz w:val="32"/>
          <w:szCs w:val="32"/>
        </w:rPr>
        <w:t>2021年2月底开始至6月底基本结束，时间为4个月左右，分为学习教育、查纠整改、总结提升3个环节。</w:t>
      </w:r>
      <w:r>
        <w:rPr>
          <w:rFonts w:hint="eastAsia" w:ascii="仿宋_GB2312" w:eastAsia="仿宋_GB2312"/>
          <w:kern w:val="0"/>
          <w:sz w:val="32"/>
          <w:szCs w:val="32"/>
        </w:rPr>
        <w:t>按照中央、省委部署，从7月开始，开展教育整顿“回头看”，时间1个月左右。</w:t>
      </w:r>
    </w:p>
    <w:p>
      <w:pPr>
        <w:autoSpaceDE w:val="0"/>
        <w:autoSpaceDN w:val="0"/>
        <w:adjustRightInd w:val="0"/>
        <w:spacing w:line="600" w:lineRule="exact"/>
        <w:ind w:firstLine="640" w:firstLineChars="200"/>
        <w:jc w:val="left"/>
        <w:rPr>
          <w:rFonts w:eastAsia="楷体_GB2312"/>
          <w:kern w:val="0"/>
          <w:sz w:val="32"/>
          <w:szCs w:val="32"/>
        </w:rPr>
      </w:pPr>
      <w:r>
        <w:rPr>
          <w:rFonts w:ascii="黑体" w:eastAsia="黑体"/>
          <w:kern w:val="0"/>
          <w:sz w:val="32"/>
          <w:szCs w:val="32"/>
        </w:rPr>
        <w:t>二、项目资金申报及使用情况</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（一）项目资金申报及批复情况。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该</w:t>
      </w:r>
      <w:r>
        <w:rPr>
          <w:rFonts w:ascii="仿宋_GB2312" w:eastAsia="仿宋_GB2312"/>
          <w:kern w:val="0"/>
          <w:sz w:val="32"/>
          <w:szCs w:val="32"/>
        </w:rPr>
        <w:t>项目资金</w:t>
      </w:r>
      <w:r>
        <w:rPr>
          <w:rFonts w:hint="eastAsia" w:ascii="仿宋_GB2312" w:eastAsia="仿宋_GB2312"/>
          <w:kern w:val="0"/>
          <w:sz w:val="32"/>
          <w:szCs w:val="32"/>
        </w:rPr>
        <w:t>通过实际发生向财政</w:t>
      </w:r>
      <w:r>
        <w:rPr>
          <w:rFonts w:ascii="仿宋_GB2312" w:eastAsia="仿宋_GB2312"/>
          <w:kern w:val="0"/>
          <w:sz w:val="32"/>
          <w:szCs w:val="32"/>
        </w:rPr>
        <w:t>申报</w:t>
      </w:r>
      <w:r>
        <w:rPr>
          <w:rFonts w:hint="eastAsia" w:ascii="仿宋_GB2312" w:eastAsia="仿宋_GB2312"/>
          <w:kern w:val="0"/>
          <w:sz w:val="32"/>
          <w:szCs w:val="32"/>
        </w:rPr>
        <w:t>，财政通过预算下达</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（二）资金计划、到位及使用情况（可用表格形式反映）。</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1</w:t>
      </w:r>
      <w:r>
        <w:rPr>
          <w:rFonts w:ascii="楷体_GB2312" w:eastAsia="楷体_GB2312"/>
          <w:kern w:val="0"/>
          <w:sz w:val="32"/>
          <w:szCs w:val="32"/>
        </w:rPr>
        <w:t>．资金计划。</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该项目资金为市财政分三次分别下达</w:t>
      </w:r>
      <w:r>
        <w:rPr>
          <w:rFonts w:hint="eastAsia" w:eastAsia="仿宋_GB2312"/>
          <w:kern w:val="0"/>
          <w:sz w:val="32"/>
          <w:szCs w:val="32"/>
        </w:rPr>
        <w:t>30</w:t>
      </w:r>
      <w:r>
        <w:rPr>
          <w:rFonts w:hint="eastAsia" w:ascii="仿宋_GB2312" w:eastAsia="仿宋_GB2312"/>
          <w:kern w:val="0"/>
          <w:sz w:val="32"/>
          <w:szCs w:val="32"/>
        </w:rPr>
        <w:t>万元、</w:t>
      </w:r>
      <w:r>
        <w:rPr>
          <w:rFonts w:hint="eastAsia" w:eastAsia="仿宋_GB2312"/>
          <w:kern w:val="0"/>
          <w:sz w:val="32"/>
          <w:szCs w:val="32"/>
        </w:rPr>
        <w:t>30</w:t>
      </w:r>
      <w:r>
        <w:rPr>
          <w:rFonts w:hint="eastAsia" w:ascii="仿宋_GB2312" w:eastAsia="仿宋_GB2312"/>
          <w:kern w:val="0"/>
          <w:sz w:val="32"/>
          <w:szCs w:val="32"/>
        </w:rPr>
        <w:t>万元、</w:t>
      </w:r>
      <w:r>
        <w:rPr>
          <w:rFonts w:hint="eastAsia" w:eastAsia="仿宋_GB2312"/>
          <w:kern w:val="0"/>
          <w:sz w:val="32"/>
          <w:szCs w:val="32"/>
        </w:rPr>
        <w:t>133</w:t>
      </w:r>
      <w:r>
        <w:rPr>
          <w:rFonts w:hint="eastAsia" w:ascii="仿宋_GB2312" w:eastAsia="仿宋_GB2312"/>
          <w:kern w:val="0"/>
          <w:sz w:val="32"/>
          <w:szCs w:val="32"/>
        </w:rPr>
        <w:t>万元指标。</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2</w:t>
      </w:r>
      <w:r>
        <w:rPr>
          <w:rFonts w:ascii="楷体_GB2312" w:eastAsia="楷体_GB2312"/>
          <w:kern w:val="0"/>
          <w:sz w:val="32"/>
          <w:szCs w:val="32"/>
        </w:rPr>
        <w:t>．资金到位。</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该项目资金第一批于</w:t>
      </w:r>
      <w:r>
        <w:rPr>
          <w:rFonts w:hint="eastAsia" w:eastAsia="仿宋_GB2312"/>
          <w:kern w:val="0"/>
          <w:sz w:val="32"/>
          <w:szCs w:val="32"/>
        </w:rPr>
        <w:t>2021</w:t>
      </w:r>
      <w:r>
        <w:rPr>
          <w:rFonts w:hint="eastAsia" w:ascii="仿宋_GB2312" w:eastAsia="仿宋_GB2312"/>
          <w:kern w:val="0"/>
          <w:sz w:val="32"/>
          <w:szCs w:val="32"/>
        </w:rPr>
        <w:t>年</w:t>
      </w:r>
      <w:r>
        <w:rPr>
          <w:rFonts w:hint="eastAsia" w:eastAsia="仿宋_GB2312"/>
          <w:kern w:val="0"/>
          <w:sz w:val="32"/>
          <w:szCs w:val="32"/>
        </w:rPr>
        <w:t>3</w:t>
      </w:r>
      <w:r>
        <w:rPr>
          <w:rFonts w:hint="eastAsia" w:ascii="仿宋_GB2312" w:eastAsia="仿宋_GB2312"/>
          <w:kern w:val="0"/>
          <w:sz w:val="32"/>
          <w:szCs w:val="32"/>
        </w:rPr>
        <w:t>月通过大平台下达预算指标</w:t>
      </w:r>
      <w:r>
        <w:rPr>
          <w:rFonts w:hint="eastAsia" w:eastAsia="仿宋_GB2312"/>
          <w:kern w:val="0"/>
          <w:sz w:val="32"/>
          <w:szCs w:val="32"/>
        </w:rPr>
        <w:t>30</w:t>
      </w:r>
      <w:r>
        <w:rPr>
          <w:rFonts w:hint="eastAsia" w:ascii="仿宋_GB2312" w:eastAsia="仿宋_GB2312"/>
          <w:kern w:val="0"/>
          <w:sz w:val="32"/>
          <w:szCs w:val="32"/>
        </w:rPr>
        <w:t>万元；第二批于</w:t>
      </w:r>
      <w:r>
        <w:rPr>
          <w:rFonts w:hint="eastAsia" w:eastAsia="仿宋_GB2312"/>
          <w:kern w:val="0"/>
          <w:sz w:val="32"/>
          <w:szCs w:val="32"/>
        </w:rPr>
        <w:t>2021</w:t>
      </w:r>
      <w:r>
        <w:rPr>
          <w:rFonts w:hint="eastAsia" w:ascii="仿宋_GB2312" w:eastAsia="仿宋_GB2312"/>
          <w:kern w:val="0"/>
          <w:sz w:val="32"/>
          <w:szCs w:val="32"/>
        </w:rPr>
        <w:t>年</w:t>
      </w:r>
      <w:r>
        <w:rPr>
          <w:rFonts w:hint="eastAsia" w:eastAsia="仿宋_GB2312"/>
          <w:kern w:val="0"/>
          <w:sz w:val="32"/>
          <w:szCs w:val="32"/>
        </w:rPr>
        <w:t>7</w:t>
      </w:r>
      <w:r>
        <w:rPr>
          <w:rFonts w:hint="eastAsia" w:ascii="仿宋_GB2312" w:eastAsia="仿宋_GB2312"/>
          <w:kern w:val="0"/>
          <w:sz w:val="32"/>
          <w:szCs w:val="32"/>
        </w:rPr>
        <w:t>月通过大平台下达预算指标</w:t>
      </w:r>
      <w:r>
        <w:rPr>
          <w:rFonts w:hint="eastAsia" w:eastAsia="仿宋_GB2312"/>
          <w:kern w:val="0"/>
          <w:sz w:val="32"/>
          <w:szCs w:val="32"/>
        </w:rPr>
        <w:t>30</w:t>
      </w:r>
      <w:r>
        <w:rPr>
          <w:rFonts w:hint="eastAsia" w:ascii="仿宋_GB2312" w:eastAsia="仿宋_GB2312"/>
          <w:kern w:val="0"/>
          <w:sz w:val="32"/>
          <w:szCs w:val="32"/>
        </w:rPr>
        <w:t>万元；第三批于通过大平台下达预算指标</w:t>
      </w:r>
      <w:r>
        <w:rPr>
          <w:rFonts w:hint="eastAsia" w:eastAsia="仿宋_GB2312"/>
          <w:kern w:val="0"/>
          <w:sz w:val="32"/>
          <w:szCs w:val="32"/>
        </w:rPr>
        <w:t>133</w:t>
      </w:r>
      <w:r>
        <w:rPr>
          <w:rFonts w:hint="eastAsia" w:ascii="仿宋_GB2312" w:eastAsia="仿宋_GB2312"/>
          <w:kern w:val="0"/>
          <w:sz w:val="32"/>
          <w:szCs w:val="32"/>
        </w:rPr>
        <w:t>万元，共计</w:t>
      </w:r>
      <w:r>
        <w:rPr>
          <w:rFonts w:hint="eastAsia" w:eastAsia="仿宋_GB2312"/>
          <w:kern w:val="0"/>
          <w:sz w:val="32"/>
          <w:szCs w:val="32"/>
        </w:rPr>
        <w:t>193</w:t>
      </w:r>
      <w:r>
        <w:rPr>
          <w:rFonts w:hint="eastAsia" w:ascii="仿宋_GB2312" w:eastAsia="仿宋_GB2312"/>
          <w:kern w:val="0"/>
          <w:sz w:val="32"/>
          <w:szCs w:val="32"/>
        </w:rPr>
        <w:t>万元。</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3</w:t>
      </w:r>
      <w:r>
        <w:rPr>
          <w:rFonts w:ascii="楷体_GB2312" w:eastAsia="楷体_GB2312"/>
          <w:kern w:val="0"/>
          <w:sz w:val="32"/>
          <w:szCs w:val="32"/>
        </w:rPr>
        <w:t>．资金使用。</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全年实现支付</w:t>
      </w:r>
      <w:r>
        <w:rPr>
          <w:rFonts w:hint="eastAsia" w:eastAsia="仿宋_GB2312"/>
          <w:kern w:val="0"/>
          <w:sz w:val="32"/>
          <w:szCs w:val="32"/>
        </w:rPr>
        <w:t>52.301331</w:t>
      </w:r>
      <w:r>
        <w:rPr>
          <w:rFonts w:hint="eastAsia" w:ascii="仿宋_GB2312" w:eastAsia="仿宋_GB2312"/>
          <w:kern w:val="0"/>
          <w:sz w:val="32"/>
          <w:szCs w:val="32"/>
        </w:rPr>
        <w:t>万元，用于教育整顿期间产生费用。</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（三）项目财务管理情况。</w:t>
      </w:r>
    </w:p>
    <w:p>
      <w:pPr>
        <w:autoSpaceDE w:val="0"/>
        <w:autoSpaceDN w:val="0"/>
        <w:adjustRightInd w:val="0"/>
        <w:spacing w:line="60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该项目单位财务管理制度健全，严格执行财务管理制度，会计核算规范。</w:t>
      </w:r>
    </w:p>
    <w:p>
      <w:pPr>
        <w:autoSpaceDE w:val="0"/>
        <w:autoSpaceDN w:val="0"/>
        <w:adjustRightInd w:val="0"/>
        <w:spacing w:line="600" w:lineRule="exact"/>
        <w:ind w:firstLine="640" w:firstLineChars="200"/>
        <w:jc w:val="left"/>
        <w:rPr>
          <w:rFonts w:eastAsia="仿宋_GB2312"/>
          <w:kern w:val="0"/>
          <w:sz w:val="32"/>
          <w:szCs w:val="32"/>
        </w:rPr>
      </w:pPr>
      <w:r>
        <w:rPr>
          <w:rFonts w:ascii="黑体" w:eastAsia="黑体"/>
          <w:kern w:val="0"/>
          <w:sz w:val="32"/>
          <w:szCs w:val="32"/>
        </w:rPr>
        <w:t>三、项目实施及管理情况</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（一）项目组织架构及实施流程。</w:t>
      </w:r>
    </w:p>
    <w:p>
      <w:pPr>
        <w:autoSpaceDE w:val="0"/>
        <w:autoSpaceDN w:val="0"/>
        <w:adjustRightInd w:val="0"/>
        <w:spacing w:line="600" w:lineRule="exact"/>
        <w:ind w:firstLine="640" w:firstLineChars="200"/>
        <w:jc w:val="left"/>
        <w:rPr>
          <w:rFonts w:eastAsia="仿宋_GB2312"/>
          <w:kern w:val="0"/>
          <w:sz w:val="32"/>
          <w:szCs w:val="32"/>
        </w:rPr>
      </w:pPr>
      <w:r>
        <w:rPr>
          <w:rFonts w:ascii="楷体_GB2312" w:eastAsia="楷体_GB2312"/>
          <w:kern w:val="0"/>
          <w:sz w:val="32"/>
          <w:szCs w:val="32"/>
        </w:rPr>
        <w:t>（二）项目管理情况。</w:t>
      </w:r>
      <w:r>
        <w:rPr>
          <w:rFonts w:ascii="仿宋_GB2312" w:eastAsia="仿宋_GB2312"/>
          <w:kern w:val="0"/>
          <w:sz w:val="32"/>
          <w:szCs w:val="32"/>
        </w:rPr>
        <w:t>项目</w:t>
      </w:r>
      <w:r>
        <w:rPr>
          <w:rFonts w:hint="eastAsia" w:ascii="仿宋_GB2312" w:eastAsia="仿宋_GB2312"/>
          <w:kern w:val="0"/>
          <w:sz w:val="32"/>
          <w:szCs w:val="32"/>
        </w:rPr>
        <w:t>过程中单</w:t>
      </w:r>
      <w:r>
        <w:rPr>
          <w:rFonts w:ascii="仿宋_GB2312" w:eastAsia="仿宋_GB2312"/>
          <w:kern w:val="0"/>
          <w:sz w:val="32"/>
          <w:szCs w:val="32"/>
        </w:rPr>
        <w:t>位执行相关法律法规</w:t>
      </w:r>
      <w:r>
        <w:rPr>
          <w:rFonts w:hint="eastAsia" w:ascii="仿宋_GB2312" w:eastAsia="仿宋_GB2312"/>
          <w:kern w:val="0"/>
          <w:sz w:val="32"/>
          <w:szCs w:val="32"/>
        </w:rPr>
        <w:t>按照</w:t>
      </w:r>
      <w:r>
        <w:rPr>
          <w:rFonts w:ascii="仿宋_GB2312" w:eastAsia="仿宋_GB2312"/>
          <w:kern w:val="0"/>
          <w:sz w:val="32"/>
          <w:szCs w:val="32"/>
        </w:rPr>
        <w:t>项目管理制度</w:t>
      </w:r>
      <w:r>
        <w:rPr>
          <w:rFonts w:hint="eastAsia" w:ascii="仿宋_GB2312" w:eastAsia="仿宋_GB2312"/>
          <w:kern w:val="0"/>
          <w:sz w:val="32"/>
          <w:szCs w:val="32"/>
        </w:rPr>
        <w:t>管理项目</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eastAsia="仿宋_GB2312"/>
          <w:kern w:val="0"/>
          <w:sz w:val="32"/>
          <w:szCs w:val="32"/>
        </w:rPr>
      </w:pPr>
      <w:r>
        <w:rPr>
          <w:rFonts w:ascii="楷体_GB2312" w:eastAsia="楷体_GB2312"/>
          <w:kern w:val="0"/>
          <w:sz w:val="32"/>
          <w:szCs w:val="32"/>
        </w:rPr>
        <w:t>（三）项目监管情况。</w:t>
      </w:r>
      <w:r>
        <w:rPr>
          <w:rFonts w:ascii="仿宋_GB2312" w:eastAsia="仿宋_GB2312"/>
          <w:kern w:val="0"/>
          <w:sz w:val="32"/>
          <w:szCs w:val="32"/>
        </w:rPr>
        <w:t>市委政法委加强项目管理</w:t>
      </w:r>
      <w:r>
        <w:rPr>
          <w:rFonts w:hint="eastAsia" w:ascii="仿宋_GB2312" w:eastAsia="仿宋_GB2312"/>
          <w:kern w:val="0"/>
          <w:sz w:val="32"/>
          <w:szCs w:val="32"/>
        </w:rPr>
        <w:t>，严格执行相关财务管理规定，未发生违反财经纪律以及其他违规违纪的情况</w:t>
      </w:r>
      <w:r>
        <w:rPr>
          <w:rFonts w:ascii="仿宋_GB2312" w:eastAsia="仿宋_GB2312"/>
          <w:kern w:val="0"/>
          <w:sz w:val="32"/>
          <w:szCs w:val="32"/>
        </w:rPr>
        <w:t>。</w:t>
      </w:r>
    </w:p>
    <w:p>
      <w:pPr>
        <w:autoSpaceDE w:val="0"/>
        <w:autoSpaceDN w:val="0"/>
        <w:adjustRightInd w:val="0"/>
        <w:spacing w:line="600" w:lineRule="exact"/>
        <w:ind w:firstLine="640" w:firstLineChars="200"/>
        <w:jc w:val="left"/>
        <w:rPr>
          <w:rFonts w:eastAsia="黑体"/>
          <w:kern w:val="0"/>
          <w:sz w:val="32"/>
          <w:szCs w:val="32"/>
        </w:rPr>
      </w:pPr>
      <w:r>
        <w:rPr>
          <w:rFonts w:ascii="黑体" w:eastAsia="黑体"/>
          <w:kern w:val="0"/>
          <w:sz w:val="32"/>
          <w:szCs w:val="32"/>
        </w:rPr>
        <w:t>四、项目绩效情况</w:t>
      </w:r>
    </w:p>
    <w:p>
      <w:pPr>
        <w:autoSpaceDE w:val="0"/>
        <w:autoSpaceDN w:val="0"/>
        <w:adjustRightInd w:val="0"/>
        <w:spacing w:line="600" w:lineRule="exact"/>
        <w:ind w:firstLine="640" w:firstLineChars="200"/>
        <w:jc w:val="left"/>
        <w:rPr>
          <w:rFonts w:eastAsia="仿宋_GB2312"/>
          <w:kern w:val="0"/>
          <w:sz w:val="32"/>
          <w:szCs w:val="32"/>
        </w:rPr>
      </w:pPr>
      <w:r>
        <w:rPr>
          <w:rFonts w:ascii="楷体_GB2312" w:eastAsia="楷体_GB2312"/>
          <w:kern w:val="0"/>
          <w:sz w:val="32"/>
          <w:szCs w:val="32"/>
        </w:rPr>
        <w:t>（一）项目完成情况。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 xml:space="preserve"> </w:t>
      </w:r>
      <w:r>
        <w:rPr>
          <w:rFonts w:hint="eastAsia" w:ascii="仿宋_GB2312" w:eastAsia="仿宋_GB2312"/>
          <w:kern w:val="0"/>
          <w:sz w:val="32"/>
          <w:szCs w:val="32"/>
        </w:rPr>
        <w:t>市委坚决扛起主体责任</w:t>
      </w:r>
      <w:r>
        <w:rPr>
          <w:rFonts w:hint="eastAsia" w:eastAsia="仿宋_GB2312"/>
          <w:kern w:val="0"/>
          <w:sz w:val="32"/>
          <w:szCs w:val="32"/>
        </w:rPr>
        <w:t>,</w:t>
      </w:r>
      <w:r>
        <w:rPr>
          <w:rFonts w:hint="eastAsia" w:ascii="仿宋_GB2312" w:eastAsia="仿宋_GB2312"/>
          <w:kern w:val="0"/>
          <w:sz w:val="32"/>
          <w:szCs w:val="32"/>
        </w:rPr>
        <w:t>各级政法部门充分履行直接责任</w:t>
      </w:r>
      <w:r>
        <w:rPr>
          <w:rFonts w:hint="eastAsia" w:eastAsia="仿宋_GB2312"/>
          <w:kern w:val="0"/>
          <w:sz w:val="32"/>
          <w:szCs w:val="32"/>
        </w:rPr>
        <w:t>,</w:t>
      </w:r>
      <w:r>
        <w:rPr>
          <w:rFonts w:hint="eastAsia" w:ascii="仿宋_GB2312" w:eastAsia="仿宋_GB2312"/>
          <w:kern w:val="0"/>
          <w:sz w:val="32"/>
          <w:szCs w:val="32"/>
        </w:rPr>
        <w:t>切实把政法队伍教育整顿作为重大政治任务</w:t>
      </w:r>
      <w:r>
        <w:rPr>
          <w:rFonts w:hint="eastAsia" w:eastAsia="仿宋_GB2312"/>
          <w:kern w:val="0"/>
          <w:sz w:val="32"/>
          <w:szCs w:val="32"/>
        </w:rPr>
        <w:t>,</w:t>
      </w:r>
      <w:r>
        <w:rPr>
          <w:rFonts w:hint="eastAsia" w:ascii="仿宋_GB2312" w:eastAsia="仿宋_GB2312"/>
          <w:kern w:val="0"/>
          <w:sz w:val="32"/>
          <w:szCs w:val="32"/>
        </w:rPr>
        <w:t>紧抓“三个环节”、突出“四项任务”</w:t>
      </w:r>
      <w:r>
        <w:rPr>
          <w:rFonts w:hint="eastAsia" w:eastAsia="仿宋_GB2312"/>
          <w:kern w:val="0"/>
          <w:sz w:val="32"/>
          <w:szCs w:val="32"/>
        </w:rPr>
        <w:t>,</w:t>
      </w:r>
      <w:r>
        <w:rPr>
          <w:rFonts w:hint="eastAsia" w:ascii="仿宋_GB2312" w:eastAsia="仿宋_GB2312"/>
          <w:kern w:val="0"/>
          <w:sz w:val="32"/>
          <w:szCs w:val="32"/>
        </w:rPr>
        <w:t>多种形式深化“四项教育”</w:t>
      </w:r>
      <w:r>
        <w:rPr>
          <w:rFonts w:hint="eastAsia" w:eastAsia="仿宋_GB2312"/>
          <w:kern w:val="0"/>
          <w:sz w:val="32"/>
          <w:szCs w:val="32"/>
        </w:rPr>
        <w:t>,</w:t>
      </w:r>
      <w:r>
        <w:rPr>
          <w:rFonts w:hint="eastAsia" w:ascii="仿宋_GB2312" w:eastAsia="仿宋_GB2312"/>
          <w:kern w:val="0"/>
          <w:sz w:val="32"/>
          <w:szCs w:val="32"/>
        </w:rPr>
        <w:t>刀刃向内查处案件</w:t>
      </w:r>
      <w:r>
        <w:rPr>
          <w:rFonts w:hint="eastAsia" w:eastAsia="仿宋_GB2312"/>
          <w:kern w:val="0"/>
          <w:sz w:val="32"/>
          <w:szCs w:val="32"/>
        </w:rPr>
        <w:t>,</w:t>
      </w:r>
      <w:r>
        <w:rPr>
          <w:rFonts w:hint="eastAsia" w:ascii="仿宋_GB2312" w:eastAsia="仿宋_GB2312"/>
          <w:kern w:val="0"/>
          <w:sz w:val="32"/>
          <w:szCs w:val="32"/>
        </w:rPr>
        <w:t>“查改治建”一体推进顽瘴痼疾整治</w:t>
      </w:r>
      <w:r>
        <w:rPr>
          <w:rFonts w:hint="eastAsia" w:eastAsia="仿宋_GB2312"/>
          <w:kern w:val="0"/>
          <w:sz w:val="32"/>
          <w:szCs w:val="32"/>
        </w:rPr>
        <w:t>,</w:t>
      </w:r>
      <w:r>
        <w:rPr>
          <w:rFonts w:hint="eastAsia" w:ascii="仿宋_GB2312" w:eastAsia="仿宋_GB2312"/>
          <w:kern w:val="0"/>
          <w:sz w:val="32"/>
          <w:szCs w:val="32"/>
        </w:rPr>
        <w:t>各项“规定动作”对标完成有质量</w:t>
      </w:r>
      <w:r>
        <w:rPr>
          <w:rFonts w:hint="eastAsia" w:eastAsia="仿宋_GB2312"/>
          <w:kern w:val="0"/>
          <w:sz w:val="32"/>
          <w:szCs w:val="32"/>
        </w:rPr>
        <w:t>,</w:t>
      </w:r>
      <w:r>
        <w:rPr>
          <w:rFonts w:hint="eastAsia" w:ascii="仿宋_GB2312" w:eastAsia="仿宋_GB2312"/>
          <w:kern w:val="0"/>
          <w:sz w:val="32"/>
          <w:szCs w:val="32"/>
        </w:rPr>
        <w:t>“自选动作”切合实际有特色</w:t>
      </w:r>
      <w:r>
        <w:rPr>
          <w:rFonts w:hint="eastAsia" w:eastAsia="仿宋_GB2312"/>
          <w:kern w:val="0"/>
          <w:sz w:val="32"/>
          <w:szCs w:val="32"/>
        </w:rPr>
        <w:t>,</w:t>
      </w:r>
      <w:r>
        <w:rPr>
          <w:rFonts w:hint="eastAsia" w:ascii="仿宋_GB2312" w:eastAsia="仿宋_GB2312"/>
          <w:kern w:val="0"/>
          <w:sz w:val="32"/>
          <w:szCs w:val="32"/>
        </w:rPr>
        <w:t>达到了预期目标</w:t>
      </w:r>
      <w:r>
        <w:rPr>
          <w:rFonts w:hint="eastAsia" w:eastAsia="仿宋_GB2312"/>
          <w:kern w:val="0"/>
          <w:sz w:val="32"/>
          <w:szCs w:val="32"/>
        </w:rPr>
        <w:t>,</w:t>
      </w:r>
      <w:r>
        <w:rPr>
          <w:rFonts w:hint="eastAsia" w:ascii="仿宋_GB2312" w:eastAsia="仿宋_GB2312"/>
          <w:kern w:val="0"/>
          <w:sz w:val="32"/>
          <w:szCs w:val="32"/>
        </w:rPr>
        <w:t>取得了明显成效。</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（二）项目效益情况。</w:t>
      </w:r>
    </w:p>
    <w:p>
      <w:pPr>
        <w:autoSpaceDE w:val="0"/>
        <w:autoSpaceDN w:val="0"/>
        <w:adjustRightInd w:val="0"/>
        <w:spacing w:line="600" w:lineRule="exact"/>
        <w:ind w:firstLine="660" w:firstLineChars="200"/>
        <w:rPr>
          <w:rFonts w:ascii="仿宋_GB2312" w:eastAsia="仿宋_GB2312"/>
          <w:kern w:val="0"/>
          <w:sz w:val="32"/>
          <w:szCs w:val="32"/>
        </w:rPr>
      </w:pPr>
      <w:r>
        <w:rPr>
          <w:rFonts w:hint="eastAsia" w:eastAsia="方正仿宋_GBK"/>
          <w:color w:val="000000"/>
          <w:sz w:val="33"/>
          <w:szCs w:val="33"/>
        </w:rPr>
        <w:t xml:space="preserve"> </w:t>
      </w:r>
      <w:r>
        <w:rPr>
          <w:rFonts w:hint="eastAsia" w:ascii="仿宋_GB2312" w:eastAsia="仿宋_GB2312"/>
          <w:kern w:val="0"/>
          <w:sz w:val="32"/>
          <w:szCs w:val="32"/>
        </w:rPr>
        <w:t>第一批教育整顿期间,分层分级开展政治轮训1.5万人次，政法干警忠诚使命根基持续夯实。坚持刀刃向内、正风肃纪，查处违纪违法干警194人，立案58人，留置4人，清除了一批害群之马。</w:t>
      </w:r>
      <w:r>
        <w:rPr>
          <w:rFonts w:hint="eastAsia" w:ascii="仿宋_GB2312" w:eastAsia="仿宋_GB2312"/>
          <w:color w:val="000000"/>
          <w:kern w:val="0"/>
          <w:sz w:val="32"/>
          <w:szCs w:val="32"/>
        </w:rPr>
        <w:t>开展“我为群众办实事八大行动”</w:t>
      </w:r>
      <w:r>
        <w:rPr>
          <w:rFonts w:hint="eastAsia" w:eastAsia="仿宋_GB2312"/>
          <w:color w:val="000000"/>
          <w:kern w:val="0"/>
          <w:sz w:val="32"/>
          <w:szCs w:val="32"/>
        </w:rPr>
        <w:t>,</w:t>
      </w:r>
      <w:r>
        <w:rPr>
          <w:rFonts w:hint="eastAsia" w:ascii="仿宋_GB2312" w:eastAsia="仿宋_GB2312"/>
          <w:color w:val="000000"/>
          <w:kern w:val="0"/>
          <w:sz w:val="32"/>
          <w:szCs w:val="32"/>
        </w:rPr>
        <w:t xml:space="preserve">推出 </w:t>
      </w:r>
      <w:r>
        <w:rPr>
          <w:rFonts w:hint="eastAsia" w:eastAsia="仿宋_GB2312"/>
          <w:color w:val="000000"/>
          <w:kern w:val="0"/>
          <w:sz w:val="32"/>
          <w:szCs w:val="32"/>
        </w:rPr>
        <w:t xml:space="preserve">76 </w:t>
      </w:r>
      <w:r>
        <w:rPr>
          <w:rFonts w:hint="eastAsia" w:ascii="仿宋_GB2312" w:eastAsia="仿宋_GB2312"/>
          <w:color w:val="000000"/>
          <w:kern w:val="0"/>
          <w:sz w:val="32"/>
          <w:szCs w:val="32"/>
        </w:rPr>
        <w:t>项执法司法为民举措。全市政法工作业务指标实现“五降五升”</w:t>
      </w:r>
      <w:r>
        <w:rPr>
          <w:rFonts w:hint="eastAsia" w:eastAsia="仿宋_GB2312"/>
          <w:color w:val="000000"/>
          <w:kern w:val="0"/>
          <w:sz w:val="32"/>
          <w:szCs w:val="32"/>
        </w:rPr>
        <w:t>,</w:t>
      </w:r>
      <w:r>
        <w:rPr>
          <w:rFonts w:hint="eastAsia" w:ascii="仿宋_GB2312" w:eastAsia="仿宋_GB2312"/>
          <w:color w:val="000000"/>
          <w:kern w:val="0"/>
          <w:sz w:val="32"/>
          <w:szCs w:val="32"/>
        </w:rPr>
        <w:t>全国教整办将攀枝花市政法干部轮岗交流工作作为亮点经验交流推广</w:t>
      </w:r>
      <w:r>
        <w:rPr>
          <w:rFonts w:hint="eastAsia" w:eastAsia="仿宋_GB2312"/>
          <w:color w:val="000000"/>
          <w:kern w:val="0"/>
          <w:sz w:val="32"/>
          <w:szCs w:val="32"/>
        </w:rPr>
        <w:t xml:space="preserve">; </w:t>
      </w:r>
      <w:r>
        <w:rPr>
          <w:rFonts w:hint="eastAsia" w:ascii="仿宋_GB2312" w:eastAsia="仿宋_GB2312"/>
          <w:color w:val="000000"/>
          <w:kern w:val="0"/>
          <w:sz w:val="32"/>
          <w:szCs w:val="32"/>
        </w:rPr>
        <w:t xml:space="preserve">中央第十四督导组对教育整顿纳入目标督查、开展政法机关“经济体检”、规范 </w:t>
      </w:r>
      <w:r>
        <w:rPr>
          <w:rFonts w:hint="eastAsia" w:eastAsia="仿宋_GB2312"/>
          <w:color w:val="000000"/>
          <w:kern w:val="0"/>
          <w:sz w:val="32"/>
          <w:szCs w:val="32"/>
        </w:rPr>
        <w:t xml:space="preserve">28 </w:t>
      </w:r>
      <w:r>
        <w:rPr>
          <w:rFonts w:hint="eastAsia" w:ascii="仿宋_GB2312" w:eastAsia="仿宋_GB2312"/>
          <w:color w:val="000000"/>
          <w:kern w:val="0"/>
          <w:sz w:val="32"/>
          <w:szCs w:val="32"/>
        </w:rPr>
        <w:t>条禁业范围负面清单等做法给予充分肯定</w:t>
      </w:r>
      <w:r>
        <w:rPr>
          <w:rFonts w:hint="eastAsia" w:eastAsia="仿宋_GB2312"/>
          <w:color w:val="000000"/>
          <w:kern w:val="0"/>
          <w:sz w:val="32"/>
          <w:szCs w:val="32"/>
        </w:rPr>
        <w:t>;</w:t>
      </w:r>
      <w:r>
        <w:rPr>
          <w:rFonts w:hint="eastAsia" w:ascii="仿宋_GB2312" w:eastAsia="仿宋_GB2312"/>
          <w:color w:val="000000"/>
          <w:kern w:val="0"/>
          <w:sz w:val="32"/>
          <w:szCs w:val="32"/>
        </w:rPr>
        <w:t>省指导组给予了取得了政治忠诚展新貌、主责主业创新绩、群众满意攀新高、政法铁军树新风“四新”成效的高度评价。</w:t>
      </w:r>
      <w:r>
        <w:rPr>
          <w:rFonts w:hint="eastAsia" w:ascii="仿宋_GB2312" w:eastAsia="仿宋_GB2312"/>
          <w:kern w:val="0"/>
          <w:sz w:val="32"/>
          <w:szCs w:val="32"/>
        </w:rPr>
        <w:t>主动宣传、立体传播政法队伍风采，42万人参与“十佳花城卫士”网络评选活动，政法队伍纪律作风更过硬、争先氛围更浓厚。</w:t>
      </w:r>
    </w:p>
    <w:p>
      <w:pPr>
        <w:autoSpaceDE w:val="0"/>
        <w:autoSpaceDN w:val="0"/>
        <w:adjustRightInd w:val="0"/>
        <w:spacing w:line="600" w:lineRule="exact"/>
        <w:ind w:firstLine="640" w:firstLineChars="200"/>
        <w:jc w:val="left"/>
        <w:rPr>
          <w:rFonts w:eastAsia="黑体"/>
          <w:color w:val="000000"/>
          <w:kern w:val="0"/>
          <w:sz w:val="32"/>
          <w:szCs w:val="32"/>
        </w:rPr>
      </w:pPr>
      <w:r>
        <w:rPr>
          <w:rFonts w:ascii="黑体" w:eastAsia="黑体"/>
          <w:color w:val="000000"/>
          <w:kern w:val="0"/>
          <w:sz w:val="32"/>
          <w:szCs w:val="32"/>
        </w:rPr>
        <w:t>五、评价结论及建议</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（一）评价结论。</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对照项目计划完成目标及资金支付情况，因财政支付压力，导致很多已完成项目资金未支付，项目绩效完成不理想。</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（二）存在的问题。</w:t>
      </w:r>
    </w:p>
    <w:p>
      <w:pPr>
        <w:autoSpaceDE w:val="0"/>
        <w:autoSpaceDN w:val="0"/>
        <w:adjustRightInd w:val="0"/>
        <w:spacing w:line="600" w:lineRule="exact"/>
        <w:ind w:firstLine="640" w:firstLineChars="200"/>
        <w:jc w:val="left"/>
        <w:rPr>
          <w:rFonts w:eastAsia="楷体_GB2312"/>
          <w:kern w:val="0"/>
          <w:sz w:val="32"/>
          <w:szCs w:val="32"/>
        </w:rPr>
      </w:pPr>
      <w:r>
        <w:rPr>
          <w:rFonts w:hint="eastAsia" w:ascii="仿宋_GB2312" w:eastAsia="仿宋_GB2312"/>
          <w:kern w:val="0"/>
          <w:sz w:val="32"/>
          <w:szCs w:val="32"/>
        </w:rPr>
        <w:t>财政支付压力，导致很多已完成项目资金未支付。</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（三）相关建议。</w:t>
      </w:r>
    </w:p>
    <w:p>
      <w:pPr>
        <w:ind w:firstLine="640" w:firstLineChars="200"/>
        <w:rPr>
          <w:rFonts w:ascii="Calibri" w:hAnsi="Calibri" w:cs="Calibri"/>
          <w:szCs w:val="21"/>
        </w:rPr>
      </w:pPr>
      <w:r>
        <w:rPr>
          <w:rFonts w:hint="eastAsia" w:ascii="仿宋_GB2312" w:eastAsia="仿宋_GB2312"/>
          <w:kern w:val="0"/>
          <w:sz w:val="32"/>
          <w:szCs w:val="32"/>
        </w:rPr>
        <w:t>加大支付力度，尽量安排已发生且易导致涉诉风险费用支付</w:t>
      </w:r>
      <w:r>
        <w:rPr>
          <w:rFonts w:ascii="仿宋_GB2312" w:eastAsia="仿宋_GB2312"/>
          <w:kern w:val="0"/>
          <w:sz w:val="32"/>
          <w:szCs w:val="32"/>
        </w:rPr>
        <w:t>。</w:t>
      </w: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r>
        <w:rPr>
          <w:rFonts w:hint="eastAsia"/>
        </w:rPr>
        <w:t>附件</w:t>
      </w:r>
    </w:p>
    <w:p>
      <w:pPr>
        <w:jc w:val="center"/>
        <w:rPr>
          <w:rFonts w:ascii="方正黑体_GBK" w:eastAsia="方正黑体_GBK"/>
          <w:sz w:val="32"/>
          <w:szCs w:val="32"/>
        </w:rPr>
      </w:pPr>
      <w:r>
        <w:rPr>
          <w:rFonts w:hint="eastAsia" w:ascii="方正黑体_GBK" w:eastAsia="方正黑体_GBK"/>
          <w:sz w:val="32"/>
          <w:szCs w:val="32"/>
        </w:rPr>
        <w:t>2021年度专项预算项目支出绩效自评报告</w:t>
      </w:r>
    </w:p>
    <w:p>
      <w:pPr>
        <w:jc w:val="center"/>
        <w:rPr>
          <w:rFonts w:ascii="方正黑体_GBK" w:eastAsia="方正黑体_GBK"/>
          <w:sz w:val="32"/>
          <w:szCs w:val="32"/>
        </w:rPr>
      </w:pPr>
      <w:r>
        <w:rPr>
          <w:rFonts w:hint="eastAsia" w:ascii="方正黑体_GBK" w:eastAsia="方正黑体_GBK"/>
          <w:sz w:val="32"/>
          <w:szCs w:val="32"/>
        </w:rPr>
        <w:t>（招商引资工作经费）</w:t>
      </w:r>
      <w:r>
        <w:rPr>
          <w:rFonts w:hint="eastAsia" w:ascii="仿宋_GB2312" w:eastAsia="仿宋_GB2312"/>
          <w:sz w:val="32"/>
          <w:szCs w:val="32"/>
        </w:rPr>
        <w:t xml:space="preserve"> </w:t>
      </w:r>
    </w:p>
    <w:p>
      <w:pPr>
        <w:autoSpaceDE w:val="0"/>
        <w:autoSpaceDN w:val="0"/>
        <w:adjustRightInd w:val="0"/>
        <w:spacing w:line="600" w:lineRule="exact"/>
        <w:ind w:firstLine="640" w:firstLineChars="200"/>
        <w:jc w:val="left"/>
        <w:rPr>
          <w:rFonts w:eastAsia="黑体"/>
          <w:kern w:val="0"/>
          <w:sz w:val="32"/>
          <w:szCs w:val="32"/>
        </w:rPr>
      </w:pPr>
      <w:r>
        <w:rPr>
          <w:rFonts w:ascii="黑体" w:eastAsia="黑体"/>
          <w:kern w:val="0"/>
          <w:sz w:val="32"/>
          <w:szCs w:val="32"/>
        </w:rPr>
        <w:t>一、项目概况</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（一）项目基本情况。</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1</w:t>
      </w:r>
      <w:r>
        <w:rPr>
          <w:rFonts w:ascii="仿宋_GB2312" w:eastAsia="仿宋_GB2312"/>
          <w:kern w:val="0"/>
          <w:sz w:val="32"/>
          <w:szCs w:val="32"/>
        </w:rPr>
        <w:t>．说明项目主管部门（单位）在该项目管理中的职能。</w:t>
      </w:r>
    </w:p>
    <w:p>
      <w:pPr>
        <w:autoSpaceDE w:val="0"/>
        <w:autoSpaceDN w:val="0"/>
        <w:adjustRightInd w:val="0"/>
        <w:spacing w:line="60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市委政法委是市委领导政法工作的职能部门，具有监督指导政法各部门严格行使职权，指导协调全市政法工作等。</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2</w:t>
      </w:r>
      <w:r>
        <w:rPr>
          <w:rFonts w:ascii="仿宋_GB2312" w:eastAsia="仿宋_GB2312"/>
          <w:kern w:val="0"/>
          <w:sz w:val="32"/>
          <w:szCs w:val="32"/>
        </w:rPr>
        <w:t>．项目立项、资金申报的依据。</w:t>
      </w:r>
    </w:p>
    <w:p>
      <w:pPr>
        <w:autoSpaceDE w:val="0"/>
        <w:autoSpaceDN w:val="0"/>
        <w:adjustRightInd w:val="0"/>
        <w:spacing w:line="600" w:lineRule="exact"/>
        <w:ind w:firstLine="640" w:firstLineChars="200"/>
        <w:jc w:val="left"/>
        <w:rPr>
          <w:rFonts w:eastAsia="仿宋_GB2312"/>
          <w:kern w:val="0"/>
          <w:sz w:val="32"/>
          <w:szCs w:val="32"/>
        </w:rPr>
      </w:pPr>
      <w:r>
        <w:rPr>
          <w:rFonts w:ascii="仿宋_GB2312" w:eastAsia="仿宋_GB2312"/>
          <w:color w:val="333333"/>
          <w:kern w:val="0"/>
          <w:sz w:val="32"/>
          <w:szCs w:val="32"/>
        </w:rPr>
        <w:t>为履行特定职责</w:t>
      </w:r>
      <w:r>
        <w:rPr>
          <w:rFonts w:hint="eastAsia" w:ascii="仿宋_GB2312" w:eastAsia="仿宋_GB2312"/>
          <w:color w:val="333333"/>
          <w:kern w:val="0"/>
          <w:sz w:val="32"/>
          <w:szCs w:val="32"/>
        </w:rPr>
        <w:t>开展招商引资</w:t>
      </w:r>
      <w:r>
        <w:rPr>
          <w:rFonts w:ascii="仿宋_GB2312" w:eastAsia="仿宋_GB2312"/>
          <w:color w:val="333333"/>
          <w:kern w:val="0"/>
          <w:sz w:val="32"/>
          <w:szCs w:val="32"/>
        </w:rPr>
        <w:t>专项</w:t>
      </w:r>
      <w:r>
        <w:rPr>
          <w:rFonts w:hint="eastAsia" w:ascii="仿宋_GB2312" w:eastAsia="仿宋_GB2312"/>
          <w:color w:val="333333"/>
          <w:kern w:val="0"/>
          <w:sz w:val="32"/>
          <w:szCs w:val="32"/>
        </w:rPr>
        <w:t>工作</w:t>
      </w:r>
      <w:r>
        <w:rPr>
          <w:rFonts w:ascii="仿宋_GB2312" w:eastAsia="仿宋_GB2312"/>
          <w:color w:val="333333"/>
          <w:kern w:val="0"/>
          <w:sz w:val="32"/>
          <w:szCs w:val="32"/>
        </w:rPr>
        <w:t>经费。</w:t>
      </w:r>
    </w:p>
    <w:p>
      <w:pPr>
        <w:numPr>
          <w:ilvl w:val="0"/>
          <w:numId w:val="8"/>
        </w:numPr>
        <w:autoSpaceDE w:val="0"/>
        <w:autoSpaceDN w:val="0"/>
        <w:adjustRightInd w:val="0"/>
        <w:spacing w:line="600" w:lineRule="exact"/>
        <w:ind w:firstLine="640" w:firstLineChars="200"/>
        <w:jc w:val="left"/>
        <w:rPr>
          <w:rFonts w:eastAsia="仿宋_GB2312"/>
          <w:kern w:val="0"/>
          <w:sz w:val="32"/>
          <w:szCs w:val="32"/>
        </w:rPr>
      </w:pPr>
      <w:r>
        <w:rPr>
          <w:rFonts w:ascii="仿宋_GB2312" w:eastAsia="仿宋_GB2312"/>
          <w:kern w:val="0"/>
          <w:sz w:val="32"/>
          <w:szCs w:val="32"/>
        </w:rPr>
        <w:t>资金管理办法制定情况，资金支持具体项目的条件、范围与支持方式概况。</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 xml:space="preserve">    </w:t>
      </w:r>
      <w:r>
        <w:rPr>
          <w:rFonts w:hint="eastAsia" w:ascii="仿宋_GB2312" w:eastAsia="仿宋_GB2312"/>
          <w:kern w:val="0"/>
          <w:sz w:val="32"/>
          <w:szCs w:val="32"/>
        </w:rPr>
        <w:t>资金管理按照市财政局关于项目经费管理办法进行管理，严格要求专款专用的原则支付使用资金。</w:t>
      </w:r>
    </w:p>
    <w:p>
      <w:pPr>
        <w:numPr>
          <w:ilvl w:val="0"/>
          <w:numId w:val="8"/>
        </w:numPr>
        <w:autoSpaceDE w:val="0"/>
        <w:autoSpaceDN w:val="0"/>
        <w:adjustRightInd w:val="0"/>
        <w:spacing w:line="600" w:lineRule="exact"/>
        <w:ind w:firstLine="640" w:firstLineChars="200"/>
        <w:jc w:val="left"/>
        <w:rPr>
          <w:rFonts w:eastAsia="仿宋_GB2312"/>
          <w:kern w:val="0"/>
          <w:sz w:val="32"/>
          <w:szCs w:val="32"/>
        </w:rPr>
      </w:pPr>
      <w:r>
        <w:rPr>
          <w:rFonts w:ascii="仿宋_GB2312" w:eastAsia="仿宋_GB2312"/>
          <w:kern w:val="0"/>
          <w:sz w:val="32"/>
          <w:szCs w:val="32"/>
        </w:rPr>
        <w:t>资金分配的原则及考虑因素。</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 xml:space="preserve">    </w:t>
      </w:r>
      <w:r>
        <w:rPr>
          <w:rFonts w:hint="eastAsia" w:ascii="仿宋_GB2312" w:eastAsia="仿宋_GB2312"/>
          <w:kern w:val="0"/>
          <w:sz w:val="32"/>
          <w:szCs w:val="32"/>
        </w:rPr>
        <w:t>不存在资金分配。</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（二）项目绩效目标。</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1</w:t>
      </w:r>
      <w:r>
        <w:rPr>
          <w:rFonts w:ascii="仿宋_GB2312" w:eastAsia="仿宋_GB2312"/>
          <w:kern w:val="0"/>
          <w:sz w:val="32"/>
          <w:szCs w:val="32"/>
        </w:rPr>
        <w:t>．项目主要内容。</w:t>
      </w:r>
      <w:r>
        <w:rPr>
          <w:rFonts w:hint="eastAsia" w:ascii="仿宋_GB2312" w:eastAsia="仿宋_GB2312"/>
          <w:kern w:val="0"/>
          <w:sz w:val="32"/>
          <w:szCs w:val="32"/>
        </w:rPr>
        <w:t>用于赴外拜访企业，开展招商推介等业务工作的工作经费</w:t>
      </w:r>
    </w:p>
    <w:p>
      <w:pPr>
        <w:autoSpaceDE w:val="0"/>
        <w:autoSpaceDN w:val="0"/>
        <w:adjustRightInd w:val="0"/>
        <w:spacing w:line="600" w:lineRule="exact"/>
        <w:ind w:firstLine="640" w:firstLineChars="200"/>
        <w:jc w:val="left"/>
        <w:rPr>
          <w:rFonts w:eastAsia="仿宋_GB2312"/>
          <w:kern w:val="0"/>
          <w:sz w:val="32"/>
          <w:szCs w:val="32"/>
        </w:rPr>
      </w:pPr>
      <w:r>
        <w:rPr>
          <w:rFonts w:eastAsia="仿宋_GB2312"/>
          <w:kern w:val="0"/>
          <w:sz w:val="32"/>
          <w:szCs w:val="32"/>
        </w:rPr>
        <w:t>2</w:t>
      </w:r>
      <w:r>
        <w:rPr>
          <w:rFonts w:ascii="仿宋_GB2312" w:eastAsia="仿宋_GB2312"/>
          <w:kern w:val="0"/>
          <w:sz w:val="32"/>
          <w:szCs w:val="32"/>
        </w:rPr>
        <w:t>．项目应实现的具体绩效目标，包括目标的量化、细化情况以及项目实施进度计划等。</w:t>
      </w:r>
      <w:r>
        <w:rPr>
          <w:rFonts w:hint="eastAsia" w:ascii="仿宋_GB2312" w:eastAsia="仿宋_GB2312"/>
          <w:kern w:val="0"/>
          <w:sz w:val="32"/>
          <w:szCs w:val="32"/>
        </w:rPr>
        <w:t>到经济发达地区4批次，对10个以上企业进行拜访，争取能有企业项目落地。</w:t>
      </w:r>
    </w:p>
    <w:p>
      <w:pPr>
        <w:numPr>
          <w:ilvl w:val="0"/>
          <w:numId w:val="9"/>
        </w:numPr>
        <w:autoSpaceDE w:val="0"/>
        <w:autoSpaceDN w:val="0"/>
        <w:adjustRightInd w:val="0"/>
        <w:spacing w:line="600" w:lineRule="exact"/>
        <w:ind w:firstLine="640" w:firstLineChars="200"/>
        <w:jc w:val="left"/>
        <w:rPr>
          <w:rFonts w:eastAsia="仿宋_GB2312"/>
          <w:kern w:val="0"/>
          <w:sz w:val="32"/>
          <w:szCs w:val="32"/>
        </w:rPr>
      </w:pPr>
      <w:r>
        <w:rPr>
          <w:rFonts w:ascii="仿宋_GB2312" w:eastAsia="仿宋_GB2312"/>
          <w:kern w:val="0"/>
          <w:sz w:val="32"/>
          <w:szCs w:val="32"/>
        </w:rPr>
        <w:t>分析评价申报内容是否与实际相符，申报目标是否合理可行。</w:t>
      </w:r>
      <w:r>
        <w:rPr>
          <w:rFonts w:hint="eastAsia" w:eastAsia="仿宋_GB2312"/>
          <w:kern w:val="0"/>
          <w:sz w:val="32"/>
          <w:szCs w:val="32"/>
        </w:rPr>
        <w:t xml:space="preserve">  </w:t>
      </w:r>
      <w:r>
        <w:rPr>
          <w:rFonts w:hint="eastAsia" w:ascii="仿宋_GB2312" w:eastAsia="仿宋_GB2312"/>
          <w:kern w:val="0"/>
          <w:sz w:val="32"/>
          <w:szCs w:val="32"/>
        </w:rPr>
        <w:t>合理</w:t>
      </w:r>
    </w:p>
    <w:p>
      <w:pPr>
        <w:autoSpaceDE w:val="0"/>
        <w:autoSpaceDN w:val="0"/>
        <w:adjustRightInd w:val="0"/>
        <w:spacing w:line="600" w:lineRule="exact"/>
        <w:ind w:firstLine="640" w:firstLineChars="200"/>
        <w:jc w:val="left"/>
        <w:rPr>
          <w:rFonts w:eastAsia="楷体_GB2312"/>
          <w:kern w:val="0"/>
          <w:sz w:val="32"/>
          <w:szCs w:val="32"/>
        </w:rPr>
      </w:pPr>
      <w:r>
        <w:rPr>
          <w:rFonts w:ascii="黑体" w:eastAsia="黑体"/>
          <w:kern w:val="0"/>
          <w:sz w:val="32"/>
          <w:szCs w:val="32"/>
        </w:rPr>
        <w:t>二、项目资金申报及使用情况</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（一）项目资金申报及批复情况。</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招商引资工作</w:t>
      </w:r>
      <w:r>
        <w:rPr>
          <w:rFonts w:eastAsia="仿宋_GB2312"/>
          <w:kern w:val="0"/>
          <w:sz w:val="32"/>
          <w:szCs w:val="32"/>
        </w:rPr>
        <w:t>经费</w:t>
      </w:r>
      <w:r>
        <w:rPr>
          <w:rFonts w:hint="eastAsia" w:eastAsia="仿宋_GB2312"/>
          <w:kern w:val="0"/>
          <w:sz w:val="32"/>
          <w:szCs w:val="32"/>
        </w:rPr>
        <w:t>，2021年市财政追加预算30万元</w:t>
      </w:r>
      <w:r>
        <w:rPr>
          <w:rFonts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（二）资金计划、到位及使用情况（可用表格形式反映）。</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1</w:t>
      </w:r>
      <w:r>
        <w:rPr>
          <w:rFonts w:ascii="楷体_GB2312" w:eastAsia="楷体_GB2312"/>
          <w:kern w:val="0"/>
          <w:sz w:val="32"/>
          <w:szCs w:val="32"/>
        </w:rPr>
        <w:t>．资金计划。</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资金全部为市级资金。</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2</w:t>
      </w:r>
      <w:r>
        <w:rPr>
          <w:rFonts w:ascii="楷体_GB2312" w:eastAsia="楷体_GB2312"/>
          <w:kern w:val="0"/>
          <w:sz w:val="32"/>
          <w:szCs w:val="32"/>
        </w:rPr>
        <w:t>．资金到位。</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资金于</w:t>
      </w:r>
      <w:r>
        <w:rPr>
          <w:rFonts w:hint="eastAsia" w:eastAsia="仿宋_GB2312"/>
          <w:kern w:val="0"/>
          <w:sz w:val="32"/>
          <w:szCs w:val="32"/>
        </w:rPr>
        <w:t>2021</w:t>
      </w:r>
      <w:r>
        <w:rPr>
          <w:rFonts w:hint="eastAsia" w:ascii="仿宋_GB2312" w:eastAsia="仿宋_GB2312"/>
          <w:kern w:val="0"/>
          <w:sz w:val="32"/>
          <w:szCs w:val="32"/>
        </w:rPr>
        <w:t>年</w:t>
      </w:r>
      <w:r>
        <w:rPr>
          <w:rFonts w:hint="eastAsia" w:eastAsia="仿宋_GB2312"/>
          <w:kern w:val="0"/>
          <w:sz w:val="32"/>
          <w:szCs w:val="32"/>
        </w:rPr>
        <w:t>4</w:t>
      </w:r>
      <w:r>
        <w:rPr>
          <w:rFonts w:hint="eastAsia" w:ascii="仿宋_GB2312" w:eastAsia="仿宋_GB2312"/>
          <w:kern w:val="0"/>
          <w:sz w:val="32"/>
          <w:szCs w:val="32"/>
        </w:rPr>
        <w:t>月由财政将指标通过大平台下至我单位。</w:t>
      </w:r>
    </w:p>
    <w:p>
      <w:pPr>
        <w:autoSpaceDE w:val="0"/>
        <w:autoSpaceDN w:val="0"/>
        <w:adjustRightInd w:val="0"/>
        <w:spacing w:line="600" w:lineRule="exact"/>
        <w:ind w:firstLine="640" w:firstLineChars="200"/>
        <w:jc w:val="left"/>
        <w:rPr>
          <w:rFonts w:eastAsia="楷体_GB2312"/>
          <w:kern w:val="0"/>
          <w:sz w:val="32"/>
          <w:szCs w:val="32"/>
        </w:rPr>
      </w:pPr>
      <w:r>
        <w:rPr>
          <w:rFonts w:eastAsia="楷体_GB2312"/>
          <w:kern w:val="0"/>
          <w:sz w:val="32"/>
          <w:szCs w:val="32"/>
        </w:rPr>
        <w:t>3</w:t>
      </w:r>
      <w:r>
        <w:rPr>
          <w:rFonts w:ascii="楷体_GB2312" w:eastAsia="楷体_GB2312"/>
          <w:kern w:val="0"/>
          <w:sz w:val="32"/>
          <w:szCs w:val="32"/>
        </w:rPr>
        <w:t>．资金使用。</w:t>
      </w:r>
    </w:p>
    <w:p>
      <w:pPr>
        <w:autoSpaceDE w:val="0"/>
        <w:autoSpaceDN w:val="0"/>
        <w:adjustRightInd w:val="0"/>
        <w:spacing w:line="600" w:lineRule="exact"/>
        <w:ind w:firstLine="640" w:firstLineChars="200"/>
        <w:jc w:val="left"/>
        <w:rPr>
          <w:rFonts w:eastAsia="仿宋_GB2312"/>
          <w:kern w:val="0"/>
          <w:sz w:val="32"/>
          <w:szCs w:val="32"/>
        </w:rPr>
      </w:pPr>
      <w:r>
        <w:rPr>
          <w:rFonts w:hint="eastAsia" w:ascii="仿宋_GB2312" w:eastAsia="仿宋_GB2312"/>
          <w:kern w:val="0"/>
          <w:sz w:val="32"/>
          <w:szCs w:val="32"/>
        </w:rPr>
        <w:t>资金主要用于开展招商引资活动等相关工作的工作经费。资金支付</w:t>
      </w:r>
      <w:r>
        <w:rPr>
          <w:rFonts w:hint="eastAsia" w:eastAsia="仿宋_GB2312"/>
          <w:kern w:val="0"/>
          <w:sz w:val="32"/>
          <w:szCs w:val="32"/>
        </w:rPr>
        <w:t>4.005942</w:t>
      </w:r>
      <w:r>
        <w:rPr>
          <w:rFonts w:hint="eastAsia" w:ascii="仿宋_GB2312" w:eastAsia="仿宋_GB2312"/>
          <w:kern w:val="0"/>
          <w:sz w:val="32"/>
          <w:szCs w:val="32"/>
        </w:rPr>
        <w:t>万元，支付率</w:t>
      </w:r>
      <w:r>
        <w:rPr>
          <w:rFonts w:hint="eastAsia" w:eastAsia="仿宋_GB2312"/>
          <w:kern w:val="0"/>
          <w:sz w:val="32"/>
          <w:szCs w:val="32"/>
        </w:rPr>
        <w:t>13.35%</w:t>
      </w:r>
      <w:r>
        <w:rPr>
          <w:rFonts w:hint="eastAsia" w:ascii="仿宋_GB2312"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（三）项目财务管理情况。</w:t>
      </w:r>
    </w:p>
    <w:p>
      <w:pPr>
        <w:autoSpaceDE w:val="0"/>
        <w:autoSpaceDN w:val="0"/>
        <w:adjustRightInd w:val="0"/>
        <w:spacing w:line="600" w:lineRule="exact"/>
        <w:ind w:firstLine="640" w:firstLineChars="200"/>
        <w:jc w:val="left"/>
        <w:rPr>
          <w:rFonts w:eastAsia="仿宋_GB2312"/>
          <w:kern w:val="0"/>
          <w:sz w:val="32"/>
          <w:szCs w:val="32"/>
        </w:rPr>
      </w:pPr>
      <w:r>
        <w:rPr>
          <w:rFonts w:ascii="仿宋_GB2312" w:eastAsia="仿宋_GB2312"/>
          <w:kern w:val="0"/>
          <w:sz w:val="32"/>
          <w:szCs w:val="32"/>
        </w:rPr>
        <w:t>财务管理制度是健全，执行财务管理制度，账务处理及时，会计核算规范。</w:t>
      </w:r>
    </w:p>
    <w:p>
      <w:pPr>
        <w:autoSpaceDE w:val="0"/>
        <w:autoSpaceDN w:val="0"/>
        <w:adjustRightInd w:val="0"/>
        <w:spacing w:line="600" w:lineRule="exact"/>
        <w:ind w:firstLine="640" w:firstLineChars="200"/>
        <w:jc w:val="left"/>
        <w:rPr>
          <w:rFonts w:eastAsia="黑体"/>
          <w:kern w:val="0"/>
          <w:sz w:val="32"/>
          <w:szCs w:val="32"/>
        </w:rPr>
      </w:pPr>
      <w:r>
        <w:rPr>
          <w:rFonts w:ascii="黑体" w:eastAsia="黑体"/>
          <w:kern w:val="0"/>
          <w:sz w:val="32"/>
          <w:szCs w:val="32"/>
        </w:rPr>
        <w:t>三、项目实施及管理情况</w:t>
      </w:r>
    </w:p>
    <w:p>
      <w:pPr>
        <w:autoSpaceDE w:val="0"/>
        <w:autoSpaceDN w:val="0"/>
        <w:adjustRightInd w:val="0"/>
        <w:spacing w:line="600" w:lineRule="exact"/>
        <w:ind w:firstLine="640" w:firstLineChars="200"/>
        <w:jc w:val="left"/>
        <w:rPr>
          <w:rFonts w:eastAsia="仿宋_GB2312"/>
          <w:kern w:val="0"/>
          <w:sz w:val="32"/>
          <w:szCs w:val="32"/>
        </w:rPr>
      </w:pPr>
      <w:r>
        <w:rPr>
          <w:rFonts w:ascii="仿宋_GB2312" w:eastAsia="仿宋_GB2312"/>
          <w:kern w:val="0"/>
          <w:sz w:val="32"/>
          <w:szCs w:val="32"/>
        </w:rPr>
        <w:t>结合项目组织实施管理办法，重点围绕以下内容进行分析评价，并对自评中发现的问题分析说明。</w:t>
      </w:r>
    </w:p>
    <w:p>
      <w:pPr>
        <w:pStyle w:val="13"/>
        <w:widowControl/>
        <w:spacing w:line="560" w:lineRule="exact"/>
        <w:ind w:firstLine="640" w:firstLineChars="200"/>
        <w:rPr>
          <w:rFonts w:eastAsia="楷体_GB2312"/>
          <w:sz w:val="32"/>
          <w:szCs w:val="32"/>
        </w:rPr>
      </w:pPr>
      <w:r>
        <w:rPr>
          <w:rFonts w:ascii="楷体_GB2312" w:eastAsia="楷体_GB2312"/>
          <w:sz w:val="32"/>
          <w:szCs w:val="32"/>
        </w:rPr>
        <w:t>（一）项目组织架构及实施流程。</w:t>
      </w:r>
      <w:r>
        <w:rPr>
          <w:rFonts w:ascii="仿宋_GB2312" w:eastAsia="仿宋_GB2312"/>
          <w:sz w:val="32"/>
          <w:szCs w:val="32"/>
        </w:rPr>
        <w:t>由承担项目股室对绩效完成情况进行自评并编制绩效报告；计财股对该绩效目标完成情况进行初步审核，按照有关规定组织绩效评价，编写绩效评价报告。项目实施严格按照要求进行管理。</w:t>
      </w:r>
    </w:p>
    <w:p>
      <w:pPr>
        <w:pStyle w:val="13"/>
        <w:widowControl/>
        <w:spacing w:before="0" w:beforeAutospacing="0" w:after="0" w:afterAutospacing="0" w:line="560" w:lineRule="exact"/>
        <w:ind w:firstLine="640" w:firstLineChars="200"/>
        <w:rPr>
          <w:rFonts w:eastAsia="仿宋_GB2312"/>
          <w:sz w:val="32"/>
          <w:szCs w:val="32"/>
        </w:rPr>
      </w:pPr>
      <w:r>
        <w:rPr>
          <w:rFonts w:ascii="楷体_GB2312" w:eastAsia="楷体_GB2312"/>
          <w:sz w:val="32"/>
          <w:szCs w:val="32"/>
        </w:rPr>
        <w:t>（二）项目管理情况。</w:t>
      </w:r>
      <w:r>
        <w:rPr>
          <w:rFonts w:hint="eastAsia" w:ascii="仿宋_GB2312" w:eastAsia="仿宋_GB2312"/>
          <w:sz w:val="32"/>
          <w:szCs w:val="32"/>
        </w:rPr>
        <w:t>因项目属于工作经费性质主要按照财经纪律和规定开展。</w:t>
      </w:r>
    </w:p>
    <w:p>
      <w:pPr>
        <w:autoSpaceDE w:val="0"/>
        <w:autoSpaceDN w:val="0"/>
        <w:adjustRightInd w:val="0"/>
        <w:spacing w:line="560" w:lineRule="exact"/>
        <w:ind w:firstLine="640" w:firstLineChars="200"/>
        <w:jc w:val="left"/>
        <w:rPr>
          <w:rFonts w:eastAsia="仿宋_GB2312"/>
          <w:kern w:val="0"/>
          <w:sz w:val="32"/>
          <w:szCs w:val="32"/>
        </w:rPr>
      </w:pPr>
      <w:r>
        <w:rPr>
          <w:rFonts w:ascii="楷体_GB2312" w:eastAsia="楷体_GB2312"/>
          <w:kern w:val="0"/>
          <w:sz w:val="32"/>
          <w:szCs w:val="32"/>
        </w:rPr>
        <w:t>（三）项目监管情况。</w:t>
      </w:r>
      <w:r>
        <w:rPr>
          <w:rFonts w:hint="eastAsia" w:ascii="仿宋_GB2312" w:eastAsia="仿宋_GB2312"/>
          <w:kern w:val="0"/>
          <w:sz w:val="32"/>
          <w:szCs w:val="32"/>
        </w:rPr>
        <w:t>因项目属于工作经费，严格执行中央八项规定、省市“十项规定”及差旅费管理规定。</w:t>
      </w:r>
    </w:p>
    <w:p>
      <w:pPr>
        <w:autoSpaceDE w:val="0"/>
        <w:autoSpaceDN w:val="0"/>
        <w:adjustRightInd w:val="0"/>
        <w:spacing w:line="560" w:lineRule="exact"/>
        <w:ind w:firstLine="640" w:firstLineChars="200"/>
        <w:jc w:val="left"/>
        <w:rPr>
          <w:rFonts w:eastAsia="黑体"/>
          <w:kern w:val="0"/>
          <w:sz w:val="32"/>
          <w:szCs w:val="32"/>
        </w:rPr>
      </w:pPr>
      <w:r>
        <w:rPr>
          <w:rFonts w:ascii="黑体" w:eastAsia="黑体"/>
          <w:kern w:val="0"/>
          <w:sz w:val="32"/>
          <w:szCs w:val="32"/>
        </w:rPr>
        <w:t>四、项目绩效情况</w:t>
      </w:r>
    </w:p>
    <w:p>
      <w:pPr>
        <w:autoSpaceDE w:val="0"/>
        <w:autoSpaceDN w:val="0"/>
        <w:adjustRightInd w:val="0"/>
        <w:spacing w:line="560" w:lineRule="exact"/>
        <w:ind w:firstLine="640" w:firstLineChars="200"/>
        <w:jc w:val="left"/>
        <w:rPr>
          <w:rFonts w:eastAsia="楷体_GB2312"/>
          <w:kern w:val="0"/>
          <w:sz w:val="32"/>
          <w:szCs w:val="32"/>
        </w:rPr>
      </w:pPr>
      <w:r>
        <w:rPr>
          <w:rFonts w:ascii="楷体_GB2312" w:eastAsia="楷体_GB2312"/>
          <w:kern w:val="0"/>
          <w:sz w:val="32"/>
          <w:szCs w:val="32"/>
        </w:rPr>
        <w:t>（一）项目完成情况。</w:t>
      </w:r>
    </w:p>
    <w:p>
      <w:pPr>
        <w:autoSpaceDE w:val="0"/>
        <w:autoSpaceDN w:val="0"/>
        <w:adjustRightInd w:val="0"/>
        <w:spacing w:line="560" w:lineRule="exact"/>
        <w:ind w:firstLine="640" w:firstLineChars="200"/>
        <w:jc w:val="left"/>
        <w:rPr>
          <w:rFonts w:eastAsia="仿宋_GB2312"/>
          <w:kern w:val="0"/>
          <w:sz w:val="32"/>
          <w:szCs w:val="32"/>
        </w:rPr>
      </w:pPr>
      <w:r>
        <w:rPr>
          <w:rFonts w:hint="eastAsia" w:eastAsia="仿宋_GB2312"/>
          <w:kern w:val="0"/>
          <w:sz w:val="32"/>
          <w:szCs w:val="32"/>
        </w:rPr>
        <w:t>2021</w:t>
      </w:r>
      <w:r>
        <w:rPr>
          <w:rFonts w:hint="eastAsia" w:ascii="仿宋_GB2312" w:eastAsia="仿宋_GB2312"/>
          <w:kern w:val="0"/>
          <w:sz w:val="32"/>
          <w:szCs w:val="32"/>
        </w:rPr>
        <w:t>年项目资金支付</w:t>
      </w:r>
      <w:r>
        <w:rPr>
          <w:rFonts w:hint="eastAsia" w:eastAsia="仿宋_GB2312"/>
          <w:kern w:val="0"/>
          <w:sz w:val="32"/>
          <w:szCs w:val="32"/>
        </w:rPr>
        <w:t>4.005942</w:t>
      </w:r>
      <w:r>
        <w:rPr>
          <w:rFonts w:hint="eastAsia" w:ascii="仿宋_GB2312" w:eastAsia="仿宋_GB2312"/>
          <w:kern w:val="0"/>
          <w:sz w:val="32"/>
          <w:szCs w:val="32"/>
        </w:rPr>
        <w:t>万元，支付率</w:t>
      </w:r>
      <w:r>
        <w:rPr>
          <w:rFonts w:hint="eastAsia" w:eastAsia="仿宋_GB2312"/>
          <w:kern w:val="0"/>
          <w:sz w:val="32"/>
          <w:szCs w:val="32"/>
        </w:rPr>
        <w:t>13.35%</w:t>
      </w:r>
      <w:r>
        <w:rPr>
          <w:rFonts w:hint="eastAsia" w:ascii="仿宋_GB2312" w:eastAsia="仿宋_GB2312"/>
          <w:kern w:val="0"/>
          <w:sz w:val="32"/>
          <w:szCs w:val="32"/>
        </w:rPr>
        <w:t>。</w:t>
      </w:r>
    </w:p>
    <w:p>
      <w:pPr>
        <w:autoSpaceDE w:val="0"/>
        <w:autoSpaceDN w:val="0"/>
        <w:adjustRightInd w:val="0"/>
        <w:spacing w:line="560" w:lineRule="exact"/>
        <w:ind w:firstLine="640" w:firstLineChars="200"/>
        <w:jc w:val="left"/>
        <w:rPr>
          <w:rFonts w:eastAsia="楷体_GB2312"/>
          <w:kern w:val="0"/>
          <w:sz w:val="32"/>
          <w:szCs w:val="32"/>
        </w:rPr>
      </w:pPr>
      <w:r>
        <w:rPr>
          <w:rFonts w:ascii="楷体_GB2312" w:eastAsia="楷体_GB2312"/>
          <w:kern w:val="0"/>
          <w:sz w:val="32"/>
          <w:szCs w:val="32"/>
        </w:rPr>
        <w:t>（二）项目效益情况。</w:t>
      </w:r>
    </w:p>
    <w:p>
      <w:pPr>
        <w:autoSpaceDE w:val="0"/>
        <w:autoSpaceDN w:val="0"/>
        <w:adjustRightInd w:val="0"/>
        <w:spacing w:line="560" w:lineRule="exact"/>
        <w:ind w:firstLine="640" w:firstLineChars="200"/>
        <w:jc w:val="left"/>
        <w:rPr>
          <w:rFonts w:eastAsia="仿宋_GB2312"/>
          <w:kern w:val="0"/>
          <w:sz w:val="32"/>
          <w:szCs w:val="32"/>
        </w:rPr>
      </w:pPr>
      <w:r>
        <w:rPr>
          <w:rFonts w:hint="eastAsia" w:eastAsia="仿宋_GB2312"/>
          <w:kern w:val="0"/>
          <w:sz w:val="32"/>
          <w:szCs w:val="32"/>
        </w:rPr>
        <w:t>因受疫情等因素影响，招商引资活动开展极不顺利导致项目目标未能完成，项目最终产生效益不理想。</w:t>
      </w:r>
    </w:p>
    <w:p>
      <w:pPr>
        <w:autoSpaceDE w:val="0"/>
        <w:autoSpaceDN w:val="0"/>
        <w:adjustRightInd w:val="0"/>
        <w:spacing w:line="600" w:lineRule="exact"/>
        <w:ind w:firstLine="640" w:firstLineChars="200"/>
        <w:jc w:val="left"/>
        <w:rPr>
          <w:rFonts w:eastAsia="黑体"/>
          <w:kern w:val="0"/>
          <w:sz w:val="32"/>
          <w:szCs w:val="32"/>
        </w:rPr>
      </w:pPr>
      <w:r>
        <w:rPr>
          <w:rFonts w:ascii="黑体" w:eastAsia="黑体"/>
          <w:kern w:val="0"/>
          <w:sz w:val="32"/>
          <w:szCs w:val="32"/>
        </w:rPr>
        <w:t>五、评价结论及建议</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（一）评价结论。</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以财政预算为基础，根据工作情况实现资金支付，项目资金支付4.005942万元，支付仅率13.35%，目标绩效不理想。</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（二）存在的问题。</w:t>
      </w:r>
    </w:p>
    <w:p>
      <w:pPr>
        <w:autoSpaceDE w:val="0"/>
        <w:autoSpaceDN w:val="0"/>
        <w:adjustRightInd w:val="0"/>
        <w:spacing w:line="600" w:lineRule="exact"/>
        <w:ind w:firstLine="640" w:firstLineChars="200"/>
        <w:jc w:val="left"/>
        <w:rPr>
          <w:rFonts w:eastAsia="仿宋_GB2312"/>
          <w:kern w:val="0"/>
          <w:sz w:val="32"/>
          <w:szCs w:val="32"/>
        </w:rPr>
      </w:pPr>
      <w:r>
        <w:rPr>
          <w:rFonts w:hint="eastAsia" w:eastAsia="仿宋_GB2312"/>
          <w:kern w:val="0"/>
          <w:sz w:val="32"/>
          <w:szCs w:val="32"/>
        </w:rPr>
        <w:t>存在经费支出监管力度不足的情况，对现实情况估计不足，导致工作开展不顺</w:t>
      </w:r>
      <w:r>
        <w:rPr>
          <w:rFonts w:eastAsia="仿宋_GB2312"/>
          <w:kern w:val="0"/>
          <w:sz w:val="32"/>
          <w:szCs w:val="32"/>
        </w:rPr>
        <w:t>。</w:t>
      </w:r>
    </w:p>
    <w:p>
      <w:pPr>
        <w:autoSpaceDE w:val="0"/>
        <w:autoSpaceDN w:val="0"/>
        <w:adjustRightInd w:val="0"/>
        <w:spacing w:line="600" w:lineRule="exact"/>
        <w:ind w:firstLine="640" w:firstLineChars="200"/>
        <w:jc w:val="left"/>
        <w:rPr>
          <w:rFonts w:eastAsia="楷体_GB2312"/>
          <w:kern w:val="0"/>
          <w:sz w:val="32"/>
          <w:szCs w:val="32"/>
        </w:rPr>
      </w:pPr>
      <w:r>
        <w:rPr>
          <w:rFonts w:ascii="楷体_GB2312" w:eastAsia="楷体_GB2312"/>
          <w:kern w:val="0"/>
          <w:sz w:val="32"/>
          <w:szCs w:val="32"/>
        </w:rPr>
        <w:t>（三）相关建议。</w:t>
      </w:r>
    </w:p>
    <w:p>
      <w:pPr>
        <w:pStyle w:val="7"/>
        <w:spacing w:line="600" w:lineRule="exact"/>
        <w:ind w:firstLine="640" w:firstLineChars="200"/>
        <w:rPr>
          <w:rFonts w:ascii="Times New Roman" w:hAnsi="Times New Roman" w:cs="Times New Roman"/>
          <w:sz w:val="32"/>
          <w:szCs w:val="32"/>
        </w:rPr>
      </w:pPr>
      <w:r>
        <w:rPr>
          <w:rFonts w:hint="eastAsia" w:ascii="仿宋_GB2312" w:hAnsi="Times New Roman" w:eastAsia="仿宋_GB2312" w:cs="Times New Roman"/>
          <w:kern w:val="0"/>
          <w:sz w:val="32"/>
          <w:szCs w:val="32"/>
        </w:rPr>
        <w:t>申报绩效目标时，结合当年经费开支范围，合理预计当年</w:t>
      </w:r>
      <w:r>
        <w:rPr>
          <w:rFonts w:hint="eastAsia" w:ascii="Times New Roman" w:hAnsi="Times New Roman" w:eastAsia="仿宋_GB2312" w:cs="Times New Roman"/>
          <w:kern w:val="0"/>
          <w:sz w:val="32"/>
          <w:szCs w:val="32"/>
        </w:rPr>
        <w:t xml:space="preserve"> </w:t>
      </w:r>
      <w:r>
        <w:rPr>
          <w:rFonts w:hint="eastAsia" w:ascii="仿宋_GB2312" w:hAnsi="Times New Roman" w:eastAsia="仿宋_GB2312" w:cs="Times New Roman"/>
          <w:kern w:val="0"/>
          <w:sz w:val="32"/>
          <w:szCs w:val="32"/>
        </w:rPr>
        <w:t>工作情况，将当年申报的绩效目标与当年的工作经费相匹配。</w:t>
      </w: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451"/>
        <w:gridCol w:w="962"/>
        <w:gridCol w:w="2409"/>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pStyle w:val="4"/>
              <w:spacing w:before="0" w:after="0" w:line="560" w:lineRule="exact"/>
            </w:pPr>
            <w:bookmarkStart w:id="136" w:name="_Toc113480922"/>
            <w:r>
              <w:rPr>
                <w:rFonts w:hint="eastAsia"/>
              </w:rPr>
              <w:t>附表：</w:t>
            </w:r>
            <w:bookmarkEnd w:id="136"/>
          </w:p>
          <w:p>
            <w:pPr>
              <w:widowControl/>
              <w:textAlignment w:val="center"/>
              <w:rPr>
                <w:rFonts w:ascii="宋体" w:hAnsi="宋体" w:cs="宋体"/>
                <w:b/>
                <w:sz w:val="32"/>
                <w:szCs w:val="32"/>
              </w:rPr>
            </w:pPr>
            <w:r>
              <w:rPr>
                <w:rFonts w:hint="eastAsia" w:ascii="宋体" w:hAnsi="宋体" w:cs="宋体"/>
                <w:b/>
                <w:sz w:val="32"/>
                <w:szCs w:val="32"/>
              </w:rPr>
              <w:t>2021年100万元以上（含）特定目标类部门预算项目绩效目标自评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3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市委政法委</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193</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52.3</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193</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cs="宋体"/>
                <w:sz w:val="24"/>
              </w:rPr>
              <w:t>52.3</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42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3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4228"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tabs>
                <w:tab w:val="left" w:pos="2737"/>
              </w:tabs>
              <w:spacing w:line="320" w:lineRule="exact"/>
              <w:jc w:val="left"/>
              <w:textAlignment w:val="top"/>
              <w:rPr>
                <w:rFonts w:ascii="宋体" w:hAnsi="宋体" w:cs="宋体"/>
                <w:sz w:val="24"/>
              </w:rPr>
            </w:pPr>
            <w:r>
              <w:rPr>
                <w:rFonts w:hint="eastAsia" w:ascii="宋体" w:hAnsi="宋体" w:cs="宋体"/>
                <w:sz w:val="24"/>
              </w:rPr>
              <w:t>通过政法队伍教育整顿有合理安排，有效提高我市干警的政治理论素养、专业水平和专业履职能力。</w:t>
            </w:r>
          </w:p>
        </w:tc>
        <w:tc>
          <w:tcPr>
            <w:tcW w:w="3371"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完成政法队伍教育整顿工作。</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三级</w:t>
            </w:r>
          </w:p>
          <w:p>
            <w:pPr>
              <w:widowControl/>
              <w:spacing w:line="320" w:lineRule="exact"/>
              <w:jc w:val="center"/>
              <w:textAlignment w:val="center"/>
              <w:rPr>
                <w:rFonts w:ascii="仿宋_GB2312" w:hAnsi="仿宋_GB2312" w:eastAsia="仿宋_GB2312" w:cs="仿宋_GB2312"/>
                <w:sz w:val="15"/>
                <w:szCs w:val="15"/>
              </w:rPr>
            </w:pPr>
            <w:r>
              <w:rPr>
                <w:rFonts w:hint="eastAsia" w:ascii="仿宋_GB2312" w:hAnsi="仿宋_GB2312" w:eastAsia="仿宋_GB2312" w:cs="仿宋_GB2312"/>
                <w:kern w:val="0"/>
                <w:sz w:val="15"/>
                <w:szCs w:val="15"/>
              </w:rPr>
              <w:t>指标</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4"/>
              </w:rPr>
            </w:pPr>
            <w:r>
              <w:rPr>
                <w:rFonts w:hint="eastAsia" w:ascii="仿宋_GB2312" w:hAnsi="仿宋_GB2312" w:eastAsia="仿宋_GB2312" w:cs="仿宋_GB2312"/>
                <w:kern w:val="0"/>
                <w:sz w:val="24"/>
              </w:rPr>
              <w:t>完成</w:t>
            </w:r>
          </w:p>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kern w:val="0"/>
                <w:sz w:val="24"/>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kern w:val="0"/>
                <w:sz w:val="24"/>
              </w:rPr>
              <w:t>数量指标</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共建促融合，推进社会治理现代化</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kern w:val="0"/>
                <w:sz w:val="24"/>
              </w:rPr>
              <w:t>质量指标</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提高政法队伍教育整顿群众知晓度</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≥90%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通过政法队伍教育整顿，提升政法队伍公信力</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kern w:val="0"/>
                <w:sz w:val="24"/>
              </w:rPr>
              <w:t>时效指标</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全年按计划推进</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2021年3-9月</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完成</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5"/>
                <w:szCs w:val="15"/>
              </w:rPr>
            </w:pPr>
            <w:r>
              <w:rPr>
                <w:rFonts w:hint="eastAsia" w:ascii="仿宋_GB2312" w:hAnsi="仿宋_GB2312" w:eastAsia="仿宋_GB2312" w:cs="仿宋_GB2312"/>
                <w:kern w:val="0"/>
                <w:sz w:val="15"/>
                <w:szCs w:val="15"/>
              </w:rPr>
              <w:t>成本指标</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教育整顿知识竞赛、专题片制作、十佳花城卫士等政法系统先进典型宣传、展播相关工作</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133万元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0．（因财政资金支付压力未实现支付）</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4"/>
              </w:rPr>
            </w:pPr>
            <w:r>
              <w:rPr>
                <w:rFonts w:hint="eastAsia" w:ascii="仿宋_GB2312" w:hAnsi="仿宋_GB2312" w:eastAsia="仿宋_GB2312" w:cs="仿宋_GB2312"/>
                <w:kern w:val="0"/>
                <w:sz w:val="24"/>
              </w:rPr>
              <w:t>效益</w:t>
            </w:r>
            <w:r>
              <w:rPr>
                <w:rFonts w:hint="eastAsia" w:ascii="仿宋_GB2312" w:hAnsi="仿宋_GB2312" w:eastAsia="仿宋_GB2312" w:cs="仿宋_GB2312"/>
                <w:kern w:val="0"/>
                <w:sz w:val="24"/>
              </w:rPr>
              <w:br w:type="textWrapping"/>
            </w:r>
            <w:r>
              <w:rPr>
                <w:rFonts w:hint="eastAsia" w:ascii="仿宋_GB2312" w:hAnsi="仿宋_GB2312" w:eastAsia="仿宋_GB2312" w:cs="仿宋_GB2312"/>
                <w:kern w:val="0"/>
                <w:sz w:val="24"/>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5"/>
                <w:szCs w:val="15"/>
              </w:rPr>
            </w:pPr>
            <w:r>
              <w:rPr>
                <w:rFonts w:hint="eastAsia" w:ascii="仿宋_GB2312" w:hAnsi="仿宋_GB2312" w:eastAsia="仿宋_GB2312" w:cs="仿宋_GB2312"/>
                <w:kern w:val="0"/>
                <w:sz w:val="15"/>
                <w:szCs w:val="15"/>
              </w:rPr>
              <w:t>经济效益  指标</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提升政法干部的思想政治水平和业务能力</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较高</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完成</w:t>
            </w:r>
          </w:p>
        </w:tc>
      </w:tr>
      <w:tr>
        <w:tblPrEx>
          <w:tblCellMar>
            <w:top w:w="0" w:type="dxa"/>
            <w:left w:w="108" w:type="dxa"/>
            <w:bottom w:w="0" w:type="dxa"/>
            <w:right w:w="108" w:type="dxa"/>
          </w:tblCellMar>
        </w:tblPrEx>
        <w:trPr>
          <w:gridAfter w:val="1"/>
          <w:wAfter w:w="236" w:type="dxa"/>
          <w:trHeight w:val="296"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5"/>
                <w:szCs w:val="15"/>
              </w:rPr>
            </w:pPr>
            <w:r>
              <w:rPr>
                <w:rFonts w:hint="eastAsia" w:ascii="仿宋_GB2312" w:hAnsi="仿宋_GB2312" w:eastAsia="仿宋_GB2312" w:cs="仿宋_GB2312"/>
                <w:kern w:val="0"/>
                <w:sz w:val="15"/>
                <w:szCs w:val="15"/>
              </w:rPr>
              <w:t>社会效益  指标</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p>
        </w:tc>
      </w:tr>
      <w:tr>
        <w:tblPrEx>
          <w:tblCellMar>
            <w:top w:w="0" w:type="dxa"/>
            <w:left w:w="108" w:type="dxa"/>
            <w:bottom w:w="0" w:type="dxa"/>
            <w:right w:w="108" w:type="dxa"/>
          </w:tblCellMar>
        </w:tblPrEx>
        <w:trPr>
          <w:gridAfter w:val="1"/>
          <w:wAfter w:w="236" w:type="dxa"/>
          <w:trHeight w:val="36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333" w:leftChars="87" w:hanging="150" w:hangingChars="100"/>
              <w:jc w:val="left"/>
              <w:textAlignment w:val="bottom"/>
              <w:rPr>
                <w:rFonts w:ascii="仿宋_GB2312" w:hAnsi="仿宋_GB2312" w:eastAsia="仿宋_GB2312" w:cs="仿宋_GB2312"/>
                <w:sz w:val="15"/>
                <w:szCs w:val="15"/>
              </w:rPr>
            </w:pPr>
            <w:r>
              <w:rPr>
                <w:rFonts w:hint="eastAsia" w:ascii="仿宋_GB2312" w:hAnsi="仿宋_GB2312" w:eastAsia="仿宋_GB2312" w:cs="仿宋_GB2312"/>
                <w:kern w:val="0"/>
                <w:sz w:val="15"/>
                <w:szCs w:val="15"/>
              </w:rPr>
              <w:t>生态效益  指标</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5"/>
                <w:szCs w:val="15"/>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5"/>
                <w:szCs w:val="15"/>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5"/>
                <w:szCs w:val="15"/>
              </w:rPr>
            </w:pPr>
            <w:r>
              <w:rPr>
                <w:rFonts w:hint="eastAsia" w:ascii="仿宋_GB2312" w:hAnsi="仿宋_GB2312" w:eastAsia="仿宋_GB2312" w:cs="仿宋_GB2312"/>
                <w:kern w:val="0"/>
                <w:sz w:val="15"/>
                <w:szCs w:val="15"/>
              </w:rPr>
              <w:t>可持续影响 指标</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提升政法队伍理论素养</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提高</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通过教育整顿，有效提高我市政法队伍的政治理论素养、专业水平和专业履职能力。</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5"/>
                <w:szCs w:val="15"/>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5"/>
                <w:szCs w:val="15"/>
              </w:rPr>
            </w:pPr>
            <w:r>
              <w:rPr>
                <w:rFonts w:hint="eastAsia" w:ascii="仿宋_GB2312" w:hAnsi="仿宋_GB2312" w:eastAsia="仿宋_GB2312" w:cs="仿宋_GB2312"/>
                <w:kern w:val="0"/>
                <w:sz w:val="15"/>
                <w:szCs w:val="15"/>
              </w:rPr>
              <w:t>满意</w:t>
            </w:r>
            <w:r>
              <w:rPr>
                <w:rFonts w:hint="eastAsia" w:ascii="仿宋_GB2312" w:hAnsi="仿宋_GB2312" w:eastAsia="仿宋_GB2312" w:cs="仿宋_GB2312"/>
                <w:kern w:val="0"/>
                <w:sz w:val="15"/>
                <w:szCs w:val="15"/>
              </w:rPr>
              <w:br w:type="textWrapping"/>
            </w:r>
            <w:r>
              <w:rPr>
                <w:rFonts w:hint="eastAsia" w:ascii="仿宋_GB2312" w:hAnsi="仿宋_GB2312" w:eastAsia="仿宋_GB2312" w:cs="仿宋_GB2312"/>
                <w:kern w:val="0"/>
                <w:sz w:val="15"/>
                <w:szCs w:val="15"/>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15"/>
                <w:szCs w:val="15"/>
              </w:rPr>
            </w:pPr>
            <w:r>
              <w:rPr>
                <w:rFonts w:hint="eastAsia" w:ascii="仿宋_GB2312" w:hAnsi="仿宋_GB2312" w:eastAsia="仿宋_GB2312" w:cs="仿宋_GB2312"/>
                <w:kern w:val="0"/>
                <w:sz w:val="15"/>
                <w:szCs w:val="15"/>
              </w:rPr>
              <w:t>满意度</w:t>
            </w:r>
          </w:p>
          <w:p>
            <w:pPr>
              <w:widowControl/>
              <w:spacing w:line="320" w:lineRule="exact"/>
              <w:jc w:val="center"/>
              <w:textAlignment w:val="bottom"/>
              <w:rPr>
                <w:rFonts w:ascii="仿宋_GB2312" w:hAnsi="仿宋_GB2312" w:eastAsia="仿宋_GB2312" w:cs="仿宋_GB2312"/>
                <w:sz w:val="15"/>
                <w:szCs w:val="15"/>
              </w:rPr>
            </w:pPr>
            <w:r>
              <w:rPr>
                <w:rFonts w:hint="eastAsia" w:ascii="仿宋_GB2312" w:hAnsi="仿宋_GB2312" w:eastAsia="仿宋_GB2312" w:cs="仿宋_GB2312"/>
                <w:kern w:val="0"/>
                <w:sz w:val="15"/>
                <w:szCs w:val="15"/>
              </w:rPr>
              <w:t>指标</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提高满意度</w:t>
            </w:r>
          </w:p>
        </w:tc>
        <w:tc>
          <w:tcPr>
            <w:tcW w:w="96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≥92%</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lef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≥95%</w:t>
            </w:r>
          </w:p>
        </w:tc>
      </w:tr>
    </w:tbl>
    <w:p>
      <w:pPr>
        <w:spacing w:line="560" w:lineRule="exact"/>
      </w:pPr>
    </w:p>
    <w:p>
      <w:pPr>
        <w:pStyle w:val="2"/>
        <w:spacing w:before="93"/>
      </w:pPr>
      <w:r>
        <w:rPr>
          <w:rFonts w:hint="eastAsia"/>
        </w:rPr>
        <w:t>附表：</w:t>
      </w: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jc w:val="center"/>
              <w:textAlignment w:val="center"/>
              <w:rPr>
                <w:rFonts w:ascii="宋体" w:hAnsi="宋体" w:cs="宋体"/>
                <w:b/>
                <w:sz w:val="28"/>
                <w:szCs w:val="28"/>
              </w:rPr>
            </w:pPr>
            <w:r>
              <w:rPr>
                <w:rFonts w:hint="eastAsia" w:ascii="宋体" w:hAnsi="宋体" w:cs="宋体"/>
                <w:b/>
                <w:sz w:val="28"/>
                <w:szCs w:val="28"/>
              </w:rPr>
              <w:t>2021年100万元以上（含）特定目标类部门预算项目绩效目标自评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595"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市委政法委</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项目预算</w:t>
            </w:r>
            <w:r>
              <w:rPr>
                <w:rFonts w:hint="eastAsia" w:ascii="宋体" w:hAnsi="宋体" w:cs="宋体"/>
                <w:kern w:val="0"/>
                <w:sz w:val="18"/>
                <w:szCs w:val="18"/>
              </w:rPr>
              <w:br w:type="textWrapping"/>
            </w:r>
            <w:r>
              <w:rPr>
                <w:rFonts w:hint="eastAsia" w:ascii="宋体" w:hAnsi="宋体" w:cs="宋体"/>
                <w:kern w:val="0"/>
                <w:sz w:val="18"/>
                <w:szCs w:val="18"/>
              </w:rPr>
              <w:t>执行情况</w:t>
            </w:r>
            <w:r>
              <w:rPr>
                <w:rFonts w:hint="eastAsia" w:ascii="宋体" w:hAnsi="宋体" w:cs="宋体"/>
                <w:kern w:val="0"/>
                <w:sz w:val="18"/>
                <w:szCs w:val="18"/>
              </w:rPr>
              <w:br w:type="textWrapping"/>
            </w:r>
            <w:r>
              <w:rPr>
                <w:rFonts w:hint="eastAsia" w:ascii="宋体" w:hAnsi="宋体" w:cs="宋体"/>
                <w:kern w:val="0"/>
                <w:sz w:val="18"/>
                <w:szCs w:val="18"/>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2.7</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2.7</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18"/>
                <w:szCs w:val="18"/>
              </w:rPr>
            </w:pPr>
            <w:r>
              <w:rPr>
                <w:rFonts w:hint="eastAsia" w:ascii="宋体" w:hAnsi="宋体" w:cs="宋体"/>
                <w:kern w:val="0"/>
                <w:sz w:val="18"/>
                <w:szCs w:val="18"/>
              </w:rPr>
              <w:t>其中：</w:t>
            </w:r>
          </w:p>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2.7</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18"/>
                <w:szCs w:val="18"/>
              </w:rPr>
            </w:pPr>
            <w:r>
              <w:rPr>
                <w:rFonts w:hint="eastAsia" w:ascii="宋体" w:hAnsi="宋体" w:cs="宋体"/>
                <w:kern w:val="0"/>
                <w:sz w:val="18"/>
                <w:szCs w:val="18"/>
              </w:rPr>
              <w:t>其中：</w:t>
            </w:r>
          </w:p>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2.7</w:t>
            </w:r>
          </w:p>
        </w:tc>
      </w:tr>
      <w:tr>
        <w:tblPrEx>
          <w:tblCellMar>
            <w:top w:w="0" w:type="dxa"/>
            <w:left w:w="108" w:type="dxa"/>
            <w:bottom w:w="0" w:type="dxa"/>
            <w:right w:w="108" w:type="dxa"/>
          </w:tblCellMar>
        </w:tblPrEx>
        <w:trPr>
          <w:gridAfter w:val="1"/>
          <w:wAfter w:w="236" w:type="dxa"/>
          <w:trHeight w:val="548"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18"/>
                <w:szCs w:val="18"/>
              </w:rPr>
            </w:pPr>
            <w:r>
              <w:rPr>
                <w:rFonts w:hint="eastAsia" w:ascii="宋体" w:hAnsi="宋体" w:cs="宋体"/>
                <w:kern w:val="0"/>
                <w:sz w:val="18"/>
                <w:szCs w:val="18"/>
              </w:rPr>
              <w:t>年度总体目标</w:t>
            </w:r>
          </w:p>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目标实际完成情况</w:t>
            </w:r>
          </w:p>
        </w:tc>
      </w:tr>
      <w:tr>
        <w:tblPrEx>
          <w:tblCellMar>
            <w:top w:w="0" w:type="dxa"/>
            <w:left w:w="108" w:type="dxa"/>
            <w:bottom w:w="0" w:type="dxa"/>
            <w:right w:w="108" w:type="dxa"/>
          </w:tblCellMar>
        </w:tblPrEx>
        <w:trPr>
          <w:gridAfter w:val="1"/>
          <w:wAfter w:w="236" w:type="dxa"/>
          <w:trHeight w:val="1083"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18"/>
                <w:szCs w:val="18"/>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top"/>
              <w:rPr>
                <w:rFonts w:ascii="宋体" w:hAnsi="宋体" w:cs="宋体"/>
                <w:sz w:val="18"/>
                <w:szCs w:val="18"/>
              </w:rPr>
            </w:pPr>
            <w:r>
              <w:rPr>
                <w:rFonts w:hint="eastAsia" w:ascii="宋体" w:hAnsi="宋体" w:cs="宋体"/>
                <w:sz w:val="18"/>
                <w:szCs w:val="18"/>
              </w:rPr>
              <w:t>加强和改进社会管理创新工作，推进全市社会治理工作前进</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top"/>
              <w:rPr>
                <w:rFonts w:ascii="宋体" w:hAnsi="宋体" w:cs="宋体"/>
                <w:sz w:val="18"/>
                <w:szCs w:val="18"/>
              </w:rPr>
            </w:pPr>
            <w:r>
              <w:rPr>
                <w:rFonts w:hint="eastAsia" w:ascii="宋体" w:hAnsi="宋体" w:cs="宋体"/>
                <w:sz w:val="18"/>
                <w:szCs w:val="18"/>
              </w:rPr>
              <w:t>深化网格化服务、“六无社区”创建等工作，总结推广第三方调解、遵法评理、无讼社区、诉源治理等创新做法，调处成功率达98%，平安建设群众满意度测评总分及4项核心指标全部上升。</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一级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二级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三级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完成</w:t>
            </w:r>
          </w:p>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开展社会管理创新项目</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3个</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3个</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提升工作水平</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推进全市社会治理工作不断前进</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平安建设群众满意度测评总分及4项核心指标全部上升</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完成时限</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年底前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9月底前完成</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项目开展工作费用</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0.9万元/个*3个=2.7万元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2.7万元</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效益</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社会治理能力</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取得突破</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社会治理能力上升</w:t>
            </w: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363" w:leftChars="87" w:hanging="180" w:hangingChars="100"/>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满意</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满意度</w:t>
            </w:r>
          </w:p>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群众满意度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≥95%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≥95%</w:t>
            </w:r>
          </w:p>
        </w:tc>
      </w:tr>
    </w:tbl>
    <w:p>
      <w:pPr>
        <w:jc w:val="center"/>
        <w:rPr>
          <w:rFonts w:ascii="方正黑体_GBK" w:eastAsia="方正黑体_GBK"/>
          <w:sz w:val="32"/>
          <w:szCs w:val="32"/>
        </w:rPr>
      </w:pPr>
      <w:bookmarkStart w:id="137" w:name="_Toc113478966"/>
      <w:bookmarkStart w:id="138" w:name="_Toc113479777"/>
      <w:r>
        <w:rPr>
          <w:rFonts w:hint="eastAsia" w:ascii="方正黑体_GBK" w:eastAsia="方正黑体_GBK"/>
          <w:sz w:val="32"/>
          <w:szCs w:val="32"/>
        </w:rPr>
        <w:t>社会治理创新专项项目经费</w:t>
      </w:r>
      <w:bookmarkEnd w:id="137"/>
      <w:bookmarkEnd w:id="138"/>
    </w:p>
    <w:p>
      <w:pPr>
        <w:pStyle w:val="2"/>
        <w:spacing w:before="93"/>
      </w:pPr>
    </w:p>
    <w:p>
      <w:pPr>
        <w:pStyle w:val="7"/>
        <w:spacing w:line="600" w:lineRule="exact"/>
        <w:ind w:firstLine="640" w:firstLineChars="200"/>
        <w:jc w:val="left"/>
        <w:rPr>
          <w:rFonts w:ascii="黑体" w:eastAsia="黑体" w:cs="仿宋_GB2312"/>
          <w:sz w:val="32"/>
          <w:szCs w:val="32"/>
        </w:rPr>
      </w:pPr>
      <w:r>
        <w:rPr>
          <w:rFonts w:hint="eastAsia" w:ascii="黑体" w:eastAsia="黑体" w:cs="仿宋_GB2312"/>
          <w:sz w:val="32"/>
          <w:szCs w:val="32"/>
        </w:rPr>
        <w:t>附表：</w:t>
      </w: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ind w:firstLine="843" w:firstLineChars="300"/>
              <w:textAlignment w:val="center"/>
              <w:rPr>
                <w:rFonts w:ascii="宋体" w:hAnsi="宋体" w:cs="宋体"/>
                <w:b/>
                <w:sz w:val="28"/>
                <w:szCs w:val="28"/>
              </w:rPr>
            </w:pPr>
            <w:r>
              <w:rPr>
                <w:rFonts w:hint="eastAsia" w:ascii="宋体" w:hAnsi="宋体" w:cs="宋体"/>
                <w:b/>
                <w:sz w:val="28"/>
                <w:szCs w:val="28"/>
              </w:rPr>
              <w:t>2021年100万元以上（含）特定目标类部门预算项目绩效目标自评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595"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市委政法委</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项目预算</w:t>
            </w:r>
            <w:r>
              <w:rPr>
                <w:rFonts w:hint="eastAsia" w:ascii="宋体" w:hAnsi="宋体" w:cs="宋体"/>
                <w:kern w:val="0"/>
                <w:sz w:val="18"/>
                <w:szCs w:val="18"/>
              </w:rPr>
              <w:br w:type="textWrapping"/>
            </w:r>
            <w:r>
              <w:rPr>
                <w:rFonts w:hint="eastAsia" w:ascii="宋体" w:hAnsi="宋体" w:cs="宋体"/>
                <w:kern w:val="0"/>
                <w:sz w:val="18"/>
                <w:szCs w:val="18"/>
              </w:rPr>
              <w:t>执行情况</w:t>
            </w:r>
            <w:r>
              <w:rPr>
                <w:rFonts w:hint="eastAsia" w:ascii="宋体" w:hAnsi="宋体" w:cs="宋体"/>
                <w:kern w:val="0"/>
                <w:sz w:val="18"/>
                <w:szCs w:val="18"/>
              </w:rPr>
              <w:br w:type="textWrapping"/>
            </w:r>
            <w:r>
              <w:rPr>
                <w:rFonts w:hint="eastAsia" w:ascii="宋体" w:hAnsi="宋体" w:cs="宋体"/>
                <w:kern w:val="0"/>
                <w:sz w:val="18"/>
                <w:szCs w:val="18"/>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2</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2</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18"/>
                <w:szCs w:val="18"/>
              </w:rPr>
            </w:pPr>
            <w:r>
              <w:rPr>
                <w:rFonts w:hint="eastAsia" w:ascii="宋体" w:hAnsi="宋体" w:cs="宋体"/>
                <w:kern w:val="0"/>
                <w:sz w:val="18"/>
                <w:szCs w:val="18"/>
              </w:rPr>
              <w:t>其中：</w:t>
            </w:r>
          </w:p>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2</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18"/>
                <w:szCs w:val="18"/>
              </w:rPr>
            </w:pPr>
            <w:r>
              <w:rPr>
                <w:rFonts w:hint="eastAsia" w:ascii="宋体" w:hAnsi="宋体" w:cs="宋体"/>
                <w:kern w:val="0"/>
                <w:sz w:val="18"/>
                <w:szCs w:val="18"/>
              </w:rPr>
              <w:t>其中：</w:t>
            </w:r>
          </w:p>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2</w:t>
            </w:r>
          </w:p>
        </w:tc>
      </w:tr>
      <w:tr>
        <w:tblPrEx>
          <w:tblCellMar>
            <w:top w:w="0" w:type="dxa"/>
            <w:left w:w="108" w:type="dxa"/>
            <w:bottom w:w="0" w:type="dxa"/>
            <w:right w:w="108" w:type="dxa"/>
          </w:tblCellMar>
        </w:tblPrEx>
        <w:trPr>
          <w:gridAfter w:val="1"/>
          <w:wAfter w:w="236" w:type="dxa"/>
          <w:trHeight w:val="548"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18"/>
                <w:szCs w:val="18"/>
              </w:rPr>
            </w:pPr>
            <w:r>
              <w:rPr>
                <w:rFonts w:hint="eastAsia" w:ascii="宋体" w:hAnsi="宋体" w:cs="宋体"/>
                <w:kern w:val="0"/>
                <w:sz w:val="18"/>
                <w:szCs w:val="18"/>
              </w:rPr>
              <w:t>年度总体目标</w:t>
            </w:r>
          </w:p>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目标实际完成情况</w:t>
            </w:r>
          </w:p>
        </w:tc>
      </w:tr>
      <w:tr>
        <w:tblPrEx>
          <w:tblCellMar>
            <w:top w:w="0" w:type="dxa"/>
            <w:left w:w="108" w:type="dxa"/>
            <w:bottom w:w="0" w:type="dxa"/>
            <w:right w:w="108" w:type="dxa"/>
          </w:tblCellMar>
        </w:tblPrEx>
        <w:trPr>
          <w:gridAfter w:val="1"/>
          <w:wAfter w:w="236" w:type="dxa"/>
          <w:trHeight w:val="1083"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18"/>
                <w:szCs w:val="18"/>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top"/>
              <w:rPr>
                <w:rFonts w:ascii="宋体" w:hAnsi="宋体" w:cs="宋体"/>
                <w:sz w:val="18"/>
                <w:szCs w:val="18"/>
              </w:rPr>
            </w:pPr>
            <w:r>
              <w:rPr>
                <w:rFonts w:hint="eastAsia" w:ascii="宋体" w:hAnsi="宋体" w:cs="宋体"/>
                <w:sz w:val="18"/>
                <w:szCs w:val="18"/>
              </w:rPr>
              <w:t>开展多元矛盾纠纷化解，确保矛盾不上交、矛盾不激化，保持社会稳定，营造和谐的社会环境</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top"/>
              <w:rPr>
                <w:rFonts w:ascii="宋体" w:hAnsi="宋体" w:cs="宋体"/>
                <w:sz w:val="18"/>
                <w:szCs w:val="18"/>
              </w:rPr>
            </w:pPr>
            <w:r>
              <w:rPr>
                <w:rFonts w:hint="eastAsia" w:ascii="宋体" w:hAnsi="宋体" w:cs="宋体"/>
                <w:sz w:val="18"/>
                <w:szCs w:val="18"/>
              </w:rPr>
              <w:t>开展了多元矛盾纠纷化解，保持了社会稳定，营造了和谐的社会环境。</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一级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二级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三级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完成</w:t>
            </w:r>
          </w:p>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调处化解疑难矛盾纠纷</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50件</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80件</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确保矛盾纠纷化解在当地和基层</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不发生因调解不到位而引发的在全省、全国有影响的群体性事件</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未发生因调解不到位而引发的在全省、全国有影响的群体性事件</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完成时限</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年底前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12月底完成</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3"/>
                <w:szCs w:val="13"/>
              </w:rPr>
            </w:pPr>
            <w:r>
              <w:rPr>
                <w:rFonts w:hint="eastAsia" w:ascii="仿宋_GB2312" w:hAnsi="仿宋_GB2312" w:eastAsia="仿宋_GB2312" w:cs="仿宋_GB2312"/>
                <w:sz w:val="13"/>
                <w:szCs w:val="13"/>
              </w:rPr>
              <w:t>调解工作差旅费、租车费、办公费、会议费等</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2万元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2万元</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效益</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为攀枝花社会稳定保驾护航</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有效化解各类矛盾纠纷，确保社会大局稳定</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有效化解各类矛盾纠纷，确保社会大局稳定</w:t>
            </w: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363" w:leftChars="87" w:hanging="180" w:hangingChars="100"/>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满意</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满意度</w:t>
            </w:r>
          </w:p>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提升群众对政法工作满意度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社会和谐，群众对政法工作满意度提升</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有所提升</w:t>
            </w:r>
          </w:p>
        </w:tc>
      </w:tr>
    </w:tbl>
    <w:p>
      <w:pPr>
        <w:jc w:val="center"/>
        <w:rPr>
          <w:rFonts w:ascii="方正黑体_GBK" w:eastAsia="方正黑体_GBK"/>
          <w:sz w:val="32"/>
          <w:szCs w:val="32"/>
        </w:rPr>
      </w:pPr>
      <w:bookmarkStart w:id="139" w:name="_Toc113479778"/>
      <w:bookmarkStart w:id="140" w:name="_Toc113478967"/>
      <w:r>
        <w:rPr>
          <w:rFonts w:hint="eastAsia" w:ascii="方正黑体_GBK" w:eastAsia="方正黑体_GBK"/>
          <w:sz w:val="32"/>
          <w:szCs w:val="32"/>
        </w:rPr>
        <w:t>大调解工作经费</w:t>
      </w:r>
      <w:bookmarkEnd w:id="139"/>
      <w:bookmarkEnd w:id="140"/>
    </w:p>
    <w:p>
      <w:pPr>
        <w:pStyle w:val="7"/>
        <w:spacing w:line="600" w:lineRule="exact"/>
        <w:ind w:firstLine="640" w:firstLineChars="200"/>
        <w:jc w:val="left"/>
        <w:rPr>
          <w:rFonts w:ascii="黑体" w:eastAsia="黑体" w:cs="仿宋_GB2312"/>
          <w:sz w:val="32"/>
          <w:szCs w:val="32"/>
        </w:rPr>
      </w:pPr>
      <w:r>
        <w:rPr>
          <w:rFonts w:hint="eastAsia" w:ascii="黑体" w:eastAsia="黑体" w:cs="仿宋_GB2312"/>
          <w:sz w:val="32"/>
          <w:szCs w:val="32"/>
        </w:rPr>
        <w:t>附表：</w:t>
      </w:r>
    </w:p>
    <w:tbl>
      <w:tblPr>
        <w:tblStyle w:val="14"/>
        <w:tblpPr w:leftFromText="180" w:rightFromText="180" w:vertAnchor="text" w:horzAnchor="page" w:tblpX="1281" w:tblpY="660"/>
        <w:tblOverlap w:val="never"/>
        <w:tblW w:w="9983" w:type="dxa"/>
        <w:tblInd w:w="0" w:type="dxa"/>
        <w:tblLayout w:type="fixed"/>
        <w:tblCellMar>
          <w:top w:w="0" w:type="dxa"/>
          <w:left w:w="108" w:type="dxa"/>
          <w:bottom w:w="0" w:type="dxa"/>
          <w:right w:w="108" w:type="dxa"/>
        </w:tblCellMar>
      </w:tblPr>
      <w:tblGrid>
        <w:gridCol w:w="1976"/>
        <w:gridCol w:w="1142"/>
        <w:gridCol w:w="1101"/>
        <w:gridCol w:w="534"/>
        <w:gridCol w:w="1025"/>
        <w:gridCol w:w="1388"/>
        <w:gridCol w:w="2581"/>
        <w:gridCol w:w="236"/>
      </w:tblGrid>
      <w:tr>
        <w:tblPrEx>
          <w:tblCellMar>
            <w:top w:w="0" w:type="dxa"/>
            <w:left w:w="108" w:type="dxa"/>
            <w:bottom w:w="0" w:type="dxa"/>
            <w:right w:w="108" w:type="dxa"/>
          </w:tblCellMar>
        </w:tblPrEx>
        <w:trPr>
          <w:trHeight w:val="675" w:hRule="atLeast"/>
        </w:trPr>
        <w:tc>
          <w:tcPr>
            <w:tcW w:w="9747" w:type="dxa"/>
            <w:gridSpan w:val="7"/>
            <w:tcBorders>
              <w:top w:val="nil"/>
              <w:left w:val="nil"/>
              <w:bottom w:val="nil"/>
              <w:right w:val="nil"/>
            </w:tcBorders>
            <w:shd w:val="clear" w:color="auto" w:fill="auto"/>
            <w:vAlign w:val="center"/>
          </w:tcPr>
          <w:p>
            <w:pPr>
              <w:widowControl/>
              <w:jc w:val="center"/>
              <w:textAlignment w:val="center"/>
              <w:rPr>
                <w:rFonts w:ascii="宋体" w:hAnsi="宋体" w:cs="宋体"/>
                <w:b/>
                <w:sz w:val="28"/>
                <w:szCs w:val="28"/>
              </w:rPr>
            </w:pPr>
            <w:r>
              <w:rPr>
                <w:rFonts w:hint="eastAsia" w:ascii="宋体" w:hAnsi="宋体" w:cs="宋体"/>
                <w:b/>
                <w:sz w:val="28"/>
                <w:szCs w:val="28"/>
              </w:rPr>
              <w:t>2021年100万元以上（含）特定目标类部门预算项目绩效目标自评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595"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主管部门及代码</w:t>
            </w:r>
          </w:p>
        </w:tc>
        <w:tc>
          <w:tcPr>
            <w:tcW w:w="26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实施单位</w:t>
            </w:r>
          </w:p>
        </w:tc>
        <w:tc>
          <w:tcPr>
            <w:tcW w:w="25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市委政法委</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项目预算</w:t>
            </w:r>
            <w:r>
              <w:rPr>
                <w:rFonts w:hint="eastAsia" w:ascii="宋体" w:hAnsi="宋体" w:cs="宋体"/>
                <w:kern w:val="0"/>
                <w:sz w:val="18"/>
                <w:szCs w:val="18"/>
              </w:rPr>
              <w:br w:type="textWrapping"/>
            </w:r>
            <w:r>
              <w:rPr>
                <w:rFonts w:hint="eastAsia" w:ascii="宋体" w:hAnsi="宋体" w:cs="宋体"/>
                <w:kern w:val="0"/>
                <w:sz w:val="18"/>
                <w:szCs w:val="18"/>
              </w:rPr>
              <w:t>执行情况</w:t>
            </w:r>
            <w:r>
              <w:rPr>
                <w:rFonts w:hint="eastAsia" w:ascii="宋体" w:hAnsi="宋体" w:cs="宋体"/>
                <w:kern w:val="0"/>
                <w:sz w:val="18"/>
                <w:szCs w:val="18"/>
              </w:rPr>
              <w:br w:type="textWrapping"/>
            </w:r>
            <w:r>
              <w:rPr>
                <w:rFonts w:hint="eastAsia" w:ascii="宋体" w:hAnsi="宋体" w:cs="宋体"/>
                <w:kern w:val="0"/>
                <w:sz w:val="18"/>
                <w:szCs w:val="18"/>
              </w:rPr>
              <w:t>（万元）</w:t>
            </w: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预算数：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2.7</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执行数：</w:t>
            </w:r>
          </w:p>
        </w:tc>
        <w:tc>
          <w:tcPr>
            <w:tcW w:w="25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2.7</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18"/>
                <w:szCs w:val="18"/>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18"/>
                <w:szCs w:val="18"/>
              </w:rPr>
            </w:pPr>
            <w:r>
              <w:rPr>
                <w:rFonts w:hint="eastAsia" w:ascii="宋体" w:hAnsi="宋体" w:cs="宋体"/>
                <w:kern w:val="0"/>
                <w:sz w:val="18"/>
                <w:szCs w:val="18"/>
              </w:rPr>
              <w:t>其中：</w:t>
            </w:r>
          </w:p>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财政拨款</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2.7</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18"/>
                <w:szCs w:val="18"/>
              </w:rPr>
            </w:pPr>
            <w:r>
              <w:rPr>
                <w:rFonts w:hint="eastAsia" w:ascii="宋体" w:hAnsi="宋体" w:cs="宋体"/>
                <w:kern w:val="0"/>
                <w:sz w:val="18"/>
                <w:szCs w:val="18"/>
              </w:rPr>
              <w:t>其中：</w:t>
            </w:r>
          </w:p>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财政拨款</w:t>
            </w:r>
          </w:p>
        </w:tc>
        <w:tc>
          <w:tcPr>
            <w:tcW w:w="25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2.7</w:t>
            </w:r>
          </w:p>
        </w:tc>
      </w:tr>
      <w:tr>
        <w:tblPrEx>
          <w:tblCellMar>
            <w:top w:w="0" w:type="dxa"/>
            <w:left w:w="108" w:type="dxa"/>
            <w:bottom w:w="0" w:type="dxa"/>
            <w:right w:w="108" w:type="dxa"/>
          </w:tblCellMar>
        </w:tblPrEx>
        <w:trPr>
          <w:gridAfter w:val="1"/>
          <w:wAfter w:w="236" w:type="dxa"/>
          <w:trHeight w:val="548"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18"/>
                <w:szCs w:val="18"/>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其他资金</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其他资金</w:t>
            </w:r>
          </w:p>
        </w:tc>
        <w:tc>
          <w:tcPr>
            <w:tcW w:w="25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18"/>
                <w:szCs w:val="18"/>
              </w:rPr>
            </w:pPr>
            <w:r>
              <w:rPr>
                <w:rFonts w:hint="eastAsia" w:ascii="宋体" w:hAnsi="宋体" w:cs="宋体"/>
                <w:kern w:val="0"/>
                <w:sz w:val="18"/>
                <w:szCs w:val="18"/>
              </w:rPr>
              <w:t>年度总体目标</w:t>
            </w:r>
          </w:p>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完成情况</w:t>
            </w:r>
          </w:p>
        </w:tc>
        <w:tc>
          <w:tcPr>
            <w:tcW w:w="380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预期目标</w:t>
            </w:r>
          </w:p>
        </w:tc>
        <w:tc>
          <w:tcPr>
            <w:tcW w:w="39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目标实际完成情况</w:t>
            </w:r>
          </w:p>
        </w:tc>
      </w:tr>
      <w:tr>
        <w:tblPrEx>
          <w:tblCellMar>
            <w:top w:w="0" w:type="dxa"/>
            <w:left w:w="108" w:type="dxa"/>
            <w:bottom w:w="0" w:type="dxa"/>
            <w:right w:w="108" w:type="dxa"/>
          </w:tblCellMar>
        </w:tblPrEx>
        <w:trPr>
          <w:gridAfter w:val="1"/>
          <w:wAfter w:w="236" w:type="dxa"/>
          <w:trHeight w:val="1083"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18"/>
                <w:szCs w:val="18"/>
              </w:rPr>
            </w:pPr>
          </w:p>
        </w:tc>
        <w:tc>
          <w:tcPr>
            <w:tcW w:w="3802" w:type="dxa"/>
            <w:gridSpan w:val="4"/>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top"/>
              <w:rPr>
                <w:rFonts w:ascii="宋体" w:hAnsi="宋体" w:cs="宋体"/>
                <w:sz w:val="18"/>
                <w:szCs w:val="18"/>
              </w:rPr>
            </w:pPr>
            <w:r>
              <w:rPr>
                <w:rFonts w:hint="eastAsia" w:ascii="宋体" w:hAnsi="宋体" w:cs="宋体"/>
                <w:sz w:val="18"/>
                <w:szCs w:val="18"/>
              </w:rPr>
              <w:t>开展防邪综治维稳排查稳控工作，确保社会稳定</w:t>
            </w:r>
          </w:p>
        </w:tc>
        <w:tc>
          <w:tcPr>
            <w:tcW w:w="3969"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top"/>
              <w:rPr>
                <w:rFonts w:ascii="宋体" w:hAnsi="宋体" w:cs="宋体"/>
                <w:sz w:val="18"/>
                <w:szCs w:val="18"/>
              </w:rPr>
            </w:pPr>
            <w:r>
              <w:rPr>
                <w:rFonts w:hint="eastAsia" w:ascii="宋体" w:hAnsi="宋体" w:cs="宋体"/>
                <w:sz w:val="18"/>
                <w:szCs w:val="18"/>
              </w:rPr>
              <w:t>落实“清单制+责任制”要求形成公安、稳定、综治、防邪、信访五张清单，交办属地、属事责任单位化解稳控，没有发生规模性赴省进京集访非访及有影响的个人极端案事件。</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一级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二级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三级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预期指标值</w:t>
            </w:r>
          </w:p>
        </w:tc>
        <w:tc>
          <w:tcPr>
            <w:tcW w:w="25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完成</w:t>
            </w:r>
          </w:p>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数量指标</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开展维稳排查</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每月开展排查1次，全年12次</w:t>
            </w:r>
          </w:p>
        </w:tc>
        <w:tc>
          <w:tcPr>
            <w:tcW w:w="258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20次</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质量指标</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强化排查、及时处置</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不发生规模性赴省进京集访非访及有影响的个人极端案事件</w:t>
            </w:r>
          </w:p>
        </w:tc>
        <w:tc>
          <w:tcPr>
            <w:tcW w:w="258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textAlignment w:val="bottom"/>
              <w:rPr>
                <w:rFonts w:ascii="仿宋_GB2312" w:hAnsi="仿宋_GB2312" w:eastAsia="仿宋_GB2312" w:cs="仿宋_GB2312"/>
                <w:sz w:val="15"/>
                <w:szCs w:val="15"/>
              </w:rPr>
            </w:pPr>
            <w:r>
              <w:rPr>
                <w:rFonts w:hint="eastAsia" w:ascii="仿宋_GB2312" w:hAnsi="仿宋_GB2312" w:eastAsia="仿宋_GB2312" w:cs="仿宋_GB2312"/>
                <w:sz w:val="15"/>
                <w:szCs w:val="15"/>
              </w:rPr>
              <w:t>未发生有影响个人极端案件</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时效指标</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完成时限</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年底前</w:t>
            </w:r>
          </w:p>
        </w:tc>
        <w:tc>
          <w:tcPr>
            <w:tcW w:w="258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12月底完成</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成本指标</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项目开展工作费用</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0.9万元/个*3个=2.7万元</w:t>
            </w:r>
          </w:p>
        </w:tc>
        <w:tc>
          <w:tcPr>
            <w:tcW w:w="258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2.7万元</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效益</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指标</w:t>
            </w: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经济效益  指标</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258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社会效益  指标</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确保社会稳定</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将稳控排查在基层，确保社会大局稳定</w:t>
            </w:r>
          </w:p>
        </w:tc>
        <w:tc>
          <w:tcPr>
            <w:tcW w:w="258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荣获“四川省维护社会稳定先进集体”</w:t>
            </w: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textAlignment w:val="bottom"/>
              <w:rPr>
                <w:rFonts w:ascii="仿宋_GB2312" w:hAnsi="仿宋_GB2312" w:eastAsia="仿宋_GB2312" w:cs="仿宋_GB2312"/>
                <w:sz w:val="13"/>
                <w:szCs w:val="13"/>
              </w:rPr>
            </w:pPr>
            <w:r>
              <w:rPr>
                <w:rFonts w:hint="eastAsia" w:ascii="仿宋_GB2312" w:hAnsi="仿宋_GB2312" w:eastAsia="仿宋_GB2312" w:cs="仿宋_GB2312"/>
                <w:kern w:val="0"/>
                <w:sz w:val="13"/>
                <w:szCs w:val="13"/>
              </w:rPr>
              <w:t>生态效益指标</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258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可持续影响 指标</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258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满意</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度指标</w:t>
            </w:r>
          </w:p>
        </w:tc>
        <w:tc>
          <w:tcPr>
            <w:tcW w:w="110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满意度</w:t>
            </w:r>
          </w:p>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群众满意度</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人民群众对社会治安的满意度进一步提高</w:t>
            </w:r>
          </w:p>
        </w:tc>
        <w:tc>
          <w:tcPr>
            <w:tcW w:w="258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平安建设群众满意度继续稳居全省第一方阵</w:t>
            </w:r>
          </w:p>
        </w:tc>
      </w:tr>
    </w:tbl>
    <w:p>
      <w:pPr>
        <w:jc w:val="center"/>
        <w:rPr>
          <w:rFonts w:ascii="方正黑体_GBK" w:eastAsia="方正黑体_GBK"/>
          <w:sz w:val="32"/>
          <w:szCs w:val="32"/>
        </w:rPr>
      </w:pPr>
      <w:bookmarkStart w:id="141" w:name="_Toc113479779"/>
      <w:bookmarkStart w:id="142" w:name="_Toc113478968"/>
      <w:r>
        <w:rPr>
          <w:rFonts w:hint="eastAsia" w:ascii="方正黑体_GBK" w:eastAsia="方正黑体_GBK"/>
          <w:sz w:val="32"/>
          <w:szCs w:val="32"/>
        </w:rPr>
        <w:t>防邪综治维稳业务费</w:t>
      </w:r>
      <w:bookmarkEnd w:id="141"/>
      <w:bookmarkEnd w:id="142"/>
    </w:p>
    <w:p>
      <w:pPr>
        <w:pStyle w:val="7"/>
        <w:spacing w:line="600" w:lineRule="exact"/>
        <w:ind w:firstLine="640" w:firstLineChars="200"/>
        <w:jc w:val="left"/>
        <w:rPr>
          <w:rFonts w:ascii="黑体" w:eastAsia="黑体" w:cs="仿宋_GB2312"/>
          <w:sz w:val="32"/>
          <w:szCs w:val="32"/>
        </w:rPr>
      </w:pPr>
      <w:r>
        <w:rPr>
          <w:rFonts w:hint="eastAsia" w:ascii="黑体" w:eastAsia="黑体" w:cs="仿宋_GB2312"/>
          <w:sz w:val="32"/>
          <w:szCs w:val="32"/>
        </w:rPr>
        <w:t>附表：</w:t>
      </w: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jc w:val="center"/>
              <w:textAlignment w:val="center"/>
              <w:rPr>
                <w:rFonts w:ascii="宋体" w:hAnsi="宋体" w:cs="宋体"/>
                <w:b/>
                <w:sz w:val="28"/>
                <w:szCs w:val="28"/>
              </w:rPr>
            </w:pPr>
            <w:r>
              <w:rPr>
                <w:rFonts w:hint="eastAsia" w:ascii="宋体" w:hAnsi="宋体" w:cs="宋体"/>
                <w:b/>
                <w:sz w:val="28"/>
                <w:szCs w:val="28"/>
              </w:rPr>
              <w:t>2021年100万元以上（含）特定目标类部门预算项目绩效目标自评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595"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市委政法委</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项目预算</w:t>
            </w:r>
            <w:r>
              <w:rPr>
                <w:rFonts w:hint="eastAsia" w:ascii="宋体" w:hAnsi="宋体" w:cs="宋体"/>
                <w:kern w:val="0"/>
                <w:sz w:val="18"/>
                <w:szCs w:val="18"/>
              </w:rPr>
              <w:br w:type="textWrapping"/>
            </w:r>
            <w:r>
              <w:rPr>
                <w:rFonts w:hint="eastAsia" w:ascii="宋体" w:hAnsi="宋体" w:cs="宋体"/>
                <w:kern w:val="0"/>
                <w:sz w:val="18"/>
                <w:szCs w:val="18"/>
              </w:rPr>
              <w:t>执行情况</w:t>
            </w:r>
            <w:r>
              <w:rPr>
                <w:rFonts w:hint="eastAsia" w:ascii="宋体" w:hAnsi="宋体" w:cs="宋体"/>
                <w:kern w:val="0"/>
                <w:sz w:val="18"/>
                <w:szCs w:val="18"/>
              </w:rPr>
              <w:br w:type="textWrapping"/>
            </w:r>
            <w:r>
              <w:rPr>
                <w:rFonts w:hint="eastAsia" w:ascii="宋体" w:hAnsi="宋体" w:cs="宋体"/>
                <w:kern w:val="0"/>
                <w:sz w:val="18"/>
                <w:szCs w:val="18"/>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2.7</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2.7</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18"/>
                <w:szCs w:val="18"/>
              </w:rPr>
            </w:pPr>
            <w:r>
              <w:rPr>
                <w:rFonts w:hint="eastAsia" w:ascii="宋体" w:hAnsi="宋体" w:cs="宋体"/>
                <w:kern w:val="0"/>
                <w:sz w:val="18"/>
                <w:szCs w:val="18"/>
              </w:rPr>
              <w:t>其中：</w:t>
            </w:r>
          </w:p>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2.7</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18"/>
                <w:szCs w:val="18"/>
              </w:rPr>
            </w:pPr>
            <w:r>
              <w:rPr>
                <w:rFonts w:hint="eastAsia" w:ascii="宋体" w:hAnsi="宋体" w:cs="宋体"/>
                <w:kern w:val="0"/>
                <w:sz w:val="18"/>
                <w:szCs w:val="18"/>
              </w:rPr>
              <w:t>其中：</w:t>
            </w:r>
          </w:p>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2.7</w:t>
            </w:r>
          </w:p>
        </w:tc>
      </w:tr>
      <w:tr>
        <w:tblPrEx>
          <w:tblCellMar>
            <w:top w:w="0" w:type="dxa"/>
            <w:left w:w="108" w:type="dxa"/>
            <w:bottom w:w="0" w:type="dxa"/>
            <w:right w:w="108" w:type="dxa"/>
          </w:tblCellMar>
        </w:tblPrEx>
        <w:trPr>
          <w:gridAfter w:val="1"/>
          <w:wAfter w:w="236" w:type="dxa"/>
          <w:trHeight w:val="548"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18"/>
                <w:szCs w:val="18"/>
              </w:rPr>
            </w:pPr>
            <w:r>
              <w:rPr>
                <w:rFonts w:hint="eastAsia" w:ascii="宋体" w:hAnsi="宋体" w:cs="宋体"/>
                <w:kern w:val="0"/>
                <w:sz w:val="18"/>
                <w:szCs w:val="18"/>
              </w:rPr>
              <w:t>年度总体目标</w:t>
            </w:r>
          </w:p>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目标实际完成情况</w:t>
            </w:r>
          </w:p>
        </w:tc>
      </w:tr>
      <w:tr>
        <w:tblPrEx>
          <w:tblCellMar>
            <w:top w:w="0" w:type="dxa"/>
            <w:left w:w="108" w:type="dxa"/>
            <w:bottom w:w="0" w:type="dxa"/>
            <w:right w:w="108" w:type="dxa"/>
          </w:tblCellMar>
        </w:tblPrEx>
        <w:trPr>
          <w:gridAfter w:val="1"/>
          <w:wAfter w:w="236" w:type="dxa"/>
          <w:trHeight w:val="1083"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18"/>
                <w:szCs w:val="18"/>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top"/>
              <w:rPr>
                <w:rFonts w:ascii="宋体" w:hAnsi="宋体" w:cs="宋体"/>
                <w:sz w:val="18"/>
                <w:szCs w:val="18"/>
              </w:rPr>
            </w:pPr>
            <w:r>
              <w:rPr>
                <w:rFonts w:hint="eastAsia" w:ascii="宋体" w:hAnsi="宋体" w:cs="宋体"/>
                <w:sz w:val="18"/>
                <w:szCs w:val="18"/>
              </w:rPr>
              <w:t>开展三电专项整治，确保广电、通信、电力线路畅通，减少三电线路设备被盗割、破坏案件发生。保障全市生产、生活顺利进行。</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top"/>
              <w:rPr>
                <w:rFonts w:ascii="宋体" w:hAnsi="宋体" w:cs="宋体"/>
                <w:sz w:val="18"/>
                <w:szCs w:val="18"/>
              </w:rPr>
            </w:pPr>
            <w:r>
              <w:rPr>
                <w:rFonts w:hint="eastAsia" w:ascii="宋体" w:hAnsi="宋体" w:cs="宋体"/>
                <w:sz w:val="18"/>
                <w:szCs w:val="18"/>
              </w:rPr>
              <w:t>完成三电专项整治，确保广电、通信、电力线路畅通，减少三电线路设备被盗割、破坏案件发生。保障全市生产、生活顺利进行。</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一级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二级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三级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完成</w:t>
            </w:r>
          </w:p>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开展三电专项整治</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9次</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9次</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三电线路运行情况</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确保三电线路通畅</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三电线路运行通畅</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按时开展整治工作</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年底前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11月底前完成</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组织开展三电线路保护专项整治</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3000元/次*9次=2.7万元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2.7万元</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效益</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降到企业损失</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使电力、通信、广电企业损失下降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损失下降</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保障线路通畅</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确保三电线路畅通，保障全市生产生活正常运行</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确保三电线路畅通，保障全市生产生活正常运行</w:t>
            </w: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363" w:leftChars="87" w:hanging="180" w:hangingChars="100"/>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满意</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满意度</w:t>
            </w:r>
          </w:p>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群众满意度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≥95%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≥95%</w:t>
            </w:r>
          </w:p>
        </w:tc>
      </w:tr>
    </w:tbl>
    <w:p>
      <w:pPr>
        <w:jc w:val="center"/>
        <w:rPr>
          <w:rFonts w:ascii="方正黑体_GBK" w:eastAsia="方正黑体_GBK"/>
          <w:sz w:val="32"/>
          <w:szCs w:val="32"/>
        </w:rPr>
      </w:pPr>
      <w:bookmarkStart w:id="143" w:name="_Toc113478969"/>
      <w:bookmarkStart w:id="144" w:name="_Toc113479780"/>
      <w:r>
        <w:rPr>
          <w:rFonts w:hint="eastAsia" w:ascii="方正黑体_GBK" w:eastAsia="方正黑体_GBK"/>
          <w:sz w:val="32"/>
          <w:szCs w:val="32"/>
        </w:rPr>
        <w:t>三电专项经费</w:t>
      </w:r>
      <w:bookmarkEnd w:id="143"/>
      <w:bookmarkEnd w:id="144"/>
    </w:p>
    <w:p>
      <w:pPr>
        <w:spacing w:line="600" w:lineRule="exact"/>
        <w:jc w:val="center"/>
        <w:outlineLvl w:val="0"/>
        <w:rPr>
          <w:rFonts w:ascii="黑体" w:hAnsi="黑体" w:eastAsia="黑体"/>
          <w:sz w:val="44"/>
          <w:szCs w:val="44"/>
        </w:rPr>
      </w:pPr>
    </w:p>
    <w:p>
      <w:pPr>
        <w:pStyle w:val="7"/>
        <w:spacing w:line="600" w:lineRule="exact"/>
        <w:ind w:firstLine="640" w:firstLineChars="200"/>
        <w:jc w:val="left"/>
        <w:rPr>
          <w:rFonts w:ascii="黑体" w:eastAsia="黑体" w:cs="仿宋_GB2312"/>
          <w:sz w:val="32"/>
          <w:szCs w:val="32"/>
        </w:rPr>
      </w:pPr>
      <w:r>
        <w:rPr>
          <w:rFonts w:hint="eastAsia" w:ascii="黑体" w:eastAsia="黑体" w:cs="仿宋_GB2312"/>
          <w:sz w:val="32"/>
          <w:szCs w:val="32"/>
        </w:rPr>
        <w:t>附表：</w:t>
      </w: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313"/>
        <w:gridCol w:w="2096"/>
        <w:gridCol w:w="236"/>
      </w:tblGrid>
      <w:tr>
        <w:tblPrEx>
          <w:tblCellMar>
            <w:top w:w="0" w:type="dxa"/>
            <w:left w:w="108" w:type="dxa"/>
            <w:bottom w:w="0" w:type="dxa"/>
            <w:right w:w="108" w:type="dxa"/>
          </w:tblCellMar>
        </w:tblPrEx>
        <w:trPr>
          <w:trHeight w:val="675" w:hRule="atLeast"/>
        </w:trPr>
        <w:tc>
          <w:tcPr>
            <w:tcW w:w="9575" w:type="dxa"/>
            <w:gridSpan w:val="7"/>
            <w:tcBorders>
              <w:top w:val="nil"/>
              <w:left w:val="nil"/>
              <w:bottom w:val="nil"/>
              <w:right w:val="nil"/>
            </w:tcBorders>
            <w:shd w:val="clear" w:color="auto" w:fill="auto"/>
            <w:vAlign w:val="center"/>
          </w:tcPr>
          <w:p>
            <w:pPr>
              <w:widowControl/>
              <w:jc w:val="center"/>
              <w:textAlignment w:val="center"/>
              <w:rPr>
                <w:rFonts w:ascii="宋体" w:hAnsi="宋体" w:cs="宋体"/>
                <w:b/>
                <w:sz w:val="28"/>
                <w:szCs w:val="28"/>
              </w:rPr>
            </w:pPr>
            <w:r>
              <w:rPr>
                <w:rFonts w:hint="eastAsia" w:ascii="宋体" w:hAnsi="宋体" w:cs="宋体"/>
                <w:b/>
                <w:sz w:val="28"/>
                <w:szCs w:val="28"/>
              </w:rPr>
              <w:t>2021年100万元以上（含）特定目标类部门预算项目绩效目标自评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595"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实施单位</w:t>
            </w:r>
          </w:p>
        </w:tc>
        <w:tc>
          <w:tcPr>
            <w:tcW w:w="24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市委政法委</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项目预算</w:t>
            </w:r>
            <w:r>
              <w:rPr>
                <w:rFonts w:hint="eastAsia" w:ascii="宋体" w:hAnsi="宋体" w:cs="宋体"/>
                <w:kern w:val="0"/>
                <w:sz w:val="18"/>
                <w:szCs w:val="18"/>
              </w:rPr>
              <w:br w:type="textWrapping"/>
            </w:r>
            <w:r>
              <w:rPr>
                <w:rFonts w:hint="eastAsia" w:ascii="宋体" w:hAnsi="宋体" w:cs="宋体"/>
                <w:kern w:val="0"/>
                <w:sz w:val="18"/>
                <w:szCs w:val="18"/>
              </w:rPr>
              <w:t>执行情况</w:t>
            </w:r>
            <w:r>
              <w:rPr>
                <w:rFonts w:hint="eastAsia" w:ascii="宋体" w:hAnsi="宋体" w:cs="宋体"/>
                <w:kern w:val="0"/>
                <w:sz w:val="18"/>
                <w:szCs w:val="18"/>
              </w:rPr>
              <w:br w:type="textWrapping"/>
            </w:r>
            <w:r>
              <w:rPr>
                <w:rFonts w:hint="eastAsia" w:ascii="宋体" w:hAnsi="宋体" w:cs="宋体"/>
                <w:kern w:val="0"/>
                <w:sz w:val="18"/>
                <w:szCs w:val="18"/>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9</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执行数：</w:t>
            </w:r>
          </w:p>
        </w:tc>
        <w:tc>
          <w:tcPr>
            <w:tcW w:w="24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9</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18"/>
                <w:szCs w:val="18"/>
              </w:rPr>
            </w:pPr>
            <w:r>
              <w:rPr>
                <w:rFonts w:hint="eastAsia" w:ascii="宋体" w:hAnsi="宋体" w:cs="宋体"/>
                <w:kern w:val="0"/>
                <w:sz w:val="18"/>
                <w:szCs w:val="18"/>
              </w:rPr>
              <w:t>其中：</w:t>
            </w:r>
          </w:p>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9</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18"/>
                <w:szCs w:val="18"/>
              </w:rPr>
            </w:pPr>
            <w:r>
              <w:rPr>
                <w:rFonts w:hint="eastAsia" w:ascii="宋体" w:hAnsi="宋体" w:cs="宋体"/>
                <w:kern w:val="0"/>
                <w:sz w:val="18"/>
                <w:szCs w:val="18"/>
              </w:rPr>
              <w:t>其中：</w:t>
            </w:r>
          </w:p>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财政拨款</w:t>
            </w:r>
          </w:p>
        </w:tc>
        <w:tc>
          <w:tcPr>
            <w:tcW w:w="24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sz w:val="18"/>
                <w:szCs w:val="18"/>
              </w:rPr>
              <w:t>9</w:t>
            </w:r>
          </w:p>
        </w:tc>
      </w:tr>
      <w:tr>
        <w:tblPrEx>
          <w:tblCellMar>
            <w:top w:w="0" w:type="dxa"/>
            <w:left w:w="108" w:type="dxa"/>
            <w:bottom w:w="0" w:type="dxa"/>
            <w:right w:w="108" w:type="dxa"/>
          </w:tblCellMar>
        </w:tblPrEx>
        <w:trPr>
          <w:gridAfter w:val="1"/>
          <w:wAfter w:w="236" w:type="dxa"/>
          <w:trHeight w:val="548"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其他资金</w:t>
            </w:r>
          </w:p>
        </w:tc>
        <w:tc>
          <w:tcPr>
            <w:tcW w:w="24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18"/>
                <w:szCs w:val="18"/>
              </w:rPr>
            </w:pPr>
            <w:r>
              <w:rPr>
                <w:rFonts w:hint="eastAsia" w:ascii="宋体" w:hAnsi="宋体" w:cs="宋体"/>
                <w:kern w:val="0"/>
                <w:sz w:val="18"/>
                <w:szCs w:val="18"/>
              </w:rPr>
              <w:t>年度总体目标</w:t>
            </w:r>
          </w:p>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预期目标</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18"/>
                <w:szCs w:val="18"/>
              </w:rPr>
            </w:pPr>
            <w:r>
              <w:rPr>
                <w:rFonts w:hint="eastAsia" w:ascii="宋体" w:hAnsi="宋体" w:cs="宋体"/>
                <w:kern w:val="0"/>
                <w:sz w:val="18"/>
                <w:szCs w:val="18"/>
              </w:rPr>
              <w:t>目标实际完成情况</w:t>
            </w:r>
          </w:p>
        </w:tc>
      </w:tr>
      <w:tr>
        <w:tblPrEx>
          <w:tblCellMar>
            <w:top w:w="0" w:type="dxa"/>
            <w:left w:w="108" w:type="dxa"/>
            <w:bottom w:w="0" w:type="dxa"/>
            <w:right w:w="108" w:type="dxa"/>
          </w:tblCellMar>
        </w:tblPrEx>
        <w:trPr>
          <w:gridAfter w:val="1"/>
          <w:wAfter w:w="236" w:type="dxa"/>
          <w:trHeight w:val="1083"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18"/>
                <w:szCs w:val="18"/>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top"/>
              <w:rPr>
                <w:rFonts w:ascii="宋体" w:hAnsi="宋体" w:cs="宋体"/>
                <w:sz w:val="18"/>
                <w:szCs w:val="18"/>
              </w:rPr>
            </w:pPr>
            <w:r>
              <w:rPr>
                <w:rFonts w:hint="eastAsia" w:ascii="宋体" w:hAnsi="宋体" w:cs="宋体"/>
                <w:sz w:val="18"/>
                <w:szCs w:val="18"/>
              </w:rPr>
              <w:t>掌握全市人民群众安全感情况，及时调整工作方式；确保长安网正常运行；加强政法委必要的装备建设</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center"/>
              <w:textAlignment w:val="top"/>
              <w:rPr>
                <w:rFonts w:ascii="宋体" w:hAnsi="宋体" w:cs="宋体"/>
                <w:sz w:val="18"/>
                <w:szCs w:val="18"/>
              </w:rPr>
            </w:pPr>
            <w:r>
              <w:rPr>
                <w:rFonts w:hint="eastAsia" w:ascii="宋体" w:hAnsi="宋体" w:cs="宋体"/>
                <w:sz w:val="18"/>
                <w:szCs w:val="18"/>
              </w:rPr>
              <w:t>掌握全市人民群众安全感情况，及时调整工作方式；确保长安网正常运行；加强政法委必要的装备建设</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一级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二级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三级</w:t>
            </w:r>
          </w:p>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预期指标值</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完成</w:t>
            </w:r>
          </w:p>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开展安全感测评</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2次</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2次</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营造良好治安环境、有效化解处置突发事件</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营造良好治安环境</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平安建设群众满意度测评总分上升</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年底前</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每季度开展一次</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11月完成4次</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委托测评费用、系统维护，网站更新</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9万元</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9万元</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效益</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提高安全感</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3"/>
                <w:szCs w:val="13"/>
              </w:rPr>
            </w:pPr>
            <w:r>
              <w:rPr>
                <w:rFonts w:hint="eastAsia" w:ascii="仿宋_GB2312" w:hAnsi="仿宋_GB2312" w:eastAsia="仿宋_GB2312" w:cs="仿宋_GB2312"/>
                <w:sz w:val="13"/>
                <w:szCs w:val="13"/>
              </w:rPr>
              <w:t>通过测评，有针对性的改进工作，提升满意度和安全感</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3"/>
                <w:szCs w:val="13"/>
              </w:rPr>
            </w:pPr>
            <w:r>
              <w:rPr>
                <w:rFonts w:hint="eastAsia" w:ascii="仿宋_GB2312" w:hAnsi="仿宋_GB2312" w:eastAsia="仿宋_GB2312" w:cs="仿宋_GB2312"/>
                <w:sz w:val="13"/>
                <w:szCs w:val="13"/>
              </w:rPr>
              <w:t>满意度和安全感上升</w:t>
            </w: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363" w:leftChars="87" w:hanging="180" w:hangingChars="100"/>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18"/>
                <w:szCs w:val="1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满意</w:t>
            </w:r>
            <w:r>
              <w:rPr>
                <w:rFonts w:hint="eastAsia" w:ascii="仿宋_GB2312" w:hAnsi="仿宋_GB2312" w:eastAsia="仿宋_GB2312" w:cs="仿宋_GB2312"/>
                <w:kern w:val="0"/>
                <w:sz w:val="18"/>
                <w:szCs w:val="18"/>
              </w:rPr>
              <w:br w:type="textWrapping"/>
            </w:r>
            <w:r>
              <w:rPr>
                <w:rFonts w:hint="eastAsia" w:ascii="仿宋_GB2312" w:hAnsi="仿宋_GB2312" w:eastAsia="仿宋_GB2312" w:cs="仿宋_GB2312"/>
                <w:kern w:val="0"/>
                <w:sz w:val="18"/>
                <w:szCs w:val="1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满意度</w:t>
            </w:r>
          </w:p>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群众满意度</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上升</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18"/>
                <w:szCs w:val="18"/>
              </w:rPr>
            </w:pPr>
            <w:r>
              <w:rPr>
                <w:rFonts w:hint="eastAsia" w:ascii="仿宋_GB2312" w:hAnsi="仿宋_GB2312" w:eastAsia="仿宋_GB2312" w:cs="仿宋_GB2312"/>
                <w:sz w:val="18"/>
                <w:szCs w:val="18"/>
              </w:rPr>
              <w:t>≥95%</w:t>
            </w:r>
          </w:p>
        </w:tc>
      </w:tr>
    </w:tbl>
    <w:p>
      <w:pPr>
        <w:jc w:val="center"/>
        <w:rPr>
          <w:rFonts w:ascii="方正黑体_GBK" w:eastAsia="方正黑体_GBK"/>
          <w:sz w:val="32"/>
          <w:szCs w:val="32"/>
        </w:rPr>
      </w:pPr>
      <w:bookmarkStart w:id="145" w:name="_Toc113479781"/>
      <w:bookmarkStart w:id="146" w:name="_Toc113478970"/>
      <w:r>
        <w:rPr>
          <w:rFonts w:hint="eastAsia" w:ascii="方正黑体_GBK" w:eastAsia="方正黑体_GBK"/>
          <w:sz w:val="32"/>
          <w:szCs w:val="32"/>
        </w:rPr>
        <w:t>业务运行费</w:t>
      </w:r>
      <w:bookmarkEnd w:id="145"/>
      <w:bookmarkEnd w:id="146"/>
    </w:p>
    <w:p>
      <w:pPr>
        <w:spacing w:line="600" w:lineRule="exact"/>
        <w:jc w:val="center"/>
        <w:outlineLvl w:val="0"/>
        <w:rPr>
          <w:rFonts w:ascii="黑体" w:hAnsi="黑体" w:eastAsia="黑体"/>
          <w:sz w:val="44"/>
          <w:szCs w:val="44"/>
        </w:rPr>
      </w:pPr>
    </w:p>
    <w:p>
      <w:pPr>
        <w:pStyle w:val="3"/>
        <w:jc w:val="center"/>
        <w:rPr>
          <w:rFonts w:ascii="方正黑体_GBK" w:hAnsi="仿宋" w:eastAsia="方正黑体_GBK"/>
          <w:sz w:val="32"/>
          <w:szCs w:val="32"/>
        </w:rPr>
      </w:pPr>
      <w:bookmarkStart w:id="147" w:name="_Toc113478971"/>
      <w:bookmarkStart w:id="148" w:name="_Toc113480923"/>
      <w:bookmarkStart w:id="149" w:name="_Toc113479782"/>
      <w:r>
        <w:rPr>
          <w:rFonts w:hint="eastAsia" w:ascii="方正黑体_GBK" w:eastAsia="方正黑体_GBK"/>
          <w:sz w:val="32"/>
          <w:szCs w:val="32"/>
        </w:rPr>
        <w:t>第五部分 附表</w:t>
      </w:r>
      <w:bookmarkEnd w:id="147"/>
      <w:bookmarkEnd w:id="148"/>
      <w:bookmarkEnd w:id="149"/>
    </w:p>
    <w:p>
      <w:pPr>
        <w:pStyle w:val="4"/>
        <w:rPr>
          <w:rFonts w:ascii="仿宋" w:hAnsi="仿宋" w:eastAsia="仿宋"/>
        </w:rPr>
      </w:pPr>
      <w:bookmarkStart w:id="150" w:name="_Toc113479783"/>
      <w:bookmarkStart w:id="151" w:name="_Toc113478972"/>
      <w:bookmarkStart w:id="152" w:name="_Toc113480924"/>
      <w:r>
        <w:rPr>
          <w:rFonts w:hint="eastAsia" w:ascii="仿宋" w:hAnsi="仿宋" w:eastAsia="仿宋"/>
          <w:b w:val="0"/>
        </w:rPr>
        <w:t>一、收</w:t>
      </w:r>
      <w:r>
        <w:rPr>
          <w:rStyle w:val="27"/>
          <w:rFonts w:hint="eastAsia" w:ascii="仿宋" w:hAnsi="仿宋" w:eastAsia="仿宋"/>
          <w:b w:val="0"/>
          <w:bCs w:val="0"/>
        </w:rPr>
        <w:t>入支出决算总表</w:t>
      </w:r>
      <w:bookmarkEnd w:id="150"/>
      <w:bookmarkEnd w:id="151"/>
      <w:bookmarkEnd w:id="152"/>
    </w:p>
    <w:p>
      <w:pPr>
        <w:pStyle w:val="4"/>
        <w:rPr>
          <w:rFonts w:ascii="仿宋" w:hAnsi="仿宋" w:eastAsia="仿宋"/>
        </w:rPr>
      </w:pPr>
      <w:bookmarkStart w:id="153" w:name="_Toc113479784"/>
      <w:bookmarkStart w:id="154" w:name="_Toc113480925"/>
      <w:bookmarkStart w:id="155" w:name="_Toc113478973"/>
      <w:r>
        <w:rPr>
          <w:rFonts w:hint="eastAsia" w:ascii="仿宋" w:hAnsi="仿宋" w:eastAsia="仿宋"/>
          <w:b w:val="0"/>
        </w:rPr>
        <w:t>二、收</w:t>
      </w:r>
      <w:r>
        <w:rPr>
          <w:rStyle w:val="27"/>
          <w:rFonts w:hint="eastAsia" w:ascii="仿宋" w:hAnsi="仿宋" w:eastAsia="仿宋"/>
          <w:b w:val="0"/>
          <w:bCs w:val="0"/>
        </w:rPr>
        <w:t>入决算表</w:t>
      </w:r>
      <w:bookmarkEnd w:id="153"/>
      <w:bookmarkEnd w:id="154"/>
      <w:bookmarkEnd w:id="155"/>
    </w:p>
    <w:p>
      <w:pPr>
        <w:pStyle w:val="4"/>
        <w:rPr>
          <w:rFonts w:ascii="仿宋" w:hAnsi="仿宋" w:eastAsia="仿宋"/>
        </w:rPr>
      </w:pPr>
      <w:bookmarkStart w:id="156" w:name="_Toc113478974"/>
      <w:bookmarkStart w:id="157" w:name="_Toc113479785"/>
      <w:bookmarkStart w:id="158" w:name="_Toc113480926"/>
      <w:r>
        <w:rPr>
          <w:rStyle w:val="27"/>
          <w:rFonts w:hint="eastAsia" w:ascii="仿宋" w:hAnsi="仿宋" w:eastAsia="仿宋"/>
          <w:b w:val="0"/>
          <w:bCs w:val="0"/>
        </w:rPr>
        <w:t>三、</w:t>
      </w:r>
      <w:r>
        <w:rPr>
          <w:rFonts w:hint="eastAsia" w:ascii="仿宋" w:hAnsi="仿宋" w:eastAsia="仿宋"/>
          <w:b w:val="0"/>
        </w:rPr>
        <w:t>支</w:t>
      </w:r>
      <w:r>
        <w:rPr>
          <w:rStyle w:val="27"/>
          <w:rFonts w:hint="eastAsia" w:ascii="仿宋" w:hAnsi="仿宋" w:eastAsia="仿宋"/>
          <w:b w:val="0"/>
          <w:bCs w:val="0"/>
        </w:rPr>
        <w:t>出决算表</w:t>
      </w:r>
      <w:bookmarkEnd w:id="156"/>
      <w:bookmarkEnd w:id="157"/>
      <w:bookmarkEnd w:id="158"/>
    </w:p>
    <w:p>
      <w:pPr>
        <w:pStyle w:val="4"/>
        <w:rPr>
          <w:rFonts w:ascii="仿宋" w:hAnsi="仿宋" w:eastAsia="仿宋"/>
          <w:b w:val="0"/>
        </w:rPr>
      </w:pPr>
      <w:bookmarkStart w:id="159" w:name="_Toc113480927"/>
      <w:bookmarkStart w:id="160" w:name="_Toc113479786"/>
      <w:bookmarkStart w:id="161" w:name="_Toc113478975"/>
      <w:r>
        <w:rPr>
          <w:rStyle w:val="27"/>
          <w:rFonts w:hint="eastAsia" w:ascii="仿宋" w:hAnsi="仿宋" w:eastAsia="仿宋"/>
          <w:b w:val="0"/>
          <w:bCs w:val="0"/>
        </w:rPr>
        <w:t>四、</w:t>
      </w:r>
      <w:r>
        <w:rPr>
          <w:rFonts w:hint="eastAsia" w:ascii="仿宋" w:hAnsi="仿宋" w:eastAsia="仿宋"/>
          <w:b w:val="0"/>
        </w:rPr>
        <w:t>财</w:t>
      </w:r>
      <w:r>
        <w:rPr>
          <w:rStyle w:val="27"/>
          <w:rFonts w:hint="eastAsia" w:ascii="仿宋" w:hAnsi="仿宋" w:eastAsia="仿宋"/>
          <w:b w:val="0"/>
          <w:bCs w:val="0"/>
        </w:rPr>
        <w:t>政拨款收入支出决算总表</w:t>
      </w:r>
      <w:bookmarkEnd w:id="159"/>
      <w:bookmarkEnd w:id="160"/>
      <w:bookmarkEnd w:id="161"/>
    </w:p>
    <w:p>
      <w:pPr>
        <w:pStyle w:val="4"/>
        <w:rPr>
          <w:rStyle w:val="27"/>
          <w:rFonts w:ascii="仿宋" w:hAnsi="仿宋" w:eastAsia="仿宋"/>
          <w:b w:val="0"/>
          <w:bCs w:val="0"/>
        </w:rPr>
      </w:pPr>
      <w:bookmarkStart w:id="162" w:name="_Toc113479787"/>
      <w:bookmarkStart w:id="163" w:name="_Toc113478976"/>
      <w:bookmarkStart w:id="164" w:name="_Toc113480928"/>
      <w:r>
        <w:rPr>
          <w:rStyle w:val="27"/>
          <w:rFonts w:hint="eastAsia" w:ascii="仿宋" w:hAnsi="仿宋" w:eastAsia="仿宋"/>
          <w:b w:val="0"/>
          <w:bCs w:val="0"/>
        </w:rPr>
        <w:t>五、</w:t>
      </w:r>
      <w:r>
        <w:rPr>
          <w:rFonts w:hint="eastAsia" w:ascii="仿宋" w:hAnsi="仿宋" w:eastAsia="仿宋"/>
          <w:b w:val="0"/>
        </w:rPr>
        <w:t>财</w:t>
      </w:r>
      <w:r>
        <w:rPr>
          <w:rStyle w:val="27"/>
          <w:rFonts w:hint="eastAsia" w:ascii="仿宋" w:hAnsi="仿宋" w:eastAsia="仿宋"/>
          <w:b w:val="0"/>
          <w:bCs w:val="0"/>
        </w:rPr>
        <w:t>政拨款支出决算明细表</w:t>
      </w:r>
      <w:bookmarkEnd w:id="162"/>
      <w:bookmarkEnd w:id="163"/>
      <w:bookmarkEnd w:id="164"/>
    </w:p>
    <w:p>
      <w:pPr>
        <w:pStyle w:val="4"/>
        <w:rPr>
          <w:rFonts w:ascii="仿宋" w:hAnsi="仿宋" w:eastAsia="仿宋"/>
        </w:rPr>
      </w:pPr>
      <w:bookmarkStart w:id="165" w:name="_Toc113479788"/>
      <w:bookmarkStart w:id="166" w:name="_Toc113480929"/>
      <w:bookmarkStart w:id="167" w:name="_Toc113478977"/>
      <w:r>
        <w:rPr>
          <w:rStyle w:val="27"/>
          <w:rFonts w:hint="eastAsia" w:ascii="仿宋" w:hAnsi="仿宋" w:eastAsia="仿宋"/>
          <w:b w:val="0"/>
          <w:bCs w:val="0"/>
        </w:rPr>
        <w:t>六、</w:t>
      </w:r>
      <w:r>
        <w:rPr>
          <w:rFonts w:hint="eastAsia" w:ascii="仿宋" w:hAnsi="仿宋" w:eastAsia="仿宋"/>
          <w:b w:val="0"/>
        </w:rPr>
        <w:t>一</w:t>
      </w:r>
      <w:r>
        <w:rPr>
          <w:rStyle w:val="27"/>
          <w:rFonts w:hint="eastAsia" w:ascii="仿宋" w:hAnsi="仿宋" w:eastAsia="仿宋"/>
          <w:b w:val="0"/>
          <w:bCs w:val="0"/>
        </w:rPr>
        <w:t>般公共预算财政拨款支出决算表</w:t>
      </w:r>
      <w:bookmarkEnd w:id="165"/>
      <w:bookmarkEnd w:id="166"/>
      <w:bookmarkEnd w:id="167"/>
    </w:p>
    <w:p>
      <w:pPr>
        <w:pStyle w:val="4"/>
        <w:rPr>
          <w:rFonts w:ascii="仿宋" w:hAnsi="仿宋" w:eastAsia="仿宋"/>
        </w:rPr>
      </w:pPr>
      <w:bookmarkStart w:id="168" w:name="_Toc113478978"/>
      <w:bookmarkStart w:id="169" w:name="_Toc113480930"/>
      <w:bookmarkStart w:id="170" w:name="_Toc113479789"/>
      <w:r>
        <w:rPr>
          <w:rStyle w:val="27"/>
          <w:rFonts w:hint="eastAsia" w:ascii="仿宋" w:hAnsi="仿宋" w:eastAsia="仿宋"/>
          <w:b w:val="0"/>
          <w:bCs w:val="0"/>
        </w:rPr>
        <w:t>七、</w:t>
      </w:r>
      <w:r>
        <w:rPr>
          <w:rFonts w:hint="eastAsia" w:ascii="仿宋" w:hAnsi="仿宋" w:eastAsia="仿宋"/>
          <w:b w:val="0"/>
        </w:rPr>
        <w:t>一</w:t>
      </w:r>
      <w:r>
        <w:rPr>
          <w:rStyle w:val="27"/>
          <w:rFonts w:hint="eastAsia" w:ascii="仿宋" w:hAnsi="仿宋" w:eastAsia="仿宋"/>
          <w:b w:val="0"/>
          <w:bCs w:val="0"/>
        </w:rPr>
        <w:t>般公共预算财政拨款支出决算明细表</w:t>
      </w:r>
      <w:bookmarkEnd w:id="168"/>
      <w:bookmarkEnd w:id="169"/>
      <w:bookmarkEnd w:id="170"/>
    </w:p>
    <w:p>
      <w:pPr>
        <w:pStyle w:val="4"/>
        <w:rPr>
          <w:rFonts w:ascii="仿宋" w:hAnsi="仿宋" w:eastAsia="仿宋"/>
        </w:rPr>
      </w:pPr>
      <w:bookmarkStart w:id="171" w:name="_Toc113478979"/>
      <w:bookmarkStart w:id="172" w:name="_Toc113479790"/>
      <w:bookmarkStart w:id="173" w:name="_Toc113480931"/>
      <w:r>
        <w:rPr>
          <w:rStyle w:val="27"/>
          <w:rFonts w:hint="eastAsia" w:ascii="仿宋" w:hAnsi="仿宋" w:eastAsia="仿宋"/>
          <w:b w:val="0"/>
          <w:bCs w:val="0"/>
        </w:rPr>
        <w:t>八、</w:t>
      </w:r>
      <w:r>
        <w:rPr>
          <w:rFonts w:hint="eastAsia" w:ascii="仿宋" w:hAnsi="仿宋" w:eastAsia="仿宋"/>
          <w:b w:val="0"/>
        </w:rPr>
        <w:t>一</w:t>
      </w:r>
      <w:r>
        <w:rPr>
          <w:rStyle w:val="27"/>
          <w:rFonts w:hint="eastAsia" w:ascii="仿宋" w:hAnsi="仿宋" w:eastAsia="仿宋"/>
          <w:b w:val="0"/>
          <w:bCs w:val="0"/>
        </w:rPr>
        <w:t>般公共预算财政拨款基本支出决算表</w:t>
      </w:r>
      <w:bookmarkEnd w:id="171"/>
      <w:bookmarkEnd w:id="172"/>
      <w:bookmarkEnd w:id="173"/>
    </w:p>
    <w:p>
      <w:pPr>
        <w:pStyle w:val="4"/>
        <w:rPr>
          <w:rFonts w:ascii="仿宋" w:hAnsi="仿宋" w:eastAsia="仿宋"/>
        </w:rPr>
      </w:pPr>
      <w:bookmarkStart w:id="174" w:name="_Toc113478980"/>
      <w:bookmarkStart w:id="175" w:name="_Toc113480932"/>
      <w:bookmarkStart w:id="176" w:name="_Toc113479791"/>
      <w:r>
        <w:rPr>
          <w:rStyle w:val="27"/>
          <w:rFonts w:hint="eastAsia" w:ascii="仿宋" w:hAnsi="仿宋" w:eastAsia="仿宋"/>
          <w:b w:val="0"/>
          <w:bCs w:val="0"/>
        </w:rPr>
        <w:t>九、</w:t>
      </w:r>
      <w:r>
        <w:rPr>
          <w:rFonts w:hint="eastAsia" w:ascii="仿宋" w:hAnsi="仿宋" w:eastAsia="仿宋"/>
          <w:b w:val="0"/>
        </w:rPr>
        <w:t>一</w:t>
      </w:r>
      <w:r>
        <w:rPr>
          <w:rStyle w:val="27"/>
          <w:rFonts w:hint="eastAsia" w:ascii="仿宋" w:hAnsi="仿宋" w:eastAsia="仿宋"/>
          <w:b w:val="0"/>
          <w:bCs w:val="0"/>
        </w:rPr>
        <w:t>般公共预算财政拨款项目支出决算表</w:t>
      </w:r>
      <w:bookmarkEnd w:id="174"/>
      <w:bookmarkEnd w:id="175"/>
      <w:bookmarkEnd w:id="176"/>
    </w:p>
    <w:p>
      <w:pPr>
        <w:pStyle w:val="4"/>
        <w:rPr>
          <w:rFonts w:ascii="仿宋" w:hAnsi="仿宋" w:eastAsia="仿宋"/>
        </w:rPr>
      </w:pPr>
      <w:bookmarkStart w:id="177" w:name="_Toc113479792"/>
      <w:bookmarkStart w:id="178" w:name="_Toc113478981"/>
      <w:bookmarkStart w:id="179" w:name="_Toc113480933"/>
      <w:r>
        <w:rPr>
          <w:rStyle w:val="27"/>
          <w:rFonts w:hint="eastAsia" w:ascii="仿宋" w:hAnsi="仿宋" w:eastAsia="仿宋"/>
          <w:b w:val="0"/>
          <w:bCs w:val="0"/>
        </w:rPr>
        <w:t>十、</w:t>
      </w:r>
      <w:r>
        <w:rPr>
          <w:rFonts w:hint="eastAsia" w:ascii="仿宋" w:hAnsi="仿宋" w:eastAsia="仿宋"/>
          <w:b w:val="0"/>
        </w:rPr>
        <w:t>一</w:t>
      </w:r>
      <w:r>
        <w:rPr>
          <w:rStyle w:val="27"/>
          <w:rFonts w:hint="eastAsia" w:ascii="仿宋" w:hAnsi="仿宋" w:eastAsia="仿宋"/>
          <w:b w:val="0"/>
          <w:bCs w:val="0"/>
        </w:rPr>
        <w:t>般公共预算财政拨款“三公”经费支出决算表</w:t>
      </w:r>
      <w:bookmarkEnd w:id="177"/>
      <w:bookmarkEnd w:id="178"/>
      <w:bookmarkEnd w:id="179"/>
    </w:p>
    <w:p>
      <w:pPr>
        <w:pStyle w:val="4"/>
        <w:rPr>
          <w:rFonts w:ascii="仿宋" w:hAnsi="仿宋" w:eastAsia="仿宋"/>
        </w:rPr>
      </w:pPr>
      <w:bookmarkStart w:id="180" w:name="_Toc113478982"/>
      <w:bookmarkStart w:id="181" w:name="_Toc113480934"/>
      <w:bookmarkStart w:id="182" w:name="_Toc113479793"/>
      <w:r>
        <w:rPr>
          <w:rStyle w:val="27"/>
          <w:rFonts w:hint="eastAsia" w:ascii="仿宋" w:hAnsi="仿宋" w:eastAsia="仿宋"/>
          <w:b w:val="0"/>
          <w:bCs w:val="0"/>
        </w:rPr>
        <w:t>十一、</w:t>
      </w:r>
      <w:r>
        <w:rPr>
          <w:rFonts w:hint="eastAsia" w:ascii="仿宋" w:hAnsi="仿宋" w:eastAsia="仿宋"/>
          <w:b w:val="0"/>
        </w:rPr>
        <w:t>政</w:t>
      </w:r>
      <w:r>
        <w:rPr>
          <w:rStyle w:val="27"/>
          <w:rFonts w:hint="eastAsia" w:ascii="仿宋" w:hAnsi="仿宋" w:eastAsia="仿宋"/>
          <w:b w:val="0"/>
          <w:bCs w:val="0"/>
        </w:rPr>
        <w:t>府性基金预算财政拨款收入支出决算表</w:t>
      </w:r>
      <w:bookmarkEnd w:id="180"/>
      <w:bookmarkEnd w:id="181"/>
      <w:bookmarkEnd w:id="182"/>
    </w:p>
    <w:p>
      <w:pPr>
        <w:pStyle w:val="4"/>
        <w:rPr>
          <w:rFonts w:ascii="仿宋" w:hAnsi="仿宋" w:eastAsia="仿宋"/>
        </w:rPr>
      </w:pPr>
      <w:bookmarkStart w:id="183" w:name="_Toc113480935"/>
      <w:bookmarkStart w:id="184" w:name="_Toc113479794"/>
      <w:bookmarkStart w:id="185" w:name="_Toc113478983"/>
      <w:r>
        <w:rPr>
          <w:rStyle w:val="27"/>
          <w:rFonts w:hint="eastAsia" w:ascii="仿宋" w:hAnsi="仿宋" w:eastAsia="仿宋"/>
          <w:b w:val="0"/>
          <w:bCs w:val="0"/>
        </w:rPr>
        <w:t>十二、</w:t>
      </w:r>
      <w:r>
        <w:rPr>
          <w:rFonts w:hint="eastAsia" w:ascii="仿宋" w:hAnsi="仿宋" w:eastAsia="仿宋"/>
          <w:b w:val="0"/>
        </w:rPr>
        <w:t>政</w:t>
      </w:r>
      <w:r>
        <w:rPr>
          <w:rStyle w:val="27"/>
          <w:rFonts w:hint="eastAsia" w:ascii="仿宋" w:hAnsi="仿宋" w:eastAsia="仿宋"/>
          <w:b w:val="0"/>
          <w:bCs w:val="0"/>
        </w:rPr>
        <w:t>府性基金预算财政拨款“三公”经费支出决算表</w:t>
      </w:r>
      <w:bookmarkEnd w:id="183"/>
      <w:bookmarkEnd w:id="184"/>
      <w:bookmarkEnd w:id="185"/>
    </w:p>
    <w:p>
      <w:pPr>
        <w:pStyle w:val="4"/>
        <w:rPr>
          <w:rStyle w:val="27"/>
          <w:rFonts w:ascii="仿宋" w:hAnsi="仿宋" w:eastAsia="仿宋"/>
          <w:b w:val="0"/>
          <w:bCs w:val="0"/>
        </w:rPr>
      </w:pPr>
      <w:bookmarkStart w:id="186" w:name="_Toc113479795"/>
      <w:bookmarkStart w:id="187" w:name="_Toc113478984"/>
      <w:bookmarkStart w:id="188" w:name="_Toc113480936"/>
      <w:r>
        <w:rPr>
          <w:rStyle w:val="27"/>
          <w:rFonts w:hint="eastAsia" w:ascii="仿宋" w:hAnsi="仿宋" w:eastAsia="仿宋"/>
          <w:b w:val="0"/>
          <w:bCs w:val="0"/>
        </w:rPr>
        <w:t>十三、</w:t>
      </w:r>
      <w:r>
        <w:rPr>
          <w:rFonts w:hint="eastAsia" w:ascii="仿宋" w:hAnsi="仿宋" w:eastAsia="仿宋"/>
          <w:b w:val="0"/>
        </w:rPr>
        <w:t>国</w:t>
      </w:r>
      <w:r>
        <w:rPr>
          <w:rStyle w:val="27"/>
          <w:rFonts w:hint="eastAsia" w:ascii="仿宋" w:hAnsi="仿宋" w:eastAsia="仿宋"/>
          <w:b w:val="0"/>
          <w:bCs w:val="0"/>
        </w:rPr>
        <w:t>有资本经营预算财政拨款收入支出决算表</w:t>
      </w:r>
      <w:bookmarkEnd w:id="186"/>
      <w:bookmarkEnd w:id="187"/>
      <w:bookmarkEnd w:id="188"/>
    </w:p>
    <w:p>
      <w:pPr>
        <w:pStyle w:val="4"/>
        <w:rPr>
          <w:rFonts w:eastAsia="仿宋"/>
        </w:rPr>
      </w:pPr>
      <w:bookmarkStart w:id="189" w:name="_Toc113478985"/>
      <w:bookmarkStart w:id="190" w:name="_Toc113479796"/>
      <w:bookmarkStart w:id="191" w:name="_Toc113480937"/>
      <w:r>
        <w:rPr>
          <w:rStyle w:val="27"/>
          <w:rFonts w:hint="eastAsia" w:ascii="仿宋" w:hAnsi="仿宋" w:eastAsia="仿宋"/>
          <w:b w:val="0"/>
          <w:bCs w:val="0"/>
        </w:rPr>
        <w:t>十四、国有资本经营预算财政拨款支出决算表</w:t>
      </w:r>
      <w:bookmarkEnd w:id="128"/>
      <w:bookmarkEnd w:id="133"/>
      <w:bookmarkEnd w:id="189"/>
      <w:bookmarkEnd w:id="190"/>
      <w:bookmarkEnd w:id="191"/>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黑体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报宋_GBK">
    <w:altName w:val="方正书宋_GBK"/>
    <w:panose1 w:val="03000509000000000000"/>
    <w:charset w:val="86"/>
    <w:family w:val="script"/>
    <w:pitch w:val="default"/>
    <w:sig w:usb0="00000000" w:usb1="00000000" w:usb2="0000001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FreeSerif">
    <w:panose1 w:val="02020603050405020304"/>
    <w:charset w:val="00"/>
    <w:family w:val="auto"/>
    <w:pitch w:val="default"/>
    <w:sig w:usb0="E59FAFFF" w:usb1="C200FDFF" w:usb2="43501B29" w:usb3="04000043" w:csb0="600101FF" w:csb1="FFFF0000"/>
  </w:font>
  <w:font w:name="楷体">
    <w:panose1 w:val="02010609060101010101"/>
    <w:charset w:val="86"/>
    <w:family w:val="auto"/>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49</w:t>
        </w:r>
        <w:r>
          <w:rPr>
            <w:lang w:val="zh-CN"/>
          </w:rP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1">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15127CA7"/>
    <w:multiLevelType w:val="multilevel"/>
    <w:tmpl w:val="15127CA7"/>
    <w:lvl w:ilvl="0" w:tentative="0">
      <w:start w:val="3"/>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19B02DBD"/>
    <w:multiLevelType w:val="multilevel"/>
    <w:tmpl w:val="19B02DBD"/>
    <w:lvl w:ilvl="0" w:tentative="0">
      <w:start w:val="1"/>
      <w:numFmt w:val="japaneseCounting"/>
      <w:lvlText w:val="%1、"/>
      <w:lvlJc w:val="left"/>
      <w:pPr>
        <w:ind w:left="630" w:hanging="63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B2358F"/>
    <w:multiLevelType w:val="multilevel"/>
    <w:tmpl w:val="26B2358F"/>
    <w:lvl w:ilvl="0" w:tentative="0">
      <w:start w:val="3"/>
      <w:numFmt w:val="chineseCounting"/>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4A417608"/>
    <w:multiLevelType w:val="multilevel"/>
    <w:tmpl w:val="4A417608"/>
    <w:lvl w:ilvl="0" w:tentative="0">
      <w:start w:val="2"/>
      <w:numFmt w:val="chineseCounting"/>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5E577D7D"/>
    <w:multiLevelType w:val="multilevel"/>
    <w:tmpl w:val="5E577D7D"/>
    <w:lvl w:ilvl="0" w:tentative="0">
      <w:start w:val="3"/>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62DB2AC6"/>
    <w:multiLevelType w:val="multilevel"/>
    <w:tmpl w:val="62DB2AC6"/>
    <w:lvl w:ilvl="0" w:tentative="0">
      <w:start w:val="2"/>
      <w:numFmt w:val="chineseCounting"/>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7024588E"/>
    <w:multiLevelType w:val="multilevel"/>
    <w:tmpl w:val="7024588E"/>
    <w:lvl w:ilvl="0" w:tentative="0">
      <w:start w:val="3"/>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3"/>
  </w:num>
  <w:num w:numId="2">
    <w:abstractNumId w:val="1"/>
  </w:num>
  <w:num w:numId="3">
    <w:abstractNumId w:val="0"/>
  </w:num>
  <w:num w:numId="4">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000222C6"/>
    <w:rsid w:val="0002549F"/>
    <w:rsid w:val="00044BEB"/>
    <w:rsid w:val="000468DB"/>
    <w:rsid w:val="0005017E"/>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2515D"/>
    <w:rsid w:val="00140875"/>
    <w:rsid w:val="00142216"/>
    <w:rsid w:val="00144D6A"/>
    <w:rsid w:val="0014729F"/>
    <w:rsid w:val="00157BAB"/>
    <w:rsid w:val="001654D1"/>
    <w:rsid w:val="00174518"/>
    <w:rsid w:val="0018106D"/>
    <w:rsid w:val="001877A7"/>
    <w:rsid w:val="00191536"/>
    <w:rsid w:val="00196687"/>
    <w:rsid w:val="001B16BC"/>
    <w:rsid w:val="001C0962"/>
    <w:rsid w:val="001D5776"/>
    <w:rsid w:val="001D7531"/>
    <w:rsid w:val="001E7187"/>
    <w:rsid w:val="001E737D"/>
    <w:rsid w:val="001F0592"/>
    <w:rsid w:val="001F5F05"/>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C052E"/>
    <w:rsid w:val="002D6D05"/>
    <w:rsid w:val="002F1818"/>
    <w:rsid w:val="002F567B"/>
    <w:rsid w:val="003044D5"/>
    <w:rsid w:val="003216A9"/>
    <w:rsid w:val="00335A74"/>
    <w:rsid w:val="00342D95"/>
    <w:rsid w:val="003555CE"/>
    <w:rsid w:val="003620AD"/>
    <w:rsid w:val="0036561B"/>
    <w:rsid w:val="0037013F"/>
    <w:rsid w:val="00380C92"/>
    <w:rsid w:val="003A1EAC"/>
    <w:rsid w:val="003A484F"/>
    <w:rsid w:val="003A4883"/>
    <w:rsid w:val="003B0BE0"/>
    <w:rsid w:val="003B0C1B"/>
    <w:rsid w:val="003B688C"/>
    <w:rsid w:val="003C0291"/>
    <w:rsid w:val="003C180C"/>
    <w:rsid w:val="003C2BE2"/>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C6124"/>
    <w:rsid w:val="004E0A2D"/>
    <w:rsid w:val="004E206B"/>
    <w:rsid w:val="004E6DF7"/>
    <w:rsid w:val="004F0FBD"/>
    <w:rsid w:val="004F4753"/>
    <w:rsid w:val="005024AE"/>
    <w:rsid w:val="00505A47"/>
    <w:rsid w:val="00512FDA"/>
    <w:rsid w:val="00520DA0"/>
    <w:rsid w:val="00532441"/>
    <w:rsid w:val="00564C74"/>
    <w:rsid w:val="005664BB"/>
    <w:rsid w:val="00566FFA"/>
    <w:rsid w:val="0057481D"/>
    <w:rsid w:val="0058486E"/>
    <w:rsid w:val="00585B33"/>
    <w:rsid w:val="0059014D"/>
    <w:rsid w:val="005B5C64"/>
    <w:rsid w:val="005C0261"/>
    <w:rsid w:val="005C2CE0"/>
    <w:rsid w:val="005C5337"/>
    <w:rsid w:val="005C6BD0"/>
    <w:rsid w:val="005D1C8B"/>
    <w:rsid w:val="005D468D"/>
    <w:rsid w:val="005D5CED"/>
    <w:rsid w:val="005F1A4C"/>
    <w:rsid w:val="00601850"/>
    <w:rsid w:val="00602DD9"/>
    <w:rsid w:val="00605688"/>
    <w:rsid w:val="006070AF"/>
    <w:rsid w:val="006073BD"/>
    <w:rsid w:val="00607E6C"/>
    <w:rsid w:val="006101B1"/>
    <w:rsid w:val="00614E44"/>
    <w:rsid w:val="00616692"/>
    <w:rsid w:val="0062270A"/>
    <w:rsid w:val="00622830"/>
    <w:rsid w:val="00623DA0"/>
    <w:rsid w:val="00630AEF"/>
    <w:rsid w:val="006325F8"/>
    <w:rsid w:val="00633463"/>
    <w:rsid w:val="00634C9A"/>
    <w:rsid w:val="00642773"/>
    <w:rsid w:val="006440E4"/>
    <w:rsid w:val="0066343B"/>
    <w:rsid w:val="00664777"/>
    <w:rsid w:val="006748A4"/>
    <w:rsid w:val="00681A31"/>
    <w:rsid w:val="00683E73"/>
    <w:rsid w:val="006A3141"/>
    <w:rsid w:val="006A329C"/>
    <w:rsid w:val="006A5E34"/>
    <w:rsid w:val="006B2422"/>
    <w:rsid w:val="006B2B9A"/>
    <w:rsid w:val="006C1937"/>
    <w:rsid w:val="006F020C"/>
    <w:rsid w:val="007127B7"/>
    <w:rsid w:val="0071798E"/>
    <w:rsid w:val="007416B6"/>
    <w:rsid w:val="00746F48"/>
    <w:rsid w:val="0075404D"/>
    <w:rsid w:val="0076182A"/>
    <w:rsid w:val="00767B7E"/>
    <w:rsid w:val="007770C3"/>
    <w:rsid w:val="00784740"/>
    <w:rsid w:val="00784D24"/>
    <w:rsid w:val="00785FBA"/>
    <w:rsid w:val="00786E4A"/>
    <w:rsid w:val="007875EB"/>
    <w:rsid w:val="00787D5C"/>
    <w:rsid w:val="00793334"/>
    <w:rsid w:val="0079426B"/>
    <w:rsid w:val="007B7B74"/>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42D1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76B18"/>
    <w:rsid w:val="0098660A"/>
    <w:rsid w:val="009931C3"/>
    <w:rsid w:val="009B2C43"/>
    <w:rsid w:val="009B2CA5"/>
    <w:rsid w:val="009B4EAE"/>
    <w:rsid w:val="009B7573"/>
    <w:rsid w:val="009C22F4"/>
    <w:rsid w:val="009C2A4B"/>
    <w:rsid w:val="009C2E98"/>
    <w:rsid w:val="009D3447"/>
    <w:rsid w:val="009D4711"/>
    <w:rsid w:val="009F1185"/>
    <w:rsid w:val="009F18CD"/>
    <w:rsid w:val="009F2A13"/>
    <w:rsid w:val="009F7527"/>
    <w:rsid w:val="00A0311F"/>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A1F4C"/>
    <w:rsid w:val="00AB64C9"/>
    <w:rsid w:val="00AC3C6A"/>
    <w:rsid w:val="00AD5620"/>
    <w:rsid w:val="00AD656B"/>
    <w:rsid w:val="00AD7C1B"/>
    <w:rsid w:val="00AE16BA"/>
    <w:rsid w:val="00AE1EBE"/>
    <w:rsid w:val="00AF65E7"/>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3A4B"/>
    <w:rsid w:val="00B77EA6"/>
    <w:rsid w:val="00B81598"/>
    <w:rsid w:val="00B841F1"/>
    <w:rsid w:val="00B944D6"/>
    <w:rsid w:val="00BB4DF0"/>
    <w:rsid w:val="00BC289F"/>
    <w:rsid w:val="00BC2D50"/>
    <w:rsid w:val="00BC5361"/>
    <w:rsid w:val="00BC5460"/>
    <w:rsid w:val="00BC6B50"/>
    <w:rsid w:val="00BD0E25"/>
    <w:rsid w:val="00BE3760"/>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101E"/>
    <w:rsid w:val="00CB4E70"/>
    <w:rsid w:val="00CC09B6"/>
    <w:rsid w:val="00CC666F"/>
    <w:rsid w:val="00CD1E3F"/>
    <w:rsid w:val="00CE44F6"/>
    <w:rsid w:val="00CE49DA"/>
    <w:rsid w:val="00CE7B61"/>
    <w:rsid w:val="00D00095"/>
    <w:rsid w:val="00D114F0"/>
    <w:rsid w:val="00D20620"/>
    <w:rsid w:val="00D254F7"/>
    <w:rsid w:val="00D26091"/>
    <w:rsid w:val="00D2685C"/>
    <w:rsid w:val="00D33F76"/>
    <w:rsid w:val="00D34E7C"/>
    <w:rsid w:val="00D35489"/>
    <w:rsid w:val="00D36AFE"/>
    <w:rsid w:val="00D51276"/>
    <w:rsid w:val="00D52E1E"/>
    <w:rsid w:val="00D7035F"/>
    <w:rsid w:val="00DA634F"/>
    <w:rsid w:val="00DA65AC"/>
    <w:rsid w:val="00DB1913"/>
    <w:rsid w:val="00DC410D"/>
    <w:rsid w:val="00DC5A81"/>
    <w:rsid w:val="00DC68CA"/>
    <w:rsid w:val="00DC7CBA"/>
    <w:rsid w:val="00DD72EC"/>
    <w:rsid w:val="00DD73B7"/>
    <w:rsid w:val="00DF28BC"/>
    <w:rsid w:val="00DF34B9"/>
    <w:rsid w:val="00E01053"/>
    <w:rsid w:val="00E07ACF"/>
    <w:rsid w:val="00E331A1"/>
    <w:rsid w:val="00E33202"/>
    <w:rsid w:val="00E336A9"/>
    <w:rsid w:val="00E363DF"/>
    <w:rsid w:val="00E472B1"/>
    <w:rsid w:val="00E50624"/>
    <w:rsid w:val="00E568DF"/>
    <w:rsid w:val="00E64269"/>
    <w:rsid w:val="00E82267"/>
    <w:rsid w:val="00E853CE"/>
    <w:rsid w:val="00E867B6"/>
    <w:rsid w:val="00EA010F"/>
    <w:rsid w:val="00EA31EC"/>
    <w:rsid w:val="00EA4DDA"/>
    <w:rsid w:val="00EC1522"/>
    <w:rsid w:val="00EC4766"/>
    <w:rsid w:val="00ED1B63"/>
    <w:rsid w:val="00ED3C1F"/>
    <w:rsid w:val="00ED4085"/>
    <w:rsid w:val="00ED420E"/>
    <w:rsid w:val="00ED6FBE"/>
    <w:rsid w:val="00EE2F57"/>
    <w:rsid w:val="00EF4C34"/>
    <w:rsid w:val="00EF6098"/>
    <w:rsid w:val="00EF77C6"/>
    <w:rsid w:val="00F05438"/>
    <w:rsid w:val="00F1361C"/>
    <w:rsid w:val="00F156F0"/>
    <w:rsid w:val="00F160C7"/>
    <w:rsid w:val="00F2408F"/>
    <w:rsid w:val="00F240E9"/>
    <w:rsid w:val="00F36D8F"/>
    <w:rsid w:val="00F40FDE"/>
    <w:rsid w:val="00F417B1"/>
    <w:rsid w:val="00F45853"/>
    <w:rsid w:val="00F602DF"/>
    <w:rsid w:val="00F754A1"/>
    <w:rsid w:val="00F81FD9"/>
    <w:rsid w:val="00F841AA"/>
    <w:rsid w:val="00F84A94"/>
    <w:rsid w:val="00F87E96"/>
    <w:rsid w:val="00FA23E8"/>
    <w:rsid w:val="00FA7E3D"/>
    <w:rsid w:val="00FD3CC1"/>
    <w:rsid w:val="00FF1E02"/>
    <w:rsid w:val="00FF30B4"/>
    <w:rsid w:val="0A2032A3"/>
    <w:rsid w:val="0B8A37D8"/>
    <w:rsid w:val="10C055FF"/>
    <w:rsid w:val="118107EC"/>
    <w:rsid w:val="11DD6519"/>
    <w:rsid w:val="16BB723D"/>
    <w:rsid w:val="18015F3F"/>
    <w:rsid w:val="1BE8440E"/>
    <w:rsid w:val="1D155CEE"/>
    <w:rsid w:val="20F57F95"/>
    <w:rsid w:val="240371BF"/>
    <w:rsid w:val="25C741E6"/>
    <w:rsid w:val="27842671"/>
    <w:rsid w:val="29FD04D3"/>
    <w:rsid w:val="2ABE7A3E"/>
    <w:rsid w:val="2EFA178C"/>
    <w:rsid w:val="30B46D73"/>
    <w:rsid w:val="319F7F4E"/>
    <w:rsid w:val="39AE70AB"/>
    <w:rsid w:val="3C0C0783"/>
    <w:rsid w:val="3F9F3A96"/>
    <w:rsid w:val="493C27E9"/>
    <w:rsid w:val="496F39ED"/>
    <w:rsid w:val="49FF41D3"/>
    <w:rsid w:val="4BE068DB"/>
    <w:rsid w:val="4BF6002B"/>
    <w:rsid w:val="4ECE2238"/>
    <w:rsid w:val="51DB4B86"/>
    <w:rsid w:val="55333C3E"/>
    <w:rsid w:val="5DBFBDFD"/>
    <w:rsid w:val="64CA39A1"/>
    <w:rsid w:val="6C4A05C8"/>
    <w:rsid w:val="72734D90"/>
    <w:rsid w:val="79E7B28D"/>
    <w:rsid w:val="7CDF45DE"/>
    <w:rsid w:val="7F9F20EE"/>
    <w:rsid w:val="9E3A10E2"/>
    <w:rsid w:val="E967FAAC"/>
    <w:rsid w:val="F2E1F9D4"/>
    <w:rsid w:val="F7880819"/>
    <w:rsid w:val="F9A77225"/>
    <w:rsid w:val="FB9E656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3"/>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Plain Text"/>
    <w:basedOn w:val="1"/>
    <w:link w:val="34"/>
    <w:unhideWhenUsed/>
    <w:qFormat/>
    <w:uiPriority w:val="99"/>
    <w:rPr>
      <w:rFonts w:ascii="宋体" w:hAnsi="Courier New" w:cs="宋体"/>
      <w:szCs w:val="21"/>
    </w:r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unhideWhenUsed/>
    <w:qFormat/>
    <w:uiPriority w:val="99"/>
    <w:pPr>
      <w:spacing w:before="100" w:beforeAutospacing="1" w:after="100" w:afterAutospacing="1"/>
      <w:jc w:val="left"/>
    </w:pPr>
    <w:rPr>
      <w:kern w:val="0"/>
      <w:sz w:val="24"/>
    </w:r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Char"/>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Char"/>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Char"/>
    <w:link w:val="2"/>
    <w:qFormat/>
    <w:locked/>
    <w:uiPriority w:val="99"/>
    <w:rPr>
      <w:rFonts w:ascii="仿宋_GB2312" w:hAnsi="Times New Roman" w:eastAsia="仿宋_GB2312" w:cs="Times New Roman"/>
      <w:sz w:val="30"/>
      <w:szCs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Char"/>
    <w:basedOn w:val="15"/>
    <w:link w:val="3"/>
    <w:qFormat/>
    <w:uiPriority w:val="9"/>
    <w:rPr>
      <w:rFonts w:ascii="Times New Roman" w:hAnsi="Times New Roman"/>
      <w:b/>
      <w:bCs/>
      <w:kern w:val="44"/>
      <w:sz w:val="44"/>
      <w:szCs w:val="44"/>
    </w:rPr>
  </w:style>
  <w:style w:type="character" w:customStyle="1" w:styleId="27">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9">
    <w:name w:val="批注框文本 Char"/>
    <w:basedOn w:val="15"/>
    <w:link w:val="8"/>
    <w:semiHidden/>
    <w:qFormat/>
    <w:uiPriority w:val="99"/>
    <w:rPr>
      <w:rFonts w:ascii="Times New Roman" w:hAnsi="Times New Roman"/>
      <w:kern w:val="2"/>
      <w:sz w:val="18"/>
      <w:szCs w:val="18"/>
    </w:rPr>
  </w:style>
  <w:style w:type="character" w:customStyle="1" w:styleId="30">
    <w:name w:val="标题 3 Char"/>
    <w:basedOn w:val="15"/>
    <w:link w:val="5"/>
    <w:qFormat/>
    <w:uiPriority w:val="9"/>
    <w:rPr>
      <w:rFonts w:ascii="Times New Roman" w:hAnsi="Times New Roman"/>
      <w:b/>
      <w:bCs/>
      <w:kern w:val="2"/>
      <w:sz w:val="32"/>
      <w:szCs w:val="32"/>
    </w:rPr>
  </w:style>
  <w:style w:type="paragraph" w:customStyle="1" w:styleId="3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2">
    <w:name w:val="15"/>
    <w:basedOn w:val="15"/>
    <w:qFormat/>
    <w:uiPriority w:val="0"/>
    <w:rPr>
      <w:rFonts w:hint="default" w:ascii="Calibri" w:hAnsi="Calibri" w:cs="Calibri"/>
      <w:b/>
    </w:rPr>
  </w:style>
  <w:style w:type="paragraph" w:customStyle="1" w:styleId="33">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34">
    <w:name w:val="纯文本 Char"/>
    <w:basedOn w:val="15"/>
    <w:link w:val="7"/>
    <w:qFormat/>
    <w:uiPriority w:val="99"/>
    <w:rPr>
      <w:rFonts w:ascii="宋体" w:hAnsi="Courier New" w:eastAsia="宋体" w:cs="宋体"/>
      <w:kern w:val="2"/>
      <w:sz w:val="21"/>
      <w:szCs w:val="21"/>
    </w:rPr>
  </w:style>
  <w:style w:type="paragraph" w:customStyle="1" w:styleId="35">
    <w:name w:val="TOC 标题3"/>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800" b="1" i="0" u="none" strike="noStrike" kern="1200" baseline="0">
                <a:solidFill>
                  <a:schemeClr val="tx1"/>
                </a:solidFill>
                <a:latin typeface="+mn-lt"/>
                <a:ea typeface="+mn-ea"/>
                <a:cs typeface="+mn-cs"/>
              </a:defRPr>
            </a:pPr>
            <a:r>
              <a:rPr lang="zh-CN" altLang="en-US"/>
              <a:t>收入、支出图</a:t>
            </a:r>
            <a:endParaRPr lang="zh-CN" altLang="en-US"/>
          </a:p>
        </c:rich>
      </c:tx>
      <c:layout/>
      <c:overlay val="false"/>
    </c:title>
    <c:autoTitleDeleted val="false"/>
    <c:plotArea>
      <c:layout>
        <c:manualLayout>
          <c:layoutTarget val="inner"/>
          <c:xMode val="edge"/>
          <c:yMode val="edge"/>
          <c:x val="0.028709483048458"/>
          <c:y val="0.257651827289535"/>
          <c:w val="0.929531268881056"/>
          <c:h val="0.620118523869546"/>
        </c:manualLayout>
      </c:layout>
      <c:barChart>
        <c:barDir val="col"/>
        <c:grouping val="clustered"/>
        <c:varyColors val="false"/>
        <c:ser>
          <c:idx val="0"/>
          <c:order val="0"/>
          <c:tx>
            <c:strRef>
              <c:f>Sheet1!$B$1</c:f>
              <c:strCache>
                <c:ptCount val="1"/>
                <c:pt idx="0">
                  <c:v>收入（万元）</c:v>
                </c:pt>
              </c:strCache>
            </c:strRef>
          </c:tx>
          <c:invertIfNegative val="false"/>
          <c:dLbls>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chemeClr val="tx1"/>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strRef>
              <c:f>Sheet1!$A$2:$A$3</c:f>
              <c:strCache>
                <c:ptCount val="2"/>
                <c:pt idx="0">
                  <c:v>2021年</c:v>
                </c:pt>
                <c:pt idx="1">
                  <c:v>2020年</c:v>
                </c:pt>
              </c:strCache>
            </c:strRef>
          </c:cat>
          <c:val>
            <c:numRef>
              <c:f>Sheet1!$B$2:$B$3</c:f>
              <c:numCache>
                <c:formatCode>General</c:formatCode>
                <c:ptCount val="2"/>
                <c:pt idx="0">
                  <c:v>983.19</c:v>
                </c:pt>
                <c:pt idx="1">
                  <c:v>6252.17</c:v>
                </c:pt>
              </c:numCache>
            </c:numRef>
          </c:val>
        </c:ser>
        <c:ser>
          <c:idx val="1"/>
          <c:order val="1"/>
          <c:tx>
            <c:strRef>
              <c:f>Sheet1!$C$1</c:f>
              <c:strCache>
                <c:ptCount val="1"/>
                <c:pt idx="0">
                  <c:v>支出（万元）</c:v>
                </c:pt>
              </c:strCache>
            </c:strRef>
          </c:tx>
          <c:invertIfNegative val="false"/>
          <c:dLbls>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chemeClr val="tx1"/>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strRef>
              <c:f>Sheet1!$A$2:$A$3</c:f>
              <c:strCache>
                <c:ptCount val="2"/>
                <c:pt idx="0">
                  <c:v>2021年</c:v>
                </c:pt>
                <c:pt idx="1">
                  <c:v>2020年</c:v>
                </c:pt>
              </c:strCache>
            </c:strRef>
          </c:cat>
          <c:val>
            <c:numRef>
              <c:f>Sheet1!$C$2:$C$3</c:f>
              <c:numCache>
                <c:formatCode>General</c:formatCode>
                <c:ptCount val="2"/>
                <c:pt idx="0">
                  <c:v>983.19</c:v>
                </c:pt>
                <c:pt idx="1">
                  <c:v>6290.11</c:v>
                </c:pt>
              </c:numCache>
            </c:numRef>
          </c:val>
        </c:ser>
        <c:dLbls>
          <c:showLegendKey val="false"/>
          <c:showVal val="true"/>
          <c:showCatName val="false"/>
          <c:showSerName val="false"/>
          <c:showPercent val="false"/>
          <c:showBubbleSize val="false"/>
        </c:dLbls>
        <c:gapWidth val="150"/>
        <c:overlap val="-25"/>
        <c:axId val="125365632"/>
        <c:axId val="125375616"/>
      </c:barChart>
      <c:catAx>
        <c:axId val="125365632"/>
        <c:scaling>
          <c:orientation val="minMax"/>
        </c:scaling>
        <c:delete val="false"/>
        <c:axPos val="b"/>
        <c:majorTickMark val="none"/>
        <c:minorTickMark val="none"/>
        <c:tickLblPos val="nextTo"/>
        <c:txPr>
          <a:bodyPr rot="-60000000" spcFirstLastPara="0" vertOverflow="ellipsis" vert="horz" wrap="square" anchor="ctr" anchorCtr="true"/>
          <a:lstStyle/>
          <a:p>
            <a:pPr>
              <a:defRPr lang="zh-CN" sz="1000" b="0" i="0" u="none" strike="noStrike" kern="1200" baseline="0">
                <a:solidFill>
                  <a:schemeClr val="tx1"/>
                </a:solidFill>
                <a:latin typeface="+mn-lt"/>
                <a:ea typeface="+mn-ea"/>
                <a:cs typeface="+mn-cs"/>
              </a:defRPr>
            </a:pPr>
          </a:p>
        </c:txPr>
        <c:crossAx val="125375616"/>
        <c:crosses val="autoZero"/>
        <c:auto val="true"/>
        <c:lblAlgn val="ctr"/>
        <c:lblOffset val="100"/>
        <c:noMultiLvlLbl val="false"/>
      </c:catAx>
      <c:valAx>
        <c:axId val="125375616"/>
        <c:scaling>
          <c:orientation val="minMax"/>
        </c:scaling>
        <c:delete val="true"/>
        <c:axPos val="l"/>
        <c:numFmt formatCode="General" sourceLinked="true"/>
        <c:majorTickMark val="out"/>
        <c:minorTickMark val="none"/>
        <c:tickLblPos val="none"/>
        <c:txPr>
          <a:bodyPr rot="-60000000" spcFirstLastPara="0" vertOverflow="ellipsis" vert="horz" wrap="square" anchor="ctr" anchorCtr="true"/>
          <a:lstStyle/>
          <a:p>
            <a:pPr>
              <a:defRPr lang="zh-CN" sz="1000" b="0" i="0" u="none" strike="noStrike" kern="1200" baseline="0">
                <a:solidFill>
                  <a:schemeClr val="tx1"/>
                </a:solidFill>
                <a:latin typeface="+mn-lt"/>
                <a:ea typeface="+mn-ea"/>
                <a:cs typeface="+mn-cs"/>
              </a:defRPr>
            </a:pPr>
          </a:p>
        </c:txPr>
        <c:crossAx val="125365632"/>
        <c:crosses val="autoZero"/>
        <c:crossBetween val="between"/>
      </c:valAx>
    </c:plotArea>
    <c:legend>
      <c:legendPos val="t"/>
      <c:layout/>
      <c:overlay val="false"/>
      <c:txPr>
        <a:bodyPr rot="0" spcFirstLastPara="0" vertOverflow="ellipsis" vert="horz" wrap="square" anchor="ctr" anchorCtr="true"/>
        <a:lstStyle/>
        <a:p>
          <a:pPr>
            <a:defRPr lang="zh-CN" sz="1000" b="0" i="0" u="none" strike="noStrike" kern="1200" baseline="0">
              <a:solidFill>
                <a:schemeClr val="tx1"/>
              </a:solidFill>
              <a:latin typeface="+mn-lt"/>
              <a:ea typeface="+mn-ea"/>
              <a:cs typeface="+mn-cs"/>
            </a:defRPr>
          </a:pPr>
        </a:p>
      </c:txPr>
    </c:legend>
    <c:plotVisOnly val="true"/>
    <c:dispBlanksAs val="gap"/>
    <c:showDLblsOverMax val="false"/>
  </c:chart>
  <c:txPr>
    <a:bodyPr/>
    <a:lstStyle/>
    <a:p>
      <a:pPr>
        <a:defRPr lang="zh-CN"/>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layout/>
      <c:overlay val="false"/>
      <c:txPr>
        <a:bodyPr rot="0" spcFirstLastPara="0" vertOverflow="ellipsis" vert="horz" wrap="square" anchor="ctr" anchorCtr="true"/>
        <a:lstStyle/>
        <a:p>
          <a:pPr>
            <a:defRPr lang="zh-CN" sz="1800" b="1" i="0" u="none" strike="noStrike" kern="1200" baseline="0">
              <a:solidFill>
                <a:schemeClr val="tx1"/>
              </a:solidFill>
              <a:latin typeface="+mn-lt"/>
              <a:ea typeface="+mn-ea"/>
              <a:cs typeface="+mn-cs"/>
            </a:defRPr>
          </a:pPr>
        </a:p>
      </c:txPr>
    </c:title>
    <c:autoTitleDeleted val="false"/>
    <c:plotArea>
      <c:layout/>
      <c:pieChart>
        <c:varyColors val="true"/>
        <c:ser>
          <c:idx val="0"/>
          <c:order val="0"/>
          <c:tx>
            <c:strRef>
              <c:f>Sheet1!$B$1</c:f>
              <c:strCache>
                <c:ptCount val="1"/>
                <c:pt idx="0">
                  <c:v>2021年收入（万元）</c:v>
                </c:pt>
              </c:strCache>
            </c:strRef>
          </c:tx>
          <c:explosion val="0"/>
          <c:dPt>
            <c:idx val="0"/>
            <c:bubble3D val="false"/>
          </c:dPt>
          <c:dPt>
            <c:idx val="1"/>
            <c:bubble3D val="false"/>
          </c:dPt>
          <c:dPt>
            <c:idx val="2"/>
            <c:bubble3D val="false"/>
          </c:dPt>
          <c:dPt>
            <c:idx val="3"/>
            <c:bubble3D val="false"/>
          </c:dPt>
          <c:dPt>
            <c:idx val="4"/>
            <c:bubble3D val="false"/>
          </c:dPt>
          <c:dPt>
            <c:idx val="5"/>
            <c:bubble3D val="false"/>
          </c:dPt>
          <c:dLbls>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chemeClr val="tx1"/>
                    </a:solidFill>
                    <a:latin typeface="+mn-lt"/>
                    <a:ea typeface="+mn-ea"/>
                    <a:cs typeface="+mn-cs"/>
                  </a:defRPr>
                </a:pPr>
              </a:p>
            </c:txPr>
            <c:dLblPos val="bestFit"/>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Sheet1!$A$2:$A$7</c:f>
              <c:strCache>
                <c:ptCount val="6"/>
                <c:pt idx="0">
                  <c:v>一般公共预算财政拨款收入</c:v>
                </c:pt>
                <c:pt idx="1">
                  <c:v>政府性基金预算财政拨款收入</c:v>
                </c:pt>
                <c:pt idx="2">
                  <c:v>上级补助收入</c:v>
                </c:pt>
                <c:pt idx="3">
                  <c:v>事业收入</c:v>
                </c:pt>
                <c:pt idx="4">
                  <c:v>经营收入</c:v>
                </c:pt>
                <c:pt idx="5">
                  <c:v>其他收入</c:v>
                </c:pt>
              </c:strCache>
            </c:strRef>
          </c:cat>
          <c:val>
            <c:numRef>
              <c:f>Sheet1!$B$2:$B$7</c:f>
              <c:numCache>
                <c:formatCode>General</c:formatCode>
                <c:ptCount val="6"/>
                <c:pt idx="0">
                  <c:v>954.13</c:v>
                </c:pt>
                <c:pt idx="1">
                  <c:v>5</c:v>
                </c:pt>
                <c:pt idx="2">
                  <c:v>0</c:v>
                </c:pt>
                <c:pt idx="3">
                  <c:v>0</c:v>
                </c:pt>
                <c:pt idx="4">
                  <c:v>0</c:v>
                </c:pt>
                <c:pt idx="5">
                  <c:v>0</c:v>
                </c:pt>
              </c:numCache>
            </c:numRef>
          </c:val>
        </c:ser>
        <c:dLbls>
          <c:showLegendKey val="false"/>
          <c:showVal val="false"/>
          <c:showCatName val="false"/>
          <c:showSerName val="false"/>
          <c:showPercent val="true"/>
          <c:showBubbleSize val="false"/>
          <c:showLeaderLines val="true"/>
        </c:dLbls>
        <c:firstSliceAng val="0"/>
      </c:pieChart>
    </c:plotArea>
    <c:legend>
      <c:legendPos val="t"/>
      <c:layout/>
      <c:overlay val="false"/>
      <c:txPr>
        <a:bodyPr rot="0" spcFirstLastPara="0" vertOverflow="ellipsis" vert="horz" wrap="square" anchor="ctr" anchorCtr="true"/>
        <a:lstStyle/>
        <a:p>
          <a:pPr>
            <a:defRPr lang="zh-CN" sz="1000" b="0" i="0" u="none" strike="noStrike" kern="1200" baseline="0">
              <a:solidFill>
                <a:schemeClr val="tx1"/>
              </a:solidFill>
              <a:latin typeface="+mn-lt"/>
              <a:ea typeface="+mn-ea"/>
              <a:cs typeface="+mn-cs"/>
            </a:defRPr>
          </a:pPr>
        </a:p>
      </c:txPr>
    </c:legend>
    <c:plotVisOnly val="true"/>
    <c:dispBlanksAs val="zero"/>
    <c:showDLblsOverMax val="false"/>
  </c:chart>
  <c:txPr>
    <a:bodyPr/>
    <a:lstStyle/>
    <a:p>
      <a:pPr>
        <a:defRPr lang="zh-CN"/>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layout/>
      <c:overlay val="false"/>
      <c:txPr>
        <a:bodyPr rot="0" spcFirstLastPara="0" vertOverflow="ellipsis" vert="horz" wrap="square" anchor="ctr" anchorCtr="true"/>
        <a:lstStyle/>
        <a:p>
          <a:pPr>
            <a:defRPr lang="zh-CN" sz="1800" b="1" i="0" u="none" strike="noStrike" kern="1200" baseline="0">
              <a:solidFill>
                <a:schemeClr val="tx1"/>
              </a:solidFill>
              <a:latin typeface="+mn-lt"/>
              <a:ea typeface="+mn-ea"/>
              <a:cs typeface="+mn-cs"/>
            </a:defRPr>
          </a:pPr>
        </a:p>
      </c:txPr>
    </c:title>
    <c:autoTitleDeleted val="false"/>
    <c:plotArea>
      <c:layout/>
      <c:pieChart>
        <c:varyColors val="true"/>
        <c:ser>
          <c:idx val="0"/>
          <c:order val="0"/>
          <c:tx>
            <c:strRef>
              <c:f>'Sheet1'!$B$1</c:f>
              <c:strCache>
                <c:ptCount val="1"/>
                <c:pt idx="0">
                  <c:v>2021支出（万元）</c:v>
                </c:pt>
              </c:strCache>
            </c:strRef>
          </c:tx>
          <c:explosion val="0"/>
          <c:dPt>
            <c:idx val="0"/>
            <c:bubble3D val="false"/>
          </c:dPt>
          <c:dPt>
            <c:idx val="1"/>
            <c:bubble3D val="false"/>
          </c:dPt>
          <c:dPt>
            <c:idx val="2"/>
            <c:bubble3D val="false"/>
          </c:dPt>
          <c:dPt>
            <c:idx val="3"/>
            <c:bubble3D val="false"/>
          </c:dPt>
          <c:dLbls>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chemeClr val="tx1"/>
                    </a:solidFill>
                    <a:latin typeface="+mn-lt"/>
                    <a:ea typeface="+mn-ea"/>
                    <a:cs typeface="+mn-cs"/>
                  </a:defRPr>
                </a:pPr>
              </a:p>
            </c:txPr>
            <c:dLblPos val="bestFit"/>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'Sheet1'!$A$2:$A$5</c:f>
              <c:strCache>
                <c:ptCount val="4"/>
                <c:pt idx="0">
                  <c:v>基本支出</c:v>
                </c:pt>
                <c:pt idx="1">
                  <c:v>项目支出</c:v>
                </c:pt>
                <c:pt idx="2">
                  <c:v>上缴上级支出</c:v>
                </c:pt>
                <c:pt idx="3">
                  <c:v>对附属单位补助支出</c:v>
                </c:pt>
              </c:strCache>
            </c:strRef>
          </c:cat>
          <c:val>
            <c:numRef>
              <c:f>'Sheet1'!$B$2:$B$5</c:f>
              <c:numCache>
                <c:formatCode>General</c:formatCode>
                <c:ptCount val="4"/>
                <c:pt idx="0">
                  <c:v>872.56</c:v>
                </c:pt>
                <c:pt idx="1">
                  <c:v>110.63</c:v>
                </c:pt>
                <c:pt idx="2">
                  <c:v>0</c:v>
                </c:pt>
                <c:pt idx="3">
                  <c:v>0</c:v>
                </c:pt>
              </c:numCache>
            </c:numRef>
          </c:val>
        </c:ser>
        <c:dLbls>
          <c:showLegendKey val="false"/>
          <c:showVal val="false"/>
          <c:showCatName val="false"/>
          <c:showSerName val="false"/>
          <c:showPercent val="true"/>
          <c:showBubbleSize val="false"/>
          <c:showLeaderLines val="true"/>
        </c:dLbls>
        <c:firstSliceAng val="70"/>
      </c:pieChart>
    </c:plotArea>
    <c:legend>
      <c:legendPos val="t"/>
      <c:layout/>
      <c:overlay val="false"/>
      <c:txPr>
        <a:bodyPr rot="0" spcFirstLastPara="0" vertOverflow="ellipsis" vert="horz" wrap="square" anchor="ctr" anchorCtr="true"/>
        <a:lstStyle/>
        <a:p>
          <a:pPr>
            <a:defRPr lang="zh-CN" sz="1000" b="0" i="0" u="none" strike="noStrike" kern="1200" baseline="0">
              <a:solidFill>
                <a:schemeClr val="tx1"/>
              </a:solidFill>
              <a:latin typeface="+mn-lt"/>
              <a:ea typeface="+mn-ea"/>
              <a:cs typeface="+mn-cs"/>
            </a:defRPr>
          </a:pPr>
        </a:p>
      </c:txPr>
    </c:legend>
    <c:plotVisOnly val="true"/>
    <c:dispBlanksAs val="zero"/>
    <c:showDLblsOverMax val="false"/>
  </c:chart>
  <c:txPr>
    <a:bodyPr/>
    <a:lstStyle/>
    <a:p>
      <a:pPr>
        <a:defRPr lang="zh-CN"/>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autoTitleDeleted val="true"/>
    <c:plotArea>
      <c:layout/>
      <c:barChart>
        <c:barDir val="col"/>
        <c:grouping val="clustered"/>
        <c:varyColors val="false"/>
        <c:ser>
          <c:idx val="0"/>
          <c:order val="0"/>
          <c:tx>
            <c:strRef>
              <c:f>Sheet1!$B$1</c:f>
              <c:strCache>
                <c:ptCount val="1"/>
                <c:pt idx="0">
                  <c:v>收入（万元）</c:v>
                </c:pt>
              </c:strCache>
            </c:strRef>
          </c:tx>
          <c:invertIfNegative val="false"/>
          <c:dLbls>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chemeClr val="tx1"/>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strRef>
              <c:f>Sheet1!$A$2:$A$3</c:f>
              <c:strCache>
                <c:ptCount val="2"/>
                <c:pt idx="0">
                  <c:v>2021年</c:v>
                </c:pt>
                <c:pt idx="1">
                  <c:v>2020年</c:v>
                </c:pt>
              </c:strCache>
            </c:strRef>
          </c:cat>
          <c:val>
            <c:numRef>
              <c:f>Sheet1!$B$2:$B$3</c:f>
              <c:numCache>
                <c:formatCode>General</c:formatCode>
                <c:ptCount val="2"/>
                <c:pt idx="0">
                  <c:v>983.19</c:v>
                </c:pt>
                <c:pt idx="1">
                  <c:v>6252.17</c:v>
                </c:pt>
              </c:numCache>
            </c:numRef>
          </c:val>
        </c:ser>
        <c:ser>
          <c:idx val="1"/>
          <c:order val="1"/>
          <c:tx>
            <c:strRef>
              <c:f>Sheet1!$C$1</c:f>
              <c:strCache>
                <c:ptCount val="1"/>
                <c:pt idx="0">
                  <c:v>支出（万元）</c:v>
                </c:pt>
              </c:strCache>
            </c:strRef>
          </c:tx>
          <c:invertIfNegative val="false"/>
          <c:dLbls>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chemeClr val="tx1"/>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strRef>
              <c:f>Sheet1!$A$2:$A$3</c:f>
              <c:strCache>
                <c:ptCount val="2"/>
                <c:pt idx="0">
                  <c:v>2021年</c:v>
                </c:pt>
                <c:pt idx="1">
                  <c:v>2020年</c:v>
                </c:pt>
              </c:strCache>
            </c:strRef>
          </c:cat>
          <c:val>
            <c:numRef>
              <c:f>Sheet1!$C$2:$C$3</c:f>
              <c:numCache>
                <c:formatCode>General</c:formatCode>
                <c:ptCount val="2"/>
                <c:pt idx="0">
                  <c:v>983.19</c:v>
                </c:pt>
                <c:pt idx="1">
                  <c:v>6290.11</c:v>
                </c:pt>
              </c:numCache>
            </c:numRef>
          </c:val>
        </c:ser>
        <c:dLbls>
          <c:showLegendKey val="false"/>
          <c:showVal val="true"/>
          <c:showCatName val="false"/>
          <c:showSerName val="false"/>
          <c:showPercent val="false"/>
          <c:showBubbleSize val="false"/>
        </c:dLbls>
        <c:gapWidth val="150"/>
        <c:overlap val="-25"/>
        <c:axId val="66796928"/>
        <c:axId val="66802816"/>
      </c:barChart>
      <c:catAx>
        <c:axId val="66796928"/>
        <c:scaling>
          <c:orientation val="minMax"/>
        </c:scaling>
        <c:delete val="false"/>
        <c:axPos val="b"/>
        <c:majorTickMark val="none"/>
        <c:minorTickMark val="none"/>
        <c:tickLblPos val="nextTo"/>
        <c:txPr>
          <a:bodyPr rot="-60000000" spcFirstLastPara="0" vertOverflow="ellipsis" vert="horz" wrap="square" anchor="ctr" anchorCtr="true"/>
          <a:lstStyle/>
          <a:p>
            <a:pPr>
              <a:defRPr lang="zh-CN" sz="1000" b="0" i="0" u="none" strike="noStrike" kern="1200" baseline="0">
                <a:solidFill>
                  <a:schemeClr val="tx1"/>
                </a:solidFill>
                <a:latin typeface="+mn-lt"/>
                <a:ea typeface="+mn-ea"/>
                <a:cs typeface="+mn-cs"/>
              </a:defRPr>
            </a:pPr>
          </a:p>
        </c:txPr>
        <c:crossAx val="66802816"/>
        <c:crosses val="autoZero"/>
        <c:auto val="true"/>
        <c:lblAlgn val="ctr"/>
        <c:lblOffset val="100"/>
        <c:noMultiLvlLbl val="false"/>
      </c:catAx>
      <c:valAx>
        <c:axId val="66802816"/>
        <c:scaling>
          <c:orientation val="minMax"/>
        </c:scaling>
        <c:delete val="true"/>
        <c:axPos val="l"/>
        <c:numFmt formatCode="General" sourceLinked="true"/>
        <c:majorTickMark val="none"/>
        <c:minorTickMark val="none"/>
        <c:tickLblPos val="none"/>
        <c:txPr>
          <a:bodyPr rot="-60000000" spcFirstLastPara="0" vertOverflow="ellipsis" vert="horz" wrap="square" anchor="ctr" anchorCtr="true"/>
          <a:lstStyle/>
          <a:p>
            <a:pPr>
              <a:defRPr lang="zh-CN" sz="1000" b="0" i="0" u="none" strike="noStrike" kern="1200" baseline="0">
                <a:solidFill>
                  <a:schemeClr val="tx1"/>
                </a:solidFill>
                <a:latin typeface="+mn-lt"/>
                <a:ea typeface="+mn-ea"/>
                <a:cs typeface="+mn-cs"/>
              </a:defRPr>
            </a:pPr>
          </a:p>
        </c:txPr>
        <c:crossAx val="66796928"/>
        <c:crosses val="autoZero"/>
        <c:crossBetween val="between"/>
      </c:valAx>
    </c:plotArea>
    <c:legend>
      <c:legendPos val="t"/>
      <c:layout/>
      <c:overlay val="false"/>
      <c:txPr>
        <a:bodyPr rot="0" spcFirstLastPara="0" vertOverflow="ellipsis" vert="horz" wrap="square" anchor="ctr" anchorCtr="true"/>
        <a:lstStyle/>
        <a:p>
          <a:pPr>
            <a:defRPr lang="zh-CN" sz="1000" b="0" i="0" u="none" strike="noStrike" kern="1200" baseline="0">
              <a:solidFill>
                <a:schemeClr val="tx1"/>
              </a:solidFill>
              <a:latin typeface="+mn-lt"/>
              <a:ea typeface="+mn-ea"/>
              <a:cs typeface="+mn-cs"/>
            </a:defRPr>
          </a:pPr>
        </a:p>
      </c:txPr>
    </c:legend>
    <c:plotVisOnly val="true"/>
    <c:dispBlanksAs val="gap"/>
    <c:showDLblsOverMax val="false"/>
  </c:chart>
  <c:txPr>
    <a:bodyPr/>
    <a:lstStyle/>
    <a:p>
      <a:pPr>
        <a:defRPr lang="zh-CN"/>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4"/>
    </mc:Choice>
    <mc:Fallback>
      <c:style val="4"/>
    </mc:Fallback>
  </mc:AlternateContent>
  <c:chart>
    <c:autoTitleDeleted val="true"/>
    <c:plotArea>
      <c:layout>
        <c:manualLayout>
          <c:layoutTarget val="inner"/>
          <c:xMode val="edge"/>
          <c:yMode val="edge"/>
          <c:x val="0.0264868769564171"/>
          <c:y val="0.14482110788783"/>
          <c:w val="0.947026246087166"/>
          <c:h val="0.678309483760351"/>
        </c:manualLayout>
      </c:layout>
      <c:barChart>
        <c:barDir val="col"/>
        <c:grouping val="clustered"/>
        <c:varyColors val="false"/>
        <c:ser>
          <c:idx val="0"/>
          <c:order val="0"/>
          <c:tx>
            <c:strRef>
              <c:f>Sheet1!$B$1</c:f>
              <c:strCache>
                <c:ptCount val="1"/>
                <c:pt idx="0">
                  <c:v>一般公共预算支出</c:v>
                </c:pt>
              </c:strCache>
            </c:strRef>
          </c:tx>
          <c:invertIfNegative val="false"/>
          <c:dLbls>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chemeClr val="tx1"/>
                    </a:solidFill>
                    <a:latin typeface="+mn-lt"/>
                    <a:ea typeface="+mn-ea"/>
                    <a:cs typeface="+mn-cs"/>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strRef>
              <c:f>Sheet1!$A$2:$A$3</c:f>
              <c:strCache>
                <c:ptCount val="2"/>
                <c:pt idx="0">
                  <c:v>2021年</c:v>
                </c:pt>
                <c:pt idx="1">
                  <c:v>2020年</c:v>
                </c:pt>
              </c:strCache>
            </c:strRef>
          </c:cat>
          <c:val>
            <c:numRef>
              <c:f>Sheet1!$B$2:$B$3</c:f>
              <c:numCache>
                <c:formatCode>General</c:formatCode>
                <c:ptCount val="2"/>
                <c:pt idx="0">
                  <c:v>978.19</c:v>
                </c:pt>
                <c:pt idx="1">
                  <c:v>2343.27</c:v>
                </c:pt>
              </c:numCache>
            </c:numRef>
          </c:val>
        </c:ser>
        <c:dLbls>
          <c:showLegendKey val="false"/>
          <c:showVal val="true"/>
          <c:showCatName val="false"/>
          <c:showSerName val="false"/>
          <c:showPercent val="false"/>
          <c:showBubbleSize val="false"/>
        </c:dLbls>
        <c:gapWidth val="150"/>
        <c:overlap val="-25"/>
        <c:axId val="66867968"/>
        <c:axId val="66869504"/>
      </c:barChart>
      <c:catAx>
        <c:axId val="66867968"/>
        <c:scaling>
          <c:orientation val="minMax"/>
        </c:scaling>
        <c:delete val="false"/>
        <c:axPos val="b"/>
        <c:majorTickMark val="none"/>
        <c:minorTickMark val="none"/>
        <c:tickLblPos val="nextTo"/>
        <c:txPr>
          <a:bodyPr rot="-60000000" spcFirstLastPara="0" vertOverflow="ellipsis" vert="horz" wrap="square" anchor="ctr" anchorCtr="true"/>
          <a:lstStyle/>
          <a:p>
            <a:pPr>
              <a:defRPr lang="zh-CN" sz="1000" b="0" i="0" u="none" strike="noStrike" kern="1200" baseline="0">
                <a:solidFill>
                  <a:schemeClr val="tx1"/>
                </a:solidFill>
                <a:latin typeface="+mn-lt"/>
                <a:ea typeface="+mn-ea"/>
                <a:cs typeface="+mn-cs"/>
              </a:defRPr>
            </a:pPr>
          </a:p>
        </c:txPr>
        <c:crossAx val="66869504"/>
        <c:crosses val="autoZero"/>
        <c:auto val="true"/>
        <c:lblAlgn val="ctr"/>
        <c:lblOffset val="100"/>
        <c:noMultiLvlLbl val="false"/>
      </c:catAx>
      <c:valAx>
        <c:axId val="66869504"/>
        <c:scaling>
          <c:orientation val="minMax"/>
        </c:scaling>
        <c:delete val="true"/>
        <c:axPos val="l"/>
        <c:numFmt formatCode="General" sourceLinked="true"/>
        <c:majorTickMark val="none"/>
        <c:minorTickMark val="none"/>
        <c:tickLblPos val="none"/>
        <c:txPr>
          <a:bodyPr rot="-60000000" spcFirstLastPara="0" vertOverflow="ellipsis" vert="horz" wrap="square" anchor="ctr" anchorCtr="true"/>
          <a:lstStyle/>
          <a:p>
            <a:pPr>
              <a:defRPr lang="zh-CN" sz="1000" b="0" i="0" u="none" strike="noStrike" kern="1200" baseline="0">
                <a:solidFill>
                  <a:schemeClr val="tx1"/>
                </a:solidFill>
                <a:latin typeface="+mn-lt"/>
                <a:ea typeface="+mn-ea"/>
                <a:cs typeface="+mn-cs"/>
              </a:defRPr>
            </a:pPr>
          </a:p>
        </c:txPr>
        <c:crossAx val="66867968"/>
        <c:crosses val="autoZero"/>
        <c:crossBetween val="between"/>
      </c:valAx>
    </c:plotArea>
    <c:legend>
      <c:legendPos val="t"/>
      <c:layout>
        <c:manualLayout>
          <c:xMode val="edge"/>
          <c:yMode val="edge"/>
          <c:x val="0.3203931888721"/>
          <c:y val="0.920536635706912"/>
          <c:w val="0.262897516452389"/>
          <c:h val="0.0746456692913386"/>
        </c:manualLayout>
      </c:layout>
      <c:overlay val="false"/>
      <c:txPr>
        <a:bodyPr rot="0" spcFirstLastPara="0" vertOverflow="ellipsis" vert="horz" wrap="square" anchor="ctr" anchorCtr="true"/>
        <a:lstStyle/>
        <a:p>
          <a:pPr>
            <a:defRPr lang="zh-CN" sz="1000" b="0" i="0" u="none" strike="noStrike" kern="1200" baseline="0">
              <a:solidFill>
                <a:schemeClr val="tx1"/>
              </a:solidFill>
              <a:latin typeface="+mn-lt"/>
              <a:ea typeface="+mn-ea"/>
              <a:cs typeface="+mn-cs"/>
            </a:defRPr>
          </a:pPr>
        </a:p>
      </c:txPr>
    </c:legend>
    <c:plotVisOnly val="true"/>
    <c:dispBlanksAs val="gap"/>
    <c:showDLblsOverMax val="false"/>
  </c:chart>
  <c:txPr>
    <a:bodyPr/>
    <a:lstStyle/>
    <a:p>
      <a:pPr>
        <a:defRPr lang="zh-CN"/>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layout/>
      <c:overlay val="false"/>
      <c:txPr>
        <a:bodyPr rot="0" spcFirstLastPara="0" vertOverflow="ellipsis" vert="horz" wrap="square" anchor="ctr" anchorCtr="true"/>
        <a:lstStyle/>
        <a:p>
          <a:pPr>
            <a:defRPr lang="zh-CN" sz="1800" b="1" i="0" u="none" strike="noStrike" kern="1200" baseline="0">
              <a:solidFill>
                <a:schemeClr val="tx1"/>
              </a:solidFill>
              <a:latin typeface="+mn-lt"/>
              <a:ea typeface="+mn-ea"/>
              <a:cs typeface="+mn-cs"/>
            </a:defRPr>
          </a:pPr>
        </a:p>
      </c:txPr>
    </c:title>
    <c:autoTitleDeleted val="false"/>
    <c:plotArea>
      <c:layout/>
      <c:pieChart>
        <c:varyColors val="true"/>
        <c:ser>
          <c:idx val="0"/>
          <c:order val="0"/>
          <c:tx>
            <c:strRef>
              <c:f>Sheet1!$B$1</c:f>
              <c:strCache>
                <c:ptCount val="1"/>
                <c:pt idx="0">
                  <c:v>一般公共预算财政拨款支出</c:v>
                </c:pt>
              </c:strCache>
            </c:strRef>
          </c:tx>
          <c:explosion val="0"/>
          <c:dPt>
            <c:idx val="0"/>
            <c:bubble3D val="false"/>
          </c:dPt>
          <c:dPt>
            <c:idx val="1"/>
            <c:bubble3D val="false"/>
          </c:dPt>
          <c:dPt>
            <c:idx val="2"/>
            <c:bubble3D val="false"/>
          </c:dPt>
          <c:dPt>
            <c:idx val="3"/>
            <c:bubble3D val="false"/>
          </c:dPt>
          <c:dLbls>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chemeClr val="tx1"/>
                    </a:solidFill>
                    <a:latin typeface="+mn-lt"/>
                    <a:ea typeface="+mn-ea"/>
                    <a:cs typeface="+mn-cs"/>
                  </a:defRPr>
                </a:pPr>
              </a:p>
            </c:txPr>
            <c:dLblPos val="bestFit"/>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Sheet1!$A$2:$A$5</c:f>
              <c:strCache>
                <c:ptCount val="4"/>
                <c:pt idx="0">
                  <c:v>一般公共服务</c:v>
                </c:pt>
                <c:pt idx="1">
                  <c:v>公共安全支出</c:v>
                </c:pt>
                <c:pt idx="2">
                  <c:v>社会保障和就业</c:v>
                </c:pt>
                <c:pt idx="3">
                  <c:v>住房保障支出</c:v>
                </c:pt>
              </c:strCache>
            </c:strRef>
          </c:cat>
          <c:val>
            <c:numRef>
              <c:f>Sheet1!$B$2:$B$5</c:f>
              <c:numCache>
                <c:formatCode>General</c:formatCode>
                <c:ptCount val="4"/>
                <c:pt idx="0">
                  <c:v>745.819999999999</c:v>
                </c:pt>
                <c:pt idx="1">
                  <c:v>76.36</c:v>
                </c:pt>
                <c:pt idx="2">
                  <c:v>94.67</c:v>
                </c:pt>
                <c:pt idx="3">
                  <c:v>61.33</c:v>
                </c:pt>
              </c:numCache>
            </c:numRef>
          </c:val>
        </c:ser>
        <c:dLbls>
          <c:showLegendKey val="false"/>
          <c:showVal val="false"/>
          <c:showCatName val="false"/>
          <c:showSerName val="false"/>
          <c:showPercent val="true"/>
          <c:showBubbleSize val="false"/>
          <c:showLeaderLines val="true"/>
        </c:dLbls>
        <c:firstSliceAng val="0"/>
      </c:pieChart>
    </c:plotArea>
    <c:legend>
      <c:legendPos val="r"/>
      <c:layout/>
      <c:overlay val="false"/>
      <c:txPr>
        <a:bodyPr rot="0" spcFirstLastPara="0" vertOverflow="ellipsis" vert="horz" wrap="square" anchor="ctr" anchorCtr="true"/>
        <a:lstStyle/>
        <a:p>
          <a:pPr>
            <a:defRPr lang="zh-CN" sz="1000" b="0" i="0" u="none" strike="noStrike" kern="1200" baseline="0">
              <a:solidFill>
                <a:schemeClr val="tx1"/>
              </a:solidFill>
              <a:latin typeface="+mn-lt"/>
              <a:ea typeface="+mn-ea"/>
              <a:cs typeface="+mn-cs"/>
            </a:defRPr>
          </a:pPr>
        </a:p>
      </c:txPr>
    </c:legend>
    <c:plotVisOnly val="true"/>
    <c:dispBlanksAs val="zero"/>
    <c:showDLblsOverMax val="false"/>
  </c:chart>
  <c:txPr>
    <a:bodyPr/>
    <a:lstStyle/>
    <a:p>
      <a:pPr>
        <a:defRPr lang="zh-CN"/>
      </a:pPr>
    </a:p>
  </c:txPr>
  <c:externalData r:id="rId1">
    <c:autoUpdate val="false"/>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31869618696187"/>
          <c:y val="0.0112191473448018"/>
        </c:manualLayout>
      </c:layout>
      <c:overlay val="false"/>
      <c:txPr>
        <a:bodyPr rot="0" spcFirstLastPara="0" vertOverflow="ellipsis" vert="horz" wrap="square" anchor="ctr" anchorCtr="true"/>
        <a:lstStyle/>
        <a:p>
          <a:pPr>
            <a:defRPr lang="zh-CN" sz="1800" b="1" i="0" u="none" strike="noStrike" kern="1200" baseline="0">
              <a:solidFill>
                <a:schemeClr val="tx1"/>
              </a:solidFill>
              <a:latin typeface="+mn-lt"/>
              <a:ea typeface="+mn-ea"/>
              <a:cs typeface="+mn-cs"/>
            </a:defRPr>
          </a:pPr>
        </a:p>
      </c:txPr>
    </c:title>
    <c:autoTitleDeleted val="false"/>
    <c:plotArea>
      <c:layout/>
      <c:pieChart>
        <c:varyColors val="true"/>
        <c:ser>
          <c:idx val="0"/>
          <c:order val="0"/>
          <c:tx>
            <c:strRef>
              <c:f>Sheet1!$B$1</c:f>
              <c:strCache>
                <c:ptCount val="1"/>
                <c:pt idx="0">
                  <c:v>“三公”经费支出</c:v>
                </c:pt>
              </c:strCache>
            </c:strRef>
          </c:tx>
          <c:explosion val="0"/>
          <c:dPt>
            <c:idx val="0"/>
            <c:bubble3D val="false"/>
          </c:dPt>
          <c:dPt>
            <c:idx val="1"/>
            <c:bubble3D val="false"/>
          </c:dPt>
          <c:dPt>
            <c:idx val="2"/>
            <c:bubble3D val="false"/>
          </c:dPt>
          <c:dLbls>
            <c:spPr>
              <a:noFill/>
              <a:ln>
                <a:noFill/>
              </a:ln>
              <a:effectLst/>
            </c:spPr>
            <c:txPr>
              <a:bodyPr rot="0" spcFirstLastPara="0" vertOverflow="ellipsis" vert="horz" wrap="square" lIns="38100" tIns="19050" rIns="38100" bIns="19050" anchor="ctr" anchorCtr="true"/>
              <a:lstStyle/>
              <a:p>
                <a:pPr>
                  <a:defRPr lang="zh-CN" sz="1000" b="0" i="0" u="none" strike="noStrike" kern="1200" baseline="0">
                    <a:solidFill>
                      <a:schemeClr val="tx1"/>
                    </a:solidFill>
                    <a:latin typeface="+mn-lt"/>
                    <a:ea typeface="+mn-ea"/>
                    <a:cs typeface="+mn-cs"/>
                  </a:defRPr>
                </a:pPr>
              </a:p>
            </c:txPr>
            <c:dLblPos val="bestFit"/>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Sheet1!$A$2:$A$4</c:f>
              <c:strCache>
                <c:ptCount val="3"/>
                <c:pt idx="0">
                  <c:v>公务接待费支出</c:v>
                </c:pt>
                <c:pt idx="1">
                  <c:v>公务用车购置及运行维护费支出</c:v>
                </c:pt>
                <c:pt idx="2">
                  <c:v>因公出国（境）费支出</c:v>
                </c:pt>
              </c:strCache>
            </c:strRef>
          </c:cat>
          <c:val>
            <c:numRef>
              <c:f>Sheet1!$B$2:$B$4</c:f>
              <c:numCache>
                <c:formatCode>General</c:formatCode>
                <c:ptCount val="3"/>
                <c:pt idx="0">
                  <c:v>0</c:v>
                </c:pt>
                <c:pt idx="1">
                  <c:v>7.7</c:v>
                </c:pt>
                <c:pt idx="2">
                  <c:v>0</c:v>
                </c:pt>
              </c:numCache>
            </c:numRef>
          </c:val>
        </c:ser>
        <c:dLbls>
          <c:showLegendKey val="false"/>
          <c:showVal val="false"/>
          <c:showCatName val="false"/>
          <c:showSerName val="false"/>
          <c:showPercent val="true"/>
          <c:showBubbleSize val="false"/>
          <c:showLeaderLines val="true"/>
        </c:dLbls>
        <c:firstSliceAng val="0"/>
      </c:pieChart>
    </c:plotArea>
    <c:legend>
      <c:legendPos val="t"/>
      <c:layout/>
      <c:overlay val="false"/>
      <c:txPr>
        <a:bodyPr rot="0" spcFirstLastPara="0" vertOverflow="ellipsis" vert="horz" wrap="square" anchor="ctr" anchorCtr="true"/>
        <a:lstStyle/>
        <a:p>
          <a:pPr>
            <a:defRPr lang="zh-CN" sz="1000" b="0" i="0" u="none" strike="noStrike" kern="1200" baseline="0">
              <a:solidFill>
                <a:schemeClr val="tx1"/>
              </a:solidFill>
              <a:latin typeface="+mn-lt"/>
              <a:ea typeface="+mn-ea"/>
              <a:cs typeface="+mn-cs"/>
            </a:defRPr>
          </a:pPr>
        </a:p>
      </c:txPr>
    </c:legend>
    <c:plotVisOnly val="true"/>
    <c:dispBlanksAs val="zero"/>
    <c:showDLblsOverMax val="false"/>
  </c:chart>
  <c:txPr>
    <a:bodyPr/>
    <a:lstStyle/>
    <a:p>
      <a:pPr>
        <a:defRPr lang="zh-CN"/>
      </a:pPr>
    </a:p>
  </c:txPr>
  <c:externalData r:id="rId1">
    <c:autoUpdate val="false"/>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52</Pages>
  <Words>18735</Words>
  <Characters>4810</Characters>
  <Lines>40</Lines>
  <Paragraphs>46</Paragraphs>
  <TotalTime>429</TotalTime>
  <ScaleCrop>false</ScaleCrop>
  <LinksUpToDate>false</LinksUpToDate>
  <CharactersWithSpaces>23499</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2022-09-07T16:54:00Z</dcterms:created>
  <dc:creator>曹颖</dc:creator>
  <cp:lastModifiedBy>user</cp:lastModifiedBy>
  <cp:lastPrinted>2022-08-07T10:23:00Z</cp:lastPrinted>
  <dcterms:modified xsi:type="dcterms:W3CDTF">2023-10-25T11:21:48Z</dcterms:modified>
  <dc:title>四川省***</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