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宋体" w:eastAsia="方正小标宋简体"/>
          <w:sz w:val="72"/>
          <w:szCs w:val="72"/>
        </w:rPr>
      </w:pPr>
      <w:bookmarkStart w:id="0" w:name="_Toc15378441"/>
      <w:bookmarkStart w:id="1" w:name="_Toc15377425"/>
      <w:bookmarkStart w:id="2" w:name="_Toc15396475"/>
      <w:bookmarkStart w:id="3" w:name="_Toc15396597"/>
      <w:bookmarkStart w:id="4" w:name="_Toc15377193"/>
      <w:bookmarkStart w:id="5" w:name="_Toc15306267"/>
    </w:p>
    <w:p>
      <w:pPr>
        <w:spacing w:line="600" w:lineRule="exact"/>
        <w:jc w:val="center"/>
        <w:rPr>
          <w:rFonts w:ascii="方正小标宋简体" w:hAnsi="宋体" w:eastAsia="方正小标宋简体"/>
          <w:sz w:val="72"/>
          <w:szCs w:val="72"/>
        </w:rPr>
      </w:pPr>
    </w:p>
    <w:p>
      <w:pPr>
        <w:spacing w:line="600" w:lineRule="exact"/>
        <w:jc w:val="center"/>
        <w:rPr>
          <w:rFonts w:ascii="方正小标宋简体" w:hAnsi="宋体" w:eastAsia="方正小标宋简体"/>
          <w:sz w:val="72"/>
          <w:szCs w:val="72"/>
        </w:rPr>
      </w:pPr>
    </w:p>
    <w:p>
      <w:pPr>
        <w:spacing w:line="600" w:lineRule="exact"/>
        <w:jc w:val="center"/>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8242"/>
      <w:bookmarkStart w:id="7" w:name="_Toc11202"/>
      <w:r>
        <w:rPr>
          <w:rFonts w:hint="eastAsia" w:ascii="方正小标宋简体" w:hAnsi="方正小标宋简体" w:eastAsia="方正小标宋简体" w:cs="方正小标宋简体"/>
          <w:sz w:val="72"/>
          <w:szCs w:val="72"/>
        </w:rPr>
        <w:t>2021年度</w:t>
      </w:r>
      <w:bookmarkEnd w:id="0"/>
      <w:bookmarkEnd w:id="1"/>
      <w:bookmarkEnd w:id="2"/>
      <w:bookmarkEnd w:id="3"/>
      <w:bookmarkEnd w:id="4"/>
      <w:bookmarkEnd w:id="6"/>
      <w:bookmarkEnd w:id="7"/>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8" w:name="_Toc19272"/>
      <w:bookmarkStart w:id="9" w:name="_Toc19046"/>
      <w:bookmarkStart w:id="10" w:name="_Toc15396598"/>
      <w:bookmarkStart w:id="11" w:name="_Toc15378442"/>
      <w:bookmarkStart w:id="12" w:name="_Toc15396476"/>
      <w:bookmarkStart w:id="13" w:name="_Toc15377194"/>
      <w:bookmarkStart w:id="14" w:name="_Toc15377426"/>
      <w:r>
        <w:rPr>
          <w:rFonts w:hint="eastAsia" w:ascii="方正小标宋简体" w:hAnsi="方正小标宋简体" w:eastAsia="方正小标宋简体" w:cs="方正小标宋简体"/>
          <w:sz w:val="72"/>
          <w:szCs w:val="72"/>
        </w:rPr>
        <w:t>四川省</w:t>
      </w:r>
      <w:bookmarkEnd w:id="5"/>
      <w:bookmarkStart w:id="15" w:name="_Toc15306268"/>
      <w:r>
        <w:rPr>
          <w:rFonts w:hint="eastAsia" w:ascii="方正小标宋简体" w:hAnsi="方正小标宋简体" w:eastAsia="方正小标宋简体" w:cs="方正小标宋简体"/>
          <w:sz w:val="72"/>
          <w:szCs w:val="72"/>
        </w:rPr>
        <w:t>攀枝花市</w:t>
      </w:r>
      <w:bookmarkEnd w:id="8"/>
      <w:bookmarkEnd w:id="9"/>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6" w:name="_Toc13283"/>
      <w:bookmarkStart w:id="17" w:name="_Toc18368"/>
      <w:r>
        <w:rPr>
          <w:rFonts w:hint="eastAsia" w:ascii="方正小标宋简体" w:hAnsi="方正小标宋简体" w:eastAsia="方正小标宋简体" w:cs="方正小标宋简体"/>
          <w:sz w:val="72"/>
          <w:szCs w:val="72"/>
        </w:rPr>
        <w:t>残疾人联合会部门决算</w:t>
      </w:r>
      <w:bookmarkEnd w:id="10"/>
      <w:bookmarkEnd w:id="11"/>
      <w:bookmarkEnd w:id="12"/>
      <w:bookmarkEnd w:id="13"/>
      <w:bookmarkEnd w:id="14"/>
      <w:bookmarkEnd w:id="15"/>
      <w:bookmarkEnd w:id="16"/>
      <w:bookmarkEnd w:id="17"/>
    </w:p>
    <w:p>
      <w:pPr>
        <w:adjustRightInd w:val="0"/>
        <w:snapToGrid w:val="0"/>
        <w:spacing w:line="360" w:lineRule="auto"/>
        <w:jc w:val="center"/>
        <w:rPr>
          <w:rFonts w:ascii="方正小标宋简体" w:hAnsi="宋体" w:eastAsia="方正小标宋简体"/>
          <w:sz w:val="52"/>
          <w:szCs w:val="52"/>
        </w:rPr>
      </w:pPr>
    </w:p>
    <w:p>
      <w:pPr>
        <w:widowControl/>
        <w:jc w:val="center"/>
        <w:outlineLvl w:val="0"/>
        <w:rPr>
          <w:rFonts w:ascii="黑体" w:hAnsi="黑体" w:eastAsia="黑体"/>
          <w:sz w:val="48"/>
          <w:szCs w:val="48"/>
        </w:rPr>
      </w:pPr>
      <w:r>
        <w:rPr>
          <w:rFonts w:ascii="方正小标宋简体" w:hAnsi="宋体" w:eastAsia="方正小标宋简体"/>
          <w:sz w:val="36"/>
          <w:szCs w:val="36"/>
        </w:rPr>
        <w:br w:type="page"/>
      </w:r>
      <w:bookmarkStart w:id="18" w:name="_Toc32111"/>
      <w:bookmarkStart w:id="19" w:name="_Toc10831"/>
      <w:r>
        <w:rPr>
          <w:rFonts w:hint="eastAsia" w:ascii="黑体" w:hAnsi="黑体" w:eastAsia="黑体"/>
          <w:sz w:val="48"/>
          <w:szCs w:val="48"/>
        </w:rPr>
        <w:t>目录</w:t>
      </w:r>
      <w:bookmarkEnd w:id="18"/>
      <w:bookmarkEnd w:id="19"/>
    </w:p>
    <w:p>
      <w:pPr>
        <w:widowControl/>
        <w:jc w:val="center"/>
        <w:rPr>
          <w:rFonts w:ascii="黑体" w:hAnsi="黑体" w:eastAsia="黑体" w:cs="黑体"/>
          <w:sz w:val="28"/>
          <w:szCs w:val="28"/>
        </w:rPr>
      </w:pPr>
    </w:p>
    <w:p>
      <w:pPr>
        <w:pStyle w:val="10"/>
        <w:outlineLvl w:val="0"/>
      </w:pPr>
      <w:bookmarkStart w:id="20" w:name="_Toc32638"/>
      <w:bookmarkStart w:id="21" w:name="_Toc5091"/>
      <w:r>
        <w:rPr>
          <w:rFonts w:hint="eastAsia"/>
        </w:rPr>
        <w:t>公开时间：2022年9月</w:t>
      </w:r>
      <w:r>
        <w:t>14</w:t>
      </w:r>
      <w:r>
        <w:rPr>
          <w:rFonts w:hint="eastAsia"/>
        </w:rPr>
        <w:t>日</w:t>
      </w:r>
      <w:bookmarkEnd w:id="20"/>
      <w:bookmarkEnd w:id="21"/>
      <w:r>
        <w:fldChar w:fldCharType="begin"/>
      </w:r>
      <w:r>
        <w:instrText xml:space="preserve">TOC \o "1-2" \h \u </w:instrText>
      </w:r>
      <w:r>
        <w:fldChar w:fldCharType="separate"/>
      </w:r>
    </w:p>
    <w:p>
      <w:pPr>
        <w:pStyle w:val="10"/>
        <w:tabs>
          <w:tab w:val="right" w:leader="dot" w:pos="8306"/>
          <w:tab w:val="clear" w:pos="8296"/>
        </w:tabs>
      </w:pPr>
      <w:r>
        <w:fldChar w:fldCharType="begin"/>
      </w:r>
      <w:r>
        <w:instrText xml:space="preserve"> HYPERLINK \l "_Toc16305" </w:instrText>
      </w:r>
      <w:r>
        <w:fldChar w:fldCharType="separate"/>
      </w:r>
      <w:r>
        <w:rPr>
          <w:rFonts w:hint="eastAsia"/>
          <w:sz w:val="24"/>
        </w:rPr>
        <w:t>第一部分 部门概况</w:t>
      </w:r>
      <w:r>
        <w:tab/>
      </w:r>
      <w:r>
        <w:fldChar w:fldCharType="begin"/>
      </w:r>
      <w:r>
        <w:instrText xml:space="preserve"> PAGEREF _Toc16305 \h </w:instrText>
      </w:r>
      <w:r>
        <w:fldChar w:fldCharType="separate"/>
      </w:r>
      <w:r>
        <w:t>4</w:t>
      </w:r>
      <w:r>
        <w:fldChar w:fldCharType="end"/>
      </w:r>
      <w:r>
        <w:fldChar w:fldCharType="end"/>
      </w:r>
    </w:p>
    <w:p>
      <w:pPr>
        <w:pStyle w:val="11"/>
        <w:adjustRightInd w:val="0"/>
        <w:snapToGrid w:val="0"/>
        <w:spacing w:line="440" w:lineRule="exact"/>
        <w:jc w:val="left"/>
        <w:rPr>
          <w:sz w:val="24"/>
        </w:rPr>
      </w:pPr>
      <w:r>
        <w:fldChar w:fldCharType="begin"/>
      </w:r>
      <w:r>
        <w:instrText xml:space="preserve"> HYPERLINK \l "_Toc21881" </w:instrText>
      </w:r>
      <w:r>
        <w:fldChar w:fldCharType="separate"/>
      </w:r>
      <w:r>
        <w:rPr>
          <w:rFonts w:hint="eastAsia"/>
          <w:sz w:val="24"/>
        </w:rPr>
        <w:t>一、基本职能及主要工作</w:t>
      </w:r>
      <w:r>
        <w:rPr>
          <w:rFonts w:hint="eastAsia"/>
          <w:sz w:val="24"/>
        </w:rPr>
        <w:tab/>
      </w:r>
      <w:r>
        <w:rPr>
          <w:rFonts w:hint="eastAsia"/>
          <w:sz w:val="24"/>
        </w:rPr>
        <w:fldChar w:fldCharType="begin"/>
      </w:r>
      <w:r>
        <w:rPr>
          <w:rFonts w:hint="eastAsia"/>
          <w:sz w:val="24"/>
        </w:rPr>
        <w:instrText xml:space="preserve"> PAGEREF _Toc21881 \h </w:instrText>
      </w:r>
      <w:r>
        <w:rPr>
          <w:rFonts w:hint="eastAsia"/>
          <w:sz w:val="24"/>
        </w:rPr>
        <w:fldChar w:fldCharType="separate"/>
      </w:r>
      <w:r>
        <w:rPr>
          <w:rFonts w:hint="eastAsia"/>
          <w:sz w:val="24"/>
        </w:rPr>
        <w:t>4</w:t>
      </w:r>
      <w:r>
        <w:rPr>
          <w:rFonts w:hint="eastAsia"/>
          <w:sz w:val="24"/>
        </w:rPr>
        <w:fldChar w:fldCharType="end"/>
      </w:r>
      <w:r>
        <w:rPr>
          <w:rFonts w:hint="eastAsia"/>
          <w:sz w:val="24"/>
        </w:rPr>
        <w:fldChar w:fldCharType="end"/>
      </w:r>
    </w:p>
    <w:p>
      <w:pPr>
        <w:pStyle w:val="11"/>
        <w:adjustRightInd w:val="0"/>
        <w:snapToGrid w:val="0"/>
        <w:spacing w:line="440" w:lineRule="exact"/>
        <w:jc w:val="left"/>
      </w:pPr>
      <w:r>
        <w:fldChar w:fldCharType="begin"/>
      </w:r>
      <w:r>
        <w:instrText xml:space="preserve"> HYPERLINK \l "_Toc21624" </w:instrText>
      </w:r>
      <w:r>
        <w:fldChar w:fldCharType="separate"/>
      </w:r>
      <w:r>
        <w:rPr>
          <w:rFonts w:hint="eastAsia"/>
          <w:sz w:val="24"/>
        </w:rPr>
        <w:t>二、机构设置</w:t>
      </w:r>
      <w:r>
        <w:rPr>
          <w:rFonts w:hint="eastAsia"/>
          <w:sz w:val="24"/>
        </w:rPr>
        <w:tab/>
      </w:r>
      <w:r>
        <w:rPr>
          <w:rFonts w:hint="eastAsia"/>
          <w:sz w:val="24"/>
        </w:rPr>
        <w:fldChar w:fldCharType="begin"/>
      </w:r>
      <w:r>
        <w:rPr>
          <w:rFonts w:hint="eastAsia"/>
          <w:sz w:val="24"/>
        </w:rPr>
        <w:instrText xml:space="preserve"> PAGEREF _Toc21624 \h </w:instrText>
      </w:r>
      <w:r>
        <w:rPr>
          <w:rFonts w:hint="eastAsia"/>
          <w:sz w:val="24"/>
        </w:rPr>
        <w:fldChar w:fldCharType="separate"/>
      </w:r>
      <w:r>
        <w:rPr>
          <w:rFonts w:hint="eastAsia"/>
          <w:sz w:val="24"/>
        </w:rPr>
        <w:t>4</w:t>
      </w:r>
      <w:r>
        <w:rPr>
          <w:rFonts w:hint="eastAsia"/>
          <w:sz w:val="24"/>
        </w:rPr>
        <w:fldChar w:fldCharType="end"/>
      </w:r>
      <w:r>
        <w:rPr>
          <w:rFonts w:hint="eastAsia"/>
          <w:sz w:val="24"/>
        </w:rPr>
        <w:fldChar w:fldCharType="end"/>
      </w:r>
    </w:p>
    <w:p>
      <w:pPr>
        <w:pStyle w:val="10"/>
        <w:tabs>
          <w:tab w:val="right" w:leader="dot" w:pos="8306"/>
          <w:tab w:val="clear" w:pos="8296"/>
        </w:tabs>
      </w:pPr>
      <w:r>
        <w:fldChar w:fldCharType="begin"/>
      </w:r>
      <w:r>
        <w:instrText xml:space="preserve"> HYPERLINK \l "_Toc12960" </w:instrText>
      </w:r>
      <w:r>
        <w:fldChar w:fldCharType="separate"/>
      </w:r>
      <w:r>
        <w:rPr>
          <w:rFonts w:hint="eastAsia"/>
          <w:sz w:val="24"/>
        </w:rPr>
        <w:t>第二部分 2021年度部门决算情况说明</w:t>
      </w:r>
      <w:r>
        <w:tab/>
      </w:r>
      <w:r>
        <w:fldChar w:fldCharType="begin"/>
      </w:r>
      <w:r>
        <w:instrText xml:space="preserve"> PAGEREF _Toc12960 \h </w:instrText>
      </w:r>
      <w:r>
        <w:fldChar w:fldCharType="separate"/>
      </w:r>
      <w:r>
        <w:t>5</w:t>
      </w:r>
      <w:r>
        <w:fldChar w:fldCharType="end"/>
      </w:r>
      <w:r>
        <w:fldChar w:fldCharType="end"/>
      </w:r>
    </w:p>
    <w:p>
      <w:pPr>
        <w:pStyle w:val="11"/>
        <w:adjustRightInd w:val="0"/>
        <w:snapToGrid w:val="0"/>
        <w:spacing w:line="440" w:lineRule="exact"/>
        <w:jc w:val="left"/>
        <w:rPr>
          <w:sz w:val="24"/>
        </w:rPr>
      </w:pPr>
      <w:r>
        <w:fldChar w:fldCharType="begin"/>
      </w:r>
      <w:r>
        <w:instrText xml:space="preserve"> HYPERLINK \l "_Toc29229" </w:instrText>
      </w:r>
      <w:r>
        <w:fldChar w:fldCharType="separate"/>
      </w:r>
      <w:r>
        <w:rPr>
          <w:sz w:val="24"/>
        </w:rPr>
        <w:t xml:space="preserve">一、 </w:t>
      </w:r>
      <w:r>
        <w:rPr>
          <w:rFonts w:hint="eastAsia"/>
          <w:sz w:val="24"/>
        </w:rPr>
        <w:t>收入支出决算总体情况说明</w:t>
      </w:r>
      <w:r>
        <w:rPr>
          <w:sz w:val="24"/>
        </w:rPr>
        <w:tab/>
      </w:r>
      <w:r>
        <w:rPr>
          <w:sz w:val="24"/>
        </w:rPr>
        <w:fldChar w:fldCharType="begin"/>
      </w:r>
      <w:r>
        <w:rPr>
          <w:sz w:val="24"/>
        </w:rPr>
        <w:instrText xml:space="preserve"> PAGEREF _Toc29229 \h </w:instrText>
      </w:r>
      <w:r>
        <w:rPr>
          <w:sz w:val="24"/>
        </w:rPr>
        <w:fldChar w:fldCharType="separate"/>
      </w:r>
      <w:r>
        <w:rPr>
          <w:sz w:val="24"/>
        </w:rPr>
        <w:t>5</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"_Toc23619" </w:instrText>
      </w:r>
      <w:r>
        <w:fldChar w:fldCharType="separate"/>
      </w:r>
      <w:r>
        <w:rPr>
          <w:sz w:val="24"/>
        </w:rPr>
        <w:t xml:space="preserve">二、 </w:t>
      </w:r>
      <w:r>
        <w:rPr>
          <w:rFonts w:hint="eastAsia"/>
          <w:sz w:val="24"/>
        </w:rPr>
        <w:t>收入决算情况说明</w:t>
      </w:r>
      <w:r>
        <w:rPr>
          <w:sz w:val="24"/>
        </w:rPr>
        <w:tab/>
      </w:r>
      <w:r>
        <w:rPr>
          <w:sz w:val="24"/>
        </w:rPr>
        <w:fldChar w:fldCharType="begin"/>
      </w:r>
      <w:r>
        <w:rPr>
          <w:sz w:val="24"/>
        </w:rPr>
        <w:instrText xml:space="preserve"> PAGEREF _Toc23619 \h </w:instrText>
      </w:r>
      <w:r>
        <w:rPr>
          <w:sz w:val="24"/>
        </w:rPr>
        <w:fldChar w:fldCharType="separate"/>
      </w:r>
      <w:r>
        <w:rPr>
          <w:sz w:val="24"/>
        </w:rPr>
        <w:t>5</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"_Toc20673" </w:instrText>
      </w:r>
      <w:r>
        <w:fldChar w:fldCharType="separate"/>
      </w:r>
      <w:r>
        <w:rPr>
          <w:sz w:val="24"/>
        </w:rPr>
        <w:t xml:space="preserve">三、 </w:t>
      </w:r>
      <w:r>
        <w:rPr>
          <w:rFonts w:hint="eastAsia"/>
          <w:sz w:val="24"/>
        </w:rPr>
        <w:t>支出决算情况说明</w:t>
      </w:r>
      <w:r>
        <w:rPr>
          <w:sz w:val="24"/>
        </w:rPr>
        <w:tab/>
      </w:r>
      <w:r>
        <w:rPr>
          <w:sz w:val="24"/>
        </w:rPr>
        <w:fldChar w:fldCharType="begin"/>
      </w:r>
      <w:r>
        <w:rPr>
          <w:sz w:val="24"/>
        </w:rPr>
        <w:instrText xml:space="preserve"> PAGEREF _Toc20673 \h </w:instrText>
      </w:r>
      <w:r>
        <w:rPr>
          <w:sz w:val="24"/>
        </w:rPr>
        <w:fldChar w:fldCharType="separate"/>
      </w:r>
      <w:r>
        <w:rPr>
          <w:sz w:val="24"/>
        </w:rPr>
        <w:t>6</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"_Toc24856" </w:instrText>
      </w:r>
      <w:r>
        <w:fldChar w:fldCharType="separate"/>
      </w:r>
      <w:r>
        <w:rPr>
          <w:rFonts w:hint="eastAsia"/>
          <w:sz w:val="24"/>
        </w:rPr>
        <w:t>四、财政拨款收入支出决算总体情况说明</w:t>
      </w:r>
      <w:r>
        <w:rPr>
          <w:sz w:val="24"/>
        </w:rPr>
        <w:tab/>
      </w:r>
      <w:r>
        <w:rPr>
          <w:sz w:val="24"/>
        </w:rPr>
        <w:fldChar w:fldCharType="begin"/>
      </w:r>
      <w:r>
        <w:rPr>
          <w:sz w:val="24"/>
        </w:rPr>
        <w:instrText xml:space="preserve"> PAGEREF _Toc24856 \h </w:instrText>
      </w:r>
      <w:r>
        <w:rPr>
          <w:sz w:val="24"/>
        </w:rPr>
        <w:fldChar w:fldCharType="separate"/>
      </w:r>
      <w:r>
        <w:rPr>
          <w:sz w:val="24"/>
        </w:rPr>
        <w:t>6</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"_Toc6678" </w:instrText>
      </w:r>
      <w:r>
        <w:fldChar w:fldCharType="separate"/>
      </w:r>
      <w:r>
        <w:rPr>
          <w:rFonts w:hint="eastAsia"/>
          <w:sz w:val="24"/>
        </w:rPr>
        <w:t>五、一般公共预算财政拨款支出决算情况说明</w:t>
      </w:r>
      <w:r>
        <w:rPr>
          <w:sz w:val="24"/>
        </w:rPr>
        <w:tab/>
      </w:r>
      <w:r>
        <w:rPr>
          <w:sz w:val="24"/>
        </w:rPr>
        <w:fldChar w:fldCharType="begin"/>
      </w:r>
      <w:r>
        <w:rPr>
          <w:sz w:val="24"/>
        </w:rPr>
        <w:instrText xml:space="preserve"> PAGEREF _Toc6678 \h </w:instrText>
      </w:r>
      <w:r>
        <w:rPr>
          <w:sz w:val="24"/>
        </w:rPr>
        <w:fldChar w:fldCharType="separate"/>
      </w:r>
      <w:r>
        <w:rPr>
          <w:sz w:val="24"/>
        </w:rPr>
        <w:t>7</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"_Toc8188" </w:instrText>
      </w:r>
      <w:r>
        <w:fldChar w:fldCharType="separate"/>
      </w:r>
      <w:r>
        <w:rPr>
          <w:rFonts w:hint="eastAsia"/>
          <w:sz w:val="24"/>
        </w:rPr>
        <w:t>六、一般公共预算财政拨款基本支出决算情况说明</w:t>
      </w:r>
      <w:r>
        <w:rPr>
          <w:sz w:val="24"/>
        </w:rPr>
        <w:tab/>
      </w:r>
      <w:r>
        <w:rPr>
          <w:sz w:val="24"/>
        </w:rPr>
        <w:fldChar w:fldCharType="begin"/>
      </w:r>
      <w:r>
        <w:rPr>
          <w:sz w:val="24"/>
        </w:rPr>
        <w:instrText xml:space="preserve"> PAGEREF _Toc8188 \h </w:instrText>
      </w:r>
      <w:r>
        <w:rPr>
          <w:sz w:val="24"/>
        </w:rPr>
        <w:fldChar w:fldCharType="separate"/>
      </w:r>
      <w:r>
        <w:rPr>
          <w:sz w:val="24"/>
        </w:rPr>
        <w:t>10</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"_Toc2205" </w:instrText>
      </w:r>
      <w:r>
        <w:fldChar w:fldCharType="separate"/>
      </w:r>
      <w:r>
        <w:rPr>
          <w:rFonts w:hint="eastAsia"/>
          <w:sz w:val="24"/>
        </w:rPr>
        <w:t>七、“三公”经费财政拨款支出决算情况说明</w:t>
      </w:r>
      <w:r>
        <w:rPr>
          <w:sz w:val="24"/>
        </w:rPr>
        <w:tab/>
      </w:r>
      <w:r>
        <w:rPr>
          <w:sz w:val="24"/>
        </w:rPr>
        <w:fldChar w:fldCharType="begin"/>
      </w:r>
      <w:r>
        <w:rPr>
          <w:sz w:val="24"/>
        </w:rPr>
        <w:instrText xml:space="preserve"> PAGEREF _Toc2205 \h </w:instrText>
      </w:r>
      <w:r>
        <w:rPr>
          <w:sz w:val="24"/>
        </w:rPr>
        <w:fldChar w:fldCharType="separate"/>
      </w:r>
      <w:r>
        <w:rPr>
          <w:sz w:val="24"/>
        </w:rPr>
        <w:t>10</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"_Toc7638" </w:instrText>
      </w:r>
      <w:r>
        <w:fldChar w:fldCharType="separate"/>
      </w:r>
      <w:r>
        <w:rPr>
          <w:rFonts w:hint="eastAsia"/>
          <w:sz w:val="24"/>
        </w:rPr>
        <w:t>八、政府性基金预算支出决算情况说明</w:t>
      </w:r>
      <w:r>
        <w:rPr>
          <w:sz w:val="24"/>
        </w:rPr>
        <w:tab/>
      </w:r>
      <w:r>
        <w:rPr>
          <w:sz w:val="24"/>
        </w:rPr>
        <w:fldChar w:fldCharType="begin"/>
      </w:r>
      <w:r>
        <w:rPr>
          <w:sz w:val="24"/>
        </w:rPr>
        <w:instrText xml:space="preserve"> PAGEREF _Toc7638 \h </w:instrText>
      </w:r>
      <w:r>
        <w:rPr>
          <w:sz w:val="24"/>
        </w:rPr>
        <w:fldChar w:fldCharType="separate"/>
      </w:r>
      <w:r>
        <w:rPr>
          <w:sz w:val="24"/>
        </w:rPr>
        <w:t>12</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"_Toc12352" </w:instrText>
      </w:r>
      <w:r>
        <w:fldChar w:fldCharType="separate"/>
      </w:r>
      <w:r>
        <w:rPr>
          <w:rFonts w:hint="eastAsia"/>
          <w:sz w:val="24"/>
        </w:rPr>
        <w:t>九、 国有资本经营预算支出决算情况说明</w:t>
      </w:r>
      <w:r>
        <w:rPr>
          <w:sz w:val="24"/>
        </w:rPr>
        <w:tab/>
      </w:r>
      <w:r>
        <w:rPr>
          <w:sz w:val="24"/>
        </w:rPr>
        <w:fldChar w:fldCharType="begin"/>
      </w:r>
      <w:r>
        <w:rPr>
          <w:sz w:val="24"/>
        </w:rPr>
        <w:instrText xml:space="preserve"> PAGEREF _Toc12352 \h </w:instrText>
      </w:r>
      <w:r>
        <w:rPr>
          <w:sz w:val="24"/>
        </w:rPr>
        <w:fldChar w:fldCharType="separate"/>
      </w:r>
      <w:r>
        <w:rPr>
          <w:sz w:val="24"/>
        </w:rPr>
        <w:t>12</w:t>
      </w:r>
      <w:r>
        <w:rPr>
          <w:sz w:val="24"/>
        </w:rPr>
        <w:fldChar w:fldCharType="end"/>
      </w:r>
      <w:r>
        <w:rPr>
          <w:sz w:val="24"/>
        </w:rPr>
        <w:fldChar w:fldCharType="end"/>
      </w:r>
    </w:p>
    <w:p>
      <w:pPr>
        <w:pStyle w:val="11"/>
        <w:adjustRightInd w:val="0"/>
        <w:snapToGrid w:val="0"/>
        <w:spacing w:line="440" w:lineRule="exact"/>
        <w:jc w:val="left"/>
      </w:pPr>
      <w:r>
        <w:fldChar w:fldCharType="begin"/>
      </w:r>
      <w:r>
        <w:instrText xml:space="preserve"> HYPERLINK \l "_Toc3459" </w:instrText>
      </w:r>
      <w:r>
        <w:fldChar w:fldCharType="separate"/>
      </w:r>
      <w:r>
        <w:rPr>
          <w:rFonts w:hint="eastAsia"/>
          <w:sz w:val="24"/>
        </w:rPr>
        <w:t>十、 其他重要事项的情况说明</w:t>
      </w:r>
      <w:r>
        <w:rPr>
          <w:sz w:val="24"/>
        </w:rPr>
        <w:tab/>
      </w:r>
      <w:r>
        <w:rPr>
          <w:sz w:val="24"/>
        </w:rPr>
        <w:fldChar w:fldCharType="begin"/>
      </w:r>
      <w:r>
        <w:rPr>
          <w:sz w:val="24"/>
        </w:rPr>
        <w:instrText xml:space="preserve"> PAGEREF _Toc3459 \h </w:instrText>
      </w:r>
      <w:r>
        <w:rPr>
          <w:sz w:val="24"/>
        </w:rPr>
        <w:fldChar w:fldCharType="separate"/>
      </w:r>
      <w:r>
        <w:rPr>
          <w:sz w:val="24"/>
        </w:rPr>
        <w:t>12</w:t>
      </w:r>
      <w:r>
        <w:rPr>
          <w:sz w:val="24"/>
        </w:rPr>
        <w:fldChar w:fldCharType="end"/>
      </w:r>
      <w:r>
        <w:rPr>
          <w:sz w:val="24"/>
        </w:rPr>
        <w:fldChar w:fldCharType="end"/>
      </w:r>
    </w:p>
    <w:p>
      <w:pPr>
        <w:pStyle w:val="10"/>
        <w:adjustRightInd w:val="0"/>
        <w:snapToGrid w:val="0"/>
        <w:spacing w:before="0" w:line="440" w:lineRule="exact"/>
        <w:jc w:val="left"/>
        <w:rPr>
          <w:sz w:val="24"/>
        </w:rPr>
      </w:pPr>
      <w:r>
        <w:fldChar w:fldCharType="begin"/>
      </w:r>
      <w:r>
        <w:instrText xml:space="preserve"> HYPERLINK \l "_Toc12392" </w:instrText>
      </w:r>
      <w:r>
        <w:fldChar w:fldCharType="separate"/>
      </w:r>
      <w:r>
        <w:rPr>
          <w:rFonts w:hint="eastAsia"/>
          <w:sz w:val="24"/>
        </w:rPr>
        <w:t>第三部分 名词解释</w:t>
      </w:r>
      <w:r>
        <w:rPr>
          <w:rFonts w:hint="eastAsia"/>
          <w:sz w:val="24"/>
        </w:rPr>
        <w:tab/>
      </w:r>
      <w:r>
        <w:rPr>
          <w:rFonts w:hint="eastAsia"/>
          <w:sz w:val="24"/>
        </w:rPr>
        <w:fldChar w:fldCharType="begin"/>
      </w:r>
      <w:r>
        <w:rPr>
          <w:rFonts w:hint="eastAsia"/>
          <w:sz w:val="24"/>
        </w:rPr>
        <w:instrText xml:space="preserve"> PAGEREF _Toc12392 \h </w:instrText>
      </w:r>
      <w:r>
        <w:rPr>
          <w:rFonts w:hint="eastAsia"/>
          <w:sz w:val="24"/>
        </w:rPr>
        <w:fldChar w:fldCharType="separate"/>
      </w:r>
      <w:r>
        <w:rPr>
          <w:rFonts w:hint="eastAsia"/>
          <w:sz w:val="24"/>
        </w:rPr>
        <w:t>14</w:t>
      </w:r>
      <w:r>
        <w:rPr>
          <w:rFonts w:hint="eastAsia"/>
          <w:sz w:val="24"/>
        </w:rPr>
        <w:fldChar w:fldCharType="end"/>
      </w:r>
      <w:r>
        <w:rPr>
          <w:rFonts w:hint="eastAsia"/>
          <w:sz w:val="24"/>
        </w:rPr>
        <w:fldChar w:fldCharType="end"/>
      </w:r>
    </w:p>
    <w:p>
      <w:pPr>
        <w:pStyle w:val="10"/>
        <w:adjustRightInd w:val="0"/>
        <w:snapToGrid w:val="0"/>
        <w:spacing w:before="0" w:line="440" w:lineRule="exact"/>
        <w:jc w:val="left"/>
        <w:rPr>
          <w:sz w:val="24"/>
        </w:rPr>
      </w:pPr>
      <w:r>
        <w:fldChar w:fldCharType="begin"/>
      </w:r>
      <w:r>
        <w:instrText xml:space="preserve"> HYPERLINK \l "_Toc28443" </w:instrText>
      </w:r>
      <w:r>
        <w:fldChar w:fldCharType="separate"/>
      </w:r>
      <w:r>
        <w:rPr>
          <w:rFonts w:hint="eastAsia"/>
          <w:sz w:val="24"/>
        </w:rPr>
        <w:t>第四部分 附件</w:t>
      </w:r>
      <w:r>
        <w:rPr>
          <w:rFonts w:hint="eastAsia"/>
          <w:sz w:val="24"/>
        </w:rPr>
        <w:tab/>
      </w:r>
      <w:r>
        <w:rPr>
          <w:rFonts w:hint="eastAsia"/>
          <w:sz w:val="24"/>
        </w:rPr>
        <w:fldChar w:fldCharType="begin"/>
      </w:r>
      <w:r>
        <w:rPr>
          <w:rFonts w:hint="eastAsia"/>
          <w:sz w:val="24"/>
        </w:rPr>
        <w:instrText xml:space="preserve"> PAGEREF _Toc28443 \h </w:instrText>
      </w:r>
      <w:r>
        <w:rPr>
          <w:rFonts w:hint="eastAsia"/>
          <w:sz w:val="24"/>
        </w:rPr>
        <w:fldChar w:fldCharType="separate"/>
      </w:r>
      <w:r>
        <w:rPr>
          <w:rFonts w:hint="eastAsia"/>
          <w:sz w:val="24"/>
        </w:rPr>
        <w:t>16</w:t>
      </w:r>
      <w:r>
        <w:rPr>
          <w:rFonts w:hint="eastAsia"/>
          <w:sz w:val="24"/>
        </w:rPr>
        <w:fldChar w:fldCharType="end"/>
      </w:r>
      <w:r>
        <w:rPr>
          <w:rFonts w:hint="eastAsia"/>
          <w:sz w:val="24"/>
        </w:rPr>
        <w:fldChar w:fldCharType="end"/>
      </w:r>
    </w:p>
    <w:p>
      <w:pPr>
        <w:pStyle w:val="10"/>
        <w:adjustRightInd w:val="0"/>
        <w:snapToGrid w:val="0"/>
        <w:spacing w:before="0" w:line="440" w:lineRule="exact"/>
        <w:jc w:val="left"/>
      </w:pPr>
      <w:r>
        <w:fldChar w:fldCharType="begin"/>
      </w:r>
      <w:r>
        <w:instrText xml:space="preserve"> HYPERLINK \l "_Toc10389" </w:instrText>
      </w:r>
      <w:r>
        <w:fldChar w:fldCharType="separate"/>
      </w:r>
      <w:r>
        <w:rPr>
          <w:rFonts w:hint="eastAsia"/>
          <w:sz w:val="24"/>
        </w:rPr>
        <w:t>第五部分 附表</w:t>
      </w:r>
      <w:r>
        <w:rPr>
          <w:rFonts w:hint="eastAsia"/>
          <w:sz w:val="24"/>
        </w:rPr>
        <w:tab/>
      </w:r>
      <w:r>
        <w:rPr>
          <w:rFonts w:hint="eastAsia"/>
          <w:sz w:val="24"/>
        </w:rPr>
        <w:fldChar w:fldCharType="begin"/>
      </w:r>
      <w:r>
        <w:rPr>
          <w:rFonts w:hint="eastAsia"/>
          <w:sz w:val="24"/>
        </w:rPr>
        <w:instrText xml:space="preserve"> PAGEREF _Toc10389 \h </w:instrText>
      </w:r>
      <w:r>
        <w:rPr>
          <w:rFonts w:hint="eastAsia"/>
          <w:sz w:val="24"/>
        </w:rPr>
        <w:fldChar w:fldCharType="separate"/>
      </w:r>
      <w:r>
        <w:rPr>
          <w:rFonts w:hint="eastAsia"/>
          <w:sz w:val="24"/>
        </w:rPr>
        <w:t>27</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pPr>
      <w:r>
        <w:fldChar w:fldCharType="begin"/>
      </w:r>
      <w:r>
        <w:instrText xml:space="preserve"> HYPERLINK \l "_Toc16542" </w:instrText>
      </w:r>
      <w:r>
        <w:fldChar w:fldCharType="separate"/>
      </w:r>
      <w:r>
        <w:rPr>
          <w:rFonts w:hint="eastAsia"/>
          <w:sz w:val="24"/>
        </w:rPr>
        <w:t>一、收入支出决算总表</w:t>
      </w:r>
      <w:r>
        <w:rPr>
          <w:sz w:val="24"/>
        </w:rPr>
        <w:tab/>
      </w:r>
      <w:r>
        <w:rPr>
          <w:sz w:val="24"/>
        </w:rPr>
        <w:fldChar w:fldCharType="begin"/>
      </w:r>
      <w:r>
        <w:rPr>
          <w:sz w:val="24"/>
        </w:rPr>
        <w:instrText xml:space="preserve"> PAGEREF _Toc16542 \h </w:instrText>
      </w:r>
      <w:r>
        <w:rPr>
          <w:sz w:val="24"/>
        </w:rPr>
        <w:fldChar w:fldCharType="separate"/>
      </w:r>
      <w:r>
        <w:rPr>
          <w:sz w:val="24"/>
        </w:rPr>
        <w:t>27</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"_Toc6267" </w:instrText>
      </w:r>
      <w:r>
        <w:fldChar w:fldCharType="separate"/>
      </w:r>
      <w:r>
        <w:rPr>
          <w:rFonts w:hint="eastAsia"/>
          <w:sz w:val="24"/>
        </w:rPr>
        <w:t>二、收入决算表</w:t>
      </w:r>
      <w:r>
        <w:rPr>
          <w:sz w:val="24"/>
        </w:rPr>
        <w:tab/>
      </w:r>
      <w:r>
        <w:rPr>
          <w:sz w:val="24"/>
        </w:rPr>
        <w:fldChar w:fldCharType="begin"/>
      </w:r>
      <w:r>
        <w:rPr>
          <w:sz w:val="24"/>
        </w:rPr>
        <w:instrText xml:space="preserve"> PAGEREF _Toc6267 \h </w:instrText>
      </w:r>
      <w:r>
        <w:rPr>
          <w:sz w:val="24"/>
        </w:rPr>
        <w:fldChar w:fldCharType="separate"/>
      </w:r>
      <w:r>
        <w:rPr>
          <w:sz w:val="24"/>
        </w:rPr>
        <w:t>27</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"_Toc29097" </w:instrText>
      </w:r>
      <w:r>
        <w:fldChar w:fldCharType="separate"/>
      </w:r>
      <w:r>
        <w:rPr>
          <w:rFonts w:hint="eastAsia"/>
          <w:sz w:val="24"/>
        </w:rPr>
        <w:t>三、支出决算表</w:t>
      </w:r>
      <w:r>
        <w:rPr>
          <w:sz w:val="24"/>
        </w:rPr>
        <w:tab/>
      </w:r>
      <w:r>
        <w:rPr>
          <w:sz w:val="24"/>
        </w:rPr>
        <w:fldChar w:fldCharType="begin"/>
      </w:r>
      <w:r>
        <w:rPr>
          <w:sz w:val="24"/>
        </w:rPr>
        <w:instrText xml:space="preserve"> PAGEREF _Toc29097 \h </w:instrText>
      </w:r>
      <w:r>
        <w:rPr>
          <w:sz w:val="24"/>
        </w:rPr>
        <w:fldChar w:fldCharType="separate"/>
      </w:r>
      <w:r>
        <w:rPr>
          <w:sz w:val="24"/>
        </w:rPr>
        <w:t>27</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"_Toc16828" </w:instrText>
      </w:r>
      <w:r>
        <w:fldChar w:fldCharType="separate"/>
      </w:r>
      <w:r>
        <w:rPr>
          <w:rFonts w:hint="eastAsia"/>
          <w:sz w:val="24"/>
        </w:rPr>
        <w:t>四、财政拨款收入支出决算总表</w:t>
      </w:r>
      <w:r>
        <w:rPr>
          <w:sz w:val="24"/>
        </w:rPr>
        <w:tab/>
      </w:r>
      <w:r>
        <w:rPr>
          <w:sz w:val="24"/>
        </w:rPr>
        <w:fldChar w:fldCharType="begin"/>
      </w:r>
      <w:r>
        <w:rPr>
          <w:sz w:val="24"/>
        </w:rPr>
        <w:instrText xml:space="preserve"> PAGEREF _Toc16828 \h </w:instrText>
      </w:r>
      <w:r>
        <w:rPr>
          <w:sz w:val="24"/>
        </w:rPr>
        <w:fldChar w:fldCharType="separate"/>
      </w:r>
      <w:r>
        <w:rPr>
          <w:sz w:val="24"/>
        </w:rPr>
        <w:t>27</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"_Toc1248" </w:instrText>
      </w:r>
      <w:r>
        <w:fldChar w:fldCharType="separate"/>
      </w:r>
      <w:r>
        <w:rPr>
          <w:rFonts w:hint="eastAsia"/>
          <w:sz w:val="24"/>
        </w:rPr>
        <w:t>五、财政拨款支出决算明细表</w:t>
      </w:r>
      <w:r>
        <w:rPr>
          <w:sz w:val="24"/>
        </w:rPr>
        <w:tab/>
      </w:r>
      <w:r>
        <w:rPr>
          <w:sz w:val="24"/>
        </w:rPr>
        <w:fldChar w:fldCharType="begin"/>
      </w:r>
      <w:r>
        <w:rPr>
          <w:sz w:val="24"/>
        </w:rPr>
        <w:instrText xml:space="preserve"> PAGEREF _Toc1248 \h </w:instrText>
      </w:r>
      <w:r>
        <w:rPr>
          <w:sz w:val="24"/>
        </w:rPr>
        <w:fldChar w:fldCharType="separate"/>
      </w:r>
      <w:r>
        <w:rPr>
          <w:sz w:val="24"/>
        </w:rPr>
        <w:t>27</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"_Toc3788" </w:instrText>
      </w:r>
      <w:r>
        <w:fldChar w:fldCharType="separate"/>
      </w:r>
      <w:r>
        <w:rPr>
          <w:rFonts w:hint="eastAsia"/>
          <w:sz w:val="24"/>
        </w:rPr>
        <w:t>六、一般公共预算财政拨款支出决算表</w:t>
      </w:r>
      <w:r>
        <w:rPr>
          <w:sz w:val="24"/>
        </w:rPr>
        <w:tab/>
      </w:r>
      <w:r>
        <w:rPr>
          <w:sz w:val="24"/>
        </w:rPr>
        <w:fldChar w:fldCharType="begin"/>
      </w:r>
      <w:r>
        <w:rPr>
          <w:sz w:val="24"/>
        </w:rPr>
        <w:instrText xml:space="preserve"> PAGEREF _Toc3788 \h </w:instrText>
      </w:r>
      <w:r>
        <w:rPr>
          <w:sz w:val="24"/>
        </w:rPr>
        <w:fldChar w:fldCharType="separate"/>
      </w:r>
      <w:r>
        <w:rPr>
          <w:sz w:val="24"/>
        </w:rPr>
        <w:t>27</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"_Toc28331" </w:instrText>
      </w:r>
      <w:r>
        <w:fldChar w:fldCharType="separate"/>
      </w:r>
      <w:r>
        <w:rPr>
          <w:rFonts w:hint="eastAsia"/>
          <w:sz w:val="24"/>
        </w:rPr>
        <w:t>七、一般公共预算财政拨款支出决算明细表</w:t>
      </w:r>
      <w:r>
        <w:rPr>
          <w:sz w:val="24"/>
        </w:rPr>
        <w:tab/>
      </w:r>
      <w:r>
        <w:rPr>
          <w:sz w:val="24"/>
        </w:rPr>
        <w:fldChar w:fldCharType="begin"/>
      </w:r>
      <w:r>
        <w:rPr>
          <w:sz w:val="24"/>
        </w:rPr>
        <w:instrText xml:space="preserve"> PAGEREF _Toc28331 \h </w:instrText>
      </w:r>
      <w:r>
        <w:rPr>
          <w:sz w:val="24"/>
        </w:rPr>
        <w:fldChar w:fldCharType="separate"/>
      </w:r>
      <w:r>
        <w:rPr>
          <w:sz w:val="24"/>
        </w:rPr>
        <w:t>27</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"_Toc12058" </w:instrText>
      </w:r>
      <w:r>
        <w:fldChar w:fldCharType="separate"/>
      </w:r>
      <w:r>
        <w:rPr>
          <w:rFonts w:hint="eastAsia"/>
          <w:sz w:val="24"/>
        </w:rPr>
        <w:t>八、一般公共预算财政拨款基本支出决算表</w:t>
      </w:r>
      <w:r>
        <w:rPr>
          <w:sz w:val="24"/>
        </w:rPr>
        <w:tab/>
      </w:r>
      <w:r>
        <w:rPr>
          <w:sz w:val="24"/>
        </w:rPr>
        <w:fldChar w:fldCharType="begin"/>
      </w:r>
      <w:r>
        <w:rPr>
          <w:sz w:val="24"/>
        </w:rPr>
        <w:instrText xml:space="preserve"> PAGEREF _Toc12058 \h </w:instrText>
      </w:r>
      <w:r>
        <w:rPr>
          <w:sz w:val="24"/>
        </w:rPr>
        <w:fldChar w:fldCharType="separate"/>
      </w:r>
      <w:r>
        <w:rPr>
          <w:sz w:val="24"/>
        </w:rPr>
        <w:t>27</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"_Toc728" </w:instrText>
      </w:r>
      <w:r>
        <w:fldChar w:fldCharType="separate"/>
      </w:r>
      <w:r>
        <w:rPr>
          <w:rFonts w:hint="eastAsia"/>
          <w:sz w:val="24"/>
        </w:rPr>
        <w:t>九、一般公共预算财政拨款项目支出决算表</w:t>
      </w:r>
      <w:r>
        <w:rPr>
          <w:sz w:val="24"/>
        </w:rPr>
        <w:tab/>
      </w:r>
      <w:r>
        <w:rPr>
          <w:sz w:val="24"/>
        </w:rPr>
        <w:fldChar w:fldCharType="begin"/>
      </w:r>
      <w:r>
        <w:rPr>
          <w:sz w:val="24"/>
        </w:rPr>
        <w:instrText xml:space="preserve"> PAGEREF _Toc728 \h </w:instrText>
      </w:r>
      <w:r>
        <w:rPr>
          <w:sz w:val="24"/>
        </w:rPr>
        <w:fldChar w:fldCharType="separate"/>
      </w:r>
      <w:r>
        <w:rPr>
          <w:sz w:val="24"/>
        </w:rPr>
        <w:t>27</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"_Toc26854" </w:instrText>
      </w:r>
      <w:r>
        <w:fldChar w:fldCharType="separate"/>
      </w:r>
      <w:r>
        <w:rPr>
          <w:rFonts w:hint="eastAsia"/>
          <w:sz w:val="24"/>
        </w:rPr>
        <w:t>十、一般公共预算财政拨款“三公”经费支出决算表</w:t>
      </w:r>
      <w:r>
        <w:rPr>
          <w:sz w:val="24"/>
        </w:rPr>
        <w:tab/>
      </w:r>
      <w:r>
        <w:rPr>
          <w:sz w:val="24"/>
        </w:rPr>
        <w:fldChar w:fldCharType="begin"/>
      </w:r>
      <w:r>
        <w:rPr>
          <w:sz w:val="24"/>
        </w:rPr>
        <w:instrText xml:space="preserve"> PAGEREF _Toc26854 \h </w:instrText>
      </w:r>
      <w:r>
        <w:rPr>
          <w:sz w:val="24"/>
        </w:rPr>
        <w:fldChar w:fldCharType="separate"/>
      </w:r>
      <w:r>
        <w:rPr>
          <w:sz w:val="24"/>
        </w:rPr>
        <w:t>27</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"_Toc29077" </w:instrText>
      </w:r>
      <w:r>
        <w:fldChar w:fldCharType="separate"/>
      </w:r>
      <w:r>
        <w:rPr>
          <w:rFonts w:hint="eastAsia"/>
          <w:sz w:val="24"/>
        </w:rPr>
        <w:t>十一、政府性基金预算财政拨款收入支出决算表</w:t>
      </w:r>
      <w:r>
        <w:rPr>
          <w:sz w:val="24"/>
        </w:rPr>
        <w:tab/>
      </w:r>
      <w:r>
        <w:rPr>
          <w:sz w:val="24"/>
        </w:rPr>
        <w:fldChar w:fldCharType="begin"/>
      </w:r>
      <w:r>
        <w:rPr>
          <w:sz w:val="24"/>
        </w:rPr>
        <w:instrText xml:space="preserve"> PAGEREF _Toc29077 \h </w:instrText>
      </w:r>
      <w:r>
        <w:rPr>
          <w:sz w:val="24"/>
        </w:rPr>
        <w:fldChar w:fldCharType="separate"/>
      </w:r>
      <w:r>
        <w:rPr>
          <w:sz w:val="24"/>
        </w:rPr>
        <w:t>27</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"_Toc19185" </w:instrText>
      </w:r>
      <w:r>
        <w:fldChar w:fldCharType="separate"/>
      </w:r>
      <w:r>
        <w:rPr>
          <w:rFonts w:hint="eastAsia"/>
          <w:sz w:val="24"/>
        </w:rPr>
        <w:t>十二、政府性基金预算财政拨款“三公”经费支出决算表</w:t>
      </w:r>
      <w:r>
        <w:rPr>
          <w:sz w:val="24"/>
        </w:rPr>
        <w:tab/>
      </w:r>
      <w:r>
        <w:rPr>
          <w:sz w:val="24"/>
        </w:rPr>
        <w:fldChar w:fldCharType="begin"/>
      </w:r>
      <w:r>
        <w:rPr>
          <w:sz w:val="24"/>
        </w:rPr>
        <w:instrText xml:space="preserve"> PAGEREF _Toc19185 \h </w:instrText>
      </w:r>
      <w:r>
        <w:rPr>
          <w:sz w:val="24"/>
        </w:rPr>
        <w:fldChar w:fldCharType="separate"/>
      </w:r>
      <w:r>
        <w:rPr>
          <w:sz w:val="24"/>
        </w:rPr>
        <w:t>27</w:t>
      </w:r>
      <w:r>
        <w:rPr>
          <w:sz w:val="24"/>
        </w:rPr>
        <w:fldChar w:fldCharType="end"/>
      </w:r>
      <w:r>
        <w:rPr>
          <w:sz w:val="24"/>
        </w:rPr>
        <w:fldChar w:fldCharType="end"/>
      </w:r>
    </w:p>
    <w:p>
      <w:pPr>
        <w:pStyle w:val="11"/>
        <w:adjustRightInd w:val="0"/>
        <w:snapToGrid w:val="0"/>
        <w:spacing w:line="440" w:lineRule="exact"/>
        <w:jc w:val="left"/>
        <w:rPr>
          <w:sz w:val="24"/>
        </w:rPr>
      </w:pPr>
      <w:r>
        <w:fldChar w:fldCharType="begin"/>
      </w:r>
      <w:r>
        <w:instrText xml:space="preserve"> HYPERLINK \l "_Toc14550" </w:instrText>
      </w:r>
      <w:r>
        <w:fldChar w:fldCharType="separate"/>
      </w:r>
      <w:r>
        <w:rPr>
          <w:rFonts w:hint="eastAsia"/>
          <w:sz w:val="24"/>
        </w:rPr>
        <w:t>十三、国有资本经营预算财政拨款收入支出决算表</w:t>
      </w:r>
      <w:r>
        <w:rPr>
          <w:sz w:val="24"/>
        </w:rPr>
        <w:tab/>
      </w:r>
      <w:r>
        <w:rPr>
          <w:sz w:val="24"/>
        </w:rPr>
        <w:fldChar w:fldCharType="begin"/>
      </w:r>
      <w:r>
        <w:rPr>
          <w:sz w:val="24"/>
        </w:rPr>
        <w:instrText xml:space="preserve"> PAGEREF _Toc14550 \h </w:instrText>
      </w:r>
      <w:r>
        <w:rPr>
          <w:sz w:val="24"/>
        </w:rPr>
        <w:fldChar w:fldCharType="separate"/>
      </w:r>
      <w:r>
        <w:rPr>
          <w:sz w:val="24"/>
        </w:rPr>
        <w:t>27</w:t>
      </w:r>
      <w:r>
        <w:rPr>
          <w:sz w:val="24"/>
        </w:rPr>
        <w:fldChar w:fldCharType="end"/>
      </w:r>
      <w:r>
        <w:rPr>
          <w:sz w:val="24"/>
        </w:rPr>
        <w:fldChar w:fldCharType="end"/>
      </w:r>
    </w:p>
    <w:p>
      <w:pPr>
        <w:pStyle w:val="11"/>
        <w:adjustRightInd w:val="0"/>
        <w:snapToGrid w:val="0"/>
        <w:spacing w:line="440" w:lineRule="exact"/>
        <w:jc w:val="left"/>
      </w:pPr>
      <w:r>
        <w:fldChar w:fldCharType="begin"/>
      </w:r>
      <w:r>
        <w:instrText xml:space="preserve"> HYPERLINK \l "_Toc17578" </w:instrText>
      </w:r>
      <w:r>
        <w:fldChar w:fldCharType="separate"/>
      </w:r>
      <w:r>
        <w:rPr>
          <w:rFonts w:hint="eastAsia"/>
          <w:sz w:val="24"/>
        </w:rPr>
        <w:t>十四、国有资本经营预算财政拨款支出决算表</w:t>
      </w:r>
      <w:r>
        <w:rPr>
          <w:sz w:val="24"/>
        </w:rPr>
        <w:tab/>
      </w:r>
      <w:r>
        <w:rPr>
          <w:sz w:val="24"/>
        </w:rPr>
        <w:fldChar w:fldCharType="begin"/>
      </w:r>
      <w:r>
        <w:rPr>
          <w:sz w:val="24"/>
        </w:rPr>
        <w:instrText xml:space="preserve"> PAGEREF _Toc17578 \h </w:instrText>
      </w:r>
      <w:r>
        <w:rPr>
          <w:sz w:val="24"/>
        </w:rPr>
        <w:fldChar w:fldCharType="separate"/>
      </w:r>
      <w:r>
        <w:rPr>
          <w:sz w:val="24"/>
        </w:rPr>
        <w:t>27</w:t>
      </w:r>
      <w:r>
        <w:rPr>
          <w:sz w:val="24"/>
        </w:rPr>
        <w:fldChar w:fldCharType="end"/>
      </w:r>
      <w:r>
        <w:rPr>
          <w:sz w:val="24"/>
        </w:rPr>
        <w:fldChar w:fldCharType="end"/>
      </w:r>
    </w:p>
    <w:p>
      <w:r>
        <w:fldChar w:fldCharType="end"/>
      </w:r>
    </w:p>
    <w:p>
      <w:pPr>
        <w:widowControl/>
        <w:spacing w:line="440" w:lineRule="exact"/>
        <w:jc w:val="left"/>
        <w:rPr>
          <w:rFonts w:ascii="仿宋" w:hAnsi="仿宋" w:eastAsia="仿宋"/>
          <w:bCs/>
          <w:kern w:val="44"/>
          <w:sz w:val="24"/>
        </w:rPr>
      </w:pPr>
      <w:bookmarkStart w:id="22" w:name="_Toc15396599"/>
      <w:bookmarkStart w:id="23" w:name="_Toc15377196"/>
      <w:r>
        <w:rPr>
          <w:rFonts w:ascii="仿宋" w:hAnsi="仿宋" w:eastAsia="仿宋"/>
          <w:b/>
          <w:sz w:val="24"/>
        </w:rPr>
        <w:br w:type="page"/>
      </w:r>
    </w:p>
    <w:p>
      <w:pPr>
        <w:pStyle w:val="3"/>
        <w:jc w:val="center"/>
        <w:rPr>
          <w:rStyle w:val="30"/>
          <w:rFonts w:ascii="黑体" w:hAnsi="黑体" w:eastAsia="黑体"/>
          <w:b/>
          <w:bCs w:val="0"/>
        </w:rPr>
      </w:pPr>
      <w:bookmarkStart w:id="24" w:name="_Toc9033"/>
      <w:bookmarkStart w:id="25" w:name="_Toc16305"/>
      <w:r>
        <w:rPr>
          <w:rFonts w:hint="eastAsia" w:ascii="黑体" w:hAnsi="黑体" w:eastAsia="黑体"/>
          <w:b w:val="0"/>
        </w:rPr>
        <w:t xml:space="preserve">第一部分 </w:t>
      </w:r>
      <w:r>
        <w:rPr>
          <w:rStyle w:val="30"/>
          <w:rFonts w:hint="eastAsia" w:ascii="黑体" w:hAnsi="黑体" w:eastAsia="黑体"/>
          <w:b w:val="0"/>
          <w:bCs w:val="0"/>
        </w:rPr>
        <w:t>部门概况</w:t>
      </w:r>
      <w:bookmarkEnd w:id="22"/>
      <w:bookmarkEnd w:id="23"/>
      <w:bookmarkEnd w:id="24"/>
      <w:bookmarkEnd w:id="25"/>
    </w:p>
    <w:p>
      <w:pPr>
        <w:widowControl/>
        <w:jc w:val="left"/>
        <w:rPr>
          <w:rFonts w:ascii="黑体" w:eastAsia="黑体"/>
          <w:sz w:val="32"/>
          <w:szCs w:val="32"/>
        </w:rPr>
      </w:pPr>
    </w:p>
    <w:p>
      <w:pPr>
        <w:pStyle w:val="4"/>
        <w:spacing w:before="0" w:after="0" w:line="600" w:lineRule="exact"/>
        <w:rPr>
          <w:rStyle w:val="31"/>
          <w:rFonts w:ascii="仿宋" w:hAnsi="仿宋" w:eastAsia="仿宋"/>
          <w:b w:val="0"/>
          <w:bCs w:val="0"/>
        </w:rPr>
      </w:pPr>
      <w:bookmarkStart w:id="26" w:name="_Toc21881"/>
      <w:bookmarkStart w:id="27" w:name="_Toc15377197"/>
      <w:bookmarkStart w:id="28" w:name="_Toc15396600"/>
      <w:r>
        <w:rPr>
          <w:rFonts w:hint="eastAsia" w:ascii="黑体" w:hAnsi="黑体" w:eastAsia="黑体"/>
          <w:b w:val="0"/>
        </w:rPr>
        <w:t>一、基</w:t>
      </w:r>
      <w:r>
        <w:rPr>
          <w:rStyle w:val="31"/>
          <w:rFonts w:hint="eastAsia" w:ascii="黑体" w:hAnsi="黑体" w:eastAsia="黑体"/>
          <w:b w:val="0"/>
          <w:bCs w:val="0"/>
        </w:rPr>
        <w:t>本职能及主要工作</w:t>
      </w:r>
      <w:bookmarkEnd w:id="26"/>
      <w:bookmarkEnd w:id="27"/>
      <w:bookmarkEnd w:id="28"/>
    </w:p>
    <w:p>
      <w:pPr>
        <w:spacing w:line="600" w:lineRule="exact"/>
        <w:ind w:firstLine="645"/>
        <w:rPr>
          <w:rFonts w:ascii="仿宋" w:hAnsi="仿宋" w:eastAsia="仿宋"/>
          <w:color w:val="000000"/>
          <w:sz w:val="32"/>
          <w:szCs w:val="32"/>
        </w:rPr>
      </w:pPr>
      <w:bookmarkStart w:id="29" w:name="_Toc15377198"/>
      <w:bookmarkStart w:id="30" w:name="_Toc15378445"/>
      <w:r>
        <w:rPr>
          <w:rFonts w:hint="eastAsia" w:ascii="仿宋" w:hAnsi="仿宋" w:eastAsia="仿宋"/>
          <w:bCs/>
          <w:sz w:val="32"/>
          <w:szCs w:val="32"/>
        </w:rPr>
        <w:t>（一）主要职能。</w:t>
      </w:r>
      <w:bookmarkEnd w:id="29"/>
      <w:bookmarkEnd w:id="30"/>
      <w:bookmarkStart w:id="31" w:name="_Toc15378446"/>
      <w:bookmarkStart w:id="32" w:name="_Toc15377199"/>
      <w:r>
        <w:rPr>
          <w:rFonts w:hint="eastAsia" w:ascii="仿宋" w:hAnsi="仿宋" w:eastAsia="仿宋"/>
          <w:color w:val="000000"/>
          <w:sz w:val="32"/>
          <w:szCs w:val="32"/>
        </w:rPr>
        <w:t>残联的主要职能是“代表、服务、管理”。主要任务是残疾人的社会保障、劳动就业、教育、文化与体育、康复与医疗、残疾预防等。</w:t>
      </w:r>
    </w:p>
    <w:p>
      <w:pPr>
        <w:spacing w:line="600" w:lineRule="exact"/>
        <w:ind w:firstLine="645"/>
        <w:rPr>
          <w:rFonts w:ascii="仿宋" w:hAnsi="仿宋" w:eastAsia="仿宋"/>
          <w:bCs/>
          <w:sz w:val="32"/>
          <w:szCs w:val="32"/>
        </w:rPr>
      </w:pPr>
      <w:r>
        <w:rPr>
          <w:rFonts w:hint="eastAsia" w:ascii="仿宋" w:hAnsi="仿宋" w:eastAsia="仿宋"/>
          <w:bCs/>
          <w:sz w:val="32"/>
          <w:szCs w:val="32"/>
        </w:rPr>
        <w:t>（二）</w:t>
      </w:r>
      <w:r>
        <w:rPr>
          <w:rFonts w:ascii="仿宋" w:hAnsi="仿宋" w:eastAsia="仿宋"/>
          <w:bCs/>
          <w:sz w:val="32"/>
          <w:szCs w:val="32"/>
        </w:rPr>
        <w:t>20</w:t>
      </w:r>
      <w:r>
        <w:rPr>
          <w:rFonts w:hint="eastAsia" w:ascii="仿宋" w:hAnsi="仿宋" w:eastAsia="仿宋"/>
          <w:bCs/>
          <w:sz w:val="32"/>
          <w:szCs w:val="32"/>
        </w:rPr>
        <w:t>21年重点工作完成情况。</w:t>
      </w:r>
      <w:bookmarkEnd w:id="31"/>
      <w:bookmarkEnd w:id="32"/>
      <w:r>
        <w:rPr>
          <w:rFonts w:hint="eastAsia" w:ascii="仿宋" w:hAnsi="仿宋" w:eastAsia="仿宋"/>
          <w:color w:val="000000"/>
          <w:sz w:val="32"/>
          <w:szCs w:val="32"/>
        </w:rPr>
        <w:t>市残联按照市委、市政府和省残联的安排部署，全面深化残疾人“量体裁衣”式服务，认真抓好残疾人康复、教育、就业、社会保障、体育、宣传文化、维权等工作，圆满完成了政府民生工程和职能目标任务。</w:t>
      </w:r>
    </w:p>
    <w:p>
      <w:pPr>
        <w:pStyle w:val="4"/>
        <w:spacing w:before="0" w:after="0" w:line="600" w:lineRule="exact"/>
        <w:rPr>
          <w:rStyle w:val="31"/>
          <w:b w:val="0"/>
          <w:bCs w:val="0"/>
        </w:rPr>
      </w:pPr>
      <w:bookmarkStart w:id="33" w:name="_Toc15377200"/>
      <w:bookmarkStart w:id="34" w:name="_Toc21624"/>
      <w:bookmarkStart w:id="35" w:name="_Toc15396601"/>
      <w:r>
        <w:rPr>
          <w:rFonts w:hint="eastAsia" w:ascii="黑体" w:eastAsia="黑体"/>
          <w:b w:val="0"/>
        </w:rPr>
        <w:t>二、</w:t>
      </w:r>
      <w:r>
        <w:rPr>
          <w:rFonts w:hint="eastAsia" w:ascii="黑体" w:hAnsi="黑体" w:eastAsia="黑体"/>
          <w:b w:val="0"/>
        </w:rPr>
        <w:t>机</w:t>
      </w:r>
      <w:r>
        <w:rPr>
          <w:rStyle w:val="31"/>
          <w:rFonts w:hint="eastAsia" w:ascii="黑体" w:hAnsi="黑体" w:eastAsia="黑体"/>
          <w:b w:val="0"/>
          <w:bCs w:val="0"/>
        </w:rPr>
        <w:t>构设置</w:t>
      </w:r>
      <w:bookmarkEnd w:id="33"/>
      <w:bookmarkEnd w:id="34"/>
      <w:bookmarkEnd w:id="35"/>
    </w:p>
    <w:p>
      <w:pPr>
        <w:spacing w:line="600" w:lineRule="exact"/>
        <w:ind w:firstLine="645"/>
        <w:rPr>
          <w:rFonts w:ascii="仿宋" w:hAnsi="仿宋" w:eastAsia="仿宋"/>
          <w:color w:val="000000"/>
          <w:sz w:val="32"/>
          <w:szCs w:val="32"/>
        </w:rPr>
      </w:pPr>
      <w:bookmarkStart w:id="36" w:name="_Toc15306275"/>
      <w:bookmarkStart w:id="37" w:name="_Toc15377201"/>
      <w:bookmarkStart w:id="38" w:name="_Toc15377432"/>
      <w:bookmarkStart w:id="39" w:name="_Toc15378448"/>
      <w:r>
        <w:rPr>
          <w:rFonts w:hint="eastAsia" w:ascii="仿宋" w:hAnsi="仿宋" w:eastAsia="仿宋"/>
          <w:color w:val="000000"/>
          <w:sz w:val="32"/>
          <w:szCs w:val="32"/>
        </w:rPr>
        <w:t>攀枝花市残疾人联合会是参照公务员法管理的事业单位，内设三科一室；直属其他事业单位2个，其中攀枝花市残疾人劳动就业服务中心与残联机关合署办公，财务不独立核算；攀枝花市残疾人康复教育中心财务独立核算。</w:t>
      </w:r>
    </w:p>
    <w:p>
      <w:pPr>
        <w:spacing w:line="600" w:lineRule="exact"/>
        <w:rPr>
          <w:rFonts w:ascii="仿宋" w:hAnsi="仿宋" w:eastAsia="仿宋" w:cs="宋体"/>
          <w:bCs/>
          <w:color w:val="000000"/>
          <w:kern w:val="0"/>
          <w:sz w:val="32"/>
          <w:szCs w:val="32"/>
        </w:rPr>
      </w:pPr>
      <w:r>
        <w:rPr>
          <w:rFonts w:hint="eastAsia" w:ascii="仿宋" w:hAnsi="仿宋" w:eastAsia="仿宋" w:cs="宋体"/>
          <w:bCs/>
          <w:color w:val="000000"/>
          <w:kern w:val="0"/>
          <w:sz w:val="32"/>
          <w:szCs w:val="32"/>
        </w:rPr>
        <w:t xml:space="preserve">    纳入攀枝花市残疾人联合会</w:t>
      </w:r>
      <w:r>
        <w:rPr>
          <w:rFonts w:ascii="仿宋" w:hAnsi="仿宋" w:eastAsia="仿宋" w:cs="宋体"/>
          <w:bCs/>
          <w:color w:val="000000"/>
          <w:kern w:val="0"/>
          <w:sz w:val="32"/>
          <w:szCs w:val="32"/>
        </w:rPr>
        <w:t>202</w:t>
      </w:r>
      <w:r>
        <w:rPr>
          <w:rFonts w:hint="eastAsia" w:ascii="仿宋" w:hAnsi="仿宋" w:eastAsia="仿宋" w:cs="宋体"/>
          <w:bCs/>
          <w:color w:val="000000"/>
          <w:kern w:val="0"/>
          <w:sz w:val="32"/>
          <w:szCs w:val="32"/>
        </w:rPr>
        <w:t>1年度部门决算编制范围的二级预算单位包括：</w:t>
      </w:r>
    </w:p>
    <w:bookmarkEnd w:id="36"/>
    <w:bookmarkEnd w:id="37"/>
    <w:bookmarkEnd w:id="38"/>
    <w:bookmarkEnd w:id="39"/>
    <w:p>
      <w:pPr>
        <w:pStyle w:val="2"/>
        <w:numPr>
          <w:ilvl w:val="0"/>
          <w:numId w:val="1"/>
        </w:numPr>
        <w:adjustRightInd w:val="0"/>
        <w:snapToGrid w:val="0"/>
        <w:spacing w:beforeLines="0" w:line="600" w:lineRule="exact"/>
        <w:outlineLvl w:val="2"/>
        <w:rPr>
          <w:rFonts w:ascii="仿宋" w:hAnsi="仿宋" w:eastAsia="仿宋"/>
          <w:sz w:val="32"/>
          <w:szCs w:val="32"/>
        </w:rPr>
      </w:pPr>
      <w:r>
        <w:rPr>
          <w:rFonts w:hint="eastAsia" w:ascii="仿宋" w:hAnsi="仿宋" w:eastAsia="仿宋"/>
          <w:sz w:val="32"/>
          <w:szCs w:val="32"/>
        </w:rPr>
        <w:t>攀枝花市残疾人康复教育中心</w:t>
      </w:r>
    </w:p>
    <w:p>
      <w:pPr>
        <w:pStyle w:val="2"/>
        <w:numPr>
          <w:ilvl w:val="0"/>
          <w:numId w:val="1"/>
        </w:numPr>
        <w:adjustRightInd w:val="0"/>
        <w:snapToGrid w:val="0"/>
        <w:spacing w:beforeLines="0" w:line="600" w:lineRule="exact"/>
        <w:outlineLvl w:val="2"/>
        <w:rPr>
          <w:rFonts w:ascii="仿宋" w:hAnsi="仿宋" w:eastAsia="仿宋"/>
          <w:sz w:val="32"/>
          <w:szCs w:val="32"/>
        </w:rPr>
      </w:pPr>
      <w:bookmarkStart w:id="40" w:name="_Toc15377203"/>
      <w:bookmarkStart w:id="41" w:name="_Toc15306277"/>
      <w:bookmarkStart w:id="42" w:name="_Toc15377434"/>
      <w:bookmarkStart w:id="43" w:name="_Toc15378450"/>
      <w:r>
        <w:rPr>
          <w:rFonts w:hint="eastAsia" w:ascii="仿宋" w:hAnsi="仿宋" w:eastAsia="仿宋"/>
          <w:color w:val="000000"/>
          <w:sz w:val="32"/>
          <w:szCs w:val="32"/>
        </w:rPr>
        <w:t>攀枝花市残疾人劳动就业服务中心</w:t>
      </w:r>
      <w:bookmarkEnd w:id="40"/>
      <w:bookmarkEnd w:id="41"/>
      <w:bookmarkEnd w:id="42"/>
      <w:bookmarkEnd w:id="43"/>
    </w:p>
    <w:p>
      <w:pPr>
        <w:widowControl/>
        <w:spacing w:line="600" w:lineRule="exact"/>
        <w:jc w:val="left"/>
        <w:rPr>
          <w:rFonts w:ascii="仿宋" w:hAnsi="仿宋" w:eastAsia="仿宋"/>
          <w:kern w:val="0"/>
          <w:sz w:val="32"/>
          <w:szCs w:val="32"/>
        </w:rPr>
      </w:pPr>
    </w:p>
    <w:p>
      <w:pPr>
        <w:pStyle w:val="3"/>
        <w:spacing w:before="0" w:after="0" w:line="600" w:lineRule="exact"/>
        <w:ind w:right="440"/>
        <w:jc w:val="center"/>
        <w:rPr>
          <w:rStyle w:val="30"/>
          <w:rFonts w:ascii="黑体" w:hAnsi="黑体" w:eastAsia="黑体"/>
          <w:b w:val="0"/>
          <w:bCs/>
        </w:rPr>
      </w:pPr>
      <w:bookmarkStart w:id="44" w:name="_Toc12960"/>
      <w:bookmarkStart w:id="45" w:name="_Toc16402"/>
      <w:bookmarkStart w:id="46" w:name="_Toc15396602"/>
      <w:bookmarkStart w:id="47" w:name="_Toc15377204"/>
      <w:r>
        <w:rPr>
          <w:rFonts w:hint="eastAsia" w:ascii="黑体" w:hAnsi="黑体" w:eastAsia="黑体"/>
          <w:b w:val="0"/>
        </w:rPr>
        <w:t xml:space="preserve"> 第二部分 2021年度</w:t>
      </w:r>
      <w:r>
        <w:rPr>
          <w:rStyle w:val="30"/>
          <w:rFonts w:hint="eastAsia" w:ascii="黑体" w:hAnsi="黑体" w:eastAsia="黑体"/>
          <w:b w:val="0"/>
          <w:bCs/>
        </w:rPr>
        <w:t>部门决算情况说明</w:t>
      </w:r>
      <w:bookmarkEnd w:id="44"/>
      <w:bookmarkEnd w:id="45"/>
      <w:bookmarkEnd w:id="46"/>
      <w:bookmarkEnd w:id="47"/>
    </w:p>
    <w:p>
      <w:pPr>
        <w:spacing w:line="600" w:lineRule="exact"/>
      </w:pPr>
    </w:p>
    <w:p>
      <w:pPr>
        <w:pStyle w:val="18"/>
        <w:numPr>
          <w:ilvl w:val="0"/>
          <w:numId w:val="2"/>
        </w:numPr>
        <w:spacing w:line="600" w:lineRule="exact"/>
        <w:ind w:firstLineChars="0"/>
        <w:outlineLvl w:val="1"/>
        <w:rPr>
          <w:rStyle w:val="31"/>
          <w:rFonts w:ascii="黑体" w:hAnsi="黑体" w:eastAsia="黑体"/>
          <w:b w:val="0"/>
        </w:rPr>
      </w:pPr>
      <w:bookmarkStart w:id="48" w:name="_Toc15377205"/>
      <w:bookmarkStart w:id="49" w:name="_Toc29229"/>
      <w:bookmarkStart w:id="50" w:name="_Toc15396603"/>
      <w:r>
        <w:rPr>
          <w:rFonts w:hint="eastAsia" w:ascii="黑体" w:hAnsi="黑体" w:eastAsia="黑体"/>
          <w:sz w:val="32"/>
          <w:szCs w:val="32"/>
        </w:rPr>
        <w:t>收</w:t>
      </w:r>
      <w:r>
        <w:rPr>
          <w:rStyle w:val="31"/>
          <w:rFonts w:hint="eastAsia" w:ascii="黑体" w:hAnsi="黑体" w:eastAsia="黑体"/>
          <w:b w:val="0"/>
        </w:rPr>
        <w:t>入支出决算总体情况说明</w:t>
      </w:r>
      <w:bookmarkEnd w:id="48"/>
      <w:bookmarkEnd w:id="49"/>
      <w:bookmarkEnd w:id="50"/>
    </w:p>
    <w:p>
      <w:pPr>
        <w:spacing w:line="600" w:lineRule="exact"/>
        <w:ind w:firstLine="643" w:firstLineChars="200"/>
        <w:outlineLvl w:val="1"/>
        <w:rPr>
          <w:rFonts w:ascii="仿宋" w:hAnsi="仿宋" w:eastAsia="仿宋"/>
          <w:sz w:val="32"/>
          <w:szCs w:val="32"/>
        </w:rPr>
      </w:pPr>
      <w:bookmarkStart w:id="51" w:name="_Toc9002"/>
      <w:r>
        <w:rPr>
          <w:rFonts w:hint="eastAsia" w:ascii="仿宋" w:hAnsi="仿宋" w:eastAsia="仿宋"/>
          <w:b/>
          <w:sz w:val="32"/>
          <w:szCs w:val="32"/>
        </w:rPr>
        <w:t>（一）收入决算总体情况说明</w:t>
      </w:r>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2021年全年收入588.94万元，上年收入1055.56万元，与上年对比收入减少466.62万元，减少幅度44.21%，其中：本年一般公共预算财政拨款收入559.72万元，上年一般公共预算财政拨款收入799.50万元；本年年初结转结余资金20.15万元，上年年初结转结余资金244.72万元，本年基金收入9.08万元，上年基金收入11.35万元。原因是2021年度财政结转资金减少、项目减少。</w:t>
      </w:r>
    </w:p>
    <w:p>
      <w:pPr>
        <w:pStyle w:val="2"/>
        <w:spacing w:before="93"/>
        <w:rPr>
          <w:rFonts w:eastAsia="仿宋"/>
        </w:rPr>
      </w:pPr>
      <w:r>
        <w:rPr>
          <w:rFonts w:hint="eastAsia" w:ascii="仿宋" w:hAnsi="仿宋" w:eastAsia="仿宋"/>
          <w:sz w:val="32"/>
          <w:szCs w:val="32"/>
        </w:rPr>
        <w:t xml:space="preserve">    </w:t>
      </w:r>
      <w:r>
        <w:rPr>
          <w:rFonts w:hint="eastAsia" w:ascii="仿宋" w:hAnsi="仿宋" w:eastAsia="仿宋"/>
          <w:b/>
          <w:sz w:val="32"/>
          <w:szCs w:val="32"/>
        </w:rPr>
        <w:t>（二）支出决算总体情况说明</w:t>
      </w:r>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2021年全年支出588.94万元，上年支出983.46万元，与上年对比支出减少394.52万元，减少幅度40.12%，原因是2021年度由市残联直接支付资金的项目减少，市残疾人康复教育中心基建项目和装饰装修完成。</w:t>
      </w:r>
      <w:bookmarkEnd w:id="51"/>
    </w:p>
    <w:p>
      <w:pPr>
        <w:spacing w:line="600" w:lineRule="exact"/>
        <w:ind w:firstLine="640" w:firstLineChars="200"/>
        <w:outlineLvl w:val="1"/>
        <w:rPr>
          <w:rFonts w:ascii="仿宋" w:hAnsi="仿宋" w:eastAsia="仿宋"/>
          <w:sz w:val="32"/>
          <w:szCs w:val="32"/>
        </w:rPr>
      </w:pPr>
      <w:bookmarkStart w:id="52" w:name="_Toc2100"/>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bookmarkEnd w:id="52"/>
    </w:p>
    <w:p>
      <w:pPr>
        <w:pStyle w:val="2"/>
        <w:spacing w:before="93"/>
        <w:ind w:firstLine="1560" w:firstLineChars="650"/>
      </w:pPr>
      <w:r>
        <w:drawing>
          <wp:inline distT="0" distB="0" distL="0" distR="0">
            <wp:extent cx="3886200" cy="2162175"/>
            <wp:effectExtent l="0" t="0" r="0" b="0"/>
            <wp:docPr id="1" name="对象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18"/>
        <w:numPr>
          <w:ilvl w:val="0"/>
          <w:numId w:val="2"/>
        </w:numPr>
        <w:spacing w:line="600" w:lineRule="exact"/>
        <w:ind w:firstLineChars="0"/>
        <w:outlineLvl w:val="1"/>
        <w:rPr>
          <w:rStyle w:val="31"/>
          <w:rFonts w:ascii="黑体" w:hAnsi="黑体" w:eastAsia="黑体"/>
          <w:b w:val="0"/>
        </w:rPr>
      </w:pPr>
      <w:bookmarkStart w:id="53" w:name="_Toc15396604"/>
      <w:bookmarkStart w:id="54" w:name="_Toc15377206"/>
      <w:bookmarkStart w:id="55" w:name="_Toc23619"/>
      <w:r>
        <w:rPr>
          <w:rFonts w:hint="eastAsia" w:ascii="黑体" w:hAnsi="黑体" w:eastAsia="黑体"/>
          <w:sz w:val="32"/>
          <w:szCs w:val="32"/>
        </w:rPr>
        <w:t>收</w:t>
      </w:r>
      <w:r>
        <w:rPr>
          <w:rStyle w:val="31"/>
          <w:rFonts w:hint="eastAsia" w:ascii="黑体" w:hAnsi="黑体" w:eastAsia="黑体"/>
          <w:b w:val="0"/>
        </w:rPr>
        <w:t>入决算情况说明</w:t>
      </w:r>
      <w:bookmarkEnd w:id="53"/>
      <w:bookmarkEnd w:id="54"/>
      <w:bookmarkEnd w:id="55"/>
    </w:p>
    <w:p>
      <w:pPr>
        <w:spacing w:line="600" w:lineRule="exact"/>
        <w:ind w:firstLine="640" w:firstLineChars="200"/>
        <w:outlineLvl w:val="1"/>
        <w:rPr>
          <w:rFonts w:hint="eastAsia" w:ascii="仿宋" w:hAnsi="仿宋" w:eastAsia="仿宋"/>
          <w:sz w:val="32"/>
          <w:szCs w:val="32"/>
        </w:rPr>
      </w:pPr>
      <w:bookmarkStart w:id="56" w:name="_Toc21759"/>
      <w:r>
        <w:rPr>
          <w:rFonts w:ascii="仿宋" w:hAnsi="仿宋" w:eastAsia="仿宋"/>
          <w:sz w:val="32"/>
          <w:szCs w:val="32"/>
        </w:rPr>
        <w:t>20</w:t>
      </w:r>
      <w:r>
        <w:rPr>
          <w:rFonts w:hint="eastAsia" w:ascii="仿宋" w:hAnsi="仿宋" w:eastAsia="仿宋"/>
          <w:sz w:val="32"/>
          <w:szCs w:val="32"/>
        </w:rPr>
        <w:t>21年本年收入合计588.94</w:t>
      </w:r>
      <w:r>
        <w:rPr>
          <w:rFonts w:hint="eastAsia" w:ascii="仿宋" w:hAnsi="仿宋" w:eastAsia="仿宋"/>
          <w:sz w:val="32"/>
          <w:szCs w:val="32"/>
        </w:rPr>
        <w:t>万元，其中：一般公共预算财政拨款收入559.72万元，占95.04%</w:t>
      </w:r>
      <w:r>
        <w:rPr>
          <w:rFonts w:hint="eastAsia" w:ascii="仿宋" w:hAnsi="仿宋" w:eastAsia="仿宋"/>
          <w:sz w:val="32"/>
          <w:szCs w:val="32"/>
        </w:rPr>
        <w:t>；政府性基金预算财政拨款收入9.08万元，占1.54%</w:t>
      </w:r>
      <w:r>
        <w:rPr>
          <w:rFonts w:hint="eastAsia" w:ascii="仿宋" w:hAnsi="仿宋" w:eastAsia="仿宋"/>
          <w:sz w:val="32"/>
          <w:szCs w:val="32"/>
        </w:rPr>
        <w:t>；年初结转结余20.15万元，占3.42%</w:t>
      </w:r>
      <w:r>
        <w:rPr>
          <w:rFonts w:hint="eastAsia" w:ascii="仿宋" w:hAnsi="仿宋" w:eastAsia="仿宋"/>
          <w:sz w:val="32"/>
          <w:szCs w:val="32"/>
        </w:rPr>
        <w:t>。</w:t>
      </w:r>
      <w:bookmarkEnd w:id="56"/>
    </w:p>
    <w:p>
      <w:pPr>
        <w:spacing w:line="600" w:lineRule="exact"/>
        <w:ind w:firstLine="640" w:firstLineChars="200"/>
        <w:rPr>
          <w:rFonts w:ascii="仿宋" w:hAnsi="仿宋" w:eastAsia="仿宋"/>
          <w:sz w:val="32"/>
          <w:szCs w:val="32"/>
        </w:rPr>
      </w:pPr>
      <w:r>
        <w:rPr>
          <w:rFonts w:hint="eastAsia" w:ascii="仿宋" w:hAnsi="仿宋" w:eastAsia="仿宋"/>
          <w:sz w:val="32"/>
          <w:szCs w:val="32"/>
        </w:rPr>
        <w:t>（图2：收入决算结构图）</w:t>
      </w:r>
    </w:p>
    <w:p>
      <w:pPr>
        <w:pStyle w:val="2"/>
        <w:spacing w:before="93"/>
        <w:ind w:firstLine="2160" w:firstLineChars="900"/>
      </w:pPr>
      <w:r>
        <w:drawing>
          <wp:inline distT="0" distB="0" distL="0" distR="0">
            <wp:extent cx="3238500" cy="2257425"/>
            <wp:effectExtent l="0" t="0" r="0" b="0"/>
            <wp:docPr id="2"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18"/>
        <w:numPr>
          <w:ilvl w:val="0"/>
          <w:numId w:val="2"/>
        </w:numPr>
        <w:spacing w:line="600" w:lineRule="exact"/>
        <w:ind w:firstLineChars="0"/>
        <w:outlineLvl w:val="1"/>
        <w:rPr>
          <w:rStyle w:val="31"/>
          <w:rFonts w:ascii="黑体" w:hAnsi="黑体" w:eastAsia="黑体"/>
          <w:b w:val="0"/>
        </w:rPr>
      </w:pPr>
      <w:bookmarkStart w:id="57" w:name="_Toc15377207"/>
      <w:bookmarkStart w:id="58" w:name="_Toc15396605"/>
      <w:bookmarkStart w:id="59" w:name="_Toc20673"/>
      <w:r>
        <w:rPr>
          <w:rFonts w:hint="eastAsia" w:ascii="黑体" w:hAnsi="黑体" w:eastAsia="黑体"/>
          <w:sz w:val="32"/>
          <w:szCs w:val="32"/>
        </w:rPr>
        <w:t>支</w:t>
      </w:r>
      <w:r>
        <w:rPr>
          <w:rStyle w:val="31"/>
          <w:rFonts w:hint="eastAsia" w:ascii="黑体" w:hAnsi="黑体" w:eastAsia="黑体"/>
          <w:b w:val="0"/>
        </w:rPr>
        <w:t>出决算情况说明</w:t>
      </w:r>
      <w:bookmarkEnd w:id="57"/>
      <w:bookmarkEnd w:id="58"/>
      <w:bookmarkEnd w:id="59"/>
    </w:p>
    <w:p>
      <w:pPr>
        <w:spacing w:line="600" w:lineRule="exact"/>
        <w:ind w:firstLine="640" w:firstLineChars="200"/>
        <w:outlineLvl w:val="1"/>
        <w:rPr>
          <w:rFonts w:ascii="仿宋" w:hAnsi="仿宋" w:eastAsia="仿宋"/>
          <w:sz w:val="32"/>
          <w:szCs w:val="32"/>
        </w:rPr>
      </w:pPr>
      <w:bookmarkStart w:id="60" w:name="_Toc7566"/>
      <w:r>
        <w:rPr>
          <w:rFonts w:ascii="仿宋" w:hAnsi="仿宋" w:eastAsia="仿宋"/>
          <w:sz w:val="32"/>
          <w:szCs w:val="32"/>
        </w:rPr>
        <w:t>20</w:t>
      </w:r>
      <w:r>
        <w:rPr>
          <w:rFonts w:hint="eastAsia" w:ascii="仿宋" w:hAnsi="仿宋" w:eastAsia="仿宋"/>
          <w:sz w:val="32"/>
          <w:szCs w:val="32"/>
        </w:rPr>
        <w:t>21年本年支出合计588.94万元，其中：基本支出463.56万元，占78.71</w:t>
      </w:r>
      <w:r>
        <w:rPr>
          <w:rFonts w:ascii="仿宋" w:hAnsi="仿宋" w:eastAsia="仿宋"/>
          <w:sz w:val="32"/>
          <w:szCs w:val="32"/>
        </w:rPr>
        <w:t>%</w:t>
      </w:r>
      <w:r>
        <w:rPr>
          <w:rFonts w:hint="eastAsia" w:ascii="仿宋" w:hAnsi="仿宋" w:eastAsia="仿宋"/>
          <w:sz w:val="32"/>
          <w:szCs w:val="32"/>
        </w:rPr>
        <w:t>；项目支出125.38万元，占21.29</w:t>
      </w:r>
      <w:r>
        <w:rPr>
          <w:rFonts w:ascii="仿宋" w:hAnsi="仿宋" w:eastAsia="仿宋"/>
          <w:sz w:val="32"/>
          <w:szCs w:val="32"/>
        </w:rPr>
        <w:t>%</w:t>
      </w:r>
      <w:r>
        <w:rPr>
          <w:rFonts w:hint="eastAsia" w:ascii="仿宋" w:hAnsi="仿宋" w:eastAsia="仿宋"/>
          <w:sz w:val="32"/>
          <w:szCs w:val="32"/>
        </w:rPr>
        <w:t>。</w:t>
      </w:r>
      <w:bookmarkEnd w:id="60"/>
    </w:p>
    <w:p>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w:t>
      </w:r>
    </w:p>
    <w:p>
      <w:pPr>
        <w:pStyle w:val="2"/>
        <w:spacing w:before="93"/>
        <w:ind w:firstLine="1800" w:firstLineChars="750"/>
      </w:pPr>
      <w:r>
        <w:drawing>
          <wp:inline distT="0" distB="0" distL="0" distR="0">
            <wp:extent cx="3581400" cy="2247900"/>
            <wp:effectExtent l="0" t="0" r="0" b="0"/>
            <wp:docPr id="3"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640" w:firstLineChars="200"/>
        <w:outlineLvl w:val="1"/>
        <w:rPr>
          <w:rStyle w:val="31"/>
          <w:rFonts w:ascii="黑体" w:hAnsi="黑体" w:eastAsia="黑体"/>
          <w:b w:val="0"/>
        </w:rPr>
      </w:pPr>
      <w:bookmarkStart w:id="61" w:name="_Toc24856"/>
      <w:bookmarkStart w:id="62" w:name="_Toc15377208"/>
      <w:bookmarkStart w:id="63" w:name="_Toc15396606"/>
      <w:r>
        <w:rPr>
          <w:rFonts w:hint="eastAsia" w:ascii="黑体" w:hAnsi="黑体" w:eastAsia="黑体"/>
          <w:sz w:val="32"/>
          <w:szCs w:val="32"/>
        </w:rPr>
        <w:t>四、财</w:t>
      </w:r>
      <w:r>
        <w:rPr>
          <w:rStyle w:val="31"/>
          <w:rFonts w:hint="eastAsia" w:ascii="黑体" w:hAnsi="黑体" w:eastAsia="黑体"/>
          <w:b w:val="0"/>
        </w:rPr>
        <w:t>政拨款收入支出决算总体情况说明</w:t>
      </w:r>
      <w:bookmarkEnd w:id="61"/>
      <w:bookmarkEnd w:id="62"/>
      <w:bookmarkEnd w:id="63"/>
    </w:p>
    <w:p>
      <w:pPr>
        <w:pStyle w:val="12"/>
        <w:widowControl/>
        <w:spacing w:line="560" w:lineRule="exact"/>
        <w:ind w:firstLine="640" w:firstLineChars="200"/>
        <w:jc w:val="left"/>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21年财政拨款收入588.94万元，与</w:t>
      </w:r>
      <w:r>
        <w:rPr>
          <w:rFonts w:ascii="仿宋" w:hAnsi="仿宋" w:eastAsia="仿宋"/>
          <w:sz w:val="32"/>
          <w:szCs w:val="32"/>
        </w:rPr>
        <w:t>20</w:t>
      </w:r>
      <w:r>
        <w:rPr>
          <w:rFonts w:hint="eastAsia" w:ascii="仿宋" w:hAnsi="仿宋" w:eastAsia="仿宋"/>
          <w:sz w:val="32"/>
          <w:szCs w:val="32"/>
        </w:rPr>
        <w:t>20年相比，财政拨款收入减少466.62万元，下降44.21%；2021年全年支出588.94万元，与</w:t>
      </w:r>
      <w:r>
        <w:rPr>
          <w:rFonts w:ascii="仿宋" w:hAnsi="仿宋" w:eastAsia="仿宋"/>
          <w:sz w:val="32"/>
          <w:szCs w:val="32"/>
        </w:rPr>
        <w:t>20</w:t>
      </w:r>
      <w:r>
        <w:rPr>
          <w:rFonts w:hint="eastAsia" w:ascii="仿宋" w:hAnsi="仿宋" w:eastAsia="仿宋"/>
          <w:sz w:val="32"/>
          <w:szCs w:val="32"/>
        </w:rPr>
        <w:t>20年相比，支出减少394.52万元，减少幅度40.12%，原因是2021年度由市残联直接支付资金的项目减少, 市残疾人康复教育中心基建项目和装饰装修完成。</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w:t>
      </w:r>
    </w:p>
    <w:p>
      <w:pPr>
        <w:pStyle w:val="2"/>
        <w:spacing w:before="93"/>
      </w:pPr>
    </w:p>
    <w:p>
      <w:pPr>
        <w:pStyle w:val="2"/>
        <w:spacing w:before="93"/>
        <w:ind w:firstLine="1920" w:firstLineChars="800"/>
      </w:pPr>
      <w:r>
        <w:drawing>
          <wp:inline distT="0" distB="0" distL="0" distR="0">
            <wp:extent cx="3590925" cy="2238375"/>
            <wp:effectExtent l="0" t="0" r="0" b="0"/>
            <wp:docPr id="4" name="对象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640" w:firstLineChars="200"/>
        <w:outlineLvl w:val="1"/>
        <w:rPr>
          <w:rStyle w:val="31"/>
          <w:rFonts w:ascii="黑体" w:hAnsi="黑体" w:eastAsia="黑体"/>
          <w:b w:val="0"/>
        </w:rPr>
      </w:pPr>
      <w:bookmarkStart w:id="64" w:name="_Toc15377209"/>
      <w:bookmarkStart w:id="65" w:name="_Toc6678"/>
      <w:bookmarkStart w:id="66" w:name="_Toc15396607"/>
      <w:r>
        <w:rPr>
          <w:rFonts w:hint="eastAsia" w:ascii="黑体" w:hAnsi="黑体" w:eastAsia="黑体"/>
          <w:sz w:val="32"/>
          <w:szCs w:val="32"/>
        </w:rPr>
        <w:t>五、</w:t>
      </w:r>
      <w:r>
        <w:rPr>
          <w:rFonts w:hint="eastAsia" w:ascii="黑体" w:hAnsi="黑体" w:eastAsia="黑体"/>
          <w:b/>
          <w:sz w:val="32"/>
          <w:szCs w:val="32"/>
        </w:rPr>
        <w:t>一</w:t>
      </w:r>
      <w:r>
        <w:rPr>
          <w:rStyle w:val="31"/>
          <w:rFonts w:hint="eastAsia" w:ascii="黑体" w:hAnsi="黑体" w:eastAsia="黑体"/>
          <w:b w:val="0"/>
        </w:rPr>
        <w:t>般公共预算财政拨款支出决算情况说明</w:t>
      </w:r>
      <w:bookmarkEnd w:id="64"/>
      <w:bookmarkEnd w:id="65"/>
      <w:bookmarkEnd w:id="66"/>
    </w:p>
    <w:p>
      <w:pPr>
        <w:spacing w:line="600" w:lineRule="exact"/>
        <w:ind w:firstLine="643" w:firstLineChars="200"/>
        <w:outlineLvl w:val="2"/>
        <w:rPr>
          <w:rFonts w:ascii="仿宋" w:hAnsi="仿宋" w:eastAsia="仿宋"/>
          <w:b/>
          <w:sz w:val="32"/>
          <w:szCs w:val="32"/>
        </w:rPr>
      </w:pPr>
      <w:bookmarkStart w:id="67" w:name="_Toc15377210"/>
      <w:r>
        <w:rPr>
          <w:rFonts w:hint="eastAsia" w:ascii="仿宋" w:hAnsi="仿宋" w:eastAsia="仿宋"/>
          <w:b/>
          <w:sz w:val="32"/>
          <w:szCs w:val="32"/>
        </w:rPr>
        <w:t>（一）一般公共预算财政拨款支出决算总体情况</w:t>
      </w:r>
      <w:bookmarkEnd w:id="67"/>
    </w:p>
    <w:p>
      <w:pPr>
        <w:pStyle w:val="12"/>
        <w:widowControl/>
        <w:spacing w:line="560" w:lineRule="exact"/>
        <w:ind w:firstLine="640" w:firstLineChars="200"/>
        <w:jc w:val="left"/>
        <w:rPr>
          <w:rFonts w:hint="eastAsia"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21年一般公共预算财政拨款支出573.87万元，占本年支出合计的97.44</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20年799.50万元相比，一般公共预算财政拨款支出减少255.63万元，下降28.22</w:t>
      </w:r>
      <w:r>
        <w:rPr>
          <w:rFonts w:ascii="仿宋" w:hAnsi="仿宋" w:eastAsia="仿宋"/>
          <w:sz w:val="32"/>
          <w:szCs w:val="32"/>
        </w:rPr>
        <w:t>%</w:t>
      </w:r>
      <w:r>
        <w:rPr>
          <w:rFonts w:hint="eastAsia" w:ascii="仿宋" w:hAnsi="仿宋" w:eastAsia="仿宋"/>
          <w:sz w:val="32"/>
          <w:szCs w:val="32"/>
        </w:rPr>
        <w:t>。主要变动原因是2021年度由市残联直接支付资金的项目减少, 市残疾人康复教育中心基建项目和装饰装修完成。</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w:t>
      </w:r>
    </w:p>
    <w:p>
      <w:pPr>
        <w:pStyle w:val="2"/>
        <w:spacing w:before="93"/>
        <w:ind w:firstLine="1800" w:firstLineChars="750"/>
      </w:pPr>
      <w:r>
        <w:drawing>
          <wp:inline distT="0" distB="0" distL="0" distR="0">
            <wp:extent cx="3448050" cy="2257425"/>
            <wp:effectExtent l="0" t="0" r="0" b="0"/>
            <wp:docPr id="5" name="对象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3" w:firstLineChars="200"/>
        <w:outlineLvl w:val="2"/>
        <w:rPr>
          <w:rFonts w:ascii="仿宋" w:hAnsi="仿宋" w:eastAsia="仿宋"/>
          <w:b/>
          <w:sz w:val="32"/>
          <w:szCs w:val="32"/>
        </w:rPr>
      </w:pPr>
      <w:bookmarkStart w:id="68" w:name="_Toc15377211"/>
      <w:r>
        <w:rPr>
          <w:rFonts w:hint="eastAsia" w:ascii="仿宋" w:hAnsi="仿宋" w:eastAsia="仿宋"/>
          <w:b/>
          <w:sz w:val="32"/>
          <w:szCs w:val="32"/>
        </w:rPr>
        <w:t>（二）一般公共预算财政拨款支出决算结构情况</w:t>
      </w:r>
      <w:bookmarkEnd w:id="68"/>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21年一般公共预算财政拨款支出573.87万元，主要用于以下方面</w:t>
      </w:r>
      <w:r>
        <w:rPr>
          <w:rFonts w:ascii="仿宋" w:hAnsi="仿宋" w:eastAsia="仿宋"/>
          <w:sz w:val="32"/>
          <w:szCs w:val="32"/>
        </w:rPr>
        <w:t>:</w:t>
      </w:r>
      <w:r>
        <w:rPr>
          <w:rFonts w:hint="eastAsia" w:ascii="仿宋" w:hAnsi="仿宋" w:eastAsia="仿宋"/>
          <w:b/>
          <w:sz w:val="32"/>
          <w:szCs w:val="32"/>
        </w:rPr>
        <w:t>一般公共服务（类）</w:t>
      </w:r>
      <w:r>
        <w:rPr>
          <w:rFonts w:hint="eastAsia" w:ascii="仿宋" w:hAnsi="仿宋" w:eastAsia="仿宋"/>
          <w:sz w:val="32"/>
          <w:szCs w:val="32"/>
        </w:rPr>
        <w:t>支出2.18万元，占0.38</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支出541.87万元，占94.42</w:t>
      </w:r>
      <w:r>
        <w:rPr>
          <w:rFonts w:ascii="仿宋" w:hAnsi="仿宋" w:eastAsia="仿宋"/>
          <w:sz w:val="32"/>
          <w:szCs w:val="32"/>
        </w:rPr>
        <w:t>%</w:t>
      </w:r>
      <w:r>
        <w:rPr>
          <w:rFonts w:hint="eastAsia" w:ascii="仿宋" w:hAnsi="仿宋" w:eastAsia="仿宋"/>
          <w:sz w:val="32"/>
          <w:szCs w:val="32"/>
        </w:rPr>
        <w:t>；住房保障支出29.82万元，占5.20</w:t>
      </w:r>
      <w:r>
        <w:rPr>
          <w:rFonts w:ascii="仿宋" w:hAnsi="仿宋" w:eastAsia="仿宋"/>
          <w:sz w:val="32"/>
          <w:szCs w:val="32"/>
        </w:rPr>
        <w:t>%</w:t>
      </w:r>
      <w:r>
        <w:rPr>
          <w:rFonts w:hint="eastAsia" w:ascii="仿宋" w:hAnsi="仿宋" w:eastAsia="仿宋"/>
          <w:sz w:val="32"/>
          <w:szCs w:val="32"/>
        </w:rPr>
        <w:t>。</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pPr>
        <w:pStyle w:val="2"/>
        <w:spacing w:before="93"/>
        <w:ind w:firstLine="1800" w:firstLineChars="750"/>
      </w:pPr>
      <w:r>
        <w:drawing>
          <wp:inline distT="0" distB="0" distL="0" distR="0">
            <wp:extent cx="4019550" cy="2390775"/>
            <wp:effectExtent l="0" t="0" r="0" b="0"/>
            <wp:docPr id="6" name="对象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2"/>
        <w:spacing w:before="93"/>
        <w:ind w:firstLine="1800" w:firstLineChars="750"/>
      </w:pPr>
    </w:p>
    <w:p>
      <w:pPr>
        <w:spacing w:line="600" w:lineRule="exact"/>
        <w:ind w:firstLine="643" w:firstLineChars="200"/>
        <w:outlineLvl w:val="2"/>
        <w:rPr>
          <w:rFonts w:ascii="仿宋" w:hAnsi="仿宋" w:eastAsia="仿宋"/>
          <w:b/>
          <w:sz w:val="32"/>
          <w:szCs w:val="32"/>
        </w:rPr>
      </w:pPr>
      <w:bookmarkStart w:id="69" w:name="_Toc15377212"/>
      <w:r>
        <w:rPr>
          <w:rFonts w:hint="eastAsia" w:ascii="仿宋" w:hAnsi="仿宋" w:eastAsia="仿宋"/>
          <w:b/>
          <w:sz w:val="32"/>
          <w:szCs w:val="32"/>
        </w:rPr>
        <w:t>（三）一般公共预算财政拨款支出决算具体情况</w:t>
      </w:r>
      <w:bookmarkEnd w:id="69"/>
    </w:p>
    <w:p>
      <w:pPr>
        <w:spacing w:line="600" w:lineRule="exact"/>
        <w:ind w:firstLine="643" w:firstLineChars="200"/>
        <w:outlineLvl w:val="2"/>
        <w:rPr>
          <w:rFonts w:ascii="仿宋" w:hAnsi="仿宋" w:eastAsia="仿宋"/>
          <w:sz w:val="32"/>
          <w:szCs w:val="32"/>
        </w:rPr>
      </w:pPr>
      <w:bookmarkStart w:id="70" w:name="_Toc15377213"/>
      <w:bookmarkStart w:id="71" w:name="_Toc15377444"/>
      <w:bookmarkStart w:id="72" w:name="_Toc15378460"/>
      <w:r>
        <w:rPr>
          <w:rFonts w:hint="eastAsia" w:ascii="仿宋" w:hAnsi="仿宋" w:eastAsia="仿宋"/>
          <w:b/>
          <w:sz w:val="32"/>
          <w:szCs w:val="32"/>
        </w:rPr>
        <w:t>2021年一般公共预算支出决算数为573.87万元</w:t>
      </w:r>
      <w:r>
        <w:rPr>
          <w:rFonts w:hint="eastAsia" w:ascii="仿宋" w:hAnsi="仿宋" w:eastAsia="仿宋"/>
          <w:sz w:val="32"/>
          <w:szCs w:val="32"/>
        </w:rPr>
        <w:t>，</w:t>
      </w:r>
      <w:r>
        <w:rPr>
          <w:rStyle w:val="15"/>
          <w:rFonts w:hint="eastAsia" w:ascii="仿宋" w:hAnsi="仿宋" w:eastAsia="仿宋"/>
          <w:bCs/>
          <w:sz w:val="32"/>
          <w:szCs w:val="32"/>
        </w:rPr>
        <w:t>完成预算100</w:t>
      </w:r>
      <w:r>
        <w:rPr>
          <w:rStyle w:val="15"/>
          <w:rFonts w:ascii="仿宋" w:hAnsi="仿宋" w:eastAsia="仿宋"/>
          <w:bCs/>
          <w:sz w:val="32"/>
          <w:szCs w:val="32"/>
        </w:rPr>
        <w:t>%</w:t>
      </w:r>
      <w:r>
        <w:rPr>
          <w:rStyle w:val="15"/>
          <w:rFonts w:hint="eastAsia" w:ascii="仿宋" w:hAnsi="仿宋" w:eastAsia="仿宋"/>
          <w:bCs/>
          <w:sz w:val="32"/>
          <w:szCs w:val="32"/>
        </w:rPr>
        <w:t>。其中：</w:t>
      </w:r>
      <w:bookmarkEnd w:id="70"/>
      <w:bookmarkEnd w:id="71"/>
      <w:bookmarkEnd w:id="72"/>
    </w:p>
    <w:p>
      <w:pPr>
        <w:spacing w:line="600" w:lineRule="exact"/>
        <w:ind w:firstLine="643" w:firstLineChars="200"/>
        <w:rPr>
          <w:rStyle w:val="15"/>
          <w:rFonts w:ascii="仿宋" w:hAnsi="仿宋" w:eastAsia="仿宋"/>
          <w:b w:val="0"/>
          <w:bCs/>
          <w:color w:val="000000"/>
          <w:sz w:val="32"/>
          <w:szCs w:val="32"/>
        </w:rPr>
      </w:pPr>
      <w:r>
        <w:rPr>
          <w:rStyle w:val="15"/>
          <w:rFonts w:ascii="仿宋" w:hAnsi="仿宋" w:eastAsia="仿宋"/>
          <w:bCs/>
          <w:color w:val="000000"/>
          <w:sz w:val="32"/>
          <w:szCs w:val="32"/>
        </w:rPr>
        <w:t>1.</w:t>
      </w:r>
      <w:r>
        <w:rPr>
          <w:rStyle w:val="15"/>
          <w:rFonts w:hint="eastAsia" w:ascii="仿宋" w:hAnsi="仿宋" w:eastAsia="仿宋"/>
          <w:bCs/>
          <w:color w:val="000000"/>
          <w:sz w:val="32"/>
          <w:szCs w:val="32"/>
        </w:rPr>
        <w:t>一般公共服务（类）组织事务（款）其他组织事务支出（项）</w:t>
      </w:r>
      <w:r>
        <w:rPr>
          <w:rStyle w:val="15"/>
          <w:rFonts w:ascii="仿宋" w:hAnsi="仿宋" w:eastAsia="仿宋"/>
          <w:bCs/>
          <w:color w:val="000000"/>
          <w:sz w:val="32"/>
          <w:szCs w:val="32"/>
        </w:rPr>
        <w:t>:</w:t>
      </w:r>
      <w:r>
        <w:rPr>
          <w:rStyle w:val="15"/>
          <w:rFonts w:hint="eastAsia" w:ascii="仿宋" w:hAnsi="仿宋" w:eastAsia="仿宋"/>
          <w:b w:val="0"/>
          <w:bCs/>
          <w:color w:val="000000"/>
          <w:sz w:val="32"/>
          <w:szCs w:val="32"/>
        </w:rPr>
        <w:t>支出决算为2.18万元，完成预算100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pPr>
        <w:pStyle w:val="21"/>
        <w:snapToGrid w:val="0"/>
        <w:spacing w:line="600" w:lineRule="atLeast"/>
        <w:ind w:firstLine="672"/>
        <w:rPr>
          <w:rStyle w:val="15"/>
          <w:rFonts w:hint="eastAsia" w:ascii="仿宋" w:hAnsi="仿宋" w:eastAsia="仿宋" w:cs="Times New Roman"/>
          <w:b w:val="0"/>
          <w:bCs/>
          <w:color w:val="000000"/>
          <w:kern w:val="2"/>
          <w:sz w:val="32"/>
          <w:szCs w:val="32"/>
          <w:lang w:val="en-US" w:eastAsia="zh-CN" w:bidi="ar-SA"/>
        </w:rPr>
      </w:pPr>
      <w:r>
        <w:rPr>
          <w:rStyle w:val="15"/>
          <w:rFonts w:hint="eastAsia" w:ascii="仿宋" w:hAnsi="仿宋" w:eastAsia="仿宋" w:cs="Times New Roman"/>
          <w:bCs/>
          <w:color w:val="000000"/>
          <w:kern w:val="2"/>
          <w:sz w:val="32"/>
          <w:szCs w:val="32"/>
          <w:lang w:val="en-US" w:eastAsia="zh-CN" w:bidi="ar-SA"/>
        </w:rPr>
        <w:t>2.社会保障和就业（类）行政事业单位养老支出（款）行政单位离退休（项）:</w:t>
      </w:r>
      <w:r>
        <w:rPr>
          <w:rStyle w:val="15"/>
          <w:rFonts w:hint="eastAsia" w:ascii="仿宋" w:hAnsi="仿宋" w:eastAsia="仿宋" w:cs="Times New Roman"/>
          <w:b w:val="0"/>
          <w:bCs/>
          <w:color w:val="000000"/>
          <w:kern w:val="2"/>
          <w:sz w:val="32"/>
          <w:szCs w:val="32"/>
          <w:lang w:val="en-US" w:eastAsia="zh-CN" w:bidi="ar-SA"/>
        </w:rPr>
        <w:t>支出决算为15.04万元，完成预算</w:t>
      </w:r>
      <w:r>
        <w:rPr>
          <w:rStyle w:val="15"/>
          <w:rFonts w:hint="eastAsia" w:ascii="仿宋" w:hAnsi="仿宋" w:eastAsia="仿宋" w:cs="Times New Roman"/>
          <w:b w:val="0"/>
          <w:bCs/>
          <w:color w:val="000000"/>
          <w:kern w:val="2"/>
          <w:sz w:val="32"/>
          <w:szCs w:val="32"/>
          <w:lang w:val="en-US" w:eastAsia="zh-CN" w:bidi="ar-SA"/>
        </w:rPr>
        <w:t>100%。</w:t>
      </w:r>
    </w:p>
    <w:p>
      <w:pPr>
        <w:pStyle w:val="21"/>
        <w:snapToGrid w:val="0"/>
        <w:spacing w:line="600" w:lineRule="atLeast"/>
        <w:ind w:firstLine="672"/>
        <w:rPr>
          <w:rStyle w:val="15"/>
          <w:rFonts w:hint="eastAsia" w:ascii="仿宋" w:hAnsi="仿宋" w:eastAsia="仿宋" w:cs="Times New Roman"/>
          <w:b w:val="0"/>
          <w:bCs/>
          <w:color w:val="000000"/>
          <w:kern w:val="2"/>
          <w:sz w:val="32"/>
          <w:szCs w:val="32"/>
          <w:lang w:val="en-US" w:eastAsia="zh-CN" w:bidi="ar-SA"/>
        </w:rPr>
      </w:pPr>
      <w:r>
        <w:rPr>
          <w:rStyle w:val="15"/>
          <w:rFonts w:hint="eastAsia" w:ascii="仿宋" w:hAnsi="仿宋" w:eastAsia="仿宋" w:cs="Times New Roman"/>
          <w:bCs/>
          <w:color w:val="000000"/>
          <w:kern w:val="2"/>
          <w:sz w:val="32"/>
          <w:szCs w:val="32"/>
          <w:lang w:val="en-US" w:eastAsia="zh-CN" w:bidi="ar-SA"/>
        </w:rPr>
        <w:t>3.社会保障和就业（类）行政事业单位养老支出（款）事业单位离退休（项）:</w:t>
      </w:r>
      <w:r>
        <w:rPr>
          <w:rStyle w:val="15"/>
          <w:rFonts w:hint="eastAsia" w:ascii="仿宋" w:hAnsi="仿宋" w:eastAsia="仿宋" w:cs="Times New Roman"/>
          <w:b w:val="0"/>
          <w:bCs/>
          <w:color w:val="000000"/>
          <w:kern w:val="2"/>
          <w:sz w:val="32"/>
          <w:szCs w:val="32"/>
          <w:lang w:val="en-US" w:eastAsia="zh-CN" w:bidi="ar-SA"/>
        </w:rPr>
        <w:t>支出决算为16.41万元，完成预算100%。</w:t>
      </w:r>
    </w:p>
    <w:p>
      <w:pPr>
        <w:pStyle w:val="21"/>
        <w:snapToGrid w:val="0"/>
        <w:spacing w:line="600" w:lineRule="atLeast"/>
        <w:ind w:firstLine="672"/>
        <w:rPr>
          <w:rStyle w:val="15"/>
          <w:rFonts w:hint="eastAsia" w:ascii="仿宋" w:hAnsi="仿宋" w:eastAsia="仿宋" w:cs="Times New Roman"/>
          <w:b w:val="0"/>
          <w:bCs/>
          <w:color w:val="000000"/>
          <w:kern w:val="2"/>
          <w:sz w:val="32"/>
          <w:szCs w:val="32"/>
          <w:lang w:val="en-US" w:eastAsia="zh-CN" w:bidi="ar-SA"/>
        </w:rPr>
      </w:pPr>
      <w:r>
        <w:rPr>
          <w:rStyle w:val="15"/>
          <w:rFonts w:hint="eastAsia" w:ascii="仿宋" w:hAnsi="仿宋" w:eastAsia="仿宋" w:cs="Times New Roman"/>
          <w:bCs/>
          <w:color w:val="000000"/>
          <w:kern w:val="2"/>
          <w:sz w:val="32"/>
          <w:szCs w:val="32"/>
          <w:lang w:val="en-US" w:eastAsia="zh-CN" w:bidi="ar-SA"/>
        </w:rPr>
        <w:t>4.社会保障和就业（类）行政事业单位养老支出（款）机关事业单位基本养老保险缴费支出（项）:</w:t>
      </w:r>
      <w:r>
        <w:rPr>
          <w:rStyle w:val="15"/>
          <w:rFonts w:hint="eastAsia" w:ascii="仿宋" w:hAnsi="仿宋" w:eastAsia="仿宋" w:cs="Times New Roman"/>
          <w:b w:val="0"/>
          <w:bCs/>
          <w:color w:val="000000"/>
          <w:kern w:val="2"/>
          <w:sz w:val="32"/>
          <w:szCs w:val="32"/>
          <w:lang w:val="en-US" w:eastAsia="zh-CN" w:bidi="ar-SA"/>
        </w:rPr>
        <w:t>支出决算为29.41万元，完成预算100%。</w:t>
      </w:r>
    </w:p>
    <w:p>
      <w:pPr>
        <w:pStyle w:val="21"/>
        <w:snapToGrid w:val="0"/>
        <w:spacing w:line="600" w:lineRule="atLeast"/>
        <w:ind w:firstLine="672"/>
        <w:rPr>
          <w:rStyle w:val="15"/>
          <w:rFonts w:hint="eastAsia" w:ascii="仿宋" w:hAnsi="仿宋" w:eastAsia="仿宋" w:cs="Times New Roman"/>
          <w:b w:val="0"/>
          <w:bCs/>
          <w:color w:val="000000"/>
          <w:kern w:val="2"/>
          <w:sz w:val="32"/>
          <w:szCs w:val="32"/>
          <w:lang w:val="en-US" w:eastAsia="zh-CN" w:bidi="ar-SA"/>
        </w:rPr>
      </w:pPr>
      <w:r>
        <w:rPr>
          <w:rStyle w:val="15"/>
          <w:rFonts w:hint="eastAsia" w:ascii="仿宋" w:hAnsi="仿宋" w:eastAsia="仿宋" w:cs="Times New Roman"/>
          <w:bCs/>
          <w:color w:val="000000"/>
          <w:kern w:val="2"/>
          <w:sz w:val="32"/>
          <w:szCs w:val="32"/>
          <w:lang w:val="en-US" w:eastAsia="zh-CN" w:bidi="ar-SA"/>
        </w:rPr>
        <w:t>5.社会保障和就业（类）社会福利（款）儿童福利（项）:</w:t>
      </w:r>
      <w:r>
        <w:rPr>
          <w:rStyle w:val="15"/>
          <w:rFonts w:hint="eastAsia" w:ascii="仿宋" w:hAnsi="仿宋" w:eastAsia="仿宋" w:cs="Times New Roman"/>
          <w:b w:val="0"/>
          <w:bCs/>
          <w:color w:val="000000"/>
          <w:kern w:val="2"/>
          <w:sz w:val="32"/>
          <w:szCs w:val="32"/>
          <w:lang w:val="en-US" w:eastAsia="zh-CN" w:bidi="ar-SA"/>
        </w:rPr>
        <w:t>支出决算为0.47万元，完成预算100%。</w:t>
      </w:r>
    </w:p>
    <w:p>
      <w:pPr>
        <w:pStyle w:val="21"/>
        <w:snapToGrid w:val="0"/>
        <w:spacing w:line="600" w:lineRule="atLeast"/>
        <w:ind w:firstLine="672"/>
        <w:rPr>
          <w:rStyle w:val="15"/>
          <w:rFonts w:hint="eastAsia" w:ascii="仿宋" w:hAnsi="仿宋" w:eastAsia="仿宋" w:cs="Times New Roman"/>
          <w:b w:val="0"/>
          <w:bCs/>
          <w:color w:val="000000"/>
          <w:kern w:val="2"/>
          <w:sz w:val="32"/>
          <w:szCs w:val="32"/>
          <w:lang w:val="en-US" w:eastAsia="zh-CN" w:bidi="ar-SA"/>
        </w:rPr>
      </w:pPr>
      <w:r>
        <w:rPr>
          <w:rStyle w:val="15"/>
          <w:rFonts w:hint="eastAsia" w:ascii="仿宋" w:hAnsi="仿宋" w:eastAsia="仿宋" w:cs="Times New Roman"/>
          <w:bCs/>
          <w:color w:val="000000"/>
          <w:kern w:val="2"/>
          <w:sz w:val="32"/>
          <w:szCs w:val="32"/>
          <w:lang w:val="en-US" w:eastAsia="zh-CN" w:bidi="ar-SA"/>
        </w:rPr>
        <w:t>6.社会保障和就业（类）残疾人事业（款）行政运行（项）：</w:t>
      </w:r>
      <w:r>
        <w:rPr>
          <w:rStyle w:val="15"/>
          <w:rFonts w:hint="eastAsia" w:ascii="仿宋" w:hAnsi="仿宋" w:eastAsia="仿宋" w:cs="Times New Roman"/>
          <w:b w:val="0"/>
          <w:bCs/>
          <w:color w:val="000000"/>
          <w:kern w:val="2"/>
          <w:sz w:val="32"/>
          <w:szCs w:val="32"/>
          <w:lang w:val="en-US" w:eastAsia="zh-CN" w:bidi="ar-SA"/>
        </w:rPr>
        <w:t>支出决算数为217.3万元，完成预算100%。</w:t>
      </w:r>
    </w:p>
    <w:p>
      <w:pPr>
        <w:pStyle w:val="21"/>
        <w:snapToGrid w:val="0"/>
        <w:spacing w:line="600" w:lineRule="atLeast"/>
        <w:ind w:firstLine="672"/>
        <w:rPr>
          <w:rStyle w:val="15"/>
          <w:rFonts w:hint="eastAsia" w:ascii="仿宋" w:hAnsi="仿宋" w:eastAsia="仿宋" w:cs="Times New Roman"/>
          <w:b w:val="0"/>
          <w:bCs/>
          <w:color w:val="000000"/>
          <w:kern w:val="2"/>
          <w:sz w:val="32"/>
          <w:szCs w:val="32"/>
          <w:lang w:val="en-US" w:eastAsia="zh-CN" w:bidi="ar-SA"/>
        </w:rPr>
      </w:pPr>
      <w:r>
        <w:rPr>
          <w:rStyle w:val="15"/>
          <w:rFonts w:hint="eastAsia" w:ascii="仿宋" w:hAnsi="仿宋" w:eastAsia="仿宋" w:cs="Times New Roman"/>
          <w:bCs/>
          <w:color w:val="000000"/>
          <w:kern w:val="2"/>
          <w:sz w:val="32"/>
          <w:szCs w:val="32"/>
          <w:lang w:val="en-US" w:eastAsia="zh-CN" w:bidi="ar-SA"/>
        </w:rPr>
        <w:t>7.社会保障和就业（类）残疾人事业（款）机关服务（项）：</w:t>
      </w:r>
      <w:r>
        <w:rPr>
          <w:rStyle w:val="15"/>
          <w:rFonts w:hint="eastAsia" w:ascii="仿宋" w:hAnsi="仿宋" w:eastAsia="仿宋" w:cs="Times New Roman"/>
          <w:b w:val="0"/>
          <w:bCs/>
          <w:color w:val="000000"/>
          <w:kern w:val="2"/>
          <w:sz w:val="32"/>
          <w:szCs w:val="32"/>
          <w:lang w:val="en-US" w:eastAsia="zh-CN" w:bidi="ar-SA"/>
        </w:rPr>
        <w:t>支出决算为150.23万元，完成预算100%。</w:t>
      </w:r>
    </w:p>
    <w:p>
      <w:pPr>
        <w:pStyle w:val="21"/>
        <w:snapToGrid w:val="0"/>
        <w:spacing w:line="600" w:lineRule="atLeast"/>
        <w:ind w:firstLine="672"/>
        <w:rPr>
          <w:rStyle w:val="15"/>
          <w:rFonts w:hint="eastAsia" w:ascii="仿宋" w:hAnsi="仿宋" w:eastAsia="仿宋" w:cs="Times New Roman"/>
          <w:b w:val="0"/>
          <w:bCs/>
          <w:color w:val="000000"/>
          <w:kern w:val="2"/>
          <w:sz w:val="32"/>
          <w:szCs w:val="32"/>
          <w:lang w:val="en-US" w:eastAsia="zh-CN" w:bidi="ar-SA"/>
        </w:rPr>
      </w:pPr>
      <w:r>
        <w:rPr>
          <w:rStyle w:val="15"/>
          <w:rFonts w:hint="eastAsia" w:ascii="仿宋" w:hAnsi="仿宋" w:eastAsia="仿宋" w:cs="Times New Roman"/>
          <w:bCs/>
          <w:color w:val="000000"/>
          <w:kern w:val="2"/>
          <w:sz w:val="32"/>
          <w:szCs w:val="32"/>
          <w:lang w:val="en-US" w:eastAsia="zh-CN" w:bidi="ar-SA"/>
        </w:rPr>
        <w:t>8.社会保障和就业（类）残疾人事业（款）残疾人康复（项）：</w:t>
      </w:r>
      <w:r>
        <w:rPr>
          <w:rStyle w:val="15"/>
          <w:rFonts w:hint="eastAsia" w:ascii="仿宋" w:hAnsi="仿宋" w:eastAsia="仿宋" w:cs="Times New Roman"/>
          <w:b w:val="0"/>
          <w:bCs/>
          <w:color w:val="000000"/>
          <w:kern w:val="2"/>
          <w:sz w:val="32"/>
          <w:szCs w:val="32"/>
          <w:lang w:val="en-US" w:eastAsia="zh-CN" w:bidi="ar-SA"/>
        </w:rPr>
        <w:t>支出决算为25.55万元，完成预算100%。</w:t>
      </w:r>
    </w:p>
    <w:p>
      <w:pPr>
        <w:pStyle w:val="21"/>
        <w:snapToGrid w:val="0"/>
        <w:spacing w:line="600" w:lineRule="atLeast"/>
        <w:ind w:firstLine="672"/>
        <w:rPr>
          <w:rStyle w:val="15"/>
          <w:rFonts w:hint="eastAsia" w:ascii="仿宋" w:hAnsi="仿宋" w:eastAsia="仿宋" w:cs="Times New Roman"/>
          <w:b w:val="0"/>
          <w:bCs/>
          <w:color w:val="000000"/>
          <w:kern w:val="2"/>
          <w:sz w:val="32"/>
          <w:szCs w:val="32"/>
          <w:lang w:val="en-US" w:eastAsia="zh-CN" w:bidi="ar-SA"/>
        </w:rPr>
      </w:pPr>
      <w:r>
        <w:rPr>
          <w:rStyle w:val="15"/>
          <w:rFonts w:hint="eastAsia" w:ascii="仿宋" w:hAnsi="仿宋" w:eastAsia="仿宋" w:cs="Times New Roman"/>
          <w:bCs/>
          <w:color w:val="000000"/>
          <w:kern w:val="2"/>
          <w:sz w:val="32"/>
          <w:szCs w:val="32"/>
          <w:lang w:val="en-US" w:eastAsia="zh-CN" w:bidi="ar-SA"/>
        </w:rPr>
        <w:t>9.社会保障和就业（类）残疾人事业（款）残疾人就业和扶贫（项）：</w:t>
      </w:r>
      <w:r>
        <w:rPr>
          <w:rStyle w:val="15"/>
          <w:rFonts w:hint="eastAsia" w:ascii="仿宋" w:hAnsi="仿宋" w:eastAsia="仿宋" w:cs="Times New Roman"/>
          <w:b w:val="0"/>
          <w:bCs/>
          <w:color w:val="000000"/>
          <w:kern w:val="2"/>
          <w:sz w:val="32"/>
          <w:szCs w:val="32"/>
          <w:lang w:val="en-US" w:eastAsia="zh-CN" w:bidi="ar-SA"/>
        </w:rPr>
        <w:t>支出决算为41.07万元，完成预算100%。</w:t>
      </w:r>
    </w:p>
    <w:p>
      <w:pPr>
        <w:pStyle w:val="21"/>
        <w:snapToGrid w:val="0"/>
        <w:spacing w:line="600" w:lineRule="atLeast"/>
        <w:ind w:firstLine="672"/>
        <w:rPr>
          <w:color w:val="000000"/>
          <w:sz w:val="32"/>
          <w:szCs w:val="32"/>
        </w:rPr>
      </w:pPr>
      <w:r>
        <w:rPr>
          <w:rStyle w:val="15"/>
          <w:rFonts w:hint="eastAsia" w:ascii="仿宋" w:hAnsi="仿宋" w:eastAsia="仿宋" w:cs="Times New Roman"/>
          <w:bCs/>
          <w:color w:val="000000"/>
          <w:kern w:val="2"/>
          <w:sz w:val="32"/>
          <w:szCs w:val="32"/>
          <w:lang w:val="en-US" w:eastAsia="zh-CN" w:bidi="ar-SA"/>
        </w:rPr>
        <w:t>10.社会保障和就业（类）残疾人事业（款）残疾人体育（项）：</w:t>
      </w:r>
      <w:r>
        <w:rPr>
          <w:rStyle w:val="15"/>
          <w:rFonts w:hint="eastAsia" w:ascii="仿宋" w:hAnsi="仿宋" w:eastAsia="仿宋" w:cs="Times New Roman"/>
          <w:b w:val="0"/>
          <w:bCs/>
          <w:color w:val="000000"/>
          <w:kern w:val="2"/>
          <w:sz w:val="32"/>
          <w:szCs w:val="32"/>
          <w:lang w:val="en-US" w:eastAsia="zh-CN" w:bidi="ar-SA"/>
        </w:rPr>
        <w:t>支出决算为18.89万元，完成预算100%。</w:t>
      </w:r>
    </w:p>
    <w:p>
      <w:pPr>
        <w:pStyle w:val="21"/>
        <w:snapToGrid w:val="0"/>
        <w:spacing w:line="600" w:lineRule="atLeast"/>
        <w:ind w:firstLine="672"/>
        <w:rPr>
          <w:rStyle w:val="15"/>
          <w:rFonts w:hint="eastAsia" w:ascii="仿宋" w:hAnsi="仿宋" w:eastAsia="仿宋" w:cs="Times New Roman"/>
          <w:b w:val="0"/>
          <w:bCs/>
          <w:color w:val="000000"/>
          <w:kern w:val="2"/>
          <w:sz w:val="32"/>
          <w:szCs w:val="32"/>
          <w:lang w:val="en-US" w:eastAsia="zh-CN" w:bidi="ar-SA"/>
        </w:rPr>
      </w:pPr>
      <w:r>
        <w:rPr>
          <w:rStyle w:val="15"/>
          <w:rFonts w:hint="eastAsia" w:ascii="仿宋" w:hAnsi="仿宋" w:eastAsia="仿宋" w:cs="Times New Roman"/>
          <w:bCs/>
          <w:color w:val="000000"/>
          <w:kern w:val="2"/>
          <w:sz w:val="32"/>
          <w:szCs w:val="32"/>
          <w:lang w:val="en-US" w:eastAsia="zh-CN" w:bidi="ar-SA"/>
        </w:rPr>
        <w:t>11.社会保障和就业（类）残疾人事业（款）其他残疾人事业支出（项）：</w:t>
      </w:r>
      <w:r>
        <w:rPr>
          <w:rStyle w:val="15"/>
          <w:rFonts w:hint="eastAsia" w:ascii="仿宋" w:hAnsi="仿宋" w:eastAsia="仿宋" w:cs="Times New Roman"/>
          <w:b w:val="0"/>
          <w:bCs/>
          <w:color w:val="000000"/>
          <w:kern w:val="2"/>
          <w:sz w:val="32"/>
          <w:szCs w:val="32"/>
          <w:lang w:val="en-US" w:eastAsia="zh-CN" w:bidi="ar-SA"/>
        </w:rPr>
        <w:t>支出决算为22.14万元，完成预算100%。</w:t>
      </w:r>
    </w:p>
    <w:p>
      <w:pPr>
        <w:pStyle w:val="21"/>
        <w:snapToGrid w:val="0"/>
        <w:spacing w:line="600" w:lineRule="atLeast"/>
        <w:ind w:firstLine="672"/>
        <w:rPr>
          <w:rStyle w:val="15"/>
          <w:rFonts w:hint="eastAsia" w:ascii="仿宋" w:hAnsi="仿宋" w:eastAsia="仿宋" w:cs="Times New Roman"/>
          <w:b w:val="0"/>
          <w:bCs/>
          <w:color w:val="000000"/>
          <w:kern w:val="2"/>
          <w:sz w:val="32"/>
          <w:szCs w:val="32"/>
          <w:lang w:val="en-US" w:eastAsia="zh-CN" w:bidi="ar-SA"/>
        </w:rPr>
      </w:pPr>
      <w:r>
        <w:rPr>
          <w:rStyle w:val="15"/>
          <w:rFonts w:hint="eastAsia" w:ascii="仿宋" w:hAnsi="仿宋" w:eastAsia="仿宋" w:cs="Times New Roman"/>
          <w:bCs/>
          <w:color w:val="000000"/>
          <w:kern w:val="2"/>
          <w:sz w:val="32"/>
          <w:szCs w:val="32"/>
          <w:lang w:val="en-US" w:eastAsia="zh-CN" w:bidi="ar-SA"/>
        </w:rPr>
        <w:t>12.住房保障支出（类）住房改革支出（款）住房公积金（项）：</w:t>
      </w:r>
      <w:r>
        <w:rPr>
          <w:rStyle w:val="15"/>
          <w:rFonts w:hint="eastAsia" w:ascii="仿宋" w:hAnsi="仿宋" w:eastAsia="仿宋" w:cs="Times New Roman"/>
          <w:b w:val="0"/>
          <w:bCs/>
          <w:color w:val="000000"/>
          <w:kern w:val="2"/>
          <w:sz w:val="32"/>
          <w:szCs w:val="32"/>
          <w:lang w:val="en-US" w:eastAsia="zh-CN" w:bidi="ar-SA"/>
        </w:rPr>
        <w:t>支出决算为29.82万元，完成预算100%。</w:t>
      </w:r>
    </w:p>
    <w:p>
      <w:pPr>
        <w:pStyle w:val="21"/>
        <w:snapToGrid w:val="0"/>
        <w:spacing w:line="600" w:lineRule="atLeast"/>
        <w:ind w:firstLine="672"/>
        <w:rPr>
          <w:rStyle w:val="15"/>
          <w:rFonts w:hint="eastAsia" w:ascii="仿宋" w:hAnsi="仿宋" w:eastAsia="仿宋" w:cs="Times New Roman"/>
          <w:b w:val="0"/>
          <w:bCs/>
          <w:color w:val="000000"/>
          <w:kern w:val="2"/>
          <w:sz w:val="32"/>
          <w:szCs w:val="32"/>
          <w:lang w:val="en-US" w:eastAsia="zh-CN" w:bidi="ar-SA"/>
        </w:rPr>
      </w:pPr>
      <w:r>
        <w:rPr>
          <w:rStyle w:val="15"/>
          <w:rFonts w:hint="eastAsia" w:ascii="仿宋" w:hAnsi="仿宋" w:eastAsia="仿宋" w:cs="Times New Roman"/>
          <w:bCs/>
          <w:color w:val="000000"/>
          <w:kern w:val="2"/>
          <w:sz w:val="32"/>
          <w:szCs w:val="32"/>
          <w:lang w:val="en-US" w:eastAsia="zh-CN" w:bidi="ar-SA"/>
        </w:rPr>
        <w:t>13.社会保障和就业（类）抚恤（款）死亡抚恤（项）：</w:t>
      </w:r>
      <w:r>
        <w:rPr>
          <w:rStyle w:val="15"/>
          <w:rFonts w:hint="eastAsia" w:ascii="仿宋" w:hAnsi="仿宋" w:eastAsia="仿宋" w:cs="Times New Roman"/>
          <w:b w:val="0"/>
          <w:bCs/>
          <w:color w:val="000000"/>
          <w:kern w:val="2"/>
          <w:sz w:val="32"/>
          <w:szCs w:val="32"/>
          <w:lang w:val="en-US" w:eastAsia="zh-CN" w:bidi="ar-SA"/>
        </w:rPr>
        <w:t>支出决算为5.35万元，完成预算100%。</w:t>
      </w:r>
    </w:p>
    <w:p>
      <w:pPr>
        <w:tabs>
          <w:tab w:val="right" w:pos="8306"/>
        </w:tabs>
        <w:spacing w:line="600" w:lineRule="exact"/>
        <w:ind w:firstLine="640"/>
        <w:outlineLvl w:val="1"/>
        <w:rPr>
          <w:rStyle w:val="31"/>
        </w:rPr>
      </w:pPr>
      <w:bookmarkStart w:id="73" w:name="_Toc15377214"/>
      <w:bookmarkStart w:id="74" w:name="_Toc15396608"/>
      <w:bookmarkStart w:id="75" w:name="_Toc818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1"/>
          <w:rFonts w:hint="eastAsia" w:ascii="黑体" w:hAnsi="黑体" w:eastAsia="黑体"/>
          <w:b w:val="0"/>
        </w:rPr>
        <w:t>般公共预算财政拨款基本支出决算情况说明</w:t>
      </w:r>
      <w:bookmarkEnd w:id="73"/>
      <w:bookmarkEnd w:id="74"/>
      <w:bookmarkEnd w:id="75"/>
      <w:r>
        <w:rPr>
          <w:rStyle w:val="31"/>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21年一般公共预算财政拨款基本支出463.56万元，其中：</w:t>
      </w:r>
    </w:p>
    <w:p>
      <w:pPr>
        <w:spacing w:line="600" w:lineRule="exact"/>
        <w:ind w:firstLine="645"/>
        <w:rPr>
          <w:rFonts w:hint="eastAsia" w:ascii="仿宋" w:hAnsi="仿宋" w:eastAsia="仿宋"/>
          <w:sz w:val="32"/>
          <w:szCs w:val="32"/>
          <w:lang w:eastAsia="zh-CN"/>
        </w:rPr>
      </w:pPr>
      <w:r>
        <w:rPr>
          <w:rFonts w:hint="eastAsia" w:ascii="仿宋" w:hAnsi="仿宋" w:eastAsia="仿宋"/>
          <w:sz w:val="32"/>
          <w:szCs w:val="32"/>
        </w:rPr>
        <w:t>人员经费412.19万元，主要包括：基本工资、津贴补贴、奖金、绩效工资、机关事业单位基本养老保险缴费其他社会保障缴费、其他工资福利支出、退休费、医疗费补助、住房公积金、其他对个人和家庭的补助支出等。</w:t>
      </w:r>
    </w:p>
    <w:p>
      <w:pPr>
        <w:spacing w:line="600" w:lineRule="exact"/>
        <w:ind w:firstLine="645"/>
        <w:rPr>
          <w:rFonts w:ascii="仿宋" w:hAnsi="仿宋" w:eastAsia="仿宋"/>
          <w:sz w:val="32"/>
          <w:szCs w:val="32"/>
        </w:rPr>
      </w:pPr>
      <w:r>
        <w:rPr>
          <w:rFonts w:hint="eastAsia" w:ascii="仿宋" w:hAnsi="仿宋" w:eastAsia="仿宋"/>
          <w:sz w:val="32"/>
          <w:szCs w:val="32"/>
        </w:rPr>
        <w:t>公用经费51.37万元，主要包括：办公费、水费、电费、邮电费、差旅费、公务接待费、工会经费、福利费、其他交通费、其他商品和服务支出等。</w:t>
      </w:r>
    </w:p>
    <w:p>
      <w:pPr>
        <w:spacing w:line="600" w:lineRule="exact"/>
        <w:ind w:firstLine="640"/>
        <w:outlineLvl w:val="1"/>
        <w:rPr>
          <w:rStyle w:val="31"/>
          <w:rFonts w:ascii="黑体" w:hAnsi="黑体" w:eastAsia="黑体"/>
          <w:b w:val="0"/>
        </w:rPr>
      </w:pPr>
      <w:bookmarkStart w:id="76" w:name="_Toc15396609"/>
      <w:bookmarkStart w:id="77" w:name="_Toc15377215"/>
      <w:bookmarkStart w:id="78" w:name="_Toc2205"/>
      <w:r>
        <w:rPr>
          <w:rFonts w:hint="eastAsia" w:ascii="黑体" w:eastAsia="黑体"/>
          <w:sz w:val="32"/>
          <w:szCs w:val="32"/>
        </w:rPr>
        <w:t>七、</w:t>
      </w:r>
      <w:r>
        <w:rPr>
          <w:rStyle w:val="31"/>
          <w:rFonts w:hint="eastAsia" w:ascii="黑体" w:hAnsi="黑体" w:eastAsia="黑体"/>
        </w:rPr>
        <w:t>“</w:t>
      </w:r>
      <w:r>
        <w:rPr>
          <w:rStyle w:val="31"/>
          <w:rFonts w:hint="eastAsia" w:ascii="黑体" w:hAnsi="黑体" w:eastAsia="黑体"/>
          <w:b w:val="0"/>
        </w:rPr>
        <w:t>三公”经费财政拨款支出决算情况说明</w:t>
      </w:r>
      <w:bookmarkEnd w:id="76"/>
      <w:bookmarkEnd w:id="77"/>
      <w:bookmarkEnd w:id="78"/>
    </w:p>
    <w:p>
      <w:pPr>
        <w:spacing w:line="600" w:lineRule="exact"/>
        <w:ind w:firstLine="640"/>
        <w:outlineLvl w:val="2"/>
        <w:rPr>
          <w:rFonts w:ascii="仿宋" w:hAnsi="仿宋" w:eastAsia="仿宋"/>
          <w:b/>
          <w:sz w:val="32"/>
          <w:szCs w:val="32"/>
        </w:rPr>
      </w:pPr>
      <w:bookmarkStart w:id="79" w:name="_Toc15377216"/>
      <w:r>
        <w:rPr>
          <w:rFonts w:hint="eastAsia" w:ascii="仿宋" w:hAnsi="仿宋" w:eastAsia="仿宋"/>
          <w:b/>
          <w:sz w:val="32"/>
          <w:szCs w:val="32"/>
        </w:rPr>
        <w:t>（一）“三公”经费财政拨款支出决算总体情况说明</w:t>
      </w:r>
      <w:bookmarkEnd w:id="79"/>
    </w:p>
    <w:p>
      <w:pPr>
        <w:spacing w:line="600" w:lineRule="exact"/>
        <w:ind w:firstLine="640"/>
        <w:rPr>
          <w:rFonts w:hint="eastAsia" w:ascii="仿宋" w:hAnsi="仿宋" w:eastAsia="仿宋"/>
          <w:sz w:val="32"/>
          <w:szCs w:val="32"/>
          <w:lang w:eastAsia="zh-CN"/>
        </w:rPr>
      </w:pPr>
      <w:r>
        <w:rPr>
          <w:rFonts w:ascii="仿宋" w:hAnsi="仿宋" w:eastAsia="仿宋"/>
          <w:sz w:val="32"/>
          <w:szCs w:val="32"/>
        </w:rPr>
        <w:t>20</w:t>
      </w:r>
      <w:r>
        <w:rPr>
          <w:rFonts w:hint="eastAsia" w:ascii="仿宋" w:hAnsi="仿宋" w:eastAsia="仿宋"/>
          <w:sz w:val="32"/>
          <w:szCs w:val="32"/>
        </w:rPr>
        <w:t>21年“三公”经费财政拨款支出决算为1.70万元，完成预算100</w:t>
      </w:r>
      <w:r>
        <w:rPr>
          <w:rFonts w:ascii="仿宋" w:hAnsi="仿宋" w:eastAsia="仿宋"/>
          <w:sz w:val="32"/>
          <w:szCs w:val="32"/>
        </w:rPr>
        <w:t>%</w:t>
      </w:r>
      <w:r>
        <w:rPr>
          <w:rFonts w:hint="eastAsia" w:ascii="仿宋" w:hAnsi="仿宋" w:eastAsia="仿宋"/>
          <w:sz w:val="32"/>
          <w:szCs w:val="32"/>
        </w:rPr>
        <w:t>，决算数与预算数持平</w:t>
      </w:r>
      <w:r>
        <w:rPr>
          <w:rFonts w:hint="eastAsia" w:ascii="仿宋" w:hAnsi="仿宋" w:eastAsia="仿宋"/>
          <w:sz w:val="32"/>
          <w:szCs w:val="32"/>
          <w:lang w:eastAsia="zh-CN"/>
        </w:rPr>
        <w:t>，</w:t>
      </w:r>
      <w:r>
        <w:rPr>
          <w:rFonts w:eastAsia="仿宋"/>
          <w:color w:val="000000"/>
          <w:sz w:val="32"/>
          <w:szCs w:val="32"/>
        </w:rPr>
        <w:t>主要原因是严格控制预算支出，履行节约，反对铺张浪费。</w:t>
      </w:r>
    </w:p>
    <w:p>
      <w:pPr>
        <w:spacing w:line="600" w:lineRule="exact"/>
        <w:ind w:firstLine="640"/>
        <w:outlineLvl w:val="2"/>
        <w:rPr>
          <w:rFonts w:ascii="仿宋" w:hAnsi="仿宋" w:eastAsia="仿宋"/>
          <w:b/>
          <w:sz w:val="32"/>
          <w:szCs w:val="32"/>
        </w:rPr>
      </w:pPr>
      <w:bookmarkStart w:id="80" w:name="_Toc15377217"/>
      <w:r>
        <w:rPr>
          <w:rFonts w:hint="eastAsia" w:ascii="仿宋" w:hAnsi="仿宋" w:eastAsia="仿宋"/>
          <w:b/>
          <w:sz w:val="32"/>
          <w:szCs w:val="32"/>
        </w:rPr>
        <w:t>（二）“三公”经费财政拨款支出决算具体情况说明</w:t>
      </w:r>
      <w:bookmarkEnd w:id="80"/>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；公务用车购置及运行维护费支出决算1.44万元，占85.29</w:t>
      </w:r>
      <w:r>
        <w:rPr>
          <w:rFonts w:ascii="仿宋" w:hAnsi="仿宋" w:eastAsia="仿宋"/>
          <w:sz w:val="32"/>
          <w:szCs w:val="32"/>
        </w:rPr>
        <w:t>%</w:t>
      </w:r>
      <w:r>
        <w:rPr>
          <w:rFonts w:hint="eastAsia" w:ascii="仿宋" w:hAnsi="仿宋" w:eastAsia="仿宋"/>
          <w:sz w:val="32"/>
          <w:szCs w:val="32"/>
        </w:rPr>
        <w:t>；公务接待费支出决算0.26万元，占14.71</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w:t>
      </w:r>
    </w:p>
    <w:p>
      <w:pPr>
        <w:pStyle w:val="2"/>
        <w:spacing w:before="93"/>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drawing>
          <wp:inline distT="0" distB="0" distL="0" distR="0">
            <wp:extent cx="3295650" cy="2514600"/>
            <wp:effectExtent l="0" t="0" r="0" b="0"/>
            <wp:docPr id="7" name="对象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rPr>
          <w:rStyle w:val="15"/>
          <w:rFonts w:ascii="仿宋" w:hAnsi="仿宋" w:eastAsia="仿宋"/>
          <w:b w:val="0"/>
          <w:bCs/>
          <w:sz w:val="32"/>
          <w:szCs w:val="32"/>
        </w:rPr>
      </w:pPr>
      <w:r>
        <w:rPr>
          <w:rFonts w:hint="eastAsia" w:ascii="仿宋_GB2312" w:eastAsia="仿宋_GB2312"/>
          <w:b/>
          <w:sz w:val="32"/>
          <w:szCs w:val="32"/>
        </w:rPr>
        <w:t xml:space="preserve">   </w:t>
      </w:r>
      <w:r>
        <w:rPr>
          <w:rFonts w:hint="eastAsia" w:ascii="仿宋" w:hAnsi="仿宋" w:eastAsia="仿宋"/>
          <w:b/>
          <w:bCs/>
          <w:sz w:val="32"/>
          <w:szCs w:val="32"/>
        </w:rPr>
        <w:t xml:space="preserve"> 1.因公出国（境）经费支出</w:t>
      </w:r>
      <w:r>
        <w:rPr>
          <w:rFonts w:hint="eastAsia" w:ascii="仿宋" w:hAnsi="仿宋" w:eastAsia="仿宋"/>
          <w:b w:val="0"/>
          <w:bCs w:val="0"/>
          <w:sz w:val="32"/>
          <w:szCs w:val="32"/>
        </w:rPr>
        <w:t>0</w:t>
      </w:r>
      <w:r>
        <w:rPr>
          <w:rFonts w:hint="eastAsia" w:ascii="仿宋_GB2312" w:eastAsia="仿宋_GB2312"/>
          <w:sz w:val="32"/>
          <w:szCs w:val="32"/>
        </w:rPr>
        <w:t>万元，</w:t>
      </w:r>
      <w:r>
        <w:rPr>
          <w:rStyle w:val="15"/>
          <w:rFonts w:hint="eastAsia" w:ascii="仿宋" w:hAnsi="仿宋" w:eastAsia="仿宋"/>
          <w:b w:val="0"/>
          <w:bCs/>
          <w:sz w:val="32"/>
          <w:szCs w:val="32"/>
        </w:rPr>
        <w:t>完成预算0</w:t>
      </w:r>
      <w:r>
        <w:rPr>
          <w:rStyle w:val="15"/>
          <w:rFonts w:ascii="仿宋" w:hAnsi="仿宋" w:eastAsia="仿宋"/>
          <w:b w:val="0"/>
          <w:bCs/>
          <w:sz w:val="32"/>
          <w:szCs w:val="32"/>
        </w:rPr>
        <w:t>%</w:t>
      </w:r>
      <w:r>
        <w:rPr>
          <w:rStyle w:val="15"/>
          <w:rFonts w:hint="eastAsia" w:ascii="仿宋" w:hAnsi="仿宋" w:eastAsia="仿宋"/>
          <w:b w:val="0"/>
          <w:bCs/>
          <w:sz w:val="32"/>
          <w:szCs w:val="32"/>
        </w:rPr>
        <w:t>。</w:t>
      </w:r>
    </w:p>
    <w:p>
      <w:pPr>
        <w:spacing w:line="600" w:lineRule="exact"/>
        <w:ind w:firstLine="643" w:firstLineChars="200"/>
        <w:rPr>
          <w:rFonts w:ascii="仿宋_GB2312" w:eastAsia="仿宋_GB2312"/>
          <w:b/>
          <w:sz w:val="32"/>
          <w:szCs w:val="32"/>
        </w:rPr>
      </w:pPr>
      <w:r>
        <w:rPr>
          <w:rFonts w:hint="eastAsia" w:ascii="仿宋" w:hAnsi="仿宋" w:eastAsia="仿宋"/>
          <w:b/>
          <w:bCs/>
          <w:sz w:val="32"/>
          <w:szCs w:val="32"/>
        </w:rPr>
        <w:t>2.公务用车购置及运行维护费支出</w:t>
      </w:r>
      <w:r>
        <w:rPr>
          <w:rStyle w:val="15"/>
          <w:rFonts w:hint="eastAsia" w:ascii="仿宋" w:hAnsi="仿宋" w:eastAsia="仿宋"/>
          <w:b w:val="0"/>
          <w:bCs/>
          <w:sz w:val="32"/>
          <w:szCs w:val="32"/>
        </w:rPr>
        <w:t>1.44万元,</w:t>
      </w:r>
      <w:r>
        <w:rPr>
          <w:rStyle w:val="15"/>
          <w:rFonts w:hint="eastAsia" w:ascii="仿宋" w:hAnsi="仿宋" w:eastAsia="仿宋"/>
          <w:b w:val="0"/>
          <w:bCs/>
          <w:sz w:val="32"/>
          <w:szCs w:val="32"/>
        </w:rPr>
        <w:t>完成预算100%</w:t>
      </w:r>
      <w:r>
        <w:rPr>
          <w:rStyle w:val="15"/>
          <w:rFonts w:hint="eastAsia" w:ascii="仿宋" w:hAnsi="仿宋" w:eastAsia="仿宋"/>
          <w:b w:val="0"/>
          <w:bCs/>
          <w:sz w:val="32"/>
          <w:szCs w:val="32"/>
        </w:rPr>
        <w:t>。</w:t>
      </w:r>
    </w:p>
    <w:p>
      <w:pPr>
        <w:spacing w:line="600" w:lineRule="exact"/>
        <w:ind w:firstLine="640" w:firstLineChars="200"/>
        <w:rPr>
          <w:rStyle w:val="15"/>
          <w:rFonts w:hint="eastAsia" w:ascii="仿宋" w:hAnsi="仿宋" w:eastAsia="仿宋"/>
          <w:b w:val="0"/>
          <w:bCs/>
          <w:sz w:val="32"/>
          <w:szCs w:val="32"/>
        </w:rPr>
      </w:pPr>
      <w:r>
        <w:rPr>
          <w:rFonts w:hint="eastAsia" w:ascii="仿宋_GB2312" w:eastAsia="仿宋_GB2312"/>
          <w:sz w:val="32"/>
          <w:szCs w:val="32"/>
        </w:rPr>
        <w:t>其中：</w:t>
      </w:r>
      <w:r>
        <w:rPr>
          <w:rFonts w:hint="eastAsia" w:ascii="仿宋" w:hAnsi="仿宋" w:eastAsia="仿宋"/>
          <w:b/>
          <w:bCs/>
          <w:sz w:val="32"/>
          <w:szCs w:val="32"/>
        </w:rPr>
        <w:t>公务用车购置支出</w:t>
      </w:r>
      <w:r>
        <w:rPr>
          <w:rStyle w:val="15"/>
          <w:rFonts w:hint="eastAsia" w:ascii="仿宋" w:hAnsi="仿宋" w:eastAsia="仿宋"/>
          <w:b w:val="0"/>
          <w:bCs/>
          <w:sz w:val="32"/>
          <w:szCs w:val="32"/>
        </w:rPr>
        <w:t>0万元。全年按规定更新购置公务用车0辆。</w:t>
      </w:r>
    </w:p>
    <w:p>
      <w:pPr>
        <w:spacing w:line="600" w:lineRule="exact"/>
        <w:ind w:firstLine="640"/>
        <w:rPr>
          <w:rFonts w:ascii="仿宋_GB2312" w:eastAsia="仿宋_GB2312"/>
          <w:sz w:val="32"/>
          <w:szCs w:val="32"/>
        </w:rPr>
      </w:pPr>
      <w:r>
        <w:rPr>
          <w:rFonts w:hint="eastAsia" w:ascii="仿宋" w:hAnsi="仿宋" w:eastAsia="仿宋"/>
          <w:b/>
          <w:bCs/>
          <w:sz w:val="32"/>
          <w:szCs w:val="32"/>
        </w:rPr>
        <w:t>公务用车运行维护费支出</w:t>
      </w:r>
      <w:r>
        <w:rPr>
          <w:rStyle w:val="15"/>
          <w:rFonts w:hint="eastAsia" w:ascii="仿宋" w:hAnsi="仿宋" w:eastAsia="仿宋"/>
          <w:b w:val="0"/>
          <w:bCs/>
          <w:sz w:val="32"/>
          <w:szCs w:val="32"/>
        </w:rPr>
        <w:t>1.44万元。</w:t>
      </w:r>
    </w:p>
    <w:p>
      <w:pPr>
        <w:spacing w:line="600" w:lineRule="exact"/>
        <w:ind w:firstLine="640"/>
        <w:rPr>
          <w:rStyle w:val="15"/>
          <w:rFonts w:hint="eastAsia" w:ascii="仿宋" w:hAnsi="仿宋" w:eastAsia="仿宋"/>
          <w:b w:val="0"/>
          <w:bCs/>
          <w:sz w:val="32"/>
          <w:szCs w:val="32"/>
        </w:rPr>
      </w:pPr>
      <w:r>
        <w:rPr>
          <w:rFonts w:hint="eastAsia" w:ascii="仿宋" w:hAnsi="仿宋" w:eastAsia="仿宋"/>
          <w:b/>
          <w:bCs/>
          <w:sz w:val="32"/>
          <w:szCs w:val="32"/>
        </w:rPr>
        <w:t>3.公务接待费支出</w:t>
      </w:r>
      <w:r>
        <w:rPr>
          <w:rStyle w:val="15"/>
          <w:rFonts w:hint="eastAsia" w:ascii="仿宋" w:hAnsi="仿宋" w:eastAsia="仿宋"/>
          <w:b w:val="0"/>
          <w:bCs/>
          <w:sz w:val="32"/>
          <w:szCs w:val="32"/>
        </w:rPr>
        <w:t>0.25万元，</w:t>
      </w:r>
      <w:r>
        <w:rPr>
          <w:rStyle w:val="15"/>
          <w:rFonts w:hint="eastAsia" w:ascii="仿宋" w:hAnsi="仿宋" w:eastAsia="仿宋"/>
          <w:b w:val="0"/>
          <w:bCs/>
          <w:sz w:val="32"/>
          <w:szCs w:val="32"/>
        </w:rPr>
        <w:t>完成预算100%</w:t>
      </w:r>
      <w:r>
        <w:rPr>
          <w:rStyle w:val="15"/>
          <w:rFonts w:hint="eastAsia" w:ascii="仿宋" w:hAnsi="仿宋" w:eastAsia="仿宋"/>
          <w:b w:val="0"/>
          <w:bCs/>
          <w:sz w:val="32"/>
          <w:szCs w:val="32"/>
        </w:rPr>
        <w:t>。公务接待费支出决算比2020年减少0.06万元，增长31.57%。主要原因是节约经费开支。其中：</w:t>
      </w:r>
    </w:p>
    <w:p>
      <w:pPr>
        <w:spacing w:line="600" w:lineRule="exact"/>
        <w:ind w:firstLine="640"/>
        <w:rPr>
          <w:rFonts w:ascii="仿宋_GB2312" w:eastAsia="仿宋_GB2312"/>
          <w:color w:val="FF0000"/>
          <w:sz w:val="32"/>
          <w:szCs w:val="32"/>
        </w:rPr>
      </w:pPr>
      <w:r>
        <w:rPr>
          <w:rFonts w:hint="eastAsia" w:ascii="仿宋" w:hAnsi="仿宋" w:eastAsia="仿宋"/>
          <w:b/>
          <w:sz w:val="32"/>
          <w:szCs w:val="32"/>
        </w:rPr>
        <w:t>国内公务接待支出</w:t>
      </w:r>
      <w:r>
        <w:rPr>
          <w:rFonts w:hint="eastAsia" w:ascii="仿宋" w:hAnsi="仿宋" w:eastAsia="仿宋"/>
          <w:sz w:val="32"/>
          <w:szCs w:val="32"/>
        </w:rPr>
        <w:t>0.26万元，主要用于执行公务、开展业务活动开支用餐费等。国内公务接待3批次，8人次（不包括陪同人员），共计支出0.26万元，具体内容包括：接待山东省泰安市政府康复机构考察团一行5人，支出0.16万元；接待四川省听语言康复中心技术人员2人，支出0.06万元;接待四川省听语言康复中心高博森0.03万元。</w:t>
      </w:r>
    </w:p>
    <w:p>
      <w:pPr>
        <w:spacing w:line="600" w:lineRule="exact"/>
        <w:ind w:firstLine="640"/>
        <w:outlineLvl w:val="1"/>
        <w:rPr>
          <w:rFonts w:hint="eastAsia" w:ascii="仿宋" w:hAnsi="仿宋" w:eastAsia="仿宋"/>
          <w:sz w:val="32"/>
          <w:szCs w:val="32"/>
        </w:rPr>
      </w:pPr>
      <w:bookmarkStart w:id="81" w:name="_Toc30957"/>
      <w:r>
        <w:rPr>
          <w:rFonts w:hint="eastAsia" w:ascii="仿宋" w:hAnsi="仿宋" w:eastAsia="仿宋"/>
          <w:b/>
          <w:sz w:val="32"/>
          <w:szCs w:val="32"/>
        </w:rPr>
        <w:t>外事接待支出</w:t>
      </w:r>
      <w:r>
        <w:rPr>
          <w:rFonts w:hint="eastAsia" w:ascii="仿宋" w:hAnsi="仿宋" w:eastAsia="仿宋"/>
          <w:sz w:val="32"/>
          <w:szCs w:val="32"/>
        </w:rPr>
        <w:t>0万元，外事接待0批次，0人，共计支出0万元。</w:t>
      </w:r>
      <w:bookmarkEnd w:id="81"/>
      <w:bookmarkStart w:id="82" w:name="_Toc15396610"/>
      <w:bookmarkStart w:id="83" w:name="_Toc15377218"/>
    </w:p>
    <w:p>
      <w:pPr>
        <w:spacing w:line="600" w:lineRule="exact"/>
        <w:ind w:firstLine="640"/>
        <w:outlineLvl w:val="1"/>
        <w:rPr>
          <w:rStyle w:val="31"/>
          <w:rFonts w:ascii="黑体" w:hAnsi="黑体" w:eastAsia="黑体"/>
        </w:rPr>
      </w:pPr>
      <w:bookmarkStart w:id="84" w:name="_Toc7638"/>
      <w:r>
        <w:rPr>
          <w:rFonts w:hint="eastAsia" w:ascii="黑体" w:eastAsia="黑体"/>
          <w:sz w:val="32"/>
          <w:szCs w:val="32"/>
        </w:rPr>
        <w:t>八、</w:t>
      </w:r>
      <w:r>
        <w:rPr>
          <w:rStyle w:val="31"/>
          <w:rFonts w:hint="eastAsia" w:ascii="黑体" w:hAnsi="黑体" w:eastAsia="黑体"/>
          <w:b w:val="0"/>
        </w:rPr>
        <w:t>政府性基金预算支出决算情况说明</w:t>
      </w:r>
      <w:bookmarkEnd w:id="82"/>
      <w:bookmarkEnd w:id="83"/>
      <w:bookmarkEnd w:id="84"/>
    </w:p>
    <w:p>
      <w:pPr>
        <w:spacing w:line="600" w:lineRule="exact"/>
        <w:ind w:firstLine="640"/>
        <w:outlineLvl w:val="1"/>
        <w:rPr>
          <w:rFonts w:hint="eastAsia" w:ascii="仿宋" w:hAnsi="仿宋" w:eastAsia="仿宋"/>
          <w:sz w:val="32"/>
          <w:szCs w:val="32"/>
        </w:rPr>
      </w:pPr>
      <w:r>
        <w:rPr>
          <w:rFonts w:hint="eastAsia" w:ascii="仿宋" w:hAnsi="仿宋" w:eastAsia="仿宋"/>
          <w:sz w:val="32"/>
          <w:szCs w:val="32"/>
        </w:rPr>
        <w:t>2021年政府性基金预算财政拨款支出（用于体育事业的彩票公益金支出）15.07万元。</w:t>
      </w:r>
    </w:p>
    <w:p>
      <w:pPr>
        <w:numPr>
          <w:ilvl w:val="0"/>
          <w:numId w:val="3"/>
        </w:numPr>
        <w:spacing w:line="600" w:lineRule="exact"/>
        <w:ind w:firstLine="640"/>
        <w:outlineLvl w:val="1"/>
        <w:rPr>
          <w:rStyle w:val="31"/>
          <w:rFonts w:ascii="黑体" w:hAnsi="黑体" w:eastAsia="黑体"/>
          <w:b w:val="0"/>
        </w:rPr>
      </w:pPr>
      <w:bookmarkStart w:id="85" w:name="_Toc15396611"/>
      <w:bookmarkStart w:id="86" w:name="_Toc12352"/>
      <w:bookmarkStart w:id="87" w:name="_Toc15377219"/>
      <w:r>
        <w:rPr>
          <w:rStyle w:val="31"/>
          <w:rFonts w:hint="eastAsia" w:ascii="黑体" w:hAnsi="黑体" w:eastAsia="黑体"/>
          <w:b w:val="0"/>
        </w:rPr>
        <w:t>国有资本经营预算支出决算情况说明</w:t>
      </w:r>
      <w:bookmarkEnd w:id="85"/>
      <w:bookmarkEnd w:id="86"/>
      <w:bookmarkEnd w:id="87"/>
    </w:p>
    <w:p>
      <w:pPr>
        <w:spacing w:line="600" w:lineRule="exact"/>
        <w:ind w:firstLine="640"/>
        <w:rPr>
          <w:rFonts w:ascii="方正小标宋简体" w:hAnsi="方正小标宋简体" w:eastAsia="方正小标宋简体" w:cs="方正小标宋简体"/>
          <w:sz w:val="44"/>
          <w:szCs w:val="44"/>
        </w:rPr>
      </w:pPr>
      <w:r>
        <w:rPr>
          <w:rFonts w:hint="eastAsia" w:ascii="仿宋" w:hAnsi="仿宋" w:eastAsia="仿宋"/>
          <w:sz w:val="32"/>
          <w:szCs w:val="32"/>
        </w:rPr>
        <w:t>2021年国有资本经营预算财政拨款支出0万元。</w:t>
      </w:r>
    </w:p>
    <w:p>
      <w:pPr>
        <w:numPr>
          <w:ilvl w:val="0"/>
          <w:numId w:val="3"/>
        </w:numPr>
        <w:spacing w:line="600" w:lineRule="exact"/>
        <w:ind w:firstLine="640"/>
        <w:outlineLvl w:val="1"/>
        <w:rPr>
          <w:rStyle w:val="31"/>
          <w:rFonts w:ascii="黑体" w:hAnsi="黑体" w:eastAsia="黑体"/>
          <w:b w:val="0"/>
        </w:rPr>
      </w:pPr>
      <w:bookmarkStart w:id="88" w:name="_Toc15396612"/>
      <w:bookmarkStart w:id="89" w:name="_Toc15377221"/>
      <w:bookmarkStart w:id="90" w:name="_Toc3459"/>
      <w:r>
        <w:rPr>
          <w:rStyle w:val="31"/>
          <w:rFonts w:hint="eastAsia" w:ascii="黑体" w:hAnsi="黑体" w:eastAsia="黑体"/>
          <w:b w:val="0"/>
        </w:rPr>
        <w:t>其他重要事项的情况说明</w:t>
      </w:r>
      <w:bookmarkEnd w:id="88"/>
      <w:bookmarkEnd w:id="89"/>
      <w:bookmarkEnd w:id="90"/>
    </w:p>
    <w:p>
      <w:pPr>
        <w:spacing w:line="600" w:lineRule="exact"/>
        <w:ind w:firstLine="643" w:firstLineChars="200"/>
        <w:outlineLvl w:val="2"/>
        <w:rPr>
          <w:rFonts w:ascii="仿宋" w:hAnsi="仿宋" w:eastAsia="仿宋"/>
          <w:sz w:val="32"/>
          <w:szCs w:val="32"/>
        </w:rPr>
      </w:pPr>
      <w:bookmarkStart w:id="91" w:name="_Toc15377222"/>
      <w:r>
        <w:rPr>
          <w:rFonts w:hint="eastAsia" w:ascii="仿宋" w:hAnsi="仿宋" w:eastAsia="仿宋"/>
          <w:b/>
          <w:sz w:val="32"/>
          <w:szCs w:val="32"/>
        </w:rPr>
        <w:t>（一）机关运行经费支出情况</w:t>
      </w:r>
      <w:bookmarkEnd w:id="91"/>
    </w:p>
    <w:p>
      <w:pPr>
        <w:spacing w:line="600" w:lineRule="exact"/>
        <w:ind w:firstLine="640"/>
        <w:rPr>
          <w:rFonts w:hint="eastAsia" w:ascii="仿宋" w:hAnsi="仿宋" w:eastAsia="仿宋"/>
          <w:sz w:val="32"/>
          <w:szCs w:val="32"/>
        </w:rPr>
      </w:pPr>
      <w:r>
        <w:rPr>
          <w:rFonts w:hint="eastAsia" w:ascii="仿宋" w:hAnsi="仿宋" w:eastAsia="仿宋"/>
          <w:sz w:val="32"/>
          <w:szCs w:val="32"/>
        </w:rPr>
        <w:t>2021年，攀枝花市残疾人联合会机关运行经费支出42.27万元，比2020年增加0.75万元，增长1.8%。主要原因是公用经费增加。</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92" w:name="_Toc15377223"/>
      <w:r>
        <w:rPr>
          <w:rFonts w:hint="eastAsia" w:ascii="仿宋" w:hAnsi="仿宋" w:eastAsia="仿宋"/>
          <w:b/>
          <w:sz w:val="32"/>
          <w:szCs w:val="32"/>
        </w:rPr>
        <w:t>（二）政府采购支出情况</w:t>
      </w:r>
      <w:bookmarkEnd w:id="92"/>
    </w:p>
    <w:p>
      <w:pPr>
        <w:spacing w:line="600" w:lineRule="exact"/>
        <w:ind w:firstLine="640"/>
        <w:rPr>
          <w:rFonts w:hint="eastAsia" w:ascii="仿宋" w:hAnsi="仿宋" w:eastAsia="仿宋"/>
          <w:sz w:val="32"/>
          <w:szCs w:val="32"/>
        </w:rPr>
      </w:pPr>
      <w:r>
        <w:rPr>
          <w:rFonts w:hint="eastAsia" w:ascii="仿宋" w:hAnsi="仿宋" w:eastAsia="仿宋"/>
          <w:sz w:val="32"/>
          <w:szCs w:val="32"/>
        </w:rPr>
        <w:t>2021年，攀枝花市残疾人联合会政府采购支出总额3.84万元，其中：政府采购货物支出3.84万元、政府采购工程支出0万元、政府采购服务支出0万元。主要用于购买残疾人康复体育进家庭器材。授予中小企业合同金额0万元，占政府采购支出总额的0%，其中：授予小微企业合同金额3.84万元，占政府采购支出总额的100%。</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93" w:name="_Toc15377224"/>
      <w:r>
        <w:rPr>
          <w:rFonts w:hint="eastAsia" w:ascii="仿宋" w:hAnsi="仿宋" w:eastAsia="仿宋"/>
          <w:b/>
          <w:sz w:val="32"/>
          <w:szCs w:val="32"/>
        </w:rPr>
        <w:t>（三）国有资产占有使用情况</w:t>
      </w:r>
      <w:bookmarkEnd w:id="93"/>
    </w:p>
    <w:p>
      <w:pPr>
        <w:spacing w:line="600" w:lineRule="exact"/>
        <w:ind w:firstLine="640"/>
        <w:rPr>
          <w:rFonts w:hint="eastAsia" w:ascii="仿宋" w:hAnsi="仿宋" w:eastAsia="仿宋"/>
          <w:sz w:val="32"/>
          <w:szCs w:val="32"/>
        </w:rPr>
      </w:pPr>
      <w:r>
        <w:rPr>
          <w:rFonts w:hint="eastAsia" w:ascii="仿宋" w:hAnsi="仿宋" w:eastAsia="仿宋"/>
          <w:sz w:val="32"/>
          <w:szCs w:val="32"/>
        </w:rPr>
        <w:t>截至2021年12月31日，市残联共有车辆3辆，其中：特种用车1辆、其他用车2辆（其中一辆已移交机关事务管理服务中心）。其他用车主要是用于为残疾人提供送康送教上门服务、走访慰问残疾人等。单价50万元以上通用设备0台（套），单价100万元以上专用设备0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600" w:lineRule="exact"/>
        <w:ind w:firstLine="640"/>
        <w:rPr>
          <w:rFonts w:hint="eastAsia" w:ascii="仿宋" w:hAnsi="仿宋" w:eastAsia="仿宋"/>
          <w:sz w:val="32"/>
          <w:szCs w:val="32"/>
        </w:rPr>
      </w:pPr>
      <w:r>
        <w:rPr>
          <w:rFonts w:hint="eastAsia" w:ascii="仿宋" w:hAnsi="仿宋" w:eastAsia="仿宋"/>
          <w:sz w:val="32"/>
          <w:szCs w:val="32"/>
        </w:rPr>
        <w:t>根据预算绩效管理要求，本部门在2021年度预算编制阶段，组织对残疾人体育、农村残疾人实用技术培训项目等9个项目开展了预算事前绩效评估，对9个项目编制了绩效目标，预算执行过程中，选取4个项目开展绩效监控，年终执行完毕后，对2个项目开展了绩效自评。同时，本部门对2021年部门整体开展绩效自评，《2021年攀枝花市残疾人联合会部门整体绩效评价报告》见附件（第四部分）。</w:t>
      </w:r>
    </w:p>
    <w:p>
      <w:pPr>
        <w:widowControl/>
        <w:jc w:val="left"/>
        <w:rPr>
          <w:rFonts w:ascii="仿宋_GB2312" w:eastAsia="仿宋_GB2312"/>
          <w:b/>
          <w:sz w:val="32"/>
          <w:szCs w:val="32"/>
        </w:rPr>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numPr>
          <w:ilvl w:val="0"/>
          <w:numId w:val="4"/>
        </w:numPr>
        <w:spacing w:line="600" w:lineRule="exact"/>
        <w:ind w:firstLine="660" w:firstLineChars="150"/>
        <w:jc w:val="center"/>
        <w:outlineLvl w:val="0"/>
        <w:rPr>
          <w:rStyle w:val="30"/>
          <w:rFonts w:ascii="黑体" w:hAnsi="黑体" w:eastAsia="黑体"/>
          <w:b w:val="0"/>
        </w:rPr>
      </w:pPr>
      <w:bookmarkStart w:id="94" w:name="_Toc15377225"/>
      <w:bookmarkStart w:id="95" w:name="_Toc12392"/>
      <w:bookmarkStart w:id="96" w:name="_Toc15396613"/>
      <w:bookmarkStart w:id="97" w:name="_Toc15012"/>
      <w:r>
        <w:rPr>
          <w:rFonts w:hint="eastAsia" w:ascii="黑体" w:hAnsi="黑体" w:eastAsia="黑体"/>
          <w:sz w:val="44"/>
          <w:szCs w:val="44"/>
        </w:rPr>
        <w:t>名</w:t>
      </w:r>
      <w:r>
        <w:rPr>
          <w:rStyle w:val="30"/>
          <w:rFonts w:hint="eastAsia" w:ascii="黑体" w:hAnsi="黑体" w:eastAsia="黑体"/>
          <w:b w:val="0"/>
        </w:rPr>
        <w:t>词解释</w:t>
      </w:r>
      <w:bookmarkEnd w:id="94"/>
      <w:bookmarkEnd w:id="95"/>
      <w:bookmarkEnd w:id="96"/>
      <w:bookmarkEnd w:id="97"/>
    </w:p>
    <w:p>
      <w:pPr>
        <w:spacing w:line="600" w:lineRule="exact"/>
        <w:jc w:val="left"/>
        <w:rPr>
          <w:rFonts w:ascii="宋体"/>
          <w:b/>
          <w:sz w:val="44"/>
          <w:szCs w:val="44"/>
        </w:rPr>
      </w:pPr>
    </w:p>
    <w:p>
      <w:pPr>
        <w:pStyle w:val="17"/>
        <w:spacing w:line="560" w:lineRule="exact"/>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1.财政拨款收入：指单位从同级财政部门取得的财政预算资金。</w:t>
      </w:r>
    </w:p>
    <w:p>
      <w:pPr>
        <w:pStyle w:val="17"/>
        <w:spacing w:line="560" w:lineRule="exact"/>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2.事业收入：指事业单位开展专业业务活动及辅助活动取得的收入。</w:t>
      </w:r>
    </w:p>
    <w:p>
      <w:pPr>
        <w:pStyle w:val="17"/>
        <w:spacing w:line="560" w:lineRule="exact"/>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3.经营收入：指事业单位在专业业务活动及其辅助活动之外开展非独立核算经营活动取得的收入。</w:t>
      </w:r>
    </w:p>
    <w:p>
      <w:pPr>
        <w:spacing w:line="600" w:lineRule="exact"/>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4.一般公共预算拨款收入：指市级财政当年拨付的资金。</w:t>
      </w:r>
    </w:p>
    <w:p>
      <w:pPr>
        <w:pStyle w:val="17"/>
        <w:spacing w:line="560" w:lineRule="exact"/>
        <w:ind w:firstLine="672" w:firstLineChars="21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5.年末结转和结余：指单位按有关规定结转到下年或以后年度继续使用的资金。</w:t>
      </w:r>
    </w:p>
    <w:p>
      <w:pPr>
        <w:spacing w:line="600" w:lineRule="exact"/>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6.社会保障和就业（类）残疾人事业（款）行政运行（项）：指行政单位（包括实行公务员管理的事业单位）的基本支出。</w:t>
      </w:r>
    </w:p>
    <w:p>
      <w:pPr>
        <w:spacing w:line="600" w:lineRule="exact"/>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7.社会保障和就业（类）残疾人事业（款）机关服务（项）：指为行政单位（包括实行公务员管理的事业单位）提供各类服务的附属事业单位的支出。</w:t>
      </w:r>
    </w:p>
    <w:p>
      <w:pPr>
        <w:spacing w:line="600" w:lineRule="exact"/>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8.社会保障和就业（类）残疾人事业（款）残疾人康复（项）：指残疾人联合会用于残疾人康复方面的支出。</w:t>
      </w:r>
    </w:p>
    <w:p>
      <w:pPr>
        <w:spacing w:line="600" w:lineRule="exact"/>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9.社会保障和就业（类）残疾人事业（款）残疾人就业扶贫（项）：指残疾人联合会用于残疾人就业和扶贫方面的支出。</w:t>
      </w:r>
    </w:p>
    <w:p>
      <w:pPr>
        <w:spacing w:line="600" w:lineRule="exact"/>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10.社会保障和就业（类）残疾人事业（款）残疾人体育（项）：指残疾人联合会用于残疾人体育方面的支出。</w:t>
      </w:r>
    </w:p>
    <w:p>
      <w:pPr>
        <w:spacing w:line="600" w:lineRule="exact"/>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11.基本支出：指为保证机构正常运转，完成日常工作任务而发生的人员支出和公用支出。</w:t>
      </w:r>
    </w:p>
    <w:p>
      <w:pPr>
        <w:spacing w:line="600" w:lineRule="exact"/>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12.项目支出：指在基本支出之外为完成特定行政任务和事业发展目标所发生的支出。</w:t>
      </w:r>
    </w:p>
    <w:p>
      <w:pPr>
        <w:spacing w:line="600" w:lineRule="exact"/>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13.“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17"/>
        <w:spacing w:line="560" w:lineRule="exact"/>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14.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rPr>
          <w:rFonts w:ascii="仿宋" w:hAnsi="仿宋" w:eastAsia="仿宋"/>
          <w:b/>
          <w:sz w:val="32"/>
          <w:szCs w:val="32"/>
        </w:rPr>
      </w:pPr>
      <w:bookmarkStart w:id="98" w:name="_Toc15396614"/>
      <w:bookmarkStart w:id="99" w:name="_Toc15377226"/>
    </w:p>
    <w:p>
      <w:pPr>
        <w:spacing w:line="600" w:lineRule="exact"/>
        <w:jc w:val="center"/>
        <w:rPr>
          <w:rFonts w:ascii="仿宋" w:hAnsi="仿宋" w:eastAsia="仿宋"/>
          <w:b/>
          <w:sz w:val="32"/>
          <w:szCs w:val="32"/>
        </w:rPr>
      </w:pPr>
    </w:p>
    <w:p>
      <w:pPr>
        <w:spacing w:line="600" w:lineRule="exact"/>
        <w:jc w:val="center"/>
        <w:rPr>
          <w:rFonts w:ascii="仿宋" w:hAnsi="仿宋" w:eastAsia="仿宋"/>
          <w:b/>
          <w:sz w:val="32"/>
          <w:szCs w:val="32"/>
        </w:rPr>
      </w:pPr>
    </w:p>
    <w:p>
      <w:pPr>
        <w:pStyle w:val="2"/>
        <w:spacing w:before="93"/>
        <w:rPr>
          <w:rFonts w:ascii="仿宋" w:hAnsi="仿宋" w:eastAsia="仿宋"/>
          <w:b/>
          <w:sz w:val="32"/>
          <w:szCs w:val="32"/>
        </w:rPr>
      </w:pPr>
    </w:p>
    <w:p>
      <w:pPr>
        <w:pStyle w:val="2"/>
        <w:spacing w:before="93"/>
      </w:pPr>
    </w:p>
    <w:p>
      <w:pPr>
        <w:numPr>
          <w:ilvl w:val="0"/>
          <w:numId w:val="4"/>
        </w:numPr>
        <w:spacing w:line="600" w:lineRule="exact"/>
        <w:ind w:firstLine="660" w:firstLineChars="150"/>
        <w:jc w:val="center"/>
        <w:outlineLvl w:val="0"/>
        <w:rPr>
          <w:rStyle w:val="30"/>
          <w:rFonts w:ascii="黑体" w:hAnsi="黑体" w:eastAsia="黑体"/>
          <w:b w:val="0"/>
        </w:rPr>
      </w:pPr>
      <w:bookmarkStart w:id="100" w:name="_Toc23511"/>
      <w:bookmarkStart w:id="101" w:name="_Toc28443"/>
      <w:r>
        <w:rPr>
          <w:rStyle w:val="30"/>
          <w:rFonts w:hint="eastAsia" w:ascii="黑体" w:hAnsi="黑体" w:eastAsia="黑体"/>
          <w:b w:val="0"/>
        </w:rPr>
        <w:t>附件</w:t>
      </w:r>
      <w:bookmarkEnd w:id="98"/>
      <w:bookmarkEnd w:id="100"/>
      <w:bookmarkEnd w:id="101"/>
    </w:p>
    <w:p>
      <w:pPr>
        <w:pStyle w:val="2"/>
        <w:spacing w:beforeLines="0"/>
      </w:pPr>
    </w:p>
    <w:p>
      <w:pPr>
        <w:spacing w:line="572" w:lineRule="exact"/>
        <w:jc w:val="center"/>
        <w:rPr>
          <w:rFonts w:ascii="方正小标宋简体" w:hAnsi="宋体" w:eastAsia="方正小标宋简体"/>
          <w:b/>
          <w:bCs/>
          <w:kern w:val="0"/>
          <w:sz w:val="40"/>
          <w:szCs w:val="44"/>
        </w:rPr>
      </w:pPr>
      <w:r>
        <w:rPr>
          <w:rFonts w:hint="eastAsia" w:ascii="方正小标宋简体" w:hAnsi="宋体" w:eastAsia="方正小标宋简体"/>
          <w:b/>
          <w:bCs/>
          <w:kern w:val="0"/>
          <w:sz w:val="40"/>
          <w:szCs w:val="44"/>
        </w:rPr>
        <w:t>2021年攀枝花市残疾人联合会</w:t>
      </w:r>
    </w:p>
    <w:p>
      <w:pPr>
        <w:spacing w:line="572" w:lineRule="exact"/>
        <w:jc w:val="center"/>
        <w:rPr>
          <w:rFonts w:ascii="方正小标宋简体" w:hAnsi="宋体" w:eastAsia="方正小标宋简体"/>
          <w:b/>
          <w:bCs/>
          <w:kern w:val="0"/>
          <w:sz w:val="40"/>
          <w:szCs w:val="44"/>
          <w:lang w:val="zh-CN"/>
        </w:rPr>
      </w:pPr>
      <w:r>
        <w:rPr>
          <w:rFonts w:hint="eastAsia" w:ascii="方正小标宋简体" w:hAnsi="宋体" w:eastAsia="方正小标宋简体"/>
          <w:b/>
          <w:bCs/>
          <w:kern w:val="0"/>
          <w:sz w:val="40"/>
          <w:szCs w:val="44"/>
        </w:rPr>
        <w:t>部门整体绩效评价报告</w:t>
      </w:r>
    </w:p>
    <w:p>
      <w:pPr>
        <w:widowControl/>
        <w:adjustRightInd w:val="0"/>
        <w:snapToGrid w:val="0"/>
        <w:spacing w:line="572" w:lineRule="exact"/>
        <w:ind w:firstLine="480" w:firstLineChars="200"/>
        <w:contextualSpacing/>
        <w:jc w:val="left"/>
        <w:rPr>
          <w:rFonts w:ascii="黑体" w:hAnsi="宋体" w:eastAsia="黑体" w:cs="宋体"/>
          <w:kern w:val="0"/>
          <w:sz w:val="24"/>
          <w:szCs w:val="32"/>
          <w:shd w:val="clear" w:color="auto" w:fill="FFFFFF"/>
        </w:rPr>
      </w:pPr>
    </w:p>
    <w:p>
      <w:pPr>
        <w:pStyle w:val="22"/>
        <w:spacing w:line="580" w:lineRule="atLeast"/>
        <w:ind w:firstLine="640"/>
        <w:rPr>
          <w:rFonts w:ascii="黑体" w:eastAsia="黑体"/>
          <w:color w:val="000000"/>
          <w:sz w:val="32"/>
          <w:szCs w:val="32"/>
        </w:rPr>
      </w:pPr>
      <w:r>
        <w:rPr>
          <w:rFonts w:hint="eastAsia" w:ascii="黑体" w:eastAsia="黑体"/>
          <w:color w:val="000000"/>
          <w:sz w:val="32"/>
          <w:szCs w:val="32"/>
        </w:rPr>
        <w:t>一、部门（单位）概况</w:t>
      </w:r>
    </w:p>
    <w:p>
      <w:pPr>
        <w:pStyle w:val="23"/>
        <w:spacing w:line="560" w:lineRule="atLeast"/>
        <w:ind w:firstLine="640"/>
        <w:rPr>
          <w:rFonts w:ascii="仿宋_GB2312" w:eastAsia="仿宋_GB2312"/>
          <w:sz w:val="32"/>
          <w:szCs w:val="32"/>
        </w:rPr>
      </w:pPr>
      <w:r>
        <w:rPr>
          <w:rFonts w:hint="eastAsia" w:ascii="仿宋_GB2312" w:eastAsia="仿宋_GB2312"/>
          <w:sz w:val="32"/>
          <w:szCs w:val="32"/>
        </w:rPr>
        <w:t>（一）机构组成：市残联机关是一个正县级的群团组织，参照公务员法管理的事业单位，内设三科一室，直属事业单位2个(攀枝花市残疾人劳动就业服务中心、攀枝花市残疾人康复教育中心)。</w:t>
      </w:r>
    </w:p>
    <w:p>
      <w:pPr>
        <w:pStyle w:val="23"/>
        <w:spacing w:line="560" w:lineRule="atLeast"/>
        <w:ind w:firstLine="640"/>
        <w:rPr>
          <w:rFonts w:ascii="仿宋_GB2312" w:eastAsia="仿宋_GB2312"/>
          <w:sz w:val="32"/>
          <w:szCs w:val="32"/>
        </w:rPr>
      </w:pPr>
      <w:r>
        <w:rPr>
          <w:rFonts w:hint="eastAsia" w:ascii="仿宋_GB2312" w:eastAsia="仿宋_GB2312"/>
          <w:sz w:val="32"/>
          <w:szCs w:val="32"/>
        </w:rPr>
        <w:t>（二）机构职能：残联的主要职能是“代表、服务、管理”。主要任务是残疾人的社会保障、劳动就业、教育、文化与体育、康复与医疗、扶贫、残疾预防等。</w:t>
      </w:r>
    </w:p>
    <w:p>
      <w:pPr>
        <w:pStyle w:val="23"/>
        <w:spacing w:line="560" w:lineRule="atLeast"/>
        <w:ind w:firstLine="640"/>
        <w:rPr>
          <w:rFonts w:ascii="仿宋_GB2312" w:eastAsia="仿宋_GB2312"/>
          <w:sz w:val="32"/>
          <w:szCs w:val="32"/>
        </w:rPr>
      </w:pPr>
      <w:r>
        <w:rPr>
          <w:rFonts w:hint="eastAsia" w:ascii="仿宋_GB2312" w:eastAsia="仿宋_GB2312"/>
          <w:sz w:val="32"/>
          <w:szCs w:val="32"/>
        </w:rPr>
        <w:t>（三）人员概况：在职职工11人，退休职工7人，市残疾人劳动就业服务中心职工4人（与市残联机关合署办公，财务统一核算）；市残疾人康复教育中心在职职工6人，退休职工4人，独立核算。</w:t>
      </w:r>
    </w:p>
    <w:p>
      <w:pPr>
        <w:pStyle w:val="22"/>
        <w:spacing w:line="580" w:lineRule="atLeast"/>
        <w:ind w:firstLine="640"/>
        <w:rPr>
          <w:rFonts w:ascii="黑体" w:eastAsia="黑体"/>
          <w:color w:val="000000"/>
          <w:sz w:val="32"/>
          <w:szCs w:val="32"/>
        </w:rPr>
      </w:pPr>
      <w:r>
        <w:rPr>
          <w:rFonts w:hint="eastAsia" w:ascii="黑体" w:eastAsia="黑体"/>
          <w:color w:val="000000"/>
          <w:sz w:val="32"/>
          <w:szCs w:val="32"/>
        </w:rPr>
        <w:t>二、部门财政资金收支情况</w:t>
      </w:r>
    </w:p>
    <w:p>
      <w:pPr>
        <w:pStyle w:val="23"/>
        <w:spacing w:line="560" w:lineRule="atLeast"/>
        <w:ind w:firstLine="640"/>
        <w:rPr>
          <w:rFonts w:ascii="仿宋_GB2312" w:eastAsia="仿宋_GB2312"/>
          <w:sz w:val="32"/>
          <w:szCs w:val="32"/>
        </w:rPr>
      </w:pPr>
      <w:r>
        <w:rPr>
          <w:rFonts w:hint="eastAsia" w:ascii="仿宋_GB2312" w:eastAsia="仿宋_GB2312"/>
          <w:sz w:val="32"/>
          <w:szCs w:val="32"/>
        </w:rPr>
        <w:t>（一）部门财政资金收入情况： 2021年度年初预算安排497.95元，其中：基本支出400.95万元，项目支出97万元;调整后预算为588.94万元，其中结转资金20.15万元。</w:t>
      </w:r>
    </w:p>
    <w:p>
      <w:pPr>
        <w:pStyle w:val="23"/>
        <w:spacing w:line="560" w:lineRule="atLeast"/>
        <w:ind w:firstLine="640"/>
        <w:rPr>
          <w:rFonts w:ascii="仿宋_GB2312" w:eastAsia="仿宋_GB2312"/>
          <w:sz w:val="32"/>
          <w:szCs w:val="32"/>
        </w:rPr>
      </w:pPr>
      <w:r>
        <w:rPr>
          <w:rFonts w:hint="eastAsia" w:ascii="仿宋_GB2312" w:eastAsia="仿宋_GB2312"/>
          <w:sz w:val="32"/>
          <w:szCs w:val="32"/>
        </w:rPr>
        <w:t>（二）部门财政资金支出情况：2021年度支出588.94万元，其中：基本支出463.56万元，项目支出125.38万元。</w:t>
      </w:r>
    </w:p>
    <w:p>
      <w:pPr>
        <w:pStyle w:val="22"/>
        <w:spacing w:line="580" w:lineRule="atLeast"/>
        <w:ind w:firstLine="480"/>
        <w:rPr>
          <w:rFonts w:ascii="黑体" w:eastAsia="黑体"/>
          <w:color w:val="000000"/>
          <w:sz w:val="32"/>
          <w:szCs w:val="32"/>
        </w:rPr>
      </w:pPr>
      <w:r>
        <w:rPr>
          <w:rFonts w:hint="eastAsia" w:ascii="黑体" w:eastAsia="黑体"/>
          <w:color w:val="000000"/>
          <w:sz w:val="32"/>
          <w:szCs w:val="32"/>
        </w:rPr>
        <w:t>三、部门整体预算绩效管理情况</w:t>
      </w:r>
    </w:p>
    <w:p>
      <w:pPr>
        <w:pStyle w:val="23"/>
        <w:spacing w:line="560" w:lineRule="atLeast"/>
        <w:ind w:firstLine="640"/>
        <w:rPr>
          <w:rFonts w:ascii="楷体_GB2312" w:eastAsia="楷体_GB2312"/>
          <w:sz w:val="32"/>
          <w:szCs w:val="32"/>
        </w:rPr>
      </w:pPr>
      <w:r>
        <w:rPr>
          <w:rFonts w:hint="eastAsia" w:ascii="楷体_GB2312" w:eastAsia="楷体_GB2312"/>
          <w:sz w:val="32"/>
          <w:szCs w:val="32"/>
        </w:rPr>
        <w:t>（一）部门预算管理。</w:t>
      </w:r>
    </w:p>
    <w:p>
      <w:pPr>
        <w:pStyle w:val="23"/>
        <w:spacing w:line="560" w:lineRule="atLeast"/>
        <w:ind w:firstLine="640"/>
        <w:rPr>
          <w:rFonts w:ascii="仿宋_GB2312" w:eastAsia="仿宋_GB2312"/>
          <w:sz w:val="32"/>
          <w:szCs w:val="32"/>
        </w:rPr>
      </w:pPr>
      <w:r>
        <w:rPr>
          <w:rFonts w:hint="eastAsia" w:ascii="仿宋_GB2312" w:eastAsia="仿宋_GB2312"/>
          <w:sz w:val="32"/>
          <w:szCs w:val="32"/>
        </w:rPr>
        <w:t>市残联积极深化和推进财务预算管理工作，将财务预算管理从点到面全面推进，实现全面预算管理。将预算编制、执行、绩效分析评价、绩效结果运用各个环节相互衔接。将预算绩效目标制定、预算支出控制、预算动态调整、预算执行进度、预算完成情况等贯穿于预算管理的全过程。</w:t>
      </w:r>
    </w:p>
    <w:p>
      <w:pPr>
        <w:pStyle w:val="23"/>
        <w:spacing w:line="560" w:lineRule="atLeast"/>
        <w:ind w:firstLine="640"/>
        <w:rPr>
          <w:rFonts w:ascii="楷体_GB2312" w:eastAsia="楷体_GB2312"/>
          <w:sz w:val="32"/>
          <w:szCs w:val="32"/>
        </w:rPr>
      </w:pPr>
      <w:r>
        <w:rPr>
          <w:rFonts w:hint="eastAsia" w:ascii="楷体_GB2312" w:eastAsia="楷体_GB2312"/>
          <w:sz w:val="32"/>
          <w:szCs w:val="32"/>
        </w:rPr>
        <w:t>（二）专项预算管理。</w:t>
      </w:r>
    </w:p>
    <w:p>
      <w:pPr>
        <w:pStyle w:val="23"/>
        <w:spacing w:line="560" w:lineRule="atLeast"/>
        <w:ind w:firstLine="480"/>
        <w:rPr>
          <w:rFonts w:ascii="仿宋_GB2312" w:eastAsia="仿宋_GB2312"/>
          <w:sz w:val="32"/>
          <w:szCs w:val="32"/>
        </w:rPr>
      </w:pPr>
      <w:r>
        <w:rPr>
          <w:rFonts w:hint="eastAsia" w:ascii="仿宋_GB2312" w:eastAsia="仿宋_GB2312"/>
          <w:sz w:val="32"/>
          <w:szCs w:val="32"/>
        </w:rPr>
        <w:t>根据绩效评价结果，加强财政支出管理，增强资金绩效管理理念，强化资金管理水平，提高资金使用效率。为使绩效评价结果得到有效应用，将绩效评价结果作为以后年度项目资金分配的重要依据，对评价结果较好的项目应保证资金支持，对评价结果不合格的项目应当减少资金或取消项目。将绩效评价结果与预算编制相结合；将绩效评价结果与日常预算管理相结合；将绩效评价结果与行政监督相结合。</w:t>
      </w:r>
    </w:p>
    <w:p>
      <w:pPr>
        <w:pStyle w:val="22"/>
        <w:spacing w:line="580" w:lineRule="atLeast"/>
        <w:ind w:firstLine="640"/>
        <w:rPr>
          <w:rFonts w:ascii="黑体" w:eastAsia="黑体"/>
          <w:color w:val="000000"/>
          <w:sz w:val="32"/>
          <w:szCs w:val="32"/>
        </w:rPr>
      </w:pPr>
      <w:r>
        <w:rPr>
          <w:rFonts w:hint="eastAsia" w:ascii="黑体" w:eastAsia="黑体"/>
          <w:color w:val="000000"/>
          <w:sz w:val="32"/>
          <w:szCs w:val="32"/>
        </w:rPr>
        <w:t>四、评价结论及建议</w:t>
      </w:r>
    </w:p>
    <w:p>
      <w:pPr>
        <w:pStyle w:val="23"/>
        <w:spacing w:line="560" w:lineRule="atLeast"/>
        <w:ind w:firstLine="640"/>
        <w:rPr>
          <w:rFonts w:ascii="仿宋_GB2312" w:eastAsia="仿宋_GB2312"/>
          <w:sz w:val="32"/>
          <w:szCs w:val="32"/>
        </w:rPr>
      </w:pPr>
      <w:r>
        <w:rPr>
          <w:rFonts w:hint="eastAsia" w:ascii="仿宋_GB2312" w:eastAsia="仿宋_GB2312"/>
          <w:sz w:val="32"/>
          <w:szCs w:val="32"/>
        </w:rPr>
        <w:t>（一）评价结论：通过政府不断加大对我市残疾人事业的资金投入，全社会共同参与，使我市残疾人事业迈上新的台阶。残疾人康复服务更加精准，教育水平不断提升，文化体育生活更加丰富，权益保障更加到位，提高了残疾人生活质量，增强了残疾人自信心，使残疾人更好</w:t>
      </w:r>
      <w:r>
        <w:rPr>
          <w:rFonts w:hint="eastAsia" w:ascii="仿宋_GB2312" w:eastAsia="仿宋_GB2312"/>
          <w:sz w:val="32"/>
          <w:szCs w:val="32"/>
          <w:lang w:val="en-US" w:eastAsia="zh-CN"/>
        </w:rPr>
        <w:t>地</w:t>
      </w:r>
      <w:r>
        <w:rPr>
          <w:rFonts w:hint="eastAsia" w:ascii="仿宋_GB2312" w:eastAsia="仿宋_GB2312"/>
          <w:sz w:val="32"/>
          <w:szCs w:val="32"/>
        </w:rPr>
        <w:t>融入社会，参与社会，共享社会物质文化成果和精神文明建设双丰收。</w:t>
      </w:r>
    </w:p>
    <w:p>
      <w:pPr>
        <w:pStyle w:val="23"/>
        <w:spacing w:line="560" w:lineRule="atLeast"/>
        <w:ind w:firstLine="640"/>
        <w:rPr>
          <w:rFonts w:ascii="仿宋_GB2312" w:eastAsia="仿宋_GB2312"/>
          <w:sz w:val="32"/>
          <w:szCs w:val="32"/>
        </w:rPr>
      </w:pPr>
      <w:r>
        <w:rPr>
          <w:rFonts w:hint="eastAsia" w:ascii="仿宋_GB2312" w:eastAsia="仿宋_GB2312"/>
          <w:sz w:val="32"/>
          <w:szCs w:val="32"/>
        </w:rPr>
        <w:t>（二）存在问题：个别项目存在的问题是专项资金绩效目标设置不合理，项目的绩效目标设置不够全面，绩效目标指标值不够科学规范，部分目标值定义笼统。</w:t>
      </w:r>
    </w:p>
    <w:p>
      <w:pPr>
        <w:pStyle w:val="23"/>
        <w:spacing w:line="560" w:lineRule="atLeast"/>
        <w:ind w:firstLine="640"/>
        <w:rPr>
          <w:rFonts w:ascii="仿宋_GB2312" w:eastAsia="仿宋_GB2312"/>
          <w:sz w:val="32"/>
          <w:szCs w:val="32"/>
        </w:rPr>
      </w:pPr>
      <w:r>
        <w:rPr>
          <w:rFonts w:hint="eastAsia" w:ascii="仿宋_GB2312" w:eastAsia="仿宋_GB2312"/>
          <w:sz w:val="32"/>
          <w:szCs w:val="32"/>
        </w:rPr>
        <w:t>（三）改进建议：一是完善绩效管理组织架构、制度体系和评价标准。二是在预算编报过程中严格按相关规定，遵循指向明确、合理可行和相应匹配的要求科学合理、规范高效的编报专项资金的绩效目标。三是是规范预算编制，注重全员参与，加强项目前期论证工作的科学性、可行性，同时提高资金分配的合理性和准确度，对当年度无法实施的项目及时按程序进行预算和绩效目标的调整。</w:t>
      </w:r>
    </w:p>
    <w:p>
      <w:pPr>
        <w:pStyle w:val="22"/>
        <w:shd w:val="clear" w:color="auto" w:fill="FFFFFF"/>
        <w:ind w:firstLine="640"/>
        <w:jc w:val="left"/>
        <w:rPr>
          <w:shd w:val="clear" w:color="auto" w:fill="FFFFFF"/>
        </w:rPr>
      </w:pPr>
    </w:p>
    <w:p>
      <w:pPr>
        <w:pStyle w:val="2"/>
        <w:spacing w:before="93"/>
        <w:rPr>
          <w:rFonts w:hAnsi="宋体" w:cs="宋体"/>
          <w:sz w:val="32"/>
          <w:szCs w:val="32"/>
          <w:shd w:val="clear" w:color="auto" w:fill="FFFFFF"/>
          <w:lang w:val="zh-CN"/>
        </w:rPr>
      </w:pPr>
    </w:p>
    <w:p>
      <w:pPr>
        <w:pStyle w:val="2"/>
        <w:spacing w:before="93"/>
        <w:rPr>
          <w:lang w:val="zh-CN"/>
        </w:rPr>
      </w:pPr>
      <w:r>
        <w:rPr>
          <w:rFonts w:hint="eastAsia" w:hAnsi="宋体" w:cs="宋体"/>
          <w:sz w:val="32"/>
          <w:szCs w:val="32"/>
          <w:shd w:val="clear" w:color="auto" w:fill="FFFFFF"/>
          <w:lang w:val="zh-CN"/>
        </w:rPr>
        <w:t>附件</w:t>
      </w:r>
    </w:p>
    <w:p>
      <w:pPr>
        <w:spacing w:line="600" w:lineRule="exact"/>
        <w:jc w:val="center"/>
        <w:rPr>
          <w:rFonts w:ascii="方正小标宋简体" w:hAnsi="方正小标宋简体" w:eastAsia="方正小标宋简体" w:cs="方正小标宋简体"/>
          <w:b/>
          <w:bCs/>
          <w:sz w:val="40"/>
          <w:szCs w:val="40"/>
          <w:lang w:val="zh-CN"/>
        </w:rPr>
      </w:pPr>
      <w:r>
        <w:rPr>
          <w:rFonts w:hint="eastAsia" w:ascii="方正小标宋简体" w:hAnsi="方正小标宋简体" w:eastAsia="方正小标宋简体" w:cs="方正小标宋简体"/>
          <w:b/>
          <w:bCs/>
          <w:sz w:val="40"/>
          <w:szCs w:val="40"/>
        </w:rPr>
        <w:t xml:space="preserve"> 2021年</w:t>
      </w:r>
      <w:r>
        <w:rPr>
          <w:rFonts w:hint="eastAsia" w:ascii="方正小标宋简体" w:hAnsi="方正小标宋简体" w:eastAsia="方正小标宋简体" w:cs="方正小标宋简体"/>
          <w:b/>
          <w:bCs/>
          <w:sz w:val="40"/>
          <w:szCs w:val="40"/>
          <w:lang w:val="zh-CN"/>
        </w:rPr>
        <w:t>残疾人体育项目支出绩效自评报告</w:t>
      </w:r>
    </w:p>
    <w:p>
      <w:pPr>
        <w:spacing w:line="600" w:lineRule="exact"/>
        <w:ind w:firstLine="640"/>
        <w:jc w:val="center"/>
        <w:rPr>
          <w:rFonts w:ascii="宋体" w:hAnsi="宋体"/>
          <w:sz w:val="32"/>
          <w:szCs w:val="32"/>
          <w:lang w:val="zh-CN"/>
        </w:rPr>
      </w:pPr>
    </w:p>
    <w:p>
      <w:pPr>
        <w:spacing w:line="560" w:lineRule="exact"/>
        <w:ind w:firstLine="640" w:firstLineChars="200"/>
        <w:rPr>
          <w:rFonts w:ascii="黑体" w:eastAsia="黑体"/>
          <w:sz w:val="32"/>
          <w:szCs w:val="32"/>
        </w:rPr>
      </w:pPr>
      <w:r>
        <w:rPr>
          <w:rFonts w:hint="eastAsia" w:ascii="黑体" w:eastAsia="黑体"/>
          <w:sz w:val="32"/>
          <w:szCs w:val="32"/>
        </w:rPr>
        <w:t>一、项目概况</w:t>
      </w:r>
    </w:p>
    <w:p>
      <w:pPr>
        <w:spacing w:line="560" w:lineRule="exact"/>
        <w:ind w:firstLine="640" w:firstLineChars="200"/>
        <w:rPr>
          <w:rFonts w:ascii="楷体_GB2312" w:eastAsia="楷体_GB2312"/>
          <w:b/>
          <w:bCs/>
          <w:color w:val="000000"/>
          <w:sz w:val="32"/>
          <w:szCs w:val="32"/>
        </w:rPr>
      </w:pPr>
      <w:r>
        <w:rPr>
          <w:rFonts w:hint="eastAsia" w:ascii="楷体_GB2312" w:eastAsia="楷体_GB2312"/>
          <w:b/>
          <w:bCs/>
          <w:sz w:val="32"/>
          <w:szCs w:val="32"/>
        </w:rPr>
        <w:t>（一）项目基本情况</w:t>
      </w:r>
    </w:p>
    <w:p>
      <w:pPr>
        <w:spacing w:line="560" w:lineRule="exact"/>
        <w:ind w:firstLine="640" w:firstLineChars="200"/>
        <w:rPr>
          <w:rFonts w:ascii="仿宋_GB2312" w:eastAsia="仿宋_GB2312"/>
          <w:sz w:val="32"/>
          <w:szCs w:val="32"/>
          <w:shd w:val="clear" w:color="auto" w:fill="FFFFFF"/>
        </w:rPr>
      </w:pPr>
      <w:r>
        <w:rPr>
          <w:rFonts w:hint="eastAsia" w:ascii="仿宋_GB2312" w:eastAsia="仿宋_GB2312"/>
          <w:sz w:val="32"/>
          <w:szCs w:val="32"/>
          <w:shd w:val="clear" w:color="auto" w:fill="FFFFFF"/>
        </w:rPr>
        <w:t>根据省残联和市委市政府工作安排，开展残疾人体育工作，推动我市残疾人体育事业发展，</w:t>
      </w:r>
      <w:r>
        <w:rPr>
          <w:rFonts w:hint="eastAsia" w:ascii="仿宋_GB2312" w:eastAsia="仿宋_GB2312" w:cs="仿宋_GB2312"/>
          <w:sz w:val="32"/>
          <w:szCs w:val="32"/>
        </w:rPr>
        <w:t>提高我市残疾人优势竞技体育项目的竞争实力，保持残疾人体育高水准、高层次、可持续发展，</w:t>
      </w:r>
      <w:r>
        <w:rPr>
          <w:rFonts w:hint="eastAsia" w:ascii="仿宋_GB2312" w:eastAsia="仿宋_GB2312"/>
          <w:sz w:val="32"/>
          <w:szCs w:val="32"/>
        </w:rPr>
        <w:t>提升残疾人身体素质，</w:t>
      </w:r>
      <w:r>
        <w:rPr>
          <w:rFonts w:hint="eastAsia" w:ascii="仿宋_GB2312" w:eastAsia="仿宋_GB2312"/>
          <w:sz w:val="32"/>
          <w:szCs w:val="32"/>
          <w:shd w:val="clear" w:color="auto" w:fill="FFFFFF"/>
        </w:rPr>
        <w:t>丰富残疾人文化体育生活。</w:t>
      </w:r>
    </w:p>
    <w:p>
      <w:pPr>
        <w:spacing w:line="560" w:lineRule="exact"/>
        <w:ind w:firstLine="640" w:firstLineChars="200"/>
        <w:rPr>
          <w:rFonts w:ascii="楷体_GB2312" w:eastAsia="楷体_GB2312"/>
          <w:b/>
          <w:bCs/>
          <w:sz w:val="32"/>
          <w:szCs w:val="32"/>
        </w:rPr>
      </w:pPr>
      <w:r>
        <w:rPr>
          <w:rFonts w:hint="eastAsia" w:ascii="楷体_GB2312" w:eastAsia="楷体_GB2312"/>
          <w:b/>
          <w:bCs/>
          <w:sz w:val="32"/>
          <w:szCs w:val="32"/>
        </w:rPr>
        <w:t>（二）项目绩效目标</w:t>
      </w:r>
    </w:p>
    <w:p>
      <w:pPr>
        <w:spacing w:line="560" w:lineRule="exact"/>
        <w:rPr>
          <w:rFonts w:ascii="仿宋_GB2312" w:eastAsia="仿宋_GB2312"/>
          <w:sz w:val="32"/>
          <w:szCs w:val="32"/>
        </w:rPr>
      </w:pPr>
      <w:r>
        <w:rPr>
          <w:rFonts w:hint="eastAsia" w:ascii="仿宋_GB2312" w:eastAsia="仿宋_GB2312"/>
          <w:sz w:val="32"/>
          <w:szCs w:val="32"/>
        </w:rPr>
        <w:t xml:space="preserve">    一是备战</w:t>
      </w:r>
      <w:r>
        <w:rPr>
          <w:rFonts w:hint="eastAsia" w:ascii="仿宋_GB2312" w:eastAsia="仿宋_GB2312"/>
          <w:sz w:val="32"/>
          <w:szCs w:val="32"/>
          <w:shd w:val="clear" w:color="auto" w:fill="FFFFFF"/>
        </w:rPr>
        <w:t>四川省第十届残运会暨第五届特奥会，</w:t>
      </w:r>
      <w:r>
        <w:rPr>
          <w:rFonts w:hint="eastAsia" w:ascii="仿宋_GB2312" w:eastAsia="仿宋_GB2312"/>
          <w:sz w:val="32"/>
          <w:szCs w:val="32"/>
        </w:rPr>
        <w:t>开展中国象棋、游泳、田径、滚球、轮滑等日常训练和集中训练；二是组队参加全国第十一届残运会、四川省第三届全民健身运动会和攀枝花市第二届全民健身运动会；三是</w:t>
      </w:r>
      <w:r>
        <w:rPr>
          <w:rFonts w:hint="eastAsia" w:ascii="仿宋_GB2312" w:eastAsia="仿宋_GB2312"/>
          <w:bCs/>
          <w:sz w:val="32"/>
          <w:szCs w:val="32"/>
        </w:rPr>
        <w:t>根据残疾人需求适配</w:t>
      </w:r>
      <w:r>
        <w:rPr>
          <w:rFonts w:hint="eastAsia" w:ascii="仿宋_GB2312" w:eastAsia="仿宋_GB2312"/>
          <w:sz w:val="32"/>
          <w:szCs w:val="32"/>
        </w:rPr>
        <w:t>康复（健身）体育器材，提升残疾人身体素质。</w:t>
      </w:r>
    </w:p>
    <w:p>
      <w:pPr>
        <w:numPr>
          <w:ilvl w:val="0"/>
          <w:numId w:val="5"/>
        </w:numPr>
        <w:spacing w:line="560" w:lineRule="exact"/>
        <w:ind w:firstLine="640" w:firstLineChars="200"/>
        <w:rPr>
          <w:rFonts w:ascii="黑体" w:eastAsia="黑体"/>
          <w:sz w:val="32"/>
          <w:szCs w:val="32"/>
        </w:rPr>
      </w:pPr>
      <w:r>
        <w:rPr>
          <w:rFonts w:hint="eastAsia" w:ascii="黑体" w:eastAsia="黑体"/>
          <w:sz w:val="32"/>
          <w:szCs w:val="32"/>
        </w:rPr>
        <w:t>项目资金申报及使用情况</w:t>
      </w:r>
    </w:p>
    <w:p>
      <w:pPr>
        <w:spacing w:line="560" w:lineRule="exact"/>
        <w:ind w:firstLine="640" w:firstLineChars="200"/>
        <w:rPr>
          <w:rFonts w:ascii="楷体_GB2312" w:hAnsi="宋体" w:eastAsia="楷体_GB2312"/>
          <w:b/>
          <w:sz w:val="32"/>
          <w:szCs w:val="32"/>
          <w:lang w:val="zh-CN"/>
        </w:rPr>
      </w:pPr>
      <w:r>
        <w:rPr>
          <w:rFonts w:hint="eastAsia" w:ascii="楷体_GB2312" w:hAnsi="宋体" w:eastAsia="楷体_GB2312"/>
          <w:b/>
          <w:sz w:val="32"/>
          <w:szCs w:val="32"/>
        </w:rPr>
        <w:t>(一）</w:t>
      </w:r>
      <w:r>
        <w:rPr>
          <w:rFonts w:hint="eastAsia" w:ascii="楷体_GB2312" w:hAnsi="宋体" w:eastAsia="楷体_GB2312"/>
          <w:b/>
          <w:sz w:val="32"/>
          <w:szCs w:val="32"/>
          <w:lang w:val="zh-CN"/>
        </w:rPr>
        <w:t>项目资金申报及批复情况</w:t>
      </w:r>
    </w:p>
    <w:p>
      <w:pPr>
        <w:adjustRightInd w:val="0"/>
        <w:snapToGrid w:val="0"/>
        <w:spacing w:line="560" w:lineRule="exact"/>
        <w:ind w:firstLine="640" w:firstLineChars="200"/>
        <w:rPr>
          <w:rFonts w:ascii="仿宋_GB2312" w:hAnsi="仿宋_GB2312" w:eastAsia="仿宋_GB2312" w:cs="仿宋_GB2312"/>
          <w:sz w:val="32"/>
          <w:szCs w:val="32"/>
          <w:shd w:val="clear" w:color="auto" w:fill="FFFFFF"/>
          <w:lang w:val="zh-CN"/>
        </w:rPr>
      </w:pPr>
      <w:r>
        <w:rPr>
          <w:rFonts w:hint="eastAsia" w:ascii="仿宋_GB2312" w:hAnsi="仿宋_GB2312" w:eastAsia="仿宋_GB2312" w:cs="仿宋_GB2312"/>
          <w:sz w:val="32"/>
          <w:szCs w:val="32"/>
          <w:shd w:val="clear" w:color="auto" w:fill="FFFFFF"/>
        </w:rPr>
        <w:t>2021年年初，根据国家、省、市工作安排，结合我市残疾人具体情况将任务数纳入预算进行项目资金申报，</w:t>
      </w:r>
      <w:r>
        <w:rPr>
          <w:rFonts w:hint="eastAsia" w:ascii="仿宋_GB2312" w:hAnsi="仿宋_GB2312" w:eastAsia="仿宋_GB2312" w:cs="仿宋_GB2312"/>
          <w:sz w:val="32"/>
          <w:szCs w:val="32"/>
          <w:shd w:val="clear" w:color="auto" w:fill="FFFFFF"/>
          <w:lang w:val="zh-CN"/>
        </w:rPr>
        <w:t>市</w:t>
      </w:r>
      <w:r>
        <w:rPr>
          <w:rFonts w:hint="eastAsia" w:ascii="仿宋_GB2312" w:hAnsi="仿宋_GB2312" w:eastAsia="仿宋_GB2312" w:cs="仿宋_GB2312"/>
          <w:sz w:val="32"/>
          <w:szCs w:val="32"/>
          <w:shd w:val="clear" w:color="auto" w:fill="FFFFFF"/>
        </w:rPr>
        <w:t>财政</w:t>
      </w:r>
      <w:r>
        <w:rPr>
          <w:rFonts w:hint="eastAsia" w:ascii="仿宋_GB2312" w:hAnsi="仿宋_GB2312" w:eastAsia="仿宋_GB2312" w:cs="仿宋_GB2312"/>
          <w:sz w:val="32"/>
          <w:szCs w:val="32"/>
          <w:shd w:val="clear" w:color="auto" w:fill="FFFFFF"/>
          <w:lang w:val="zh-CN"/>
        </w:rPr>
        <w:t>对项目资金给予大力</w:t>
      </w:r>
      <w:r>
        <w:rPr>
          <w:rFonts w:hint="eastAsia" w:ascii="仿宋_GB2312" w:hAnsi="仿宋_GB2312" w:eastAsia="仿宋_GB2312" w:cs="仿宋_GB2312"/>
          <w:sz w:val="32"/>
          <w:szCs w:val="32"/>
          <w:shd w:val="clear" w:color="auto" w:fill="FFFFFF"/>
        </w:rPr>
        <w:t>支持</w:t>
      </w:r>
      <w:r>
        <w:rPr>
          <w:rFonts w:hint="eastAsia" w:ascii="仿宋_GB2312" w:hAnsi="仿宋_GB2312" w:eastAsia="仿宋_GB2312" w:cs="仿宋_GB2312"/>
          <w:sz w:val="32"/>
          <w:szCs w:val="32"/>
          <w:shd w:val="clear" w:color="auto" w:fill="FFFFFF"/>
          <w:lang w:val="zh-CN"/>
        </w:rPr>
        <w:t>，符合资金管理办法。</w:t>
      </w:r>
    </w:p>
    <w:p>
      <w:pPr>
        <w:spacing w:line="560" w:lineRule="exact"/>
        <w:ind w:firstLine="640" w:firstLineChars="200"/>
        <w:rPr>
          <w:rFonts w:ascii="楷体_GB2312" w:hAnsi="宋体" w:eastAsia="楷体_GB2312"/>
          <w:b/>
          <w:sz w:val="32"/>
          <w:szCs w:val="32"/>
          <w:lang w:val="zh-CN"/>
        </w:rPr>
      </w:pPr>
      <w:r>
        <w:rPr>
          <w:rFonts w:hint="eastAsia" w:ascii="楷体_GB2312" w:hAnsi="宋体" w:eastAsia="楷体_GB2312"/>
          <w:b/>
          <w:sz w:val="32"/>
          <w:szCs w:val="32"/>
          <w:lang w:val="zh-CN"/>
        </w:rPr>
        <w:t>（二）资金计划、到位及使用情况。</w:t>
      </w:r>
    </w:p>
    <w:p>
      <w:pPr>
        <w:adjustRightInd w:val="0"/>
        <w:snapToGrid w:val="0"/>
        <w:spacing w:line="560" w:lineRule="exact"/>
        <w:ind w:firstLine="720"/>
        <w:rPr>
          <w:rFonts w:ascii="仿宋_GB2312" w:eastAsia="仿宋_GB2312"/>
          <w:sz w:val="32"/>
          <w:szCs w:val="32"/>
        </w:rPr>
      </w:pPr>
      <w:r>
        <w:rPr>
          <w:rFonts w:hint="eastAsia" w:ascii="仿宋_GB2312" w:eastAsia="仿宋_GB2312"/>
          <w:sz w:val="32"/>
          <w:szCs w:val="32"/>
        </w:rPr>
        <w:t>2021年度我市残疾人体育经费市本级预算共计20万元。</w:t>
      </w:r>
      <w:r>
        <w:rPr>
          <w:rFonts w:hint="eastAsia" w:ascii="仿宋_GB2312" w:hAnsi="仿宋_GB2312" w:eastAsia="仿宋_GB2312" w:cs="仿宋_GB2312"/>
          <w:sz w:val="32"/>
          <w:szCs w:val="32"/>
          <w:shd w:val="clear" w:color="auto" w:fill="FFFFFF"/>
          <w:lang w:val="zh-CN"/>
        </w:rPr>
        <w:t>资金到位情况与资金计划相符，资金到位率、到位及时性为100%。资金实际</w:t>
      </w:r>
      <w:r>
        <w:rPr>
          <w:rFonts w:hint="eastAsia" w:ascii="仿宋_GB2312" w:eastAsia="仿宋_GB2312"/>
          <w:sz w:val="32"/>
          <w:szCs w:val="32"/>
        </w:rPr>
        <w:t>支出17.65万元，主要用于组队参加四川省第三届全民健身运动会和攀枝花市第二届全民健身运动会，开展运动员体育项目训练和康复（健身）体育器材进家庭项目。经费结余2.35万元。</w:t>
      </w:r>
    </w:p>
    <w:p>
      <w:pPr>
        <w:adjustRightInd w:val="0"/>
        <w:snapToGrid w:val="0"/>
        <w:spacing w:line="56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adjustRightInd w:val="0"/>
        <w:snapToGrid w:val="0"/>
        <w:spacing w:line="560" w:lineRule="exact"/>
        <w:ind w:firstLine="640" w:firstLineChars="200"/>
        <w:rPr>
          <w:rFonts w:ascii="仿宋_GB2312" w:hAnsi="仿宋_GB2312" w:eastAsia="仿宋_GB2312" w:cs="仿宋_GB2312"/>
          <w:sz w:val="32"/>
          <w:szCs w:val="32"/>
          <w:shd w:val="clear" w:color="auto" w:fill="FFFFFF"/>
          <w:lang w:val="zh-CN"/>
        </w:rPr>
      </w:pPr>
      <w:r>
        <w:rPr>
          <w:rFonts w:hint="eastAsia" w:ascii="仿宋_GB2312" w:hAnsi="仿宋_GB2312" w:eastAsia="仿宋_GB2312" w:cs="仿宋_GB2312"/>
          <w:sz w:val="32"/>
          <w:szCs w:val="32"/>
          <w:shd w:val="clear" w:color="auto" w:fill="FFFFFF"/>
        </w:rPr>
        <w:t>财务管理制度完善、机构健全、会计核算规范，账务处理及时，严格执行财务管理相关制度。</w:t>
      </w:r>
    </w:p>
    <w:p>
      <w:pPr>
        <w:spacing w:line="560" w:lineRule="exact"/>
        <w:ind w:firstLine="640" w:firstLineChars="200"/>
        <w:rPr>
          <w:rFonts w:ascii="仿宋_GB2312" w:hAnsi="宋体" w:eastAsia="仿宋_GB2312"/>
          <w:sz w:val="32"/>
          <w:szCs w:val="32"/>
          <w:bdr w:val="single" w:color="auto" w:sz="4" w:space="0"/>
          <w:lang w:val="zh-CN"/>
        </w:rPr>
      </w:pPr>
      <w:r>
        <w:rPr>
          <w:rFonts w:hint="eastAsia" w:ascii="黑体" w:eastAsia="黑体"/>
          <w:sz w:val="32"/>
          <w:szCs w:val="32"/>
        </w:rPr>
        <w:t>三、项目实施及管理情况</w:t>
      </w:r>
    </w:p>
    <w:p>
      <w:pPr>
        <w:spacing w:line="560" w:lineRule="exact"/>
        <w:ind w:firstLine="640" w:firstLineChars="200"/>
        <w:rPr>
          <w:rFonts w:ascii="仿宋_GB2312" w:hAnsi="宋体" w:eastAsia="仿宋_GB2312"/>
          <w:sz w:val="32"/>
          <w:szCs w:val="32"/>
          <w:bdr w:val="single" w:color="auto" w:sz="4" w:space="0"/>
          <w:lang w:val="zh-CN"/>
        </w:rPr>
      </w:pPr>
      <w:r>
        <w:rPr>
          <w:rFonts w:hint="eastAsia" w:ascii="仿宋_GB2312" w:eastAsia="仿宋_GB2312"/>
          <w:sz w:val="32"/>
          <w:szCs w:val="32"/>
        </w:rPr>
        <w:t>严格按照省、市统一安排，</w:t>
      </w:r>
      <w:r>
        <w:rPr>
          <w:rFonts w:hint="eastAsia" w:eastAsia="仿宋_GB2312"/>
          <w:sz w:val="32"/>
          <w:szCs w:val="32"/>
        </w:rPr>
        <w:t>实施过程中不断</w:t>
      </w:r>
      <w:r>
        <w:rPr>
          <w:rFonts w:eastAsia="仿宋_GB2312"/>
          <w:sz w:val="32"/>
          <w:szCs w:val="32"/>
        </w:rPr>
        <w:t>优化完善实施方案</w:t>
      </w:r>
      <w:r>
        <w:rPr>
          <w:rFonts w:hint="eastAsia" w:eastAsia="仿宋_GB2312"/>
          <w:sz w:val="32"/>
          <w:szCs w:val="32"/>
        </w:rPr>
        <w:t>和</w:t>
      </w:r>
      <w:r>
        <w:rPr>
          <w:rFonts w:eastAsia="仿宋_GB2312"/>
          <w:sz w:val="32"/>
          <w:szCs w:val="32"/>
        </w:rPr>
        <w:t>绩效目标，</w:t>
      </w:r>
      <w:r>
        <w:rPr>
          <w:rFonts w:hint="eastAsia" w:eastAsia="仿宋_GB2312"/>
          <w:sz w:val="32"/>
          <w:szCs w:val="32"/>
        </w:rPr>
        <w:t>加强运行监控，节约</w:t>
      </w:r>
      <w:r>
        <w:rPr>
          <w:rFonts w:eastAsia="仿宋_GB2312"/>
          <w:sz w:val="32"/>
          <w:szCs w:val="32"/>
        </w:rPr>
        <w:t>财政资金并提升资金效益</w:t>
      </w:r>
      <w:r>
        <w:rPr>
          <w:rFonts w:hint="eastAsia" w:eastAsia="仿宋_GB2312"/>
          <w:sz w:val="32"/>
          <w:szCs w:val="32"/>
        </w:rPr>
        <w:t>；</w:t>
      </w:r>
      <w:r>
        <w:rPr>
          <w:rFonts w:hint="eastAsia" w:ascii="仿宋_GB2312" w:hAnsi="宋体" w:eastAsia="仿宋_GB2312"/>
          <w:sz w:val="32"/>
          <w:szCs w:val="32"/>
          <w:lang w:val="zh-CN"/>
        </w:rPr>
        <w:t>结合项目自身特点、评价重点及管理办法等要求，围绕专项项目支出绩效评价指标体系对项目进行规范管理。</w:t>
      </w:r>
    </w:p>
    <w:p>
      <w:pPr>
        <w:spacing w:line="560" w:lineRule="exact"/>
        <w:ind w:firstLine="640" w:firstLineChars="200"/>
        <w:rPr>
          <w:rFonts w:ascii="黑体" w:eastAsia="黑体"/>
          <w:sz w:val="32"/>
          <w:szCs w:val="32"/>
        </w:rPr>
      </w:pPr>
      <w:r>
        <w:rPr>
          <w:rFonts w:hint="eastAsia" w:ascii="黑体" w:eastAsia="黑体"/>
          <w:sz w:val="32"/>
          <w:szCs w:val="32"/>
        </w:rPr>
        <w:t>四、项目绩效情况</w:t>
      </w:r>
    </w:p>
    <w:p>
      <w:pPr>
        <w:autoSpaceDE w:val="0"/>
        <w:autoSpaceDN w:val="0"/>
        <w:adjustRightInd w:val="0"/>
        <w:spacing w:line="560" w:lineRule="exact"/>
        <w:ind w:firstLine="640" w:firstLineChars="200"/>
        <w:jc w:val="left"/>
        <w:rPr>
          <w:rFonts w:ascii="楷体_GB2312" w:hAnsi="宋体" w:eastAsia="楷体_GB2312"/>
          <w:b/>
          <w:sz w:val="32"/>
          <w:szCs w:val="32"/>
          <w:lang w:val="zh-CN"/>
        </w:rPr>
      </w:pPr>
      <w:r>
        <w:rPr>
          <w:rFonts w:hint="eastAsia" w:ascii="仿宋_GB2312" w:eastAsia="仿宋_GB2312"/>
          <w:color w:val="000000"/>
          <w:sz w:val="32"/>
          <w:szCs w:val="32"/>
        </w:rPr>
        <w:t xml:space="preserve"> </w:t>
      </w:r>
      <w:r>
        <w:rPr>
          <w:rFonts w:hint="eastAsia" w:ascii="楷体_GB2312" w:hAnsi="宋体" w:eastAsia="楷体_GB2312"/>
          <w:b/>
          <w:sz w:val="32"/>
          <w:szCs w:val="32"/>
          <w:lang w:val="zh-CN"/>
        </w:rPr>
        <w:t>（一）项目完成情况。</w:t>
      </w:r>
    </w:p>
    <w:p>
      <w:pPr>
        <w:autoSpaceDE w:val="0"/>
        <w:autoSpaceDN w:val="0"/>
        <w:adjustRightIn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2021年，攀枝花市代表四川省组队集训后参加全国第十一届残运会，象棋队斩获</w:t>
      </w:r>
      <w:r>
        <w:rPr>
          <w:rStyle w:val="36"/>
          <w:rFonts w:hint="eastAsia" w:ascii="仿宋_GB2312" w:hAnsi="仿宋_GB2312" w:eastAsia="仿宋_GB2312" w:cs="仿宋_GB2312"/>
          <w:sz w:val="32"/>
          <w:szCs w:val="32"/>
        </w:rPr>
        <w:t>1金1银1铜，一个第7名和体育道德风尚奖；市残联组织残疾人参加第三届全民健身运动会，田径代表队获得2金1银1铜，2个第6名、1个第7名、1个第8名、1个体育道德风尚奖。游泳代表队取得10金9银5铜和优秀组织奖；组织残疾人参加了攀枝花市第二届全民健身运动会象棋项目和乒乓球比赛，象棋获团队第6名，乒乓球队获“道德风尚”奖；</w:t>
      </w:r>
      <w:r>
        <w:rPr>
          <w:rFonts w:hint="eastAsia" w:ascii="仿宋_GB2312" w:hAnsi="仿宋_GB2312" w:eastAsia="仿宋_GB2312" w:cs="仿宋_GB2312"/>
          <w:sz w:val="32"/>
          <w:szCs w:val="32"/>
        </w:rPr>
        <w:t>选拔40名残疾人运动员参加中国象棋、游泳、田径、滚球、轮滑等日常训练和集训；输送5名精英运动员参加四川省残疾人运动队游泳、举重项目集训；为有需求的残疾人家庭发放康复健身体育器材3602件。</w:t>
      </w:r>
    </w:p>
    <w:p>
      <w:pPr>
        <w:autoSpaceDE w:val="0"/>
        <w:autoSpaceDN w:val="0"/>
        <w:adjustRightInd w:val="0"/>
        <w:spacing w:line="560" w:lineRule="exact"/>
        <w:ind w:firstLine="640" w:firstLineChars="200"/>
        <w:jc w:val="left"/>
        <w:rPr>
          <w:rFonts w:ascii="楷体_GB2312" w:hAnsi="宋体" w:eastAsia="楷体_GB2312"/>
          <w:b/>
          <w:sz w:val="32"/>
          <w:szCs w:val="32"/>
          <w:lang w:val="zh-CN"/>
        </w:rPr>
      </w:pPr>
      <w:r>
        <w:rPr>
          <w:rFonts w:hint="eastAsia" w:ascii="楷体_GB2312" w:hAnsi="宋体" w:eastAsia="楷体_GB2312"/>
          <w:b/>
          <w:sz w:val="32"/>
          <w:szCs w:val="32"/>
        </w:rPr>
        <w:t>(二)</w:t>
      </w:r>
      <w:r>
        <w:rPr>
          <w:rFonts w:hint="eastAsia" w:ascii="楷体_GB2312" w:hAnsi="宋体" w:eastAsia="楷体_GB2312"/>
          <w:b/>
          <w:sz w:val="32"/>
          <w:szCs w:val="32"/>
          <w:lang w:val="zh-CN"/>
        </w:rPr>
        <w:t>项目效益情况。</w:t>
      </w:r>
    </w:p>
    <w:p>
      <w:pPr>
        <w:autoSpaceDE w:val="0"/>
        <w:autoSpaceDN w:val="0"/>
        <w:adjustRightInd w:val="0"/>
        <w:spacing w:line="560" w:lineRule="exact"/>
        <w:ind w:firstLine="640" w:firstLineChars="200"/>
        <w:jc w:val="left"/>
        <w:rPr>
          <w:rStyle w:val="36"/>
          <w:rFonts w:ascii="仿宋_GB2312" w:hAnsi="仿宋_GB2312" w:eastAsia="仿宋_GB2312" w:cs="仿宋_GB2312"/>
          <w:sz w:val="32"/>
          <w:szCs w:val="32"/>
        </w:rPr>
      </w:pPr>
      <w:r>
        <w:rPr>
          <w:rStyle w:val="36"/>
          <w:rFonts w:hint="eastAsia" w:ascii="仿宋_GB2312" w:hAnsi="仿宋_GB2312" w:eastAsia="仿宋_GB2312" w:cs="仿宋_GB2312"/>
          <w:sz w:val="32"/>
          <w:szCs w:val="32"/>
        </w:rPr>
        <w:t>代表四川省组队参加全国残运会，组织参加四川省第二届全</w:t>
      </w:r>
      <w:r>
        <w:rPr>
          <w:rStyle w:val="36"/>
          <w:rFonts w:hint="eastAsia" w:ascii="仿宋_GB2312" w:hAnsi="仿宋_GB2312" w:eastAsia="仿宋_GB2312" w:cs="仿宋_GB2312"/>
          <w:sz w:val="32"/>
          <w:szCs w:val="32"/>
          <w:lang w:val="en-US" w:eastAsia="zh-CN"/>
        </w:rPr>
        <w:t>民</w:t>
      </w:r>
      <w:r>
        <w:rPr>
          <w:rStyle w:val="36"/>
          <w:rFonts w:hint="eastAsia" w:ascii="仿宋_GB2312" w:hAnsi="仿宋_GB2312" w:eastAsia="仿宋_GB2312" w:cs="仿宋_GB2312"/>
          <w:sz w:val="32"/>
          <w:szCs w:val="32"/>
        </w:rPr>
        <w:t>健身运动员和攀枝花市第三届群众运动会。开展了游泳、田径、中国象棋、滚球、轮滑等残疾人体育训练和康复（健身）体育器材进家庭工作。</w:t>
      </w:r>
    </w:p>
    <w:p>
      <w:pPr>
        <w:adjustRightInd w:val="0"/>
        <w:snapToGrid w:val="0"/>
        <w:spacing w:line="600" w:lineRule="exact"/>
        <w:ind w:firstLine="720"/>
        <w:rPr>
          <w:rFonts w:ascii="黑体" w:hAnsi="宋体" w:eastAsia="黑体"/>
          <w:sz w:val="32"/>
          <w:szCs w:val="32"/>
        </w:rPr>
      </w:pPr>
      <w:r>
        <w:rPr>
          <w:rFonts w:hint="eastAsia" w:ascii="黑体" w:hAnsi="黑体" w:eastAsia="黑体" w:cs="黑体"/>
          <w:sz w:val="32"/>
          <w:szCs w:val="32"/>
        </w:rPr>
        <w:t>五、</w:t>
      </w:r>
      <w:r>
        <w:rPr>
          <w:rFonts w:hint="eastAsia" w:ascii="黑体" w:hAnsi="宋体" w:eastAsia="黑体"/>
          <w:sz w:val="32"/>
          <w:szCs w:val="32"/>
        </w:rPr>
        <w:t>评价结论及建议</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pPr>
        <w:spacing w:line="600" w:lineRule="exact"/>
        <w:ind w:firstLine="640"/>
        <w:rPr>
          <w:rFonts w:ascii="仿宋_GB2312" w:eastAsia="仿宋_GB2312"/>
          <w:sz w:val="32"/>
          <w:szCs w:val="32"/>
        </w:rPr>
      </w:pPr>
      <w:r>
        <w:rPr>
          <w:rFonts w:hint="eastAsia" w:ascii="仿宋_GB2312" w:hAnsi="仿宋_GB2312" w:eastAsia="仿宋_GB2312" w:cs="仿宋_GB2312"/>
          <w:sz w:val="32"/>
          <w:szCs w:val="32"/>
        </w:rPr>
        <w:t>任务数量合理，测算依据充分，项目实施规范，绩效目标明确；执行财务制度严格，</w:t>
      </w:r>
      <w:r>
        <w:rPr>
          <w:rFonts w:hint="eastAsia" w:eastAsia="仿宋_GB2312"/>
          <w:sz w:val="32"/>
          <w:szCs w:val="32"/>
        </w:rPr>
        <w:t>节约</w:t>
      </w:r>
      <w:r>
        <w:rPr>
          <w:rFonts w:eastAsia="仿宋_GB2312"/>
          <w:sz w:val="32"/>
          <w:szCs w:val="32"/>
        </w:rPr>
        <w:t>财政资金并</w:t>
      </w:r>
      <w:r>
        <w:rPr>
          <w:rFonts w:hint="eastAsia" w:eastAsia="仿宋_GB2312"/>
          <w:sz w:val="32"/>
          <w:szCs w:val="32"/>
        </w:rPr>
        <w:t>提升了预算绩效管理水平</w:t>
      </w:r>
      <w:r>
        <w:rPr>
          <w:rFonts w:hint="eastAsia"/>
          <w:sz w:val="32"/>
          <w:szCs w:val="32"/>
        </w:rPr>
        <w:t>；</w:t>
      </w:r>
      <w:r>
        <w:rPr>
          <w:rFonts w:hint="eastAsia" w:ascii="仿宋_GB2312" w:eastAsia="仿宋_GB2312" w:cs="仿宋_GB2312"/>
          <w:sz w:val="32"/>
          <w:szCs w:val="32"/>
        </w:rPr>
        <w:t>残疾人优势竞技体育项目的竞争实力得以保持，</w:t>
      </w:r>
      <w:r>
        <w:rPr>
          <w:rFonts w:hint="eastAsia" w:ascii="仿宋_GB2312" w:hAnsi="仿宋" w:eastAsia="仿宋_GB2312"/>
          <w:sz w:val="32"/>
          <w:szCs w:val="32"/>
        </w:rPr>
        <w:t>残疾人体育后备人才队伍得以壮大，</w:t>
      </w:r>
      <w:r>
        <w:rPr>
          <w:rFonts w:hint="eastAsia" w:ascii="仿宋_GB2312" w:eastAsia="仿宋_GB2312"/>
          <w:sz w:val="32"/>
          <w:szCs w:val="32"/>
        </w:rPr>
        <w:t>残疾人体育生活丰富，残疾人科学体育康复意识、人际交往能力和社会适应能力得以增强。</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（二）相关建议。</w:t>
      </w:r>
    </w:p>
    <w:p>
      <w:pPr>
        <w:spacing w:line="54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建议每年尽早下达项目预算资金，避免造成年初预算和落实项目实施方案进度不一致或是预算执行达不到序时进度。</w:t>
      </w:r>
    </w:p>
    <w:p>
      <w:pPr>
        <w:pStyle w:val="2"/>
        <w:spacing w:before="93"/>
        <w:rPr>
          <w:rFonts w:hAnsi="仿宋_GB2312" w:cs="仿宋_GB2312"/>
          <w:sz w:val="32"/>
          <w:szCs w:val="32"/>
          <w:shd w:val="clear" w:color="auto" w:fill="FFFFFF"/>
        </w:rPr>
      </w:pPr>
    </w:p>
    <w:p>
      <w:pPr>
        <w:spacing w:line="600" w:lineRule="exact"/>
        <w:jc w:val="center"/>
        <w:rPr>
          <w:rFonts w:ascii="方正小标宋_GBK" w:hAnsi="黑体" w:eastAsia="方正小标宋_GBK" w:cs="黑体"/>
          <w:sz w:val="36"/>
          <w:szCs w:val="36"/>
          <w:lang w:val="zh-CN"/>
        </w:rPr>
      </w:pPr>
      <w:r>
        <w:rPr>
          <w:rFonts w:hint="eastAsia"/>
        </w:rPr>
        <w:t xml:space="preserve">   </w:t>
      </w:r>
      <w:r>
        <w:rPr>
          <w:rFonts w:hint="eastAsia" w:ascii="方正小标宋_GBK" w:hAnsi="黑体" w:eastAsia="方正小标宋_GBK" w:cs="黑体"/>
          <w:sz w:val="36"/>
          <w:szCs w:val="36"/>
        </w:rPr>
        <w:t>2021年农村残疾人实用技术培训</w:t>
      </w:r>
      <w:r>
        <w:rPr>
          <w:rFonts w:hint="eastAsia" w:ascii="方正小标宋_GBK" w:hAnsi="黑体" w:eastAsia="方正小标宋_GBK" w:cs="黑体"/>
          <w:sz w:val="36"/>
          <w:szCs w:val="36"/>
          <w:lang w:val="zh-CN"/>
        </w:rPr>
        <w:t>项目支出</w:t>
      </w:r>
    </w:p>
    <w:p>
      <w:pPr>
        <w:spacing w:line="600" w:lineRule="exact"/>
        <w:jc w:val="center"/>
        <w:rPr>
          <w:rFonts w:ascii="方正小标宋_GBK" w:hAnsi="黑体" w:eastAsia="方正小标宋_GBK" w:cs="黑体"/>
          <w:sz w:val="36"/>
          <w:szCs w:val="36"/>
          <w:lang w:val="zh-CN"/>
        </w:rPr>
      </w:pPr>
      <w:r>
        <w:rPr>
          <w:rFonts w:hint="eastAsia" w:ascii="方正小标宋_GBK" w:hAnsi="黑体" w:eastAsia="方正小标宋_GBK" w:cs="黑体"/>
          <w:sz w:val="36"/>
          <w:szCs w:val="36"/>
          <w:lang w:val="zh-CN"/>
        </w:rPr>
        <w:t>绩效自评报告</w:t>
      </w:r>
    </w:p>
    <w:p>
      <w:pPr>
        <w:spacing w:line="600" w:lineRule="exact"/>
        <w:ind w:firstLine="640"/>
        <w:jc w:val="center"/>
        <w:rPr>
          <w:rFonts w:ascii="宋体" w:hAnsi="宋体"/>
          <w:sz w:val="32"/>
          <w:szCs w:val="32"/>
          <w:lang w:val="zh-CN"/>
        </w:rPr>
      </w:pPr>
    </w:p>
    <w:p>
      <w:pPr>
        <w:adjustRightInd w:val="0"/>
        <w:snapToGrid w:val="0"/>
        <w:spacing w:line="60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adjustRightInd w:val="0"/>
        <w:snapToGrid w:val="0"/>
        <w:spacing w:line="54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2021年,下达市本级农村实用技术培训中央专项资金22.44万元，结合市委、市政府打造攀枝花优质特色农业品牌部署和仁和区芒果、石榴、草莓特色产业以及残疾人就业情况等资金分配依据，由市残疾人劳动就业服务中心组织实施，在仁和区和盐边县,对处于就业年龄段,具备一定劳动能力,有培训需求,自身条件符合培训要求的450人持证残疾人开展实用技术培训。</w:t>
      </w:r>
    </w:p>
    <w:p>
      <w:pPr>
        <w:adjustRightInd w:val="0"/>
        <w:snapToGrid w:val="0"/>
        <w:spacing w:line="540" w:lineRule="exact"/>
        <w:ind w:firstLine="640" w:firstLineChars="200"/>
        <w:rPr>
          <w:lang w:val="zh-CN"/>
        </w:rPr>
      </w:pPr>
      <w:r>
        <w:rPr>
          <w:rFonts w:hint="eastAsia" w:ascii="仿宋_GB2312" w:hAnsi="仿宋_GB2312" w:eastAsia="仿宋_GB2312" w:cs="仿宋_GB2312"/>
          <w:sz w:val="32"/>
          <w:szCs w:val="32"/>
          <w:shd w:val="clear" w:color="auto" w:fill="FFFFFF"/>
        </w:rPr>
        <w:t>市残联制定了《攀枝花市2021年农村残疾人实用技术培训实施方案（攀残联〔2021〕18号），明确了培训目标、实施对象、任务分解、补贴标准和经费预算、培训内容、培训方式和工作要求。</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pPr>
        <w:tabs>
          <w:tab w:val="left" w:pos="312"/>
        </w:tabs>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2021 年，按照“轻重有别、先后有序、分步实施、确保稳定”和“一人一策或多人一策”的原则,在仁和区和盐边县开展450 人的农村残疾人实用技术培训,不断提高残疾人种植业、养殖业方面技术和水平,不断提升了残疾人生产创收能力。仁和区300 人、盐边县150 人，补贴标准为人均 500 元/年，共预算经费 22.4 万元。要求10月前完成培训，11月完成检查验收，12月前录入“量服”平台。</w:t>
      </w:r>
    </w:p>
    <w:p>
      <w:pPr>
        <w:adjustRightInd w:val="0"/>
        <w:snapToGrid w:val="0"/>
        <w:spacing w:line="560" w:lineRule="exact"/>
        <w:ind w:firstLine="640" w:firstLineChars="200"/>
        <w:rPr>
          <w:sz w:val="32"/>
          <w:szCs w:val="32"/>
          <w:lang w:val="zh-CN"/>
        </w:rPr>
      </w:pPr>
      <w:r>
        <w:rPr>
          <w:rFonts w:hint="eastAsia" w:ascii="仿宋_GB2312" w:hAnsi="仿宋_GB2312" w:eastAsia="仿宋_GB2312" w:cs="仿宋_GB2312"/>
          <w:sz w:val="32"/>
          <w:szCs w:val="32"/>
          <w:shd w:val="clear" w:color="auto" w:fill="FFFFFF"/>
          <w:lang w:val="zh-CN"/>
        </w:rPr>
        <w:t>项目申报内容与具体实施内容相符，申报目标合理可行。</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项目结束后，以问卷调查的方式对残疾人进行回访，开展满意度调查及项目绩效目标评估工作，最后组织对项目进行验收。</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pPr>
        <w:autoSpaceDE w:val="0"/>
        <w:autoSpaceDN w:val="0"/>
        <w:adjustRightInd w:val="0"/>
        <w:spacing w:line="600" w:lineRule="exact"/>
        <w:ind w:firstLine="640" w:firstLineChars="200"/>
        <w:jc w:val="left"/>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2020年年底征集、汇总各县区残疾人职业技能培训和农村残疾人实用技术培训任务数需求，2021年初将任务数纳入预算进行项目资金申报，</w:t>
      </w:r>
      <w:r>
        <w:rPr>
          <w:rFonts w:hint="eastAsia" w:ascii="仿宋_GB2312" w:hAnsi="仿宋_GB2312" w:eastAsia="仿宋_GB2312" w:cs="仿宋_GB2312"/>
          <w:sz w:val="32"/>
          <w:szCs w:val="32"/>
          <w:shd w:val="clear" w:color="auto" w:fill="FFFFFF"/>
          <w:lang w:val="zh-CN"/>
        </w:rPr>
        <w:t>符合资金管理办法。</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（二）资金计划、到位及使用情况（可用表格形式反映）。</w:t>
      </w:r>
    </w:p>
    <w:p>
      <w:pPr>
        <w:autoSpaceDE w:val="0"/>
        <w:autoSpaceDN w:val="0"/>
        <w:adjustRightInd w:val="0"/>
        <w:spacing w:line="600" w:lineRule="exact"/>
        <w:ind w:firstLine="640" w:firstLineChars="200"/>
        <w:jc w:val="left"/>
        <w:rPr>
          <w:lang w:val="zh-CN"/>
        </w:rPr>
      </w:pPr>
      <w:r>
        <w:rPr>
          <w:rFonts w:hint="eastAsia" w:eastAsia="仿宋_GB2312"/>
          <w:kern w:val="0"/>
          <w:sz w:val="32"/>
          <w:szCs w:val="32"/>
        </w:rPr>
        <w:t>2021年下达中央资金22.44万元用于农村残疾人实用技术培训，市残联制定</w:t>
      </w:r>
      <w:r>
        <w:rPr>
          <w:rFonts w:hint="eastAsia" w:ascii="仿宋_GB2312" w:hAnsi="仿宋_GB2312" w:eastAsia="仿宋_GB2312" w:cs="仿宋_GB2312"/>
          <w:sz w:val="32"/>
          <w:szCs w:val="32"/>
          <w:shd w:val="clear" w:color="auto" w:fill="FFFFFF"/>
        </w:rPr>
        <w:t>《攀枝花市残疾人联合会关于印发&lt;攀枝花市 2021 年农村残疾人实用技术培训实施方案&gt;的通知》（攀残联〔2021〕18 号），在仁和区和盐边县为450人残疾人实施培训，共分5期完成培训，培训结束后按照合同支付21.14万元，支付资金总额的94.21%，未完成支付的原因是：年初下达中省资金22.44万元用于农村残疾人实用技术培训，按照22.44万元做了招标计划，但实际中标金额为：21.14万元。</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adjustRightInd w:val="0"/>
        <w:snapToGrid w:val="0"/>
        <w:spacing w:line="540" w:lineRule="exact"/>
        <w:ind w:firstLine="640" w:firstLineChars="200"/>
        <w:rPr>
          <w:rFonts w:ascii="仿宋_GB2312" w:hAnsi="宋体" w:eastAsia="仿宋_GB2312"/>
          <w:sz w:val="32"/>
          <w:szCs w:val="32"/>
          <w:lang w:val="zh-CN"/>
        </w:rPr>
      </w:pPr>
      <w:r>
        <w:rPr>
          <w:rFonts w:hint="eastAsia" w:ascii="仿宋_GB2312" w:hAnsi="仿宋_GB2312" w:eastAsia="仿宋_GB2312" w:cs="仿宋_GB2312"/>
          <w:sz w:val="32"/>
          <w:szCs w:val="32"/>
          <w:shd w:val="clear" w:color="auto" w:fill="FFFFFF"/>
        </w:rPr>
        <w:t>财务管理制度完善、机构健全、会计核算规范，账务处理及时，严格执行财务管理相关制度。</w:t>
      </w:r>
    </w:p>
    <w:p>
      <w:pPr>
        <w:adjustRightInd w:val="0"/>
        <w:snapToGrid w:val="0"/>
        <w:spacing w:line="600" w:lineRule="exact"/>
        <w:ind w:firstLine="720"/>
        <w:rPr>
          <w:rFonts w:ascii="仿宋_GB2312" w:hAnsi="宋体" w:eastAsia="仿宋_GB2312"/>
          <w:sz w:val="32"/>
          <w:szCs w:val="32"/>
          <w:lang w:val="zh-CN"/>
        </w:rPr>
      </w:pPr>
      <w:r>
        <w:rPr>
          <w:rFonts w:hint="eastAsia" w:ascii="黑体" w:hAnsi="宋体" w:eastAsia="黑体"/>
          <w:sz w:val="32"/>
          <w:szCs w:val="32"/>
        </w:rPr>
        <w:t>三、项目实施及管理情况</w:t>
      </w:r>
    </w:p>
    <w:p>
      <w:pPr>
        <w:numPr>
          <w:ilvl w:val="0"/>
          <w:numId w:val="6"/>
        </w:num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项目组织架构及实施流程。</w:t>
      </w:r>
    </w:p>
    <w:p>
      <w:pPr>
        <w:adjustRightInd w:val="0"/>
        <w:snapToGrid w:val="0"/>
        <w:spacing w:line="54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1.由仁和区、盐边县各乡镇开展摸底调查，上报有意愿参加农村残疾人实用技术培训人员，县（区）残联将摸底情况报市残联，市残联根据上报人员情况，确定培训内容和实施方案，通过招投标的方式选定培训机构后，组织实施残疾人实用技术培训。</w:t>
      </w:r>
    </w:p>
    <w:p>
      <w:pPr>
        <w:adjustRightInd w:val="0"/>
        <w:snapToGrid w:val="0"/>
        <w:spacing w:line="540" w:lineRule="exact"/>
        <w:ind w:firstLine="640" w:firstLineChars="200"/>
        <w:rPr>
          <w:lang w:val="zh-CN"/>
        </w:rPr>
      </w:pPr>
      <w:r>
        <w:rPr>
          <w:rFonts w:hint="eastAsia" w:ascii="仿宋_GB2312" w:hAnsi="仿宋_GB2312" w:eastAsia="仿宋_GB2312" w:cs="仿宋_GB2312"/>
          <w:sz w:val="32"/>
          <w:szCs w:val="32"/>
          <w:shd w:val="clear" w:color="auto" w:fill="FFFFFF"/>
        </w:rPr>
        <w:t>2.市残联将服务情况录入四川省残疾人“量服”服务平台。</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（二）项目管理情况。</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市残联农村残疾人实用技术培训项目的招投标工作严格按照法律及财务规定执行，项目管理标准、规范。</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（三）项目监管情况。</w:t>
      </w:r>
      <w:r>
        <w:rPr>
          <w:rFonts w:hint="eastAsia" w:ascii="仿宋_GB2312" w:hAnsi="宋体" w:eastAsia="仿宋_GB2312"/>
          <w:sz w:val="32"/>
          <w:szCs w:val="32"/>
          <w:lang w:val="zh-CN"/>
        </w:rPr>
        <w:t>市残联加强对培训行为和培训过程监管,在培训过程中全程派工作人员进行现场监督，保证培训质量。并配合落实培训申请审核、公示、资金拨付,定期开展绩效评价。</w:t>
      </w:r>
    </w:p>
    <w:p>
      <w:pPr>
        <w:adjustRightInd w:val="0"/>
        <w:snapToGrid w:val="0"/>
        <w:spacing w:line="600" w:lineRule="exact"/>
        <w:ind w:firstLine="720"/>
        <w:rPr>
          <w:rFonts w:ascii="仿宋_GB2312" w:hAnsi="宋体" w:eastAsia="仿宋_GB2312"/>
          <w:sz w:val="32"/>
          <w:szCs w:val="32"/>
          <w:lang w:val="zh-CN"/>
        </w:rPr>
      </w:pPr>
      <w:r>
        <w:rPr>
          <w:rFonts w:hint="eastAsia" w:ascii="黑体" w:hAnsi="宋体" w:eastAsia="黑体"/>
          <w:sz w:val="32"/>
          <w:szCs w:val="32"/>
        </w:rPr>
        <w:t>四、项目绩效情况</w:t>
      </w:r>
      <w:r>
        <w:rPr>
          <w:rFonts w:hint="eastAsia" w:ascii="仿宋_GB2312" w:hAnsi="宋体" w:eastAsia="仿宋_GB2312"/>
          <w:sz w:val="32"/>
          <w:szCs w:val="32"/>
          <w:lang w:val="zh-CN"/>
        </w:rPr>
        <w:tab/>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pPr>
        <w:autoSpaceDE w:val="0"/>
        <w:autoSpaceDN w:val="0"/>
        <w:adjustRightInd w:val="0"/>
        <w:spacing w:line="600" w:lineRule="exact"/>
        <w:ind w:firstLine="640" w:firstLineChars="200"/>
        <w:jc w:val="left"/>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2021年市级“农村残疾人实用技术培训”目标任务数450人，实际完成450人。通过培训，提高残疾人实用技术水平，融入到社会生产生活和工作中，增加了收入，残疾人获得感和幸福感增强了。</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pPr>
        <w:spacing w:line="560" w:lineRule="exact"/>
        <w:ind w:firstLine="646"/>
        <w:rPr>
          <w:rFonts w:eastAsia="仿宋_GB2312"/>
          <w:sz w:val="32"/>
          <w:szCs w:val="32"/>
          <w:shd w:val="clear" w:color="auto" w:fill="FFFFFF"/>
        </w:rPr>
      </w:pPr>
      <w:r>
        <w:rPr>
          <w:rFonts w:hint="eastAsia" w:eastAsia="仿宋_GB2312"/>
          <w:sz w:val="32"/>
          <w:szCs w:val="32"/>
          <w:shd w:val="clear" w:color="auto" w:fill="FFFFFF"/>
        </w:rPr>
        <w:t>创新扶贫资金使用方式，拓宽缺资金、缺技术和缺劳动能力的农村残疾人持续稳定的增收渠道，保障受益残疾人长期稳定增收，使残疾人及家属满意。</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pPr>
        <w:spacing w:line="600" w:lineRule="exact"/>
        <w:ind w:firstLine="645"/>
        <w:rPr>
          <w:rFonts w:eastAsia="仿宋_GB2312"/>
          <w:sz w:val="32"/>
          <w:szCs w:val="32"/>
        </w:rPr>
      </w:pPr>
      <w:r>
        <w:rPr>
          <w:rFonts w:hint="eastAsia" w:eastAsia="仿宋_GB2312"/>
          <w:sz w:val="32"/>
          <w:szCs w:val="32"/>
        </w:rPr>
        <w:t>2016年以来，市残联按照要求开展残疾人电子商务、厨师、按摩、计算机、家政等职业技能培训；开展芒果、石榴、枇杷、花椒种植，猪、牛、羊、鸡、鸭养殖等农村实用技术培训，不断提高残疾人职业技能或农村实用技术，帮助他们更好就业或发展生产，增加收入。</w:t>
      </w:r>
    </w:p>
    <w:p>
      <w:pPr>
        <w:spacing w:line="540" w:lineRule="exact"/>
        <w:ind w:firstLine="645"/>
        <w:rPr>
          <w:rFonts w:eastAsia="仿宋_GB2312"/>
          <w:sz w:val="32"/>
          <w:szCs w:val="32"/>
        </w:rPr>
      </w:pPr>
      <w:r>
        <w:rPr>
          <w:rFonts w:hint="eastAsia" w:eastAsia="仿宋_GB2312"/>
          <w:sz w:val="32"/>
          <w:szCs w:val="32"/>
        </w:rPr>
        <w:t>全市执行“残疾人职业技能培训和农村残疾人实用技术培训”项目以来，全市残联系统结合市场需要和残疾人身体特点，积极组织开展残疾人相关技能培训，参与培训的残疾人职业技能或农村实用技术得到提升，促进了增收，深受残疾人及社会好评。</w:t>
      </w:r>
    </w:p>
    <w:p>
      <w:pPr>
        <w:spacing w:line="540" w:lineRule="exact"/>
        <w:ind w:firstLine="645"/>
        <w:rPr>
          <w:rFonts w:eastAsia="仿宋_GB2312"/>
          <w:sz w:val="32"/>
          <w:szCs w:val="32"/>
        </w:rPr>
      </w:pPr>
      <w:r>
        <w:rPr>
          <w:rFonts w:hint="eastAsia" w:eastAsia="仿宋_GB2312"/>
          <w:sz w:val="32"/>
          <w:szCs w:val="32"/>
        </w:rPr>
        <w:t>为进一步帮助残疾人提高就业能力和发展生产能力，促进残疾人增收，共享经济社会发展成果，需要财政资金的继续支持，在2021年继续实施“残疾人职业技能和农村实用技术培训”项目，纳入市级民生项目实施。</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pPr>
        <w:autoSpaceDE w:val="0"/>
        <w:autoSpaceDN w:val="0"/>
        <w:adjustRightInd w:val="0"/>
        <w:spacing w:line="600" w:lineRule="exact"/>
        <w:ind w:firstLine="640" w:firstLineChars="200"/>
        <w:jc w:val="left"/>
        <w:rPr>
          <w:rFonts w:ascii="仿宋_GB2312" w:hAnsi="仿宋_GB2312" w:eastAsia="仿宋_GB2312" w:cs="仿宋_GB2312"/>
          <w:sz w:val="32"/>
          <w:szCs w:val="32"/>
          <w:shd w:val="clear" w:color="auto" w:fill="FFFFFF"/>
        </w:rPr>
      </w:pPr>
      <w:r>
        <w:rPr>
          <w:rFonts w:hint="eastAsia" w:ascii="仿宋_GB2312" w:hAnsi="仿宋_GB2312" w:eastAsia="仿宋_GB2312" w:cs="仿宋_GB2312"/>
          <w:color w:val="000000"/>
          <w:sz w:val="32"/>
          <w:szCs w:val="32"/>
        </w:rPr>
        <w:t>市级2021年计划投入22.44万元用于农村残疾人实用技术培训实际支出21.14万元，资金执行率为94.21%，剩余1.3万元未支付收回预算，原因是年初下达市残疾人劳动就业服务中心中省资金22.44万元用于农村残疾人实用技术培训，按照22.44万元做了招标计划，</w:t>
      </w:r>
      <w:r>
        <w:rPr>
          <w:rFonts w:hint="eastAsia" w:ascii="仿宋_GB2312" w:hAnsi="仿宋_GB2312" w:eastAsia="仿宋_GB2312" w:cs="仿宋_GB2312"/>
          <w:sz w:val="32"/>
          <w:szCs w:val="32"/>
          <w:shd w:val="clear" w:color="auto" w:fill="FFFFFF"/>
        </w:rPr>
        <w:t>但实际中标金额为：21.14万元。</w:t>
      </w:r>
    </w:p>
    <w:p>
      <w:pPr>
        <w:autoSpaceDE w:val="0"/>
        <w:autoSpaceDN w:val="0"/>
        <w:adjustRightInd w:val="0"/>
        <w:spacing w:line="600" w:lineRule="exact"/>
        <w:ind w:firstLine="640" w:firstLineChars="200"/>
        <w:jc w:val="left"/>
        <w:rPr>
          <w:rFonts w:ascii="楷体_GB2312" w:hAnsi="宋体" w:eastAsia="楷体_GB2312"/>
          <w:b/>
          <w:sz w:val="32"/>
          <w:szCs w:val="32"/>
          <w:lang w:val="zh-CN"/>
        </w:rPr>
      </w:pPr>
      <w:r>
        <w:rPr>
          <w:rFonts w:hint="eastAsia" w:ascii="楷体_GB2312" w:hAnsi="宋体" w:eastAsia="楷体_GB2312"/>
          <w:b/>
          <w:sz w:val="32"/>
          <w:szCs w:val="32"/>
          <w:lang w:val="zh-CN"/>
        </w:rPr>
        <w:t>（二）相关建议。</w:t>
      </w:r>
    </w:p>
    <w:p>
      <w:pPr>
        <w:pStyle w:val="2"/>
        <w:spacing w:before="93"/>
        <w:ind w:firstLine="640" w:firstLineChars="200"/>
        <w:rPr>
          <w:rFonts w:hAnsi="仿宋_GB2312" w:cs="仿宋_GB2312"/>
          <w:color w:val="000000"/>
          <w:kern w:val="2"/>
          <w:sz w:val="32"/>
          <w:szCs w:val="32"/>
        </w:rPr>
      </w:pPr>
      <w:r>
        <w:rPr>
          <w:rFonts w:hint="eastAsia" w:hAnsi="仿宋_GB2312" w:cs="仿宋_GB2312"/>
          <w:color w:val="000000"/>
          <w:kern w:val="2"/>
          <w:sz w:val="32"/>
          <w:szCs w:val="32"/>
          <w:lang w:val="zh-CN"/>
        </w:rPr>
        <w:t>各县（区）残联提前做好残疾人需求摸底，详细制定实施方案，保障项目有序开展。</w:t>
      </w:r>
    </w:p>
    <w:p>
      <w:pPr>
        <w:pStyle w:val="2"/>
        <w:spacing w:before="93"/>
        <w:ind w:left="720"/>
      </w:pPr>
      <w:r>
        <w:rPr>
          <w:rFonts w:hint="eastAsia"/>
        </w:rPr>
        <w:t xml:space="preserve">  </w:t>
      </w:r>
    </w:p>
    <w:p>
      <w:pPr>
        <w:pStyle w:val="2"/>
        <w:spacing w:before="93"/>
        <w:ind w:firstLine="640" w:firstLineChars="200"/>
        <w:rPr>
          <w:rFonts w:hAnsi="仿宋_GB2312" w:cs="仿宋_GB2312"/>
          <w:color w:val="000000"/>
          <w:kern w:val="2"/>
          <w:sz w:val="32"/>
          <w:szCs w:val="32"/>
        </w:rPr>
      </w:pPr>
      <w:r>
        <w:rPr>
          <w:rFonts w:hint="eastAsia" w:hAnsi="仿宋_GB2312" w:cs="仿宋_GB2312"/>
          <w:color w:val="000000"/>
          <w:kern w:val="2"/>
          <w:sz w:val="32"/>
          <w:szCs w:val="32"/>
        </w:rPr>
        <w:t>附件</w:t>
      </w:r>
    </w:p>
    <w:tbl>
      <w:tblPr>
        <w:tblStyle w:val="13"/>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7" w:type="dxa"/>
            <w:gridSpan w:val="6"/>
            <w:tcBorders>
              <w:top w:val="nil"/>
              <w:left w:val="nil"/>
              <w:bottom w:val="nil"/>
              <w:right w:val="nil"/>
            </w:tcBorders>
            <w:shd w:val="clear" w:color="auto" w:fill="auto"/>
            <w:vAlign w:val="center"/>
          </w:tcPr>
          <w:p>
            <w:pPr>
              <w:widowControl/>
              <w:textAlignment w:val="center"/>
              <w:rPr>
                <w:rFonts w:ascii="宋体" w:hAnsi="宋体" w:cs="宋体"/>
                <w:b/>
                <w:sz w:val="32"/>
                <w:szCs w:val="32"/>
              </w:rPr>
            </w:pPr>
            <w:r>
              <w:rPr>
                <w:rFonts w:hint="eastAsia" w:ascii="宋体" w:hAnsi="宋体" w:cs="宋体"/>
                <w:b/>
                <w:sz w:val="32"/>
                <w:szCs w:val="32"/>
              </w:rPr>
              <w:t>2021年100万元以上（含）特定目标类部门预算项目绩效目标自评</w:t>
            </w:r>
          </w:p>
        </w:tc>
        <w:tc>
          <w:tcPr>
            <w:tcW w:w="234"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lang w:bidi="ar"/>
              </w:rPr>
            </w:pPr>
          </w:p>
        </w:tc>
      </w:tr>
      <w:tr>
        <w:tblPrEx>
          <w:tblCellMar>
            <w:top w:w="0" w:type="dxa"/>
            <w:left w:w="108" w:type="dxa"/>
            <w:bottom w:w="0" w:type="dxa"/>
            <w:right w:w="108" w:type="dxa"/>
          </w:tblCellMar>
        </w:tblPrEx>
        <w:trPr>
          <w:gridAfter w:val="1"/>
          <w:wAfter w:w="234" w:type="dxa"/>
          <w:trHeight w:val="254" w:hRule="atLeast"/>
        </w:trPr>
        <w:tc>
          <w:tcPr>
            <w:tcW w:w="3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实施单位</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kern w:val="0"/>
                <w:sz w:val="24"/>
                <w:lang w:eastAsia="zh-CN" w:bidi="ar"/>
              </w:rPr>
            </w:pPr>
            <w:r>
              <w:rPr>
                <w:rFonts w:hint="eastAsia" w:ascii="宋体" w:hAnsi="宋体" w:cs="宋体"/>
                <w:kern w:val="0"/>
                <w:sz w:val="24"/>
                <w:lang w:bidi="ar"/>
              </w:rPr>
              <w:t>项目预算</w:t>
            </w:r>
          </w:p>
          <w:p>
            <w:pPr>
              <w:widowControl/>
              <w:spacing w:line="320" w:lineRule="exact"/>
              <w:jc w:val="center"/>
              <w:textAlignment w:val="center"/>
              <w:rPr>
                <w:rFonts w:hint="eastAsia" w:ascii="宋体" w:hAnsi="宋体" w:eastAsia="宋体" w:cs="宋体"/>
                <w:kern w:val="0"/>
                <w:sz w:val="24"/>
                <w:lang w:eastAsia="zh-CN" w:bidi="ar"/>
              </w:rPr>
            </w:pPr>
            <w:r>
              <w:rPr>
                <w:rFonts w:hint="eastAsia" w:ascii="宋体" w:hAnsi="宋体" w:cs="宋体"/>
                <w:kern w:val="0"/>
                <w:sz w:val="24"/>
                <w:lang w:bidi="ar"/>
              </w:rPr>
              <w:t>执行情况</w:t>
            </w:r>
          </w:p>
          <w:p>
            <w:pPr>
              <w:widowControl/>
              <w:spacing w:line="320" w:lineRule="exact"/>
              <w:jc w:val="center"/>
              <w:textAlignment w:val="center"/>
              <w:rPr>
                <w:rFonts w:ascii="宋体" w:hAnsi="宋体" w:cs="宋体"/>
                <w:sz w:val="24"/>
              </w:rPr>
            </w:pPr>
            <w:r>
              <w:rPr>
                <w:rFonts w:hint="eastAsia" w:ascii="宋体" w:hAnsi="宋体" w:cs="宋体"/>
                <w:kern w:val="0"/>
                <w:sz w:val="24"/>
                <w:lang w:bidi="ar"/>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执行数：</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p>
        </w:tc>
      </w:tr>
      <w:tr>
        <w:tblPrEx>
          <w:tblCellMar>
            <w:top w:w="0" w:type="dxa"/>
            <w:left w:w="108" w:type="dxa"/>
            <w:bottom w:w="0" w:type="dxa"/>
            <w:right w:w="108" w:type="dxa"/>
          </w:tblCellMar>
        </w:tblPrEx>
        <w:trPr>
          <w:gridAfter w:val="1"/>
          <w:wAfter w:w="234" w:type="dxa"/>
          <w:trHeight w:val="555"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4" w:type="dxa"/>
          <w:trHeight w:val="217" w:hRule="atLeast"/>
        </w:trPr>
        <w:tc>
          <w:tcPr>
            <w:tcW w:w="19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lang w:bidi="ar"/>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预期目标</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目标实际完成情况</w:t>
            </w:r>
          </w:p>
        </w:tc>
      </w:tr>
      <w:tr>
        <w:tblPrEx>
          <w:tblCellMar>
            <w:top w:w="0" w:type="dxa"/>
            <w:left w:w="108" w:type="dxa"/>
            <w:bottom w:w="0" w:type="dxa"/>
            <w:right w:w="108" w:type="dxa"/>
          </w:tblCellMar>
        </w:tblPrEx>
        <w:trPr>
          <w:gridAfter w:val="1"/>
          <w:wAfter w:w="234" w:type="dxa"/>
          <w:trHeight w:val="797" w:hRule="atLeast"/>
        </w:trPr>
        <w:tc>
          <w:tcPr>
            <w:tcW w:w="19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p>
        </w:tc>
      </w:tr>
      <w:tr>
        <w:tblPrEx>
          <w:tblCellMar>
            <w:top w:w="0" w:type="dxa"/>
            <w:left w:w="108" w:type="dxa"/>
            <w:bottom w:w="0" w:type="dxa"/>
            <w:right w:w="108" w:type="dxa"/>
          </w:tblCellMar>
        </w:tblPrEx>
        <w:trPr>
          <w:gridAfter w:val="1"/>
          <w:wAfter w:w="234" w:type="dxa"/>
          <w:trHeight w:val="693" w:hRule="atLeast"/>
        </w:trPr>
        <w:tc>
          <w:tcPr>
            <w:tcW w:w="1977"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预期指标值</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实际完成指标值</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lang w:eastAsia="zh-CN" w:bidi="ar"/>
              </w:rPr>
            </w:pPr>
            <w:r>
              <w:rPr>
                <w:rFonts w:hint="eastAsia" w:ascii="仿宋_GB2312" w:hAnsi="仿宋_GB2312" w:eastAsia="仿宋_GB2312" w:cs="仿宋_GB2312"/>
                <w:kern w:val="0"/>
                <w:sz w:val="28"/>
                <w:szCs w:val="28"/>
                <w:lang w:bidi="ar"/>
              </w:rPr>
              <w:t>效益</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4" w:type="dxa"/>
          <w:trHeight w:val="577"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4" w:type="dxa"/>
          <w:trHeight w:val="530" w:hRule="atLeast"/>
        </w:trPr>
        <w:tc>
          <w:tcPr>
            <w:tcW w:w="1977"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lang w:eastAsia="zh-CN" w:bidi="ar"/>
              </w:rPr>
            </w:pPr>
            <w:r>
              <w:rPr>
                <w:rFonts w:hint="eastAsia" w:ascii="仿宋_GB2312" w:hAnsi="仿宋_GB2312" w:eastAsia="仿宋_GB2312" w:cs="仿宋_GB2312"/>
                <w:kern w:val="0"/>
                <w:sz w:val="28"/>
                <w:szCs w:val="28"/>
                <w:lang w:bidi="ar"/>
              </w:rPr>
              <w:t>满意</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bl>
    <w:p>
      <w:pPr>
        <w:pStyle w:val="2"/>
        <w:spacing w:before="93"/>
      </w:pPr>
    </w:p>
    <w:p>
      <w:pPr>
        <w:pStyle w:val="2"/>
        <w:spacing w:before="93"/>
      </w:pPr>
    </w:p>
    <w:p>
      <w:pPr>
        <w:spacing w:line="54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说明：2021年攀枝花残疾人联合会没有50万元以上（含）特定目标类部门预算项目。</w:t>
      </w:r>
    </w:p>
    <w:p>
      <w:pPr>
        <w:pStyle w:val="2"/>
        <w:spacing w:before="93"/>
        <w:rPr>
          <w:rFonts w:ascii="黑体" w:hAnsi="黑体" w:eastAsia="黑体"/>
          <w:sz w:val="44"/>
          <w:szCs w:val="44"/>
        </w:rPr>
      </w:pPr>
      <w:bookmarkStart w:id="102" w:name="_Toc15396618"/>
    </w:p>
    <w:p>
      <w:pPr>
        <w:pStyle w:val="2"/>
        <w:spacing w:before="93"/>
        <w:rPr>
          <w:rFonts w:ascii="黑体" w:hAnsi="黑体" w:eastAsia="黑体"/>
          <w:sz w:val="44"/>
          <w:szCs w:val="44"/>
        </w:rPr>
      </w:pPr>
    </w:p>
    <w:p>
      <w:pPr>
        <w:pStyle w:val="2"/>
        <w:spacing w:before="93"/>
        <w:rPr>
          <w:rFonts w:ascii="黑体" w:hAnsi="黑体" w:eastAsia="黑体"/>
          <w:sz w:val="44"/>
          <w:szCs w:val="44"/>
        </w:rPr>
      </w:pPr>
    </w:p>
    <w:p>
      <w:pPr>
        <w:pStyle w:val="2"/>
        <w:spacing w:before="93"/>
        <w:rPr>
          <w:rFonts w:ascii="黑体" w:hAnsi="黑体" w:eastAsia="黑体"/>
          <w:sz w:val="44"/>
          <w:szCs w:val="44"/>
        </w:rPr>
      </w:pPr>
    </w:p>
    <w:p>
      <w:pPr>
        <w:pStyle w:val="2"/>
        <w:spacing w:before="93"/>
        <w:rPr>
          <w:rFonts w:ascii="黑体" w:hAnsi="黑体" w:eastAsia="黑体"/>
          <w:sz w:val="44"/>
          <w:szCs w:val="44"/>
        </w:rPr>
      </w:pPr>
    </w:p>
    <w:p>
      <w:pPr>
        <w:pStyle w:val="2"/>
        <w:spacing w:before="93"/>
        <w:rPr>
          <w:rFonts w:ascii="黑体" w:hAnsi="黑体" w:eastAsia="黑体"/>
          <w:sz w:val="44"/>
          <w:szCs w:val="44"/>
        </w:rPr>
      </w:pPr>
    </w:p>
    <w:p>
      <w:pPr>
        <w:pStyle w:val="2"/>
        <w:spacing w:before="93"/>
        <w:rPr>
          <w:rFonts w:ascii="黑体" w:hAnsi="黑体" w:eastAsia="黑体"/>
          <w:sz w:val="44"/>
          <w:szCs w:val="44"/>
        </w:rPr>
      </w:pPr>
    </w:p>
    <w:p>
      <w:pPr>
        <w:pStyle w:val="2"/>
        <w:spacing w:before="93"/>
        <w:rPr>
          <w:rFonts w:ascii="黑体" w:hAnsi="黑体" w:eastAsia="黑体"/>
          <w:sz w:val="44"/>
          <w:szCs w:val="44"/>
        </w:rPr>
      </w:pPr>
    </w:p>
    <w:p>
      <w:pPr>
        <w:pStyle w:val="2"/>
        <w:spacing w:before="93"/>
        <w:rPr>
          <w:rFonts w:ascii="黑体" w:hAnsi="黑体" w:eastAsia="黑体"/>
          <w:sz w:val="44"/>
          <w:szCs w:val="44"/>
        </w:rPr>
      </w:pPr>
    </w:p>
    <w:p>
      <w:pPr>
        <w:pStyle w:val="2"/>
        <w:spacing w:before="93"/>
        <w:rPr>
          <w:rFonts w:ascii="黑体" w:hAnsi="黑体" w:eastAsia="黑体"/>
          <w:sz w:val="44"/>
          <w:szCs w:val="44"/>
        </w:rPr>
      </w:pPr>
    </w:p>
    <w:p>
      <w:pPr>
        <w:widowControl/>
        <w:jc w:val="left"/>
        <w:rPr>
          <w:rFonts w:ascii="黑体" w:hAnsi="黑体" w:eastAsia="黑体"/>
          <w:sz w:val="44"/>
          <w:szCs w:val="44"/>
        </w:rPr>
      </w:pPr>
    </w:p>
    <w:p>
      <w:pPr>
        <w:widowControl/>
        <w:jc w:val="left"/>
        <w:rPr>
          <w:rFonts w:ascii="黑体" w:hAnsi="黑体" w:eastAsia="黑体"/>
          <w:sz w:val="44"/>
          <w:szCs w:val="44"/>
        </w:rPr>
      </w:pPr>
    </w:p>
    <w:p>
      <w:pPr>
        <w:pStyle w:val="2"/>
        <w:tabs>
          <w:tab w:val="left" w:pos="1627"/>
        </w:tabs>
        <w:spacing w:before="93"/>
        <w:rPr>
          <w:rFonts w:ascii="黑体" w:hAnsi="黑体" w:eastAsia="黑体"/>
          <w:sz w:val="44"/>
          <w:szCs w:val="44"/>
        </w:rPr>
      </w:pPr>
    </w:p>
    <w:p>
      <w:pPr>
        <w:widowControl/>
        <w:ind w:firstLine="2420" w:firstLineChars="550"/>
        <w:jc w:val="left"/>
        <w:outlineLvl w:val="0"/>
        <w:rPr>
          <w:rFonts w:ascii="仿宋" w:hAnsi="仿宋" w:eastAsia="仿宋"/>
        </w:rPr>
      </w:pPr>
      <w:bookmarkStart w:id="103" w:name="_Toc10389"/>
      <w:bookmarkStart w:id="104" w:name="_Toc14634"/>
      <w:r>
        <w:rPr>
          <w:rFonts w:hint="eastAsia" w:ascii="黑体" w:hAnsi="黑体" w:eastAsia="黑体"/>
          <w:sz w:val="44"/>
          <w:szCs w:val="44"/>
        </w:rPr>
        <w:t>第</w:t>
      </w:r>
      <w:r>
        <w:rPr>
          <w:rStyle w:val="30"/>
          <w:rFonts w:hint="eastAsia" w:ascii="黑体" w:hAnsi="黑体" w:eastAsia="黑体"/>
          <w:b w:val="0"/>
        </w:rPr>
        <w:t>五部分 附表</w:t>
      </w:r>
      <w:bookmarkEnd w:id="99"/>
      <w:bookmarkEnd w:id="102"/>
      <w:bookmarkEnd w:id="103"/>
      <w:bookmarkEnd w:id="104"/>
      <w:bookmarkStart w:id="105" w:name="_Toc15396619"/>
    </w:p>
    <w:p>
      <w:pPr>
        <w:pStyle w:val="4"/>
        <w:spacing w:line="540" w:lineRule="exact"/>
        <w:rPr>
          <w:rFonts w:ascii="仿宋" w:hAnsi="仿宋" w:eastAsia="仿宋"/>
        </w:rPr>
      </w:pPr>
      <w:bookmarkStart w:id="106" w:name="_Toc16542"/>
      <w:r>
        <w:rPr>
          <w:rFonts w:hint="eastAsia" w:ascii="仿宋" w:hAnsi="仿宋" w:eastAsia="仿宋"/>
          <w:b w:val="0"/>
        </w:rPr>
        <w:t>一、收</w:t>
      </w:r>
      <w:r>
        <w:rPr>
          <w:rStyle w:val="31"/>
          <w:rFonts w:hint="eastAsia" w:ascii="仿宋" w:hAnsi="仿宋" w:eastAsia="仿宋"/>
          <w:b w:val="0"/>
          <w:bCs w:val="0"/>
        </w:rPr>
        <w:t>入支出决算总表</w:t>
      </w:r>
      <w:bookmarkEnd w:id="105"/>
      <w:bookmarkEnd w:id="106"/>
    </w:p>
    <w:p>
      <w:pPr>
        <w:pStyle w:val="4"/>
        <w:spacing w:line="540" w:lineRule="exact"/>
        <w:rPr>
          <w:rFonts w:ascii="仿宋" w:hAnsi="仿宋" w:eastAsia="仿宋"/>
        </w:rPr>
      </w:pPr>
      <w:bookmarkStart w:id="107" w:name="_Toc6267"/>
      <w:bookmarkStart w:id="108" w:name="_Toc15396620"/>
      <w:r>
        <w:rPr>
          <w:rFonts w:hint="eastAsia" w:ascii="仿宋" w:hAnsi="仿宋" w:eastAsia="仿宋"/>
          <w:b w:val="0"/>
        </w:rPr>
        <w:t>二、收</w:t>
      </w:r>
      <w:r>
        <w:rPr>
          <w:rStyle w:val="31"/>
          <w:rFonts w:hint="eastAsia" w:ascii="仿宋" w:hAnsi="仿宋" w:eastAsia="仿宋"/>
          <w:b w:val="0"/>
          <w:bCs w:val="0"/>
        </w:rPr>
        <w:t>入决算表</w:t>
      </w:r>
      <w:bookmarkEnd w:id="107"/>
      <w:bookmarkEnd w:id="108"/>
    </w:p>
    <w:p>
      <w:pPr>
        <w:pStyle w:val="4"/>
        <w:spacing w:line="540" w:lineRule="exact"/>
        <w:rPr>
          <w:rFonts w:ascii="仿宋" w:hAnsi="仿宋" w:eastAsia="仿宋"/>
        </w:rPr>
      </w:pPr>
      <w:bookmarkStart w:id="109" w:name="_Toc29097"/>
      <w:bookmarkStart w:id="110" w:name="_Toc15396621"/>
      <w:r>
        <w:rPr>
          <w:rStyle w:val="31"/>
          <w:rFonts w:hint="eastAsia" w:ascii="仿宋" w:hAnsi="仿宋" w:eastAsia="仿宋"/>
          <w:b w:val="0"/>
          <w:bCs w:val="0"/>
        </w:rPr>
        <w:t>三、</w:t>
      </w:r>
      <w:r>
        <w:rPr>
          <w:rFonts w:hint="eastAsia" w:ascii="仿宋" w:hAnsi="仿宋" w:eastAsia="仿宋"/>
          <w:b w:val="0"/>
        </w:rPr>
        <w:t>支</w:t>
      </w:r>
      <w:r>
        <w:rPr>
          <w:rStyle w:val="31"/>
          <w:rFonts w:hint="eastAsia" w:ascii="仿宋" w:hAnsi="仿宋" w:eastAsia="仿宋"/>
          <w:b w:val="0"/>
          <w:bCs w:val="0"/>
        </w:rPr>
        <w:t>出决算表</w:t>
      </w:r>
      <w:bookmarkEnd w:id="109"/>
      <w:bookmarkEnd w:id="110"/>
    </w:p>
    <w:p>
      <w:pPr>
        <w:pStyle w:val="4"/>
        <w:spacing w:line="540" w:lineRule="exact"/>
        <w:rPr>
          <w:rFonts w:ascii="仿宋" w:hAnsi="仿宋" w:eastAsia="仿宋"/>
          <w:b w:val="0"/>
        </w:rPr>
      </w:pPr>
      <w:bookmarkStart w:id="111" w:name="_Toc16828"/>
      <w:bookmarkStart w:id="112" w:name="_Toc15396622"/>
      <w:r>
        <w:rPr>
          <w:rStyle w:val="31"/>
          <w:rFonts w:hint="eastAsia" w:ascii="仿宋" w:hAnsi="仿宋" w:eastAsia="仿宋"/>
          <w:b w:val="0"/>
          <w:bCs w:val="0"/>
        </w:rPr>
        <w:t>四、</w:t>
      </w:r>
      <w:r>
        <w:rPr>
          <w:rFonts w:hint="eastAsia" w:ascii="仿宋" w:hAnsi="仿宋" w:eastAsia="仿宋"/>
          <w:b w:val="0"/>
        </w:rPr>
        <w:t>财</w:t>
      </w:r>
      <w:r>
        <w:rPr>
          <w:rStyle w:val="31"/>
          <w:rFonts w:hint="eastAsia" w:ascii="仿宋" w:hAnsi="仿宋" w:eastAsia="仿宋"/>
          <w:b w:val="0"/>
          <w:bCs w:val="0"/>
        </w:rPr>
        <w:t>政拨款收入支出决算总表</w:t>
      </w:r>
      <w:bookmarkEnd w:id="111"/>
      <w:bookmarkEnd w:id="112"/>
    </w:p>
    <w:p>
      <w:pPr>
        <w:pStyle w:val="4"/>
        <w:spacing w:line="540" w:lineRule="exact"/>
        <w:rPr>
          <w:rStyle w:val="31"/>
          <w:rFonts w:ascii="仿宋" w:hAnsi="仿宋" w:eastAsia="仿宋"/>
          <w:b w:val="0"/>
          <w:bCs w:val="0"/>
        </w:rPr>
      </w:pPr>
      <w:bookmarkStart w:id="113" w:name="_Toc15396623"/>
      <w:bookmarkStart w:id="114" w:name="_Toc1248"/>
      <w:r>
        <w:rPr>
          <w:rStyle w:val="31"/>
          <w:rFonts w:hint="eastAsia" w:ascii="仿宋" w:hAnsi="仿宋" w:eastAsia="仿宋"/>
          <w:b w:val="0"/>
          <w:bCs w:val="0"/>
        </w:rPr>
        <w:t>五、</w:t>
      </w:r>
      <w:r>
        <w:rPr>
          <w:rFonts w:hint="eastAsia" w:ascii="仿宋" w:hAnsi="仿宋" w:eastAsia="仿宋"/>
          <w:b w:val="0"/>
        </w:rPr>
        <w:t>财</w:t>
      </w:r>
      <w:r>
        <w:rPr>
          <w:rStyle w:val="31"/>
          <w:rFonts w:hint="eastAsia" w:ascii="仿宋" w:hAnsi="仿宋" w:eastAsia="仿宋"/>
          <w:b w:val="0"/>
          <w:bCs w:val="0"/>
        </w:rPr>
        <w:t>政拨款支出决算明细表</w:t>
      </w:r>
      <w:bookmarkEnd w:id="113"/>
      <w:bookmarkEnd w:id="114"/>
      <w:bookmarkStart w:id="115" w:name="_Toc15396624"/>
    </w:p>
    <w:p>
      <w:pPr>
        <w:pStyle w:val="4"/>
        <w:spacing w:line="540" w:lineRule="exact"/>
        <w:rPr>
          <w:rFonts w:ascii="仿宋" w:hAnsi="仿宋" w:eastAsia="仿宋"/>
        </w:rPr>
      </w:pPr>
      <w:bookmarkStart w:id="116" w:name="_Toc3788"/>
      <w:r>
        <w:rPr>
          <w:rStyle w:val="31"/>
          <w:rFonts w:hint="eastAsia" w:ascii="仿宋" w:hAnsi="仿宋" w:eastAsia="仿宋"/>
          <w:b w:val="0"/>
          <w:bCs w:val="0"/>
        </w:rPr>
        <w:t>六、</w:t>
      </w:r>
      <w:r>
        <w:rPr>
          <w:rFonts w:hint="eastAsia" w:ascii="仿宋" w:hAnsi="仿宋" w:eastAsia="仿宋"/>
          <w:b w:val="0"/>
        </w:rPr>
        <w:t>一</w:t>
      </w:r>
      <w:r>
        <w:rPr>
          <w:rStyle w:val="31"/>
          <w:rFonts w:hint="eastAsia" w:ascii="仿宋" w:hAnsi="仿宋" w:eastAsia="仿宋"/>
          <w:b w:val="0"/>
          <w:bCs w:val="0"/>
        </w:rPr>
        <w:t>般公共预算财政拨款支出决算表</w:t>
      </w:r>
      <w:bookmarkEnd w:id="115"/>
      <w:bookmarkEnd w:id="116"/>
    </w:p>
    <w:p>
      <w:pPr>
        <w:pStyle w:val="4"/>
        <w:spacing w:line="540" w:lineRule="exact"/>
        <w:rPr>
          <w:rFonts w:ascii="仿宋" w:hAnsi="仿宋" w:eastAsia="仿宋"/>
        </w:rPr>
      </w:pPr>
      <w:bookmarkStart w:id="117" w:name="_Toc28331"/>
      <w:bookmarkStart w:id="118" w:name="_Toc15396625"/>
      <w:r>
        <w:rPr>
          <w:rStyle w:val="31"/>
          <w:rFonts w:hint="eastAsia" w:ascii="仿宋" w:hAnsi="仿宋" w:eastAsia="仿宋"/>
          <w:b w:val="0"/>
          <w:bCs w:val="0"/>
        </w:rPr>
        <w:t>七、</w:t>
      </w:r>
      <w:r>
        <w:rPr>
          <w:rFonts w:hint="eastAsia" w:ascii="仿宋" w:hAnsi="仿宋" w:eastAsia="仿宋"/>
          <w:b w:val="0"/>
        </w:rPr>
        <w:t>一</w:t>
      </w:r>
      <w:r>
        <w:rPr>
          <w:rStyle w:val="31"/>
          <w:rFonts w:hint="eastAsia" w:ascii="仿宋" w:hAnsi="仿宋" w:eastAsia="仿宋"/>
          <w:b w:val="0"/>
          <w:bCs w:val="0"/>
        </w:rPr>
        <w:t>般公共预算财政拨款支出决算明细表</w:t>
      </w:r>
      <w:bookmarkEnd w:id="117"/>
      <w:bookmarkEnd w:id="118"/>
    </w:p>
    <w:p>
      <w:pPr>
        <w:pStyle w:val="4"/>
        <w:spacing w:line="540" w:lineRule="exact"/>
        <w:rPr>
          <w:rFonts w:ascii="仿宋" w:hAnsi="仿宋" w:eastAsia="仿宋"/>
        </w:rPr>
      </w:pPr>
      <w:bookmarkStart w:id="119" w:name="_Toc15396626"/>
      <w:bookmarkStart w:id="120" w:name="_Toc12058"/>
      <w:r>
        <w:rPr>
          <w:rStyle w:val="31"/>
          <w:rFonts w:hint="eastAsia" w:ascii="仿宋" w:hAnsi="仿宋" w:eastAsia="仿宋"/>
          <w:b w:val="0"/>
          <w:bCs w:val="0"/>
        </w:rPr>
        <w:t>八、</w:t>
      </w:r>
      <w:r>
        <w:rPr>
          <w:rFonts w:hint="eastAsia" w:ascii="仿宋" w:hAnsi="仿宋" w:eastAsia="仿宋"/>
          <w:b w:val="0"/>
        </w:rPr>
        <w:t>一</w:t>
      </w:r>
      <w:r>
        <w:rPr>
          <w:rStyle w:val="31"/>
          <w:rFonts w:hint="eastAsia" w:ascii="仿宋" w:hAnsi="仿宋" w:eastAsia="仿宋"/>
          <w:b w:val="0"/>
          <w:bCs w:val="0"/>
        </w:rPr>
        <w:t>般公共预算财</w:t>
      </w:r>
      <w:bookmarkStart w:id="132" w:name="_GoBack"/>
      <w:bookmarkEnd w:id="132"/>
      <w:r>
        <w:rPr>
          <w:rStyle w:val="31"/>
          <w:rFonts w:hint="eastAsia" w:ascii="仿宋" w:hAnsi="仿宋" w:eastAsia="仿宋"/>
          <w:b w:val="0"/>
          <w:bCs w:val="0"/>
        </w:rPr>
        <w:t>政拨款基本支出决算表</w:t>
      </w:r>
      <w:bookmarkEnd w:id="119"/>
      <w:bookmarkEnd w:id="120"/>
    </w:p>
    <w:p>
      <w:pPr>
        <w:pStyle w:val="4"/>
        <w:spacing w:line="540" w:lineRule="exact"/>
        <w:rPr>
          <w:rFonts w:ascii="仿宋" w:hAnsi="仿宋" w:eastAsia="仿宋"/>
        </w:rPr>
      </w:pPr>
      <w:bookmarkStart w:id="121" w:name="_Toc728"/>
      <w:bookmarkStart w:id="122" w:name="_Toc15396627"/>
      <w:r>
        <w:rPr>
          <w:rStyle w:val="31"/>
          <w:rFonts w:hint="eastAsia" w:ascii="仿宋" w:hAnsi="仿宋" w:eastAsia="仿宋"/>
          <w:b w:val="0"/>
          <w:bCs w:val="0"/>
        </w:rPr>
        <w:t>九、</w:t>
      </w:r>
      <w:r>
        <w:rPr>
          <w:rFonts w:hint="eastAsia" w:ascii="仿宋" w:hAnsi="仿宋" w:eastAsia="仿宋"/>
          <w:b w:val="0"/>
        </w:rPr>
        <w:t>一</w:t>
      </w:r>
      <w:r>
        <w:rPr>
          <w:rStyle w:val="31"/>
          <w:rFonts w:hint="eastAsia" w:ascii="仿宋" w:hAnsi="仿宋" w:eastAsia="仿宋"/>
          <w:b w:val="0"/>
          <w:bCs w:val="0"/>
        </w:rPr>
        <w:t>般公共预算财政拨款项目支出决算表</w:t>
      </w:r>
      <w:bookmarkEnd w:id="121"/>
      <w:bookmarkEnd w:id="122"/>
    </w:p>
    <w:p>
      <w:pPr>
        <w:pStyle w:val="4"/>
        <w:spacing w:line="540" w:lineRule="exact"/>
        <w:rPr>
          <w:rFonts w:ascii="仿宋" w:hAnsi="仿宋" w:eastAsia="仿宋"/>
        </w:rPr>
      </w:pPr>
      <w:bookmarkStart w:id="123" w:name="_Toc26854"/>
      <w:bookmarkStart w:id="124" w:name="_Toc15396628"/>
      <w:r>
        <w:rPr>
          <w:rStyle w:val="31"/>
          <w:rFonts w:hint="eastAsia" w:ascii="仿宋" w:hAnsi="仿宋" w:eastAsia="仿宋"/>
          <w:b w:val="0"/>
          <w:bCs w:val="0"/>
        </w:rPr>
        <w:t>十、</w:t>
      </w:r>
      <w:r>
        <w:rPr>
          <w:rFonts w:hint="eastAsia" w:ascii="仿宋" w:hAnsi="仿宋" w:eastAsia="仿宋"/>
          <w:b w:val="0"/>
        </w:rPr>
        <w:t>一</w:t>
      </w:r>
      <w:r>
        <w:rPr>
          <w:rStyle w:val="31"/>
          <w:rFonts w:hint="eastAsia" w:ascii="仿宋" w:hAnsi="仿宋" w:eastAsia="仿宋"/>
          <w:b w:val="0"/>
          <w:bCs w:val="0"/>
        </w:rPr>
        <w:t>般公共预算财政拨款“三公”经费支出决算表</w:t>
      </w:r>
      <w:bookmarkEnd w:id="123"/>
      <w:bookmarkEnd w:id="124"/>
    </w:p>
    <w:p>
      <w:pPr>
        <w:pStyle w:val="4"/>
        <w:spacing w:line="540" w:lineRule="exact"/>
        <w:rPr>
          <w:rFonts w:ascii="仿宋" w:hAnsi="仿宋" w:eastAsia="仿宋"/>
        </w:rPr>
      </w:pPr>
      <w:bookmarkStart w:id="125" w:name="_Toc29077"/>
      <w:bookmarkStart w:id="126" w:name="_Toc15396629"/>
      <w:r>
        <w:rPr>
          <w:rStyle w:val="31"/>
          <w:rFonts w:hint="eastAsia" w:ascii="仿宋" w:hAnsi="仿宋" w:eastAsia="仿宋"/>
          <w:b w:val="0"/>
          <w:bCs w:val="0"/>
        </w:rPr>
        <w:t>十一、</w:t>
      </w:r>
      <w:r>
        <w:rPr>
          <w:rFonts w:hint="eastAsia" w:ascii="仿宋" w:hAnsi="仿宋" w:eastAsia="仿宋"/>
          <w:b w:val="0"/>
        </w:rPr>
        <w:t>政</w:t>
      </w:r>
      <w:r>
        <w:rPr>
          <w:rStyle w:val="31"/>
          <w:rFonts w:hint="eastAsia" w:ascii="仿宋" w:hAnsi="仿宋" w:eastAsia="仿宋"/>
          <w:b w:val="0"/>
          <w:bCs w:val="0"/>
        </w:rPr>
        <w:t>府性基金预算财政拨款收入支出决算表</w:t>
      </w:r>
      <w:bookmarkEnd w:id="125"/>
      <w:bookmarkEnd w:id="126"/>
    </w:p>
    <w:p>
      <w:pPr>
        <w:pStyle w:val="4"/>
        <w:spacing w:line="540" w:lineRule="exact"/>
        <w:rPr>
          <w:rFonts w:ascii="仿宋" w:hAnsi="仿宋" w:eastAsia="仿宋"/>
        </w:rPr>
      </w:pPr>
      <w:bookmarkStart w:id="127" w:name="_Toc15396630"/>
      <w:bookmarkStart w:id="128" w:name="_Toc19185"/>
      <w:r>
        <w:rPr>
          <w:rStyle w:val="31"/>
          <w:rFonts w:hint="eastAsia" w:ascii="仿宋" w:hAnsi="仿宋" w:eastAsia="仿宋"/>
          <w:b w:val="0"/>
          <w:bCs w:val="0"/>
        </w:rPr>
        <w:t>十二、</w:t>
      </w:r>
      <w:r>
        <w:rPr>
          <w:rFonts w:hint="eastAsia" w:ascii="仿宋" w:hAnsi="仿宋" w:eastAsia="仿宋"/>
          <w:b w:val="0"/>
        </w:rPr>
        <w:t>政</w:t>
      </w:r>
      <w:r>
        <w:rPr>
          <w:rStyle w:val="31"/>
          <w:rFonts w:hint="eastAsia" w:ascii="仿宋" w:hAnsi="仿宋" w:eastAsia="仿宋"/>
          <w:b w:val="0"/>
          <w:bCs w:val="0"/>
        </w:rPr>
        <w:t>府性基金预算财政拨款“三公”经费支出决算表</w:t>
      </w:r>
      <w:bookmarkEnd w:id="127"/>
      <w:r>
        <w:rPr>
          <w:rStyle w:val="35"/>
          <w:rFonts w:hint="eastAsia" w:ascii="仿宋" w:eastAsia="仿宋"/>
          <w:b w:val="0"/>
          <w:bCs w:val="0"/>
        </w:rPr>
        <w:t>（此表无数据）</w:t>
      </w:r>
      <w:bookmarkEnd w:id="128"/>
    </w:p>
    <w:p>
      <w:pPr>
        <w:pStyle w:val="4"/>
        <w:spacing w:line="540" w:lineRule="exact"/>
        <w:rPr>
          <w:rStyle w:val="31"/>
          <w:rFonts w:ascii="仿宋" w:hAnsi="仿宋" w:eastAsia="仿宋"/>
          <w:b w:val="0"/>
          <w:bCs w:val="0"/>
        </w:rPr>
      </w:pPr>
      <w:bookmarkStart w:id="129" w:name="_Toc15396631"/>
      <w:bookmarkStart w:id="130" w:name="_Toc14550"/>
      <w:r>
        <w:rPr>
          <w:rStyle w:val="31"/>
          <w:rFonts w:hint="eastAsia" w:ascii="仿宋" w:hAnsi="仿宋" w:eastAsia="仿宋"/>
          <w:b w:val="0"/>
          <w:bCs w:val="0"/>
        </w:rPr>
        <w:t>十三、</w:t>
      </w:r>
      <w:r>
        <w:rPr>
          <w:rFonts w:hint="eastAsia" w:ascii="仿宋" w:hAnsi="仿宋" w:eastAsia="仿宋"/>
          <w:b w:val="0"/>
        </w:rPr>
        <w:t>国</w:t>
      </w:r>
      <w:r>
        <w:rPr>
          <w:rStyle w:val="31"/>
          <w:rFonts w:hint="eastAsia" w:ascii="仿宋" w:hAnsi="仿宋" w:eastAsia="仿宋"/>
          <w:b w:val="0"/>
          <w:bCs w:val="0"/>
        </w:rPr>
        <w:t>有资本经营预算财政拨款收入支出决算表</w:t>
      </w:r>
      <w:bookmarkEnd w:id="129"/>
      <w:r>
        <w:rPr>
          <w:rStyle w:val="35"/>
          <w:rFonts w:hint="eastAsia" w:ascii="仿宋" w:eastAsia="仿宋"/>
          <w:b w:val="0"/>
          <w:bCs w:val="0"/>
        </w:rPr>
        <w:t>（此表无数据）</w:t>
      </w:r>
      <w:bookmarkEnd w:id="130"/>
    </w:p>
    <w:p>
      <w:pPr>
        <w:pStyle w:val="4"/>
        <w:spacing w:line="540" w:lineRule="exact"/>
        <w:rPr>
          <w:rFonts w:ascii="仿宋" w:eastAsia="仿宋"/>
          <w:color w:val="000000"/>
        </w:rPr>
      </w:pPr>
      <w:bookmarkStart w:id="131" w:name="_Toc17578"/>
      <w:r>
        <w:rPr>
          <w:rStyle w:val="31"/>
          <w:rFonts w:hint="eastAsia" w:ascii="仿宋" w:hAnsi="仿宋" w:eastAsia="仿宋"/>
          <w:b w:val="0"/>
          <w:bCs w:val="0"/>
        </w:rPr>
        <w:t>十四、国有资本经营预算财政拨款支出决算表</w:t>
      </w:r>
      <w:r>
        <w:rPr>
          <w:rStyle w:val="35"/>
          <w:rFonts w:hint="eastAsia" w:ascii="仿宋" w:eastAsia="仿宋"/>
          <w:b w:val="0"/>
          <w:bCs w:val="0"/>
        </w:rPr>
        <w:t>（此表无数据）</w:t>
      </w:r>
      <w:bookmarkEnd w:id="131"/>
    </w:p>
    <w:p>
      <w:pPr>
        <w:spacing w:line="540" w:lineRule="exact"/>
        <w:rPr>
          <w:rFonts w:eastAsia="仿宋"/>
        </w:rPr>
      </w:pPr>
    </w:p>
    <w:sectPr>
      <w:headerReference r:id="rId3" w:type="default"/>
      <w:footerReference r:id="rId4"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Sun-ExtB"/>
    <w:panose1 w:val="02010609060101010101"/>
    <w:charset w:val="86"/>
    <w:family w:val="auto"/>
    <w:pitch w:val="default"/>
    <w:sig w:usb0="800002BF" w:usb1="38CF7CFA" w:usb2="00000016" w:usb3="00000000" w:csb0="00040001" w:csb1="00000000"/>
    <w:embedRegular r:id="rId1" w:fontKey="{A6A5097C-A1A7-44BD-A139-DF09946F1B6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embedRegular r:id="rId2" w:fontKey="{8BC8A458-A794-4098-A95A-55EEAD477385}"/>
  </w:font>
  <w:font w:name="仿宋_GB2312">
    <w:panose1 w:val="02010609030101010101"/>
    <w:charset w:val="86"/>
    <w:family w:val="modern"/>
    <w:pitch w:val="default"/>
    <w:sig w:usb0="00000001" w:usb1="080E0000" w:usb2="00000000" w:usb3="00000000" w:csb0="00040000" w:csb1="00000000"/>
    <w:embedRegular r:id="rId3" w:fontKey="{068BA451-1EE7-4627-A15B-932B5339489D}"/>
  </w:font>
  <w:font w:name="仿宋">
    <w:panose1 w:val="02010609060101010101"/>
    <w:charset w:val="86"/>
    <w:family w:val="modern"/>
    <w:pitch w:val="default"/>
    <w:sig w:usb0="800002BF" w:usb1="38CF7CFA" w:usb2="00000016" w:usb3="00000000" w:csb0="00040001" w:csb1="00000000"/>
    <w:embedRegular r:id="rId4" w:fontKey="{2453022E-491B-491B-A590-30D8186821D6}"/>
  </w:font>
  <w:font w:name="方正小标宋简体">
    <w:panose1 w:val="02000000000000000000"/>
    <w:charset w:val="86"/>
    <w:family w:val="auto"/>
    <w:pitch w:val="default"/>
    <w:sig w:usb0="00000001" w:usb1="08000000" w:usb2="00000000" w:usb3="00000000" w:csb0="00040000" w:csb1="00000000"/>
    <w:embedRegular r:id="rId5" w:fontKey="{315BB5F8-B8A9-4F78-88CF-656E21785B5B}"/>
  </w:font>
  <w:font w:name="楷体_GB2312">
    <w:altName w:val="微软雅黑"/>
    <w:panose1 w:val="00000000000000000000"/>
    <w:charset w:val="86"/>
    <w:family w:val="modern"/>
    <w:pitch w:val="default"/>
    <w:sig w:usb0="00000000" w:usb1="00000000" w:usb2="00000010" w:usb3="00000000" w:csb0="00040000" w:csb1="00000000"/>
    <w:embedRegular r:id="rId6" w:fontKey="{0240E2E8-A997-4845-91C0-1E132CD5144C}"/>
  </w:font>
  <w:font w:name="方正小标宋_GBK">
    <w:panose1 w:val="02000000000000000000"/>
    <w:charset w:val="86"/>
    <w:family w:val="script"/>
    <w:pitch w:val="default"/>
    <w:sig w:usb0="A00002BF" w:usb1="38CF7CFA" w:usb2="00082016" w:usb3="00000000" w:csb0="00040001" w:csb1="00000000"/>
    <w:embedRegular r:id="rId7" w:fontKey="{42335E00-731B-4BA7-92C5-76807F137FED}"/>
  </w:font>
  <w:font w:name="SimSun-ExtB">
    <w:panose1 w:val="02010609060101010101"/>
    <w:charset w:val="86"/>
    <w:family w:val="auto"/>
    <w:pitch w:val="default"/>
    <w:sig w:usb0="00000001" w:usb1="02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3</w:t>
    </w:r>
    <w: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9BFBC0"/>
    <w:multiLevelType w:val="singleLevel"/>
    <w:tmpl w:val="AD9BFBC0"/>
    <w:lvl w:ilvl="0" w:tentative="0">
      <w:start w:val="2"/>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00000001"/>
    <w:multiLevelType w:val="singleLevel"/>
    <w:tmpl w:val="00000001"/>
    <w:lvl w:ilvl="0" w:tentative="0">
      <w:start w:val="1"/>
      <w:numFmt w:val="chineseCounting"/>
      <w:suff w:val="nothing"/>
      <w:lvlText w:val="（%1）"/>
      <w:lvlJc w:val="left"/>
      <w:rPr>
        <w:rFonts w:hint="eastAsia"/>
      </w:r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62621CDC"/>
    <w:multiLevelType w:val="multilevel"/>
    <w:tmpl w:val="62621CDC"/>
    <w:lvl w:ilvl="0" w:tentative="0">
      <w:start w:val="1"/>
      <w:numFmt w:val="decimal"/>
      <w:lvlText w:val="%1."/>
      <w:lvlJc w:val="left"/>
      <w:pPr>
        <w:ind w:left="1152" w:hanging="480"/>
      </w:pPr>
      <w:rPr>
        <w:rFonts w:hint="default"/>
      </w:rPr>
    </w:lvl>
    <w:lvl w:ilvl="1" w:tentative="0">
      <w:start w:val="1"/>
      <w:numFmt w:val="lowerLetter"/>
      <w:lvlText w:val="%2)"/>
      <w:lvlJc w:val="left"/>
      <w:pPr>
        <w:ind w:left="1512" w:hanging="420"/>
      </w:pPr>
    </w:lvl>
    <w:lvl w:ilvl="2" w:tentative="0">
      <w:start w:val="1"/>
      <w:numFmt w:val="lowerRoman"/>
      <w:lvlText w:val="%3."/>
      <w:lvlJc w:val="right"/>
      <w:pPr>
        <w:ind w:left="1932" w:hanging="420"/>
      </w:pPr>
    </w:lvl>
    <w:lvl w:ilvl="3" w:tentative="0">
      <w:start w:val="1"/>
      <w:numFmt w:val="decimal"/>
      <w:lvlText w:val="%4."/>
      <w:lvlJc w:val="left"/>
      <w:pPr>
        <w:ind w:left="2352" w:hanging="420"/>
      </w:pPr>
    </w:lvl>
    <w:lvl w:ilvl="4" w:tentative="0">
      <w:start w:val="1"/>
      <w:numFmt w:val="lowerLetter"/>
      <w:lvlText w:val="%5)"/>
      <w:lvlJc w:val="left"/>
      <w:pPr>
        <w:ind w:left="2772" w:hanging="420"/>
      </w:pPr>
    </w:lvl>
    <w:lvl w:ilvl="5" w:tentative="0">
      <w:start w:val="1"/>
      <w:numFmt w:val="lowerRoman"/>
      <w:lvlText w:val="%6."/>
      <w:lvlJc w:val="right"/>
      <w:pPr>
        <w:ind w:left="3192" w:hanging="420"/>
      </w:pPr>
    </w:lvl>
    <w:lvl w:ilvl="6" w:tentative="0">
      <w:start w:val="1"/>
      <w:numFmt w:val="decimal"/>
      <w:lvlText w:val="%7."/>
      <w:lvlJc w:val="left"/>
      <w:pPr>
        <w:ind w:left="3612" w:hanging="420"/>
      </w:pPr>
    </w:lvl>
    <w:lvl w:ilvl="7" w:tentative="0">
      <w:start w:val="1"/>
      <w:numFmt w:val="lowerLetter"/>
      <w:lvlText w:val="%8)"/>
      <w:lvlJc w:val="left"/>
      <w:pPr>
        <w:ind w:left="4032" w:hanging="420"/>
      </w:pPr>
    </w:lvl>
    <w:lvl w:ilvl="8" w:tentative="0">
      <w:start w:val="1"/>
      <w:numFmt w:val="lowerRoman"/>
      <w:lvlText w:val="%9."/>
      <w:lvlJc w:val="right"/>
      <w:pPr>
        <w:ind w:left="4452" w:hanging="420"/>
      </w:pPr>
    </w:lvl>
  </w:abstractNum>
  <w:num w:numId="1">
    <w:abstractNumId w:val="5"/>
  </w:num>
  <w:num w:numId="2">
    <w:abstractNumId w:val="4"/>
  </w:num>
  <w:num w:numId="3">
    <w:abstractNumId w:val="1"/>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TrueTypeFonts/>
  <w:saveSubsetFonts/>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I3MjI3Mzk4YjE5NmU1Y2MyZjE3NTYwMGQzZjU4MGUifQ=="/>
  </w:docVars>
  <w:rsids>
    <w:rsidRoot w:val="00A64F7F"/>
    <w:rsid w:val="00133F64"/>
    <w:rsid w:val="00294031"/>
    <w:rsid w:val="00326599"/>
    <w:rsid w:val="0039347F"/>
    <w:rsid w:val="003B4031"/>
    <w:rsid w:val="0081730D"/>
    <w:rsid w:val="00942200"/>
    <w:rsid w:val="00A42805"/>
    <w:rsid w:val="00A64F7F"/>
    <w:rsid w:val="00BC55A0"/>
    <w:rsid w:val="00C00C74"/>
    <w:rsid w:val="00D53E75"/>
    <w:rsid w:val="00EB544A"/>
    <w:rsid w:val="00F10B0B"/>
    <w:rsid w:val="00FA6613"/>
    <w:rsid w:val="0190264A"/>
    <w:rsid w:val="02666C93"/>
    <w:rsid w:val="02C71721"/>
    <w:rsid w:val="02E57045"/>
    <w:rsid w:val="08486C4D"/>
    <w:rsid w:val="102E4FAD"/>
    <w:rsid w:val="110613DE"/>
    <w:rsid w:val="13666223"/>
    <w:rsid w:val="136E2133"/>
    <w:rsid w:val="13B56523"/>
    <w:rsid w:val="19806E1C"/>
    <w:rsid w:val="1EAC749C"/>
    <w:rsid w:val="20C718F8"/>
    <w:rsid w:val="23F41B07"/>
    <w:rsid w:val="27FA02BF"/>
    <w:rsid w:val="2E391542"/>
    <w:rsid w:val="38CC3A47"/>
    <w:rsid w:val="3AF55ED7"/>
    <w:rsid w:val="3E576C98"/>
    <w:rsid w:val="420C2CB9"/>
    <w:rsid w:val="43075C94"/>
    <w:rsid w:val="4D520AD7"/>
    <w:rsid w:val="4D9248A3"/>
    <w:rsid w:val="526743BC"/>
    <w:rsid w:val="54916537"/>
    <w:rsid w:val="59534CCC"/>
    <w:rsid w:val="5B7A0AD3"/>
    <w:rsid w:val="5B963511"/>
    <w:rsid w:val="605534F3"/>
    <w:rsid w:val="62C55BF8"/>
    <w:rsid w:val="62FF08D4"/>
    <w:rsid w:val="68F53423"/>
    <w:rsid w:val="69160D95"/>
    <w:rsid w:val="69A44F72"/>
    <w:rsid w:val="69CD22D1"/>
    <w:rsid w:val="6D655CEE"/>
    <w:rsid w:val="6E8C0639"/>
    <w:rsid w:val="746159DC"/>
    <w:rsid w:val="76A431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99"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99"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0"/>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5"/>
    <w:unhideWhenUsed/>
    <w:qFormat/>
    <w:uiPriority w:val="9"/>
    <w:pPr>
      <w:keepNext/>
      <w:keepLines/>
      <w:spacing w:before="260" w:after="260" w:line="416" w:lineRule="auto"/>
      <w:outlineLvl w:val="1"/>
    </w:pPr>
    <w:rPr>
      <w:rFonts w:ascii="Cambria" w:hAnsi="Cambria" w:cs="黑体"/>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9"/>
    <w:qFormat/>
    <w:uiPriority w:val="99"/>
    <w:pPr>
      <w:spacing w:beforeLines="30"/>
    </w:pPr>
    <w:rPr>
      <w:rFonts w:ascii="仿宋_GB2312" w:eastAsia="仿宋_GB2312"/>
      <w:kern w:val="0"/>
      <w:sz w:val="24"/>
      <w:szCs w:val="2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32"/>
    <w:semiHidden/>
    <w:unhideWhenUsed/>
    <w:qFormat/>
    <w:uiPriority w:val="99"/>
    <w:rPr>
      <w:sz w:val="18"/>
      <w:szCs w:val="18"/>
    </w:rPr>
  </w:style>
  <w:style w:type="paragraph" w:styleId="8">
    <w:name w:val="footer"/>
    <w:basedOn w:val="1"/>
    <w:link w:val="27"/>
    <w:qFormat/>
    <w:uiPriority w:val="99"/>
    <w:pPr>
      <w:tabs>
        <w:tab w:val="center" w:pos="4153"/>
        <w:tab w:val="right" w:pos="8306"/>
      </w:tabs>
      <w:snapToGrid w:val="0"/>
      <w:jc w:val="left"/>
    </w:pPr>
    <w:rPr>
      <w:kern w:val="0"/>
      <w:sz w:val="18"/>
      <w:szCs w:val="20"/>
    </w:rPr>
  </w:style>
  <w:style w:type="paragraph" w:styleId="9">
    <w:name w:val="header"/>
    <w:basedOn w:val="1"/>
    <w:link w:val="25"/>
    <w:semiHidden/>
    <w:qFormat/>
    <w:uiPriority w:val="99"/>
    <w:pPr>
      <w:pBdr>
        <w:bottom w:val="single" w:color="auto" w:sz="6" w:space="1"/>
      </w:pBdr>
      <w:tabs>
        <w:tab w:val="center" w:pos="4153"/>
        <w:tab w:val="right" w:pos="8306"/>
      </w:tabs>
      <w:snapToGrid w:val="0"/>
      <w:jc w:val="center"/>
    </w:pPr>
    <w:rPr>
      <w:kern w:val="0"/>
      <w:sz w:val="18"/>
      <w:szCs w:val="20"/>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paragraph" w:styleId="12">
    <w:name w:val="Normal (Web)"/>
    <w:basedOn w:val="1"/>
    <w:semiHidden/>
    <w:unhideWhenUsed/>
    <w:qFormat/>
    <w:uiPriority w:val="0"/>
    <w:rPr>
      <w:sz w:val="24"/>
    </w:rPr>
  </w:style>
  <w:style w:type="character" w:styleId="15">
    <w:name w:val="Strong"/>
    <w:basedOn w:val="14"/>
    <w:qFormat/>
    <w:uiPriority w:val="99"/>
    <w:rPr>
      <w:b/>
    </w:rPr>
  </w:style>
  <w:style w:type="character" w:styleId="16">
    <w:name w:val="Hyperlink"/>
    <w:basedOn w:val="14"/>
    <w:unhideWhenUsed/>
    <w:qFormat/>
    <w:uiPriority w:val="99"/>
    <w:rPr>
      <w:color w:val="0000FF"/>
      <w:u w:val="single"/>
    </w:rPr>
  </w:style>
  <w:style w:type="paragraph" w:customStyle="1" w:styleId="1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8">
    <w:name w:val="列出段落1"/>
    <w:basedOn w:val="1"/>
    <w:qFormat/>
    <w:uiPriority w:val="34"/>
    <w:pPr>
      <w:ind w:firstLine="420" w:firstLineChars="200"/>
    </w:pPr>
  </w:style>
  <w:style w:type="paragraph" w:customStyle="1" w:styleId="19">
    <w:name w:val="TOC 标题1"/>
    <w:basedOn w:val="3"/>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paragraph" w:customStyle="1" w:styleId="20">
    <w:name w:val="TOC 标题2"/>
    <w:basedOn w:val="3"/>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paragraph" w:customStyle="1" w:styleId="21">
    <w:name w:val="p16"/>
    <w:basedOn w:val="1"/>
    <w:qFormat/>
    <w:uiPriority w:val="0"/>
    <w:pPr>
      <w:widowControl/>
      <w:spacing w:before="93"/>
    </w:pPr>
    <w:rPr>
      <w:rFonts w:ascii="仿宋_GB2312" w:hAnsi="宋体" w:eastAsia="仿宋_GB2312" w:cs="宋体"/>
      <w:kern w:val="0"/>
      <w:sz w:val="30"/>
      <w:szCs w:val="30"/>
    </w:rPr>
  </w:style>
  <w:style w:type="paragraph" w:customStyle="1" w:styleId="22">
    <w:name w:val="p0"/>
    <w:basedOn w:val="1"/>
    <w:qFormat/>
    <w:uiPriority w:val="0"/>
    <w:pPr>
      <w:widowControl/>
    </w:pPr>
    <w:rPr>
      <w:kern w:val="0"/>
      <w:szCs w:val="21"/>
    </w:rPr>
  </w:style>
  <w:style w:type="paragraph" w:customStyle="1" w:styleId="23">
    <w:name w:val="p18"/>
    <w:basedOn w:val="1"/>
    <w:qFormat/>
    <w:uiPriority w:val="0"/>
    <w:pPr>
      <w:widowControl/>
      <w:snapToGrid w:val="0"/>
      <w:jc w:val="left"/>
    </w:pPr>
    <w:rPr>
      <w:rFonts w:ascii="仿宋" w:eastAsia="仿宋" w:cs="宋体"/>
      <w:color w:val="000000"/>
      <w:kern w:val="0"/>
      <w:sz w:val="24"/>
    </w:rPr>
  </w:style>
  <w:style w:type="character" w:customStyle="1" w:styleId="24">
    <w:name w:val="Header Char"/>
    <w:basedOn w:val="14"/>
    <w:semiHidden/>
    <w:qFormat/>
    <w:uiPriority w:val="99"/>
    <w:rPr>
      <w:rFonts w:ascii="Times New Roman" w:hAnsi="Times New Roman"/>
      <w:sz w:val="18"/>
      <w:szCs w:val="18"/>
    </w:rPr>
  </w:style>
  <w:style w:type="character" w:customStyle="1" w:styleId="25">
    <w:name w:val="页眉 Char"/>
    <w:link w:val="9"/>
    <w:semiHidden/>
    <w:qFormat/>
    <w:locked/>
    <w:uiPriority w:val="99"/>
    <w:rPr>
      <w:sz w:val="18"/>
    </w:rPr>
  </w:style>
  <w:style w:type="character" w:customStyle="1" w:styleId="26">
    <w:name w:val="Footer Char"/>
    <w:basedOn w:val="14"/>
    <w:semiHidden/>
    <w:qFormat/>
    <w:uiPriority w:val="99"/>
    <w:rPr>
      <w:rFonts w:ascii="Times New Roman" w:hAnsi="Times New Roman"/>
      <w:sz w:val="18"/>
      <w:szCs w:val="18"/>
    </w:rPr>
  </w:style>
  <w:style w:type="character" w:customStyle="1" w:styleId="27">
    <w:name w:val="页脚 Char"/>
    <w:link w:val="8"/>
    <w:qFormat/>
    <w:locked/>
    <w:uiPriority w:val="99"/>
    <w:rPr>
      <w:sz w:val="18"/>
    </w:rPr>
  </w:style>
  <w:style w:type="character" w:customStyle="1" w:styleId="28">
    <w:name w:val="Body Text Char"/>
    <w:basedOn w:val="14"/>
    <w:semiHidden/>
    <w:qFormat/>
    <w:uiPriority w:val="99"/>
    <w:rPr>
      <w:rFonts w:ascii="Times New Roman" w:hAnsi="Times New Roman"/>
      <w:szCs w:val="24"/>
    </w:rPr>
  </w:style>
  <w:style w:type="character" w:customStyle="1" w:styleId="29">
    <w:name w:val="正文文本 Char"/>
    <w:link w:val="2"/>
    <w:qFormat/>
    <w:locked/>
    <w:uiPriority w:val="99"/>
    <w:rPr>
      <w:rFonts w:ascii="仿宋_GB2312" w:hAnsi="Times New Roman" w:eastAsia="仿宋_GB2312"/>
      <w:sz w:val="24"/>
    </w:rPr>
  </w:style>
  <w:style w:type="character" w:customStyle="1" w:styleId="30">
    <w:name w:val="标题 1 Char"/>
    <w:basedOn w:val="14"/>
    <w:link w:val="3"/>
    <w:qFormat/>
    <w:uiPriority w:val="9"/>
    <w:rPr>
      <w:rFonts w:ascii="Times New Roman" w:hAnsi="Times New Roman"/>
      <w:b/>
      <w:bCs/>
      <w:kern w:val="44"/>
      <w:sz w:val="44"/>
      <w:szCs w:val="44"/>
    </w:rPr>
  </w:style>
  <w:style w:type="character" w:customStyle="1" w:styleId="31">
    <w:name w:val="标题 2 Char"/>
    <w:basedOn w:val="14"/>
    <w:qFormat/>
    <w:uiPriority w:val="9"/>
    <w:rPr>
      <w:rFonts w:ascii="Cambria" w:hAnsi="Cambria" w:eastAsia="宋体" w:cs="黑体"/>
      <w:b/>
      <w:bCs/>
      <w:kern w:val="2"/>
      <w:sz w:val="32"/>
      <w:szCs w:val="32"/>
    </w:rPr>
  </w:style>
  <w:style w:type="character" w:customStyle="1" w:styleId="32">
    <w:name w:val="批注框文本 Char"/>
    <w:basedOn w:val="14"/>
    <w:link w:val="7"/>
    <w:semiHidden/>
    <w:qFormat/>
    <w:uiPriority w:val="99"/>
    <w:rPr>
      <w:rFonts w:ascii="Times New Roman" w:hAnsi="Times New Roman"/>
      <w:kern w:val="2"/>
      <w:sz w:val="18"/>
      <w:szCs w:val="18"/>
    </w:rPr>
  </w:style>
  <w:style w:type="character" w:customStyle="1" w:styleId="33">
    <w:name w:val="标题 3 Char"/>
    <w:basedOn w:val="14"/>
    <w:link w:val="5"/>
    <w:qFormat/>
    <w:uiPriority w:val="9"/>
    <w:rPr>
      <w:rFonts w:ascii="Times New Roman" w:hAnsi="Times New Roman"/>
      <w:b/>
      <w:bCs/>
      <w:kern w:val="2"/>
      <w:sz w:val="32"/>
      <w:szCs w:val="32"/>
    </w:rPr>
  </w:style>
  <w:style w:type="character" w:customStyle="1" w:styleId="34">
    <w:name w:val="16"/>
    <w:basedOn w:val="14"/>
    <w:qFormat/>
    <w:uiPriority w:val="0"/>
    <w:rPr>
      <w:rFonts w:hint="default" w:ascii="Times New Roman" w:hAnsi="Times New Roman" w:cs="Times New Roman"/>
      <w:b/>
      <w:bCs/>
    </w:rPr>
  </w:style>
  <w:style w:type="character" w:customStyle="1" w:styleId="35">
    <w:name w:val="标题 2 Char1"/>
    <w:basedOn w:val="14"/>
    <w:link w:val="4"/>
    <w:qFormat/>
    <w:uiPriority w:val="0"/>
    <w:rPr>
      <w:rFonts w:ascii="Cambria" w:hAnsi="Cambria" w:eastAsia="宋体" w:cs="Times New Roman"/>
      <w:b/>
      <w:bCs/>
      <w:kern w:val="2"/>
      <w:sz w:val="32"/>
      <w:szCs w:val="32"/>
      <w:lang w:val="en-US" w:eastAsia="zh-CN" w:bidi="ar-SA"/>
    </w:rPr>
  </w:style>
  <w:style w:type="character" w:customStyle="1" w:styleId="36">
    <w:name w:val="NormalCharacter"/>
    <w:qFormat/>
    <w:uiPriority w:val="0"/>
  </w:style>
  <w:style w:type="paragraph" w:styleId="37">
    <w:name w:val="List Paragraph"/>
    <w:basedOn w:val="1"/>
    <w:qFormat/>
    <w:uiPriority w:val="0"/>
    <w:pPr>
      <w:ind w:firstLine="420" w:firstLineChars="200"/>
    </w:pPr>
  </w:style>
  <w:style w:type="paragraph" w:customStyle="1" w:styleId="38">
    <w:name w:val="WPSOffice手动目录 1"/>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2021857923497"/>
          <c:y val="0.0506912442396313"/>
          <c:w val="0.672131147540984"/>
          <c:h val="0.792626728110599"/>
        </c:manualLayout>
      </c:layout>
      <c:barChart>
        <c:barDir val="col"/>
        <c:grouping val="clustered"/>
        <c:varyColors val="0"/>
        <c:ser>
          <c:idx val="0"/>
          <c:order val="0"/>
          <c:tx>
            <c:strRef>
              <c:f>Sheet1!$A$2</c:f>
              <c:strCache>
                <c:ptCount val="1"/>
                <c:pt idx="0">
                  <c:v>2020年</c:v>
                </c:pt>
              </c:strCache>
            </c:strRef>
          </c:tx>
          <c:spPr>
            <a:solidFill>
              <a:srgbClr val="9999FF"/>
            </a:solidFill>
            <a:ln w="10151">
              <a:solidFill>
                <a:srgbClr val="000000"/>
              </a:solidFill>
              <a:prstDash val="solid"/>
            </a:ln>
          </c:spPr>
          <c:invertIfNegative val="0"/>
          <c:dLbls>
            <c:delete val="1"/>
          </c:dLbls>
          <c:cat>
            <c:strRef>
              <c:f>Sheet1!$B$1:$C$1</c:f>
              <c:strCache>
                <c:ptCount val="2"/>
                <c:pt idx="0">
                  <c:v>收入</c:v>
                </c:pt>
                <c:pt idx="1">
                  <c:v>支出</c:v>
                </c:pt>
              </c:strCache>
            </c:strRef>
          </c:cat>
          <c:val>
            <c:numRef>
              <c:f>Sheet1!$B$2:$C$2</c:f>
              <c:numCache>
                <c:formatCode>General</c:formatCode>
                <c:ptCount val="2"/>
                <c:pt idx="0">
                  <c:v>1055.56</c:v>
                </c:pt>
                <c:pt idx="1">
                  <c:v>983.46</c:v>
                </c:pt>
              </c:numCache>
            </c:numRef>
          </c:val>
        </c:ser>
        <c:ser>
          <c:idx val="1"/>
          <c:order val="1"/>
          <c:tx>
            <c:strRef>
              <c:f>Sheet1!$A$3</c:f>
              <c:strCache>
                <c:ptCount val="1"/>
                <c:pt idx="0">
                  <c:v>2021年</c:v>
                </c:pt>
              </c:strCache>
            </c:strRef>
          </c:tx>
          <c:spPr>
            <a:solidFill>
              <a:srgbClr val="993366"/>
            </a:solidFill>
            <a:ln w="10151">
              <a:solidFill>
                <a:srgbClr val="000000"/>
              </a:solidFill>
              <a:prstDash val="solid"/>
            </a:ln>
          </c:spPr>
          <c:invertIfNegative val="0"/>
          <c:dLbls>
            <c:delete val="1"/>
          </c:dLbls>
          <c:cat>
            <c:strRef>
              <c:f>Sheet1!$B$1:$C$1</c:f>
              <c:strCache>
                <c:ptCount val="2"/>
                <c:pt idx="0">
                  <c:v>收入</c:v>
                </c:pt>
                <c:pt idx="1">
                  <c:v>支出</c:v>
                </c:pt>
              </c:strCache>
            </c:strRef>
          </c:cat>
          <c:val>
            <c:numRef>
              <c:f>Sheet1!$B$3:$C$3</c:f>
              <c:numCache>
                <c:formatCode>General</c:formatCode>
                <c:ptCount val="2"/>
                <c:pt idx="0">
                  <c:v>588.94</c:v>
                </c:pt>
                <c:pt idx="1">
                  <c:v>588.94</c:v>
                </c:pt>
              </c:numCache>
            </c:numRef>
          </c:val>
        </c:ser>
        <c:dLbls>
          <c:showLegendKey val="0"/>
          <c:showVal val="0"/>
          <c:showCatName val="0"/>
          <c:showSerName val="0"/>
          <c:showPercent val="0"/>
          <c:showBubbleSize val="0"/>
        </c:dLbls>
        <c:gapWidth val="150"/>
        <c:axId val="580224816"/>
        <c:axId val="580224424"/>
      </c:barChart>
      <c:catAx>
        <c:axId val="580224816"/>
        <c:scaling>
          <c:orientation val="minMax"/>
        </c:scaling>
        <c:delete val="0"/>
        <c:axPos val="b"/>
        <c:numFmt formatCode="General" sourceLinked="1"/>
        <c:majorTickMark val="in"/>
        <c:minorTickMark val="none"/>
        <c:tickLblPos val="low"/>
        <c:spPr>
          <a:ln w="2538" cap="flat" cmpd="sng" algn="ctr">
            <a:solidFill>
              <a:srgbClr val="000000"/>
            </a:solidFill>
            <a:prstDash val="solid"/>
            <a:round/>
          </a:ln>
        </c:spPr>
        <c:txPr>
          <a:bodyPr rot="0" spcFirstLastPara="0" vertOverflow="ellipsis" vert="horz" wrap="square" anchor="ctr" anchorCtr="1"/>
          <a:lstStyle/>
          <a:p>
            <a:pPr>
              <a:defRPr lang="zh-CN" sz="86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580224424"/>
        <c:crosses val="autoZero"/>
        <c:auto val="1"/>
        <c:lblAlgn val="ctr"/>
        <c:lblOffset val="100"/>
        <c:tickLblSkip val="1"/>
        <c:noMultiLvlLbl val="0"/>
      </c:catAx>
      <c:valAx>
        <c:axId val="580224424"/>
        <c:scaling>
          <c:orientation val="minMax"/>
        </c:scaling>
        <c:delete val="0"/>
        <c:axPos val="l"/>
        <c:majorGridlines>
          <c:spPr>
            <a:ln w="2538" cap="flat" cmpd="sng" algn="ctr">
              <a:solidFill>
                <a:srgbClr val="000000"/>
              </a:solidFill>
              <a:prstDash val="solid"/>
              <a:round/>
            </a:ln>
          </c:spPr>
        </c:majorGridlines>
        <c:numFmt formatCode="General" sourceLinked="1"/>
        <c:majorTickMark val="in"/>
        <c:minorTickMark val="none"/>
        <c:tickLblPos val="nextTo"/>
        <c:spPr>
          <a:ln w="2538" cap="flat" cmpd="sng" algn="ctr">
            <a:solidFill>
              <a:srgbClr val="000000"/>
            </a:solidFill>
            <a:prstDash val="solid"/>
            <a:round/>
          </a:ln>
        </c:spPr>
        <c:txPr>
          <a:bodyPr rot="0" spcFirstLastPara="0" vertOverflow="ellipsis" vert="horz" wrap="square" anchor="ctr" anchorCtr="1"/>
          <a:lstStyle/>
          <a:p>
            <a:pPr>
              <a:defRPr lang="zh-CN" sz="86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580224816"/>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814207650273224"/>
          <c:y val="0.410138248847926"/>
          <c:w val="0.174863387978142"/>
          <c:h val="0.179723502304147"/>
        </c:manualLayout>
      </c:layout>
      <c:overlay val="0"/>
      <c:spPr>
        <a:noFill/>
        <a:ln w="2538">
          <a:solidFill>
            <a:srgbClr val="000000"/>
          </a:solidFill>
          <a:prstDash val="solid"/>
        </a:ln>
      </c:spPr>
      <c:txPr>
        <a:bodyPr rot="0" spcFirstLastPara="0" vertOverflow="ellipsis" vert="horz" wrap="square" anchor="ctr" anchorCtr="1"/>
        <a:lstStyle/>
        <a:p>
          <a:pPr>
            <a:defRPr lang="zh-CN" sz="78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noFill/>
    <a:ln w="9525" cap="flat" cmpd="sng" algn="ctr">
      <a:noFill/>
      <a:prstDash val="solid"/>
      <a:round/>
    </a:ln>
  </c:spPr>
  <c:txPr>
    <a:bodyPr/>
    <a:lstStyle/>
    <a:p>
      <a:pPr>
        <a:defRPr lang="zh-CN" sz="86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9088145896656"/>
          <c:y val="0.12280701754386"/>
          <c:w val="0.52887537993921"/>
          <c:h val="0.763157894736842"/>
        </c:manualLayout>
      </c:layout>
      <c:pieChart>
        <c:varyColors val="1"/>
        <c:ser>
          <c:idx val="0"/>
          <c:order val="0"/>
          <c:tx>
            <c:strRef>
              <c:f>Sheet1!$A$2</c:f>
              <c:strCache>
                <c:ptCount val="1"/>
                <c:pt idx="0">
                  <c:v>2021年收入</c:v>
                </c:pt>
              </c:strCache>
            </c:strRef>
          </c:tx>
          <c:spPr>
            <a:solidFill>
              <a:srgbClr val="9999FF"/>
            </a:solidFill>
            <a:ln w="10134">
              <a:solidFill>
                <a:srgbClr val="000000"/>
              </a:solidFill>
              <a:prstDash val="solid"/>
            </a:ln>
          </c:spPr>
          <c:explosion val="0"/>
          <c:dPt>
            <c:idx val="0"/>
            <c:bubble3D val="0"/>
            <c:spPr>
              <a:solidFill>
                <a:srgbClr val="9999FF"/>
              </a:solidFill>
              <a:ln w="10134">
                <a:solidFill>
                  <a:srgbClr val="000000"/>
                </a:solidFill>
                <a:prstDash val="solid"/>
              </a:ln>
            </c:spPr>
          </c:dPt>
          <c:dPt>
            <c:idx val="1"/>
            <c:bubble3D val="0"/>
            <c:spPr>
              <a:solidFill>
                <a:srgbClr val="993366"/>
              </a:solidFill>
              <a:ln w="10134">
                <a:solidFill>
                  <a:srgbClr val="000000"/>
                </a:solidFill>
                <a:prstDash val="solid"/>
              </a:ln>
            </c:spPr>
          </c:dPt>
          <c:dPt>
            <c:idx val="2"/>
            <c:bubble3D val="0"/>
            <c:spPr>
              <a:solidFill>
                <a:srgbClr val="FFFFCC"/>
              </a:solidFill>
              <a:ln w="10134">
                <a:solidFill>
                  <a:srgbClr val="000000"/>
                </a:solidFill>
                <a:prstDash val="solid"/>
              </a:ln>
            </c:spPr>
          </c:dPt>
          <c:dLbls>
            <c:delete val="1"/>
          </c:dLbls>
          <c:cat>
            <c:strRef>
              <c:f>Sheet1!$B$1:$D$1</c:f>
              <c:strCache>
                <c:ptCount val="3"/>
                <c:pt idx="0">
                  <c:v>一般公共预算</c:v>
                </c:pt>
                <c:pt idx="1">
                  <c:v>政府性基金</c:v>
                </c:pt>
                <c:pt idx="2">
                  <c:v>年初结转结余</c:v>
                </c:pt>
              </c:strCache>
            </c:strRef>
          </c:cat>
          <c:val>
            <c:numRef>
              <c:f>Sheet1!$B$2:$D$2</c:f>
              <c:numCache>
                <c:formatCode>General</c:formatCode>
                <c:ptCount val="3"/>
                <c:pt idx="0">
                  <c:v>559.72</c:v>
                </c:pt>
                <c:pt idx="1">
                  <c:v>9.08</c:v>
                </c:pt>
                <c:pt idx="2">
                  <c:v>20.15</c:v>
                </c:pt>
              </c:numCache>
            </c:numRef>
          </c:val>
        </c:ser>
        <c:dLbls>
          <c:showLegendKey val="0"/>
          <c:showVal val="0"/>
          <c:showCatName val="0"/>
          <c:showSerName val="0"/>
          <c:showPercent val="0"/>
          <c:showBubbleSize val="0"/>
          <c:showLeaderLines val="1"/>
        </c:dLbls>
        <c:firstSliceAng val="0"/>
      </c:pieChart>
      <c:spPr>
        <a:solidFill>
          <a:srgbClr val="C0C0C0"/>
        </a:solidFill>
        <a:ln w="10134">
          <a:solidFill>
            <a:srgbClr val="808080"/>
          </a:solidFill>
          <a:prstDash val="solid"/>
        </a:ln>
      </c:spPr>
    </c:plotArea>
    <c:legend>
      <c:legendPos val="r"/>
      <c:layout>
        <c:manualLayout>
          <c:xMode val="edge"/>
          <c:yMode val="edge"/>
          <c:x val="0.665653495440729"/>
          <c:y val="0.37280701754386"/>
          <c:w val="0.322188449848024"/>
          <c:h val="0.254385964912281"/>
        </c:manualLayout>
      </c:layout>
      <c:overlay val="0"/>
      <c:spPr>
        <a:noFill/>
        <a:ln w="2534">
          <a:solidFill>
            <a:srgbClr val="000000"/>
          </a:solidFill>
          <a:prstDash val="solid"/>
        </a:ln>
      </c:spPr>
      <c:txPr>
        <a:bodyPr rot="0" spcFirstLastPara="0" vertOverflow="ellipsis" vert="horz" wrap="square" anchor="ctr" anchorCtr="1"/>
        <a:lstStyle/>
        <a:p>
          <a:pPr>
            <a:defRPr lang="zh-CN" sz="78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noFill/>
    <a:ln w="9525" cap="flat" cmpd="sng" algn="ctr">
      <a:noFill/>
      <a:prstDash val="solid"/>
      <a:round/>
    </a:ln>
  </c:spPr>
  <c:txPr>
    <a:bodyPr/>
    <a:lstStyle/>
    <a:p>
      <a:pPr>
        <a:defRPr lang="zh-CN" sz="86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4246575342466"/>
          <c:y val="0.102222222222222"/>
          <c:w val="0.495890410958904"/>
          <c:h val="0.804444444444444"/>
        </c:manualLayout>
      </c:layout>
      <c:pieChart>
        <c:varyColors val="1"/>
        <c:ser>
          <c:idx val="0"/>
          <c:order val="0"/>
          <c:tx>
            <c:strRef>
              <c:f>Sheet1!$A$2</c:f>
              <c:strCache>
                <c:ptCount val="1"/>
                <c:pt idx="0">
                  <c:v>2021年支出</c:v>
                </c:pt>
              </c:strCache>
            </c:strRef>
          </c:tx>
          <c:spPr>
            <a:solidFill>
              <a:srgbClr val="9999FF"/>
            </a:solidFill>
            <a:ln w="10182">
              <a:solidFill>
                <a:srgbClr val="000000"/>
              </a:solidFill>
              <a:prstDash val="solid"/>
            </a:ln>
          </c:spPr>
          <c:explosion val="0"/>
          <c:dPt>
            <c:idx val="0"/>
            <c:bubble3D val="0"/>
            <c:spPr>
              <a:solidFill>
                <a:srgbClr val="9999FF"/>
              </a:solidFill>
              <a:ln w="10182">
                <a:solidFill>
                  <a:srgbClr val="000000"/>
                </a:solidFill>
                <a:prstDash val="solid"/>
              </a:ln>
            </c:spPr>
          </c:dPt>
          <c:dPt>
            <c:idx val="1"/>
            <c:bubble3D val="0"/>
            <c:spPr>
              <a:solidFill>
                <a:srgbClr val="993366"/>
              </a:solidFill>
              <a:ln w="10182">
                <a:solidFill>
                  <a:srgbClr val="000000"/>
                </a:solidFill>
                <a:prstDash val="solid"/>
              </a:ln>
            </c:spPr>
          </c:dPt>
          <c:dLbls>
            <c:delete val="1"/>
          </c:dLbls>
          <c:cat>
            <c:strRef>
              <c:f>Sheet1!$B$1:$C$1</c:f>
              <c:strCache>
                <c:ptCount val="2"/>
                <c:pt idx="0">
                  <c:v>基本支出</c:v>
                </c:pt>
                <c:pt idx="1">
                  <c:v>项目支出</c:v>
                </c:pt>
              </c:strCache>
            </c:strRef>
          </c:cat>
          <c:val>
            <c:numRef>
              <c:f>Sheet1!$B$2:$C$2</c:f>
              <c:numCache>
                <c:formatCode>General</c:formatCode>
                <c:ptCount val="2"/>
                <c:pt idx="0">
                  <c:v>463.56</c:v>
                </c:pt>
                <c:pt idx="1">
                  <c:v>125.38</c:v>
                </c:pt>
              </c:numCache>
            </c:numRef>
          </c:val>
        </c:ser>
        <c:dLbls>
          <c:showLegendKey val="0"/>
          <c:showVal val="0"/>
          <c:showCatName val="0"/>
          <c:showSerName val="0"/>
          <c:showPercent val="0"/>
          <c:showBubbleSize val="0"/>
          <c:showLeaderLines val="1"/>
        </c:dLbls>
        <c:firstSliceAng val="0"/>
      </c:pieChart>
      <c:spPr>
        <a:solidFill>
          <a:srgbClr val="C0C0C0"/>
        </a:solidFill>
        <a:ln w="10182">
          <a:solidFill>
            <a:srgbClr val="808080"/>
          </a:solidFill>
          <a:prstDash val="solid"/>
        </a:ln>
      </c:spPr>
    </c:plotArea>
    <c:legend>
      <c:legendPos val="r"/>
      <c:layout>
        <c:manualLayout>
          <c:xMode val="edge"/>
          <c:yMode val="edge"/>
          <c:x val="0.761643835616438"/>
          <c:y val="0.408888888888889"/>
          <c:w val="0.227397260273973"/>
          <c:h val="0.182222222222222"/>
        </c:manualLayout>
      </c:layout>
      <c:overlay val="0"/>
      <c:spPr>
        <a:noFill/>
        <a:ln w="2545">
          <a:solidFill>
            <a:srgbClr val="000000"/>
          </a:solidFill>
          <a:prstDash val="solid"/>
        </a:ln>
      </c:spPr>
      <c:txPr>
        <a:bodyPr rot="0" spcFirstLastPara="0" vertOverflow="ellipsis" vert="horz" wrap="square" anchor="ctr" anchorCtr="1"/>
        <a:lstStyle/>
        <a:p>
          <a:pPr>
            <a:defRPr lang="zh-CN" sz="83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noFill/>
    <a:ln w="9525" cap="flat" cmpd="sng" algn="ctr">
      <a:noFill/>
      <a:prstDash val="solid"/>
      <a:round/>
    </a:ln>
  </c:spPr>
  <c:txPr>
    <a:bodyPr/>
    <a:lstStyle/>
    <a:p>
      <a:pPr>
        <a:defRPr lang="zh-CN" sz="9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1832797427653"/>
          <c:y val="0.0535714285714286"/>
          <c:w val="0.62379421221865"/>
          <c:h val="0.799107142857143"/>
        </c:manualLayout>
      </c:layout>
      <c:barChart>
        <c:barDir val="col"/>
        <c:grouping val="clustered"/>
        <c:varyColors val="0"/>
        <c:ser>
          <c:idx val="0"/>
          <c:order val="0"/>
          <c:tx>
            <c:strRef>
              <c:f>Sheet1!$A$2</c:f>
              <c:strCache>
                <c:ptCount val="1"/>
                <c:pt idx="0">
                  <c:v>2020年</c:v>
                </c:pt>
              </c:strCache>
            </c:strRef>
          </c:tx>
          <c:spPr>
            <a:solidFill>
              <a:srgbClr val="9999FF"/>
            </a:solidFill>
            <a:ln w="10186">
              <a:solidFill>
                <a:srgbClr val="000000"/>
              </a:solidFill>
              <a:prstDash val="solid"/>
            </a:ln>
          </c:spPr>
          <c:invertIfNegative val="0"/>
          <c:dLbls>
            <c:spPr>
              <a:noFill/>
              <a:ln w="20372">
                <a:noFill/>
              </a:ln>
              <a:effectLst/>
            </c:spPr>
            <c:txPr>
              <a:bodyPr rot="0" spcFirstLastPara="0" vertOverflow="ellipsis" vert="horz" wrap="square" lIns="38100" tIns="19050" rIns="38100" bIns="19050" anchor="ctr" anchorCtr="1">
                <a:spAutoFit/>
              </a:bodyPr>
              <a:lstStyle/>
              <a:p>
                <a:pPr>
                  <a:defRPr lang="zh-CN" sz="8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Sheet1!$B$1:$C$1</c:f>
              <c:strCache>
                <c:ptCount val="2"/>
                <c:pt idx="0">
                  <c:v>收入</c:v>
                </c:pt>
                <c:pt idx="1">
                  <c:v>支出</c:v>
                </c:pt>
              </c:strCache>
            </c:strRef>
          </c:cat>
          <c:val>
            <c:numRef>
              <c:f>Sheet1!$B$2:$C$2</c:f>
              <c:numCache>
                <c:formatCode>General</c:formatCode>
                <c:ptCount val="2"/>
                <c:pt idx="0">
                  <c:v>1055.56</c:v>
                </c:pt>
                <c:pt idx="1">
                  <c:v>983.46</c:v>
                </c:pt>
              </c:numCache>
            </c:numRef>
          </c:val>
        </c:ser>
        <c:ser>
          <c:idx val="1"/>
          <c:order val="1"/>
          <c:tx>
            <c:strRef>
              <c:f>Sheet1!$A$3</c:f>
              <c:strCache>
                <c:ptCount val="1"/>
                <c:pt idx="0">
                  <c:v>2021年</c:v>
                </c:pt>
              </c:strCache>
            </c:strRef>
          </c:tx>
          <c:spPr>
            <a:solidFill>
              <a:srgbClr val="993366"/>
            </a:solidFill>
            <a:ln w="10186">
              <a:solidFill>
                <a:srgbClr val="000000"/>
              </a:solidFill>
              <a:prstDash val="solid"/>
            </a:ln>
          </c:spPr>
          <c:invertIfNegative val="0"/>
          <c:dLbls>
            <c:spPr>
              <a:noFill/>
              <a:ln w="20372">
                <a:noFill/>
              </a:ln>
              <a:effectLst/>
            </c:spPr>
            <c:txPr>
              <a:bodyPr rot="0" spcFirstLastPara="0" vertOverflow="ellipsis" vert="horz" wrap="square" lIns="38100" tIns="19050" rIns="38100" bIns="19050" anchor="ctr" anchorCtr="1">
                <a:spAutoFit/>
              </a:bodyPr>
              <a:lstStyle/>
              <a:p>
                <a:pPr>
                  <a:defRPr lang="zh-CN" sz="8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Sheet1!$B$1:$C$1</c:f>
              <c:strCache>
                <c:ptCount val="2"/>
                <c:pt idx="0">
                  <c:v>收入</c:v>
                </c:pt>
                <c:pt idx="1">
                  <c:v>支出</c:v>
                </c:pt>
              </c:strCache>
            </c:strRef>
          </c:cat>
          <c:val>
            <c:numRef>
              <c:f>Sheet1!$B$3:$C$3</c:f>
              <c:numCache>
                <c:formatCode>General</c:formatCode>
                <c:ptCount val="2"/>
                <c:pt idx="0">
                  <c:v>588.94</c:v>
                </c:pt>
                <c:pt idx="1">
                  <c:v>588.94</c:v>
                </c:pt>
              </c:numCache>
            </c:numRef>
          </c:val>
        </c:ser>
        <c:dLbls>
          <c:showLegendKey val="0"/>
          <c:showVal val="0"/>
          <c:showCatName val="0"/>
          <c:showSerName val="0"/>
          <c:showPercent val="0"/>
          <c:showBubbleSize val="0"/>
        </c:dLbls>
        <c:gapWidth val="150"/>
        <c:axId val="154079096"/>
        <c:axId val="581479552"/>
      </c:barChart>
      <c:catAx>
        <c:axId val="154079096"/>
        <c:scaling>
          <c:orientation val="minMax"/>
        </c:scaling>
        <c:delete val="0"/>
        <c:axPos val="b"/>
        <c:numFmt formatCode="General" sourceLinked="1"/>
        <c:majorTickMark val="in"/>
        <c:minorTickMark val="none"/>
        <c:tickLblPos val="low"/>
        <c:spPr>
          <a:ln w="2546" cap="flat" cmpd="sng" algn="ctr">
            <a:solidFill>
              <a:srgbClr val="000000"/>
            </a:solidFill>
            <a:prstDash val="solid"/>
            <a:round/>
          </a:ln>
        </c:spPr>
        <c:txPr>
          <a:bodyPr rot="0" spcFirstLastPara="0" vertOverflow="ellipsis" vert="horz" wrap="square" anchor="ctr" anchorCtr="1"/>
          <a:lstStyle/>
          <a:p>
            <a:pPr>
              <a:defRPr lang="zh-CN" sz="8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581479552"/>
        <c:crosses val="autoZero"/>
        <c:auto val="1"/>
        <c:lblAlgn val="ctr"/>
        <c:lblOffset val="100"/>
        <c:tickLblSkip val="1"/>
        <c:noMultiLvlLbl val="0"/>
      </c:catAx>
      <c:valAx>
        <c:axId val="581479552"/>
        <c:scaling>
          <c:orientation val="minMax"/>
        </c:scaling>
        <c:delete val="0"/>
        <c:axPos val="l"/>
        <c:majorGridlines>
          <c:spPr>
            <a:ln w="2546" cap="flat" cmpd="sng" algn="ctr">
              <a:solidFill>
                <a:srgbClr val="000000"/>
              </a:solidFill>
              <a:prstDash val="solid"/>
              <a:round/>
            </a:ln>
          </c:spPr>
        </c:majorGridlines>
        <c:numFmt formatCode="General" sourceLinked="1"/>
        <c:majorTickMark val="in"/>
        <c:minorTickMark val="none"/>
        <c:tickLblPos val="nextTo"/>
        <c:spPr>
          <a:ln w="2546" cap="flat" cmpd="sng" algn="ctr">
            <a:solidFill>
              <a:srgbClr val="000000"/>
            </a:solidFill>
            <a:prstDash val="solid"/>
            <a:round/>
          </a:ln>
        </c:spPr>
        <c:txPr>
          <a:bodyPr rot="0" spcFirstLastPara="0" vertOverflow="ellipsis" vert="horz" wrap="square" anchor="ctr" anchorCtr="1"/>
          <a:lstStyle/>
          <a:p>
            <a:pPr>
              <a:defRPr lang="zh-CN" sz="8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54079096"/>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790996784565916"/>
          <c:y val="0.419642857142857"/>
          <c:w val="0.196141479099678"/>
          <c:h val="0.165178571428571"/>
        </c:manualLayout>
      </c:layout>
      <c:overlay val="0"/>
      <c:spPr>
        <a:noFill/>
        <a:ln w="2546">
          <a:solidFill>
            <a:srgbClr val="000000"/>
          </a:solidFill>
          <a:prstDash val="solid"/>
        </a:ln>
      </c:spPr>
      <c:txPr>
        <a:bodyPr rot="0" spcFirstLastPara="0" vertOverflow="ellipsis" vert="horz" wrap="square" anchor="ctr" anchorCtr="1"/>
        <a:lstStyle/>
        <a:p>
          <a:pPr>
            <a:defRPr lang="zh-CN" sz="74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noFill/>
    <a:ln w="9525" cap="flat" cmpd="sng" algn="ctr">
      <a:noFill/>
      <a:prstDash val="solid"/>
      <a:round/>
    </a:ln>
  </c:spPr>
  <c:txPr>
    <a:bodyPr/>
    <a:lstStyle/>
    <a:p>
      <a:pPr>
        <a:defRPr lang="zh-CN" sz="8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5413105413105"/>
          <c:y val="0.039647577092511"/>
          <c:w val="0.652421652421652"/>
          <c:h val="0.806167400881057"/>
        </c:manualLayout>
      </c:layout>
      <c:barChart>
        <c:barDir val="col"/>
        <c:grouping val="clustered"/>
        <c:varyColors val="0"/>
        <c:ser>
          <c:idx val="0"/>
          <c:order val="0"/>
          <c:tx>
            <c:strRef>
              <c:f>Sheet1!$A$2</c:f>
              <c:strCache>
                <c:ptCount val="1"/>
                <c:pt idx="0">
                  <c:v>2020年</c:v>
                </c:pt>
              </c:strCache>
            </c:strRef>
          </c:tx>
          <c:spPr>
            <a:solidFill>
              <a:srgbClr val="9999FF"/>
            </a:solidFill>
            <a:ln w="10168">
              <a:solidFill>
                <a:srgbClr val="000000"/>
              </a:solidFill>
              <a:prstDash val="solid"/>
            </a:ln>
          </c:spPr>
          <c:invertIfNegative val="0"/>
          <c:dLbls>
            <c:delete val="1"/>
          </c:dLbls>
          <c:cat>
            <c:strRef>
              <c:f>Sheet1!$B$1:$B$1</c:f>
              <c:strCache>
                <c:ptCount val="1"/>
                <c:pt idx="0">
                  <c:v>一般公共预算</c:v>
                </c:pt>
              </c:strCache>
            </c:strRef>
          </c:cat>
          <c:val>
            <c:numRef>
              <c:f>Sheet1!$B$2:$B$2</c:f>
              <c:numCache>
                <c:formatCode>General</c:formatCode>
                <c:ptCount val="1"/>
                <c:pt idx="0">
                  <c:v>799.5</c:v>
                </c:pt>
              </c:numCache>
            </c:numRef>
          </c:val>
        </c:ser>
        <c:ser>
          <c:idx val="1"/>
          <c:order val="1"/>
          <c:tx>
            <c:strRef>
              <c:f>Sheet1!$A$3</c:f>
              <c:strCache>
                <c:ptCount val="1"/>
                <c:pt idx="0">
                  <c:v>2021年</c:v>
                </c:pt>
              </c:strCache>
            </c:strRef>
          </c:tx>
          <c:spPr>
            <a:solidFill>
              <a:srgbClr val="993366"/>
            </a:solidFill>
            <a:ln w="10168">
              <a:solidFill>
                <a:srgbClr val="000000"/>
              </a:solidFill>
              <a:prstDash val="solid"/>
            </a:ln>
          </c:spPr>
          <c:invertIfNegative val="0"/>
          <c:dLbls>
            <c:delete val="1"/>
          </c:dLbls>
          <c:cat>
            <c:strRef>
              <c:f>Sheet1!$B$1:$B$1</c:f>
              <c:strCache>
                <c:ptCount val="1"/>
                <c:pt idx="0">
                  <c:v>一般公共预算</c:v>
                </c:pt>
              </c:strCache>
            </c:strRef>
          </c:cat>
          <c:val>
            <c:numRef>
              <c:f>Sheet1!$B$3:$B$3</c:f>
              <c:numCache>
                <c:formatCode>General</c:formatCode>
                <c:ptCount val="1"/>
                <c:pt idx="0">
                  <c:v>573.87</c:v>
                </c:pt>
              </c:numCache>
            </c:numRef>
          </c:val>
        </c:ser>
        <c:dLbls>
          <c:showLegendKey val="0"/>
          <c:showVal val="0"/>
          <c:showCatName val="0"/>
          <c:showSerName val="0"/>
          <c:showPercent val="0"/>
          <c:showBubbleSize val="0"/>
        </c:dLbls>
        <c:gapWidth val="150"/>
        <c:axId val="581480336"/>
        <c:axId val="581480728"/>
      </c:barChart>
      <c:catAx>
        <c:axId val="581480336"/>
        <c:scaling>
          <c:orientation val="minMax"/>
        </c:scaling>
        <c:delete val="0"/>
        <c:axPos val="b"/>
        <c:numFmt formatCode="General" sourceLinked="1"/>
        <c:majorTickMark val="in"/>
        <c:minorTickMark val="none"/>
        <c:tickLblPos val="low"/>
        <c:spPr>
          <a:ln w="2542" cap="flat" cmpd="sng" algn="ctr">
            <a:solidFill>
              <a:srgbClr val="000000"/>
            </a:solidFill>
            <a:prstDash val="solid"/>
            <a:round/>
          </a:ln>
        </c:spPr>
        <c:txPr>
          <a:bodyPr rot="0" spcFirstLastPara="0" vertOverflow="ellipsis" vert="horz" wrap="square" anchor="ctr" anchorCtr="1"/>
          <a:lstStyle/>
          <a:p>
            <a:pPr>
              <a:defRPr lang="zh-CN" sz="9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581480728"/>
        <c:crosses val="autoZero"/>
        <c:auto val="1"/>
        <c:lblAlgn val="ctr"/>
        <c:lblOffset val="100"/>
        <c:tickLblSkip val="1"/>
        <c:noMultiLvlLbl val="0"/>
      </c:catAx>
      <c:valAx>
        <c:axId val="581480728"/>
        <c:scaling>
          <c:orientation val="minMax"/>
        </c:scaling>
        <c:delete val="0"/>
        <c:axPos val="l"/>
        <c:majorGridlines>
          <c:spPr>
            <a:ln w="2542" cap="flat" cmpd="sng" algn="ctr">
              <a:solidFill>
                <a:srgbClr val="000000"/>
              </a:solidFill>
              <a:prstDash val="solid"/>
              <a:round/>
            </a:ln>
          </c:spPr>
        </c:majorGridlines>
        <c:numFmt formatCode="General" sourceLinked="1"/>
        <c:majorTickMark val="in"/>
        <c:minorTickMark val="none"/>
        <c:tickLblPos val="nextTo"/>
        <c:spPr>
          <a:ln w="2542" cap="flat" cmpd="sng" algn="ctr">
            <a:solidFill>
              <a:srgbClr val="000000"/>
            </a:solidFill>
            <a:prstDash val="solid"/>
            <a:round/>
          </a:ln>
        </c:spPr>
        <c:txPr>
          <a:bodyPr rot="0" spcFirstLastPara="0" vertOverflow="ellipsis" vert="horz" wrap="square" anchor="ctr" anchorCtr="1"/>
          <a:lstStyle/>
          <a:p>
            <a:pPr>
              <a:defRPr lang="zh-CN" sz="9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581480336"/>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789173789173789"/>
          <c:y val="0.409691629955947"/>
          <c:w val="0.199430199430199"/>
          <c:h val="0.180616740088106"/>
        </c:manualLayout>
      </c:layout>
      <c:overlay val="0"/>
      <c:spPr>
        <a:noFill/>
        <a:ln w="2542">
          <a:solidFill>
            <a:srgbClr val="000000"/>
          </a:solidFill>
          <a:prstDash val="solid"/>
        </a:ln>
      </c:spPr>
      <c:txPr>
        <a:bodyPr rot="0" spcFirstLastPara="0" vertOverflow="ellipsis" vert="horz" wrap="square" anchor="ctr" anchorCtr="1"/>
        <a:lstStyle/>
        <a:p>
          <a:pPr>
            <a:defRPr lang="zh-CN" sz="83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noFill/>
    <a:ln w="9525" cap="flat" cmpd="sng" algn="ctr">
      <a:noFill/>
      <a:prstDash val="solid"/>
      <a:round/>
    </a:ln>
  </c:spPr>
  <c:txPr>
    <a:bodyPr/>
    <a:lstStyle/>
    <a:p>
      <a:pPr>
        <a:defRPr lang="zh-CN" sz="9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951008645533141"/>
          <c:y val="0.106976744186047"/>
          <c:w val="0.492795389048991"/>
          <c:h val="0.795348837209302"/>
        </c:manualLayout>
      </c:layout>
      <c:pieChart>
        <c:varyColors val="1"/>
        <c:ser>
          <c:idx val="0"/>
          <c:order val="0"/>
          <c:tx>
            <c:strRef>
              <c:f>Sheet1!$A$2</c:f>
              <c:strCache>
                <c:ptCount val="1"/>
                <c:pt idx="0">
                  <c:v>一般公共预算支出</c:v>
                </c:pt>
              </c:strCache>
            </c:strRef>
          </c:tx>
          <c:spPr>
            <a:solidFill>
              <a:srgbClr val="9999FF"/>
            </a:solidFill>
            <a:ln w="11345">
              <a:solidFill>
                <a:srgbClr val="000000"/>
              </a:solidFill>
              <a:prstDash val="solid"/>
            </a:ln>
          </c:spPr>
          <c:explosion val="0"/>
          <c:dPt>
            <c:idx val="0"/>
            <c:bubble3D val="0"/>
            <c:spPr>
              <a:solidFill>
                <a:srgbClr val="9999FF"/>
              </a:solidFill>
              <a:ln w="11345">
                <a:solidFill>
                  <a:srgbClr val="000000"/>
                </a:solidFill>
                <a:prstDash val="solid"/>
              </a:ln>
            </c:spPr>
          </c:dPt>
          <c:dPt>
            <c:idx val="1"/>
            <c:bubble3D val="0"/>
            <c:spPr>
              <a:solidFill>
                <a:srgbClr val="993366"/>
              </a:solidFill>
              <a:ln w="11345">
                <a:solidFill>
                  <a:srgbClr val="000000"/>
                </a:solidFill>
                <a:prstDash val="solid"/>
              </a:ln>
            </c:spPr>
          </c:dPt>
          <c:dPt>
            <c:idx val="2"/>
            <c:bubble3D val="0"/>
            <c:spPr>
              <a:solidFill>
                <a:srgbClr val="FFFFCC"/>
              </a:solidFill>
              <a:ln w="11345">
                <a:solidFill>
                  <a:srgbClr val="000000"/>
                </a:solidFill>
                <a:prstDash val="solid"/>
              </a:ln>
            </c:spPr>
          </c:dPt>
          <c:dLbls>
            <c:delete val="1"/>
          </c:dLbls>
          <c:cat>
            <c:strRef>
              <c:f>Sheet1!$B$1:$D$1</c:f>
              <c:strCache>
                <c:ptCount val="3"/>
                <c:pt idx="0">
                  <c:v>一般公共服务类</c:v>
                </c:pt>
                <c:pt idx="1">
                  <c:v>社会保障和就业</c:v>
                </c:pt>
                <c:pt idx="2">
                  <c:v>住房保障</c:v>
                </c:pt>
              </c:strCache>
            </c:strRef>
          </c:cat>
          <c:val>
            <c:numRef>
              <c:f>Sheet1!$B$2:$D$2</c:f>
              <c:numCache>
                <c:formatCode>General</c:formatCode>
                <c:ptCount val="3"/>
                <c:pt idx="0">
                  <c:v>2.18</c:v>
                </c:pt>
                <c:pt idx="1">
                  <c:v>541.87</c:v>
                </c:pt>
                <c:pt idx="2">
                  <c:v>29.82</c:v>
                </c:pt>
              </c:numCache>
            </c:numRef>
          </c:val>
        </c:ser>
        <c:dLbls>
          <c:showLegendKey val="0"/>
          <c:showVal val="0"/>
          <c:showCatName val="0"/>
          <c:showSerName val="0"/>
          <c:showPercent val="0"/>
          <c:showBubbleSize val="0"/>
          <c:showLeaderLines val="1"/>
        </c:dLbls>
        <c:firstSliceAng val="0"/>
      </c:pieChart>
      <c:spPr>
        <a:solidFill>
          <a:srgbClr val="C0C0C0"/>
        </a:solidFill>
        <a:ln w="11345">
          <a:solidFill>
            <a:srgbClr val="808080"/>
          </a:solidFill>
          <a:prstDash val="solid"/>
        </a:ln>
      </c:spPr>
    </c:plotArea>
    <c:legend>
      <c:legendPos val="r"/>
      <c:layout>
        <c:manualLayout>
          <c:xMode val="edge"/>
          <c:yMode val="edge"/>
          <c:x val="0.68299711815562"/>
          <c:y val="0.255813953488372"/>
          <c:w val="0.305475504322767"/>
          <c:h val="0.493023255813954"/>
        </c:manualLayout>
      </c:layout>
      <c:overlay val="0"/>
      <c:spPr>
        <a:noFill/>
        <a:ln w="2836">
          <a:solidFill>
            <a:srgbClr val="000000"/>
          </a:solidFill>
          <a:prstDash val="solid"/>
        </a:ln>
      </c:spPr>
      <c:txPr>
        <a:bodyPr rot="0" spcFirstLastPara="0" vertOverflow="ellipsis" vert="horz" wrap="square" anchor="ctr" anchorCtr="1"/>
        <a:lstStyle/>
        <a:p>
          <a:pPr>
            <a:defRPr lang="zh-CN" sz="88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noFill/>
    <a:ln w="9525" cap="flat" cmpd="sng" algn="ctr">
      <a:noFill/>
      <a:prstDash val="solid"/>
      <a:round/>
    </a:ln>
  </c:spPr>
  <c:txPr>
    <a:bodyPr/>
    <a:lstStyle/>
    <a:p>
      <a:pPr>
        <a:defRPr lang="zh-CN" sz="96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8452380952381"/>
          <c:y val="0.161417322834646"/>
          <c:w val="0.517857142857143"/>
          <c:h val="0.68503937007874"/>
        </c:manualLayout>
      </c:layout>
      <c:pieChart>
        <c:varyColors val="1"/>
        <c:ser>
          <c:idx val="0"/>
          <c:order val="0"/>
          <c:tx>
            <c:strRef>
              <c:f>Sheet1!$A$2</c:f>
              <c:strCache>
                <c:ptCount val="1"/>
                <c:pt idx="0">
                  <c:v>东部</c:v>
                </c:pt>
              </c:strCache>
            </c:strRef>
          </c:tx>
          <c:spPr>
            <a:solidFill>
              <a:srgbClr val="9999FF"/>
            </a:solidFill>
            <a:ln w="10160">
              <a:solidFill>
                <a:srgbClr val="000000"/>
              </a:solidFill>
              <a:prstDash val="solid"/>
            </a:ln>
          </c:spPr>
          <c:explosion val="0"/>
          <c:dPt>
            <c:idx val="0"/>
            <c:bubble3D val="0"/>
            <c:spPr>
              <a:solidFill>
                <a:srgbClr val="9999FF"/>
              </a:solidFill>
              <a:ln w="10160">
                <a:solidFill>
                  <a:srgbClr val="000000"/>
                </a:solidFill>
                <a:prstDash val="solid"/>
              </a:ln>
            </c:spPr>
          </c:dPt>
          <c:dPt>
            <c:idx val="1"/>
            <c:bubble3D val="0"/>
            <c:spPr>
              <a:solidFill>
                <a:srgbClr val="993366"/>
              </a:solidFill>
              <a:ln w="10160">
                <a:solidFill>
                  <a:srgbClr val="000000"/>
                </a:solidFill>
                <a:prstDash val="solid"/>
              </a:ln>
            </c:spPr>
          </c:dPt>
          <c:dLbls>
            <c:delete val="1"/>
          </c:dLbls>
          <c:cat>
            <c:strRef>
              <c:f>Sheet1!$B$1:$C$1</c:f>
              <c:strCache>
                <c:ptCount val="2"/>
                <c:pt idx="0">
                  <c:v>公务用车运行维护费</c:v>
                </c:pt>
                <c:pt idx="1">
                  <c:v>公务接待费</c:v>
                </c:pt>
              </c:strCache>
            </c:strRef>
          </c:cat>
          <c:val>
            <c:numRef>
              <c:f>Sheet1!$B$2:$C$2</c:f>
              <c:numCache>
                <c:formatCode>General</c:formatCode>
                <c:ptCount val="2"/>
                <c:pt idx="0">
                  <c:v>1.44</c:v>
                </c:pt>
                <c:pt idx="1">
                  <c:v>0.23</c:v>
                </c:pt>
              </c:numCache>
            </c:numRef>
          </c:val>
        </c:ser>
        <c:dLbls>
          <c:showLegendKey val="0"/>
          <c:showVal val="0"/>
          <c:showCatName val="0"/>
          <c:showSerName val="0"/>
          <c:showPercent val="0"/>
          <c:showBubbleSize val="0"/>
          <c:showLeaderLines val="1"/>
        </c:dLbls>
        <c:firstSliceAng val="0"/>
      </c:pieChart>
      <c:spPr>
        <a:solidFill>
          <a:srgbClr val="C0C0C0"/>
        </a:solidFill>
        <a:ln w="10160">
          <a:solidFill>
            <a:srgbClr val="808080"/>
          </a:solidFill>
          <a:prstDash val="solid"/>
        </a:ln>
      </c:spPr>
    </c:plotArea>
    <c:legend>
      <c:legendPos val="r"/>
      <c:layout>
        <c:manualLayout>
          <c:xMode val="edge"/>
          <c:yMode val="edge"/>
          <c:x val="0.651785714285714"/>
          <c:y val="0.354330708661417"/>
          <c:w val="0.336309523809524"/>
          <c:h val="0.295275590551181"/>
        </c:manualLayout>
      </c:layout>
      <c:overlay val="0"/>
      <c:spPr>
        <a:noFill/>
        <a:ln w="2540">
          <a:solidFill>
            <a:srgbClr val="000000"/>
          </a:solidFill>
          <a:prstDash val="solid"/>
        </a:ln>
      </c:spPr>
      <c:txPr>
        <a:bodyPr rot="0" spcFirstLastPara="0" vertOverflow="ellipsis" vert="horz" wrap="square" anchor="ctr" anchorCtr="1"/>
        <a:lstStyle/>
        <a:p>
          <a:pPr>
            <a:defRPr lang="zh-CN" sz="81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noFill/>
    <a:ln w="9525" cap="flat" cmpd="sng" algn="ctr">
      <a:noFill/>
      <a:prstDash val="solid"/>
      <a:round/>
    </a:ln>
  </c:spPr>
  <c:txPr>
    <a:bodyPr/>
    <a:lstStyle/>
    <a:p>
      <a:pPr>
        <a:defRPr lang="zh-CN" sz="88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1</Pages>
  <Words>1854</Words>
  <Characters>10573</Characters>
  <Lines>88</Lines>
  <Paragraphs>24</Paragraphs>
  <TotalTime>9</TotalTime>
  <ScaleCrop>false</ScaleCrop>
  <LinksUpToDate>false</LinksUpToDate>
  <CharactersWithSpaces>12403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2023-08-04T08:30:00Z</dcterms:created>
  <dc:creator>曹颖</dc:creator>
  <cp:lastModifiedBy>鸢尾</cp:lastModifiedBy>
  <cp:lastPrinted>2022-08-08T09:11:00Z</cp:lastPrinted>
  <dcterms:modified xsi:type="dcterms:W3CDTF">2023-10-07T08:16:22Z</dcterms:modified>
  <dc:title>四川省***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4036ACDAD1724C0A80D28CA88D5B83B9</vt:lpwstr>
  </property>
</Properties>
</file>