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5" w:beforeAutospacing="0" w:after="375" w:afterAutospacing="0"/>
        <w:ind w:left="0" w:right="0" w:firstLine="0"/>
        <w:jc w:val="center"/>
        <w:rPr>
          <w:rFonts w:ascii="微软雅黑" w:hAnsi="微软雅黑" w:eastAsia="微软雅黑" w:cs="微软雅黑"/>
          <w:b w:val="0"/>
          <w:i w:val="0"/>
          <w:caps w:val="0"/>
          <w:color w:val="auto"/>
          <w:spacing w:val="0"/>
          <w:sz w:val="45"/>
          <w:szCs w:val="45"/>
        </w:rPr>
      </w:pPr>
      <w:r>
        <w:rPr>
          <w:rFonts w:hint="default" w:ascii="微软雅黑" w:hAnsi="微软雅黑" w:eastAsia="微软雅黑" w:cs="微软雅黑"/>
          <w:b w:val="0"/>
          <w:i w:val="0"/>
          <w:caps w:val="0"/>
          <w:color w:val="auto"/>
          <w:spacing w:val="0"/>
          <w:sz w:val="45"/>
          <w:szCs w:val="45"/>
          <w:shd w:val="clear" w:fill="FFFFFF"/>
        </w:rPr>
        <w:t>攀枝花市科技发展战略研究所2018年部门预算编制说明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方正黑体_GBK" w:hAnsi="方正黑体_GBK" w:eastAsia="方正黑体_GBK" w:cs="方正黑体_GBK"/>
          <w:i w:val="0"/>
          <w:caps w:val="0"/>
          <w:color w:val="auto"/>
          <w:spacing w:val="0"/>
          <w:sz w:val="32"/>
          <w:szCs w:val="32"/>
        </w:rPr>
      </w:pPr>
      <w:r>
        <w:rPr>
          <w:rFonts w:hint="eastAsia" w:ascii="方正黑体_GBK" w:hAnsi="方正黑体_GBK" w:eastAsia="方正黑体_GBK" w:cs="方正黑体_GBK"/>
          <w:i w:val="0"/>
          <w:caps w:val="0"/>
          <w:color w:val="auto"/>
          <w:spacing w:val="0"/>
          <w:sz w:val="32"/>
          <w:szCs w:val="32"/>
          <w:shd w:val="clear" w:fill="FFFFFF"/>
        </w:rPr>
        <w:t>一、基本职能及主要工作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（一）单位职能简介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1、国内外科技发展动态研究；全市科技发展战略研究；产业发展关键技术预见研究；全市科技体制和科技发展政策研究；科技创新体系研究。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2、科技专项调研；公共科技信息开发利用；市科技进步动态监测；负责重大科技项目的评价；科技刊物编辑出版。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3、协助编制全市科技发展规划；协助市科技局计划项目的招投标；协助完成各项科技统计，并编写科技统计汇编。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4、承担上级部门交办的其他任务。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（二）2018年重点工作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我所各项工作将以新的“创新、协调、绿色、开发、共享”发展理念为指导，认真贯彻落实党的十九大</w:t>
      </w:r>
      <w:bookmarkStart w:id="0" w:name="_GoBack"/>
      <w:bookmarkEnd w:id="0"/>
      <w:r>
        <w:rPr>
          <w:rFonts w:hint="default" w:ascii="sans-serif" w:hAnsi="sans-serif" w:eastAsia="sans-serif" w:cs="sans-serif"/>
          <w:i w:val="0"/>
          <w:caps w:val="0"/>
          <w:color w:val="auto"/>
          <w:spacing w:val="0"/>
          <w:sz w:val="32"/>
          <w:szCs w:val="32"/>
          <w:shd w:val="clear" w:fill="FFFFFF"/>
        </w:rPr>
        <w:t>精神，围绕攀枝花市“四区驱动”的战略定位，市科知局“四个创新”的工作思路，以战略研究咨询服务为主线，决策咨询、情报信息分析、科技专项工作、自身能力建设为重点，充分发挥战略所的参谋和助手作用，进一步强化对科知局的智力支撑，加快提高项目管理和研究分析能力，加速研究方法和成果推广应用，为推进“四个全面建设”，建设创新攀枝花提供科技发展战略方面智库支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1、战略研究应用工作。突出重点和应用，紧紧围绕全市科技发展顶层设计和特色产业科技创新，集中精力组织完成《科技服务业发展规划》科技计划项目；积极组织申报省级《成攀区域协同创新发展机制研究》项目，进一步完善“攀枝花市创新型城市建设方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color w:val="auto"/>
          <w:sz w:val="32"/>
          <w:szCs w:val="32"/>
        </w:rPr>
      </w:pPr>
      <w:r>
        <w:rPr>
          <w:rFonts w:hint="default" w:ascii="sans-serif" w:hAnsi="sans-serif" w:eastAsia="sans-serif" w:cs="sans-serif"/>
          <w:i w:val="0"/>
          <w:caps w:val="0"/>
          <w:color w:val="auto"/>
          <w:spacing w:val="0"/>
          <w:sz w:val="32"/>
          <w:szCs w:val="32"/>
          <w:shd w:val="clear" w:fill="FFFFFF"/>
        </w:rPr>
        <w:t>2、政策调研制定工作。结合</w:t>
      </w:r>
      <w:r>
        <w:rPr>
          <w:rFonts w:hint="eastAsia" w:ascii="sans-serif" w:hAnsi="sans-serif" w:eastAsia="sans-serif" w:cs="sans-serif"/>
          <w:i w:val="0"/>
          <w:caps w:val="0"/>
          <w:color w:val="auto"/>
          <w:spacing w:val="0"/>
          <w:kern w:val="0"/>
          <w:sz w:val="32"/>
          <w:szCs w:val="32"/>
          <w:shd w:val="clear" w:fill="FFFFFF"/>
          <w:lang w:val="en-US" w:eastAsia="zh-CN" w:bidi="ar"/>
        </w:rPr>
        <w:t>党的十九大</w:t>
      </w:r>
      <w:r>
        <w:rPr>
          <w:rFonts w:hint="default" w:ascii="sans-serif" w:hAnsi="sans-serif" w:eastAsia="sans-serif" w:cs="sans-serif"/>
          <w:i w:val="0"/>
          <w:caps w:val="0"/>
          <w:color w:val="auto"/>
          <w:spacing w:val="0"/>
          <w:kern w:val="0"/>
          <w:sz w:val="32"/>
          <w:szCs w:val="32"/>
          <w:shd w:val="clear" w:fill="FFFFFF"/>
          <w:lang w:val="en-US" w:eastAsia="zh-CN" w:bidi="ar"/>
        </w:rPr>
        <w:t>提出的创新型国家和城市建设思路，积极参与本地区创新发展相关政策措施调研、制定；总结《攀西试验区科技体制机制创新研究》课题成果，深入分析“鼓励高校科研机构科技人员创新创业”政策试点经验，提出建议；前瞻思考谋划，探索攀枝花建设专业智库和建立政策评估评价机制的对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3、重点工作参与。强化决策咨询服务定位，紧密结合市局2018年重点工作，积极协助推进攀西战略资源创新开发试验区、国家知识产权示范城市、国家高新区建设和创新型城市创建等目标任务完成，充分发挥参谋助手作用；同时，做好攀枝花市科技方面等相关重大会议及文件材料的撰写和PPT制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4、情报信息分析工作。整合“攀枝花市重点产业科技信息咨询服务平台”、“攀枝花钒钛磁铁矿资源综合开发利用技术路线图创新公共服务平台”、“中国钒钛之都”网站，构建情报信息的“大数据”平台。按时完成每月的《钒钛科技动态》编辑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5、科技专项工作。协助做好科技项目管理工作，配合局相关处室有计划地对区（县）和企业科技需求进行跟踪、调研，提出科技攻关建议；编制好科技项目申报指南，探索有计划长效项目申报组织工作，提高攀枝花科技项目管理水平和成效；完成各级科技统计工作；编制《科技年度发展报告》；编辑出版《攀枝花科技与信息》期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6、自身能力建设工作。规范和制定相关制度建设，加强项目实施，鼓励研究成果应用，提倡多作研究，多提对策建议，充分调动科研人员积极性，大力提高研究水平；加强人才交流引进，配合做好挂职人员管理，继续面向市内外招聘人才；开展业务学习和培训，组织项目主研人员参加钒钛等重点产业学术会议及调研考察，掌握和跟踪最新研究动态、研究方法和典型应用，作好学习报告及信息报送；跟踪和了解国家、省、市各项科技发展政策、先进做法、企业科技活动，撰写相关文章，建立软科学研究数据库；加快信息跟踪参与机制建立、保证信息的及时性和有效性；加强战略所信息化建设，创造良好的科研环境，改善办公条件；建立长效的学习制度，定期组织职工进行专业学习，采用内外结合的方式开展培训，大力提升我所战略研究团队的能力和水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方正黑体_GBK" w:hAnsi="方正黑体_GBK" w:eastAsia="方正黑体_GBK" w:cs="方正黑体_GBK"/>
          <w:i w:val="0"/>
          <w:caps w:val="0"/>
          <w:color w:val="auto"/>
          <w:spacing w:val="0"/>
          <w:sz w:val="32"/>
          <w:szCs w:val="32"/>
          <w:shd w:val="clear" w:fill="FFFFFF"/>
        </w:rPr>
      </w:pPr>
      <w:r>
        <w:rPr>
          <w:rFonts w:hint="default" w:ascii="方正黑体_GBK" w:hAnsi="方正黑体_GBK" w:eastAsia="方正黑体_GBK" w:cs="方正黑体_GBK"/>
          <w:i w:val="0"/>
          <w:caps w:val="0"/>
          <w:color w:val="auto"/>
          <w:spacing w:val="0"/>
          <w:sz w:val="32"/>
          <w:szCs w:val="32"/>
          <w:shd w:val="clear" w:fill="FFFFFF"/>
        </w:rPr>
        <w:t>二、单位构成情况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攀枝花市科技发展战略研究所属于全额拨款事业单位，没有非独立核算单位。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方正黑体_GBK" w:hAnsi="方正黑体_GBK" w:eastAsia="方正黑体_GBK" w:cs="方正黑体_GBK"/>
          <w:i w:val="0"/>
          <w:caps w:val="0"/>
          <w:color w:val="auto"/>
          <w:spacing w:val="0"/>
          <w:sz w:val="32"/>
          <w:szCs w:val="32"/>
          <w:shd w:val="clear" w:fill="FFFFFF"/>
        </w:rPr>
      </w:pPr>
      <w:r>
        <w:rPr>
          <w:rFonts w:hint="default" w:ascii="方正黑体_GBK" w:hAnsi="方正黑体_GBK" w:eastAsia="方正黑体_GBK" w:cs="方正黑体_GBK"/>
          <w:i w:val="0"/>
          <w:caps w:val="0"/>
          <w:color w:val="auto"/>
          <w:spacing w:val="0"/>
          <w:sz w:val="32"/>
          <w:szCs w:val="32"/>
          <w:shd w:val="clear" w:fill="FFFFFF"/>
        </w:rPr>
        <w:t>三、收支预算情况说明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按照综合预算的原则，单位所有收入和支出均纳入部门预算管理。收入包括：一般公共预算拨款收入；支出包括：一般公共服务支出。2018年收支总预算361.58万元。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（一）收入预算情况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科战所2018年收入预算361.58万元。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（二）支出预算情况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科战所2018年支出预算361.58万元，其中：基本支出347.28万元，占96%；项目支出14.3万元，占0.04%。</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方正黑体_GBK" w:hAnsi="方正黑体_GBK" w:eastAsia="方正黑体_GBK" w:cs="方正黑体_GBK"/>
          <w:i w:val="0"/>
          <w:caps w:val="0"/>
          <w:color w:val="auto"/>
          <w:spacing w:val="0"/>
          <w:sz w:val="32"/>
          <w:szCs w:val="32"/>
          <w:shd w:val="clear" w:fill="FFFFFF"/>
        </w:rPr>
      </w:pPr>
      <w:r>
        <w:rPr>
          <w:rFonts w:hint="default" w:ascii="方正黑体_GBK" w:hAnsi="方正黑体_GBK" w:eastAsia="方正黑体_GBK" w:cs="方正黑体_GBK"/>
          <w:i w:val="0"/>
          <w:caps w:val="0"/>
          <w:color w:val="auto"/>
          <w:spacing w:val="0"/>
          <w:sz w:val="32"/>
          <w:szCs w:val="32"/>
          <w:shd w:val="clear" w:fill="FFFFFF"/>
        </w:rPr>
        <w:t>四、财政拨款收支预算情况说明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科战所2018年财政拨款收支总预算361.58万元。收入包括：本年一般公共预算拨款收入361.58万元。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方正黑体_GBK" w:hAnsi="方正黑体_GBK" w:eastAsia="方正黑体_GBK" w:cs="方正黑体_GBK"/>
          <w:i w:val="0"/>
          <w:caps w:val="0"/>
          <w:color w:val="auto"/>
          <w:spacing w:val="0"/>
          <w:sz w:val="32"/>
          <w:szCs w:val="32"/>
          <w:shd w:val="clear" w:fill="FFFFFF"/>
        </w:rPr>
      </w:pPr>
      <w:r>
        <w:rPr>
          <w:rFonts w:hint="default" w:ascii="方正黑体_GBK" w:hAnsi="方正黑体_GBK" w:eastAsia="方正黑体_GBK" w:cs="方正黑体_GBK"/>
          <w:i w:val="0"/>
          <w:caps w:val="0"/>
          <w:color w:val="auto"/>
          <w:spacing w:val="0"/>
          <w:sz w:val="32"/>
          <w:szCs w:val="32"/>
          <w:shd w:val="clear" w:fill="FFFFFF"/>
        </w:rPr>
        <w:t>五、一般公共预算当年拨款情况说明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科战所2018年一般公共预算当年拨款361.58万元，比2017年预算数减少47.3万元，主要是因为单位职工人数减少1人，公用经费及项目经费财政压减。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方正黑体_GBK" w:hAnsi="方正黑体_GBK" w:eastAsia="方正黑体_GBK" w:cs="方正黑体_GBK"/>
          <w:i w:val="0"/>
          <w:caps w:val="0"/>
          <w:color w:val="auto"/>
          <w:spacing w:val="0"/>
          <w:sz w:val="32"/>
          <w:szCs w:val="32"/>
          <w:shd w:val="clear" w:fill="FFFFFF"/>
        </w:rPr>
      </w:pPr>
      <w:r>
        <w:rPr>
          <w:rFonts w:hint="default" w:ascii="方正黑体_GBK" w:hAnsi="方正黑体_GBK" w:eastAsia="方正黑体_GBK" w:cs="方正黑体_GBK"/>
          <w:i w:val="0"/>
          <w:caps w:val="0"/>
          <w:color w:val="auto"/>
          <w:spacing w:val="0"/>
          <w:sz w:val="32"/>
          <w:szCs w:val="32"/>
          <w:shd w:val="clear" w:fill="FFFFFF"/>
        </w:rPr>
        <w:t>六、一般公共预算基本支出情况说明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科战所2018年一般公共预算基本支出347.28万元，其中：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人员经费307.26万元，主要包括：基本工资、津贴补贴、奖金、社会保险缴费等。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公用经费40.02万元，主要包括：办公费、印刷费、咨询费、水电费等。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方正黑体_GBK" w:hAnsi="方正黑体_GBK" w:eastAsia="方正黑体_GBK" w:cs="方正黑体_GBK"/>
          <w:i w:val="0"/>
          <w:caps w:val="0"/>
          <w:color w:val="auto"/>
          <w:spacing w:val="0"/>
          <w:sz w:val="32"/>
          <w:szCs w:val="32"/>
          <w:shd w:val="clear" w:fill="FFFFFF"/>
        </w:rPr>
      </w:pPr>
      <w:r>
        <w:rPr>
          <w:rFonts w:hint="default" w:ascii="方正黑体_GBK" w:hAnsi="方正黑体_GBK" w:eastAsia="方正黑体_GBK" w:cs="方正黑体_GBK"/>
          <w:i w:val="0"/>
          <w:caps w:val="0"/>
          <w:color w:val="auto"/>
          <w:spacing w:val="0"/>
          <w:sz w:val="32"/>
          <w:szCs w:val="32"/>
          <w:shd w:val="clear" w:fill="FFFFFF"/>
        </w:rPr>
        <w:t>七、“三公”经费财政拨款预算安排情况说明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科战所2018年“三公”经费财政拨款预算数4.23万元，其中：因公出国（境）经费0万元，公务接待费0.63万元，公务用车运行维护费3.6万元。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（一）公务接待费较2017年预算下降10%。主要原因是接待次数减少。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2018年公务接待费计划用于接待相关专家进行项目咨询。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（二）公务用车运行维护费较2017年预算下降10%。主要原因是减少了车辆维护费用。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单位现有公务用车2辆，其中：轿车（含7座以下商务车、城市越野车）2辆。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2018年安排公务用车运行维护费3.6万元，用于2辆公务用车（燃油、维修、车辆通行）等方面支出，主要保障平日办公、项目调研等工作开展。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方正黑体_GBK" w:hAnsi="方正黑体_GBK" w:eastAsia="方正黑体_GBK" w:cs="方正黑体_GBK"/>
          <w:i w:val="0"/>
          <w:caps w:val="0"/>
          <w:color w:val="auto"/>
          <w:spacing w:val="0"/>
          <w:sz w:val="32"/>
          <w:szCs w:val="32"/>
          <w:shd w:val="clear" w:fill="FFFFFF"/>
        </w:rPr>
      </w:pPr>
      <w:r>
        <w:rPr>
          <w:rFonts w:hint="default" w:ascii="方正黑体_GBK" w:hAnsi="方正黑体_GBK" w:eastAsia="方正黑体_GBK" w:cs="方正黑体_GBK"/>
          <w:i w:val="0"/>
          <w:caps w:val="0"/>
          <w:color w:val="auto"/>
          <w:spacing w:val="0"/>
          <w:sz w:val="32"/>
          <w:szCs w:val="32"/>
          <w:shd w:val="clear" w:fill="FFFFFF"/>
        </w:rPr>
        <w:t>八、政府性基金预算支出情况说明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2018年没有使用政府性基金预算拨款安排的支出。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方正黑体_GBK" w:hAnsi="方正黑体_GBK" w:eastAsia="方正黑体_GBK" w:cs="方正黑体_GBK"/>
          <w:i w:val="0"/>
          <w:caps w:val="0"/>
          <w:color w:val="auto"/>
          <w:spacing w:val="0"/>
          <w:sz w:val="32"/>
          <w:szCs w:val="32"/>
          <w:shd w:val="clear" w:fill="FFFFFF"/>
        </w:rPr>
      </w:pPr>
      <w:r>
        <w:rPr>
          <w:rFonts w:hint="default" w:ascii="方正黑体_GBK" w:hAnsi="方正黑体_GBK" w:eastAsia="方正黑体_GBK" w:cs="方正黑体_GBK"/>
          <w:i w:val="0"/>
          <w:caps w:val="0"/>
          <w:color w:val="auto"/>
          <w:spacing w:val="0"/>
          <w:sz w:val="32"/>
          <w:szCs w:val="32"/>
          <w:shd w:val="clear" w:fill="FFFFFF"/>
        </w:rPr>
        <w:t>九、其他重要事项的情况说明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（一）机关运行经费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无机关运行经费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（二）国有资产占有使用情况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截至2017年底，科战所独立核算单位共有车辆2辆，其中，执法执勤用车0辆。单位价值200万元以上大型设备0台（套）。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（三）绩效目标设置情况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2018年科战所部门通用项目和专用项目均按要求实行绩效目标管理，涉及一般公共预算当年拨款361.58万元。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方正黑体_GBK" w:hAnsi="方正黑体_GBK" w:eastAsia="方正黑体_GBK" w:cs="方正黑体_GBK"/>
          <w:i w:val="0"/>
          <w:caps w:val="0"/>
          <w:color w:val="auto"/>
          <w:spacing w:val="0"/>
          <w:sz w:val="32"/>
          <w:szCs w:val="32"/>
          <w:shd w:val="clear" w:fill="FFFFFF"/>
        </w:rPr>
      </w:pPr>
      <w:r>
        <w:rPr>
          <w:rFonts w:hint="default" w:ascii="方正黑体_GBK" w:hAnsi="方正黑体_GBK" w:eastAsia="方正黑体_GBK" w:cs="方正黑体_GBK"/>
          <w:i w:val="0"/>
          <w:caps w:val="0"/>
          <w:color w:val="auto"/>
          <w:spacing w:val="0"/>
          <w:sz w:val="32"/>
          <w:szCs w:val="32"/>
          <w:shd w:val="clear" w:fill="FFFFFF"/>
        </w:rPr>
        <w:t>十、名词解释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1.干部教育：反映各级党校、行政学院、社会主义学院、国家会计学院的支出。包括机构运转、招聘师资、举办各类培训班的支出等。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sans-serif" w:hAnsi="sans-serif" w:eastAsia="sans-serif" w:cs="sans-serif"/>
          <w:i w:val="0"/>
          <w:caps w:val="0"/>
          <w:color w:val="auto"/>
          <w:spacing w:val="0"/>
          <w:sz w:val="32"/>
          <w:szCs w:val="32"/>
        </w:rPr>
      </w:pPr>
      <w:r>
        <w:rPr>
          <w:rFonts w:hint="default" w:ascii="sans-serif" w:hAnsi="sans-serif" w:eastAsia="sans-serif" w:cs="sans-serif"/>
          <w:i w:val="0"/>
          <w:caps w:val="0"/>
          <w:color w:val="auto"/>
          <w:spacing w:val="0"/>
          <w:sz w:val="32"/>
          <w:szCs w:val="32"/>
          <w:shd w:val="clear" w:fill="FFFFFF"/>
        </w:rPr>
        <w:t>2.机关事业单位基本养老保险缴费支出：反映机关事业单位实施养老保险制度由单位缴纳的基本养老保险费支出。</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黑体_GBK">
    <w:altName w:val="微软雅黑"/>
    <w:panose1 w:val="02000000000000000000"/>
    <w:charset w:val="86"/>
    <w:family w:val="auto"/>
    <w:pitch w:val="default"/>
    <w:sig w:usb0="00000000" w:usb1="00000000" w:usb2="00000000" w:usb3="00000000" w:csb0="00040000" w:csb1="00000000"/>
  </w:font>
  <w:font w:name="sans-serif">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zZjExODZjZTdlNzI5NzkwMDdlYWFhNGUyYjdkODAifQ=="/>
  </w:docVars>
  <w:rsids>
    <w:rsidRoot w:val="00582FE8"/>
    <w:rsid w:val="004C12E0"/>
    <w:rsid w:val="00536BC5"/>
    <w:rsid w:val="00582FE8"/>
    <w:rsid w:val="009239DE"/>
    <w:rsid w:val="009A7579"/>
    <w:rsid w:val="009D7274"/>
    <w:rsid w:val="00A068E0"/>
    <w:rsid w:val="0311030F"/>
    <w:rsid w:val="3D2B2632"/>
    <w:rsid w:val="59EE791A"/>
    <w:rsid w:val="63310878"/>
    <w:rsid w:val="6BB7CC0D"/>
    <w:rsid w:val="6CEE8B5C"/>
    <w:rsid w:val="6F3E3429"/>
    <w:rsid w:val="6FC34C14"/>
    <w:rsid w:val="70FFE2E1"/>
    <w:rsid w:val="CFFE29F3"/>
    <w:rsid w:val="EB6F6E25"/>
    <w:rsid w:val="EBFAB5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4"/>
      <w:szCs w:val="24"/>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semiHidden/>
    <w:unhideWhenUsed/>
    <w:qFormat/>
    <w:uiPriority w:val="99"/>
    <w:pPr>
      <w:tabs>
        <w:tab w:val="center" w:pos="4153"/>
        <w:tab w:val="right" w:pos="8306"/>
      </w:tabs>
      <w:snapToGrid w:val="0"/>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customStyle="1" w:styleId="8">
    <w:name w:val="页眉 Char"/>
    <w:basedOn w:val="7"/>
    <w:link w:val="4"/>
    <w:semiHidden/>
    <w:qFormat/>
    <w:uiPriority w:val="99"/>
    <w:rPr>
      <w:rFonts w:ascii="Times New Roman" w:hAnsi="Times New Roman" w:eastAsia="宋体" w:cs="Times New Roman"/>
      <w:kern w:val="0"/>
      <w:sz w:val="18"/>
      <w:szCs w:val="18"/>
    </w:rPr>
  </w:style>
  <w:style w:type="character" w:customStyle="1" w:styleId="9">
    <w:name w:val="页脚 Char"/>
    <w:basedOn w:val="7"/>
    <w:link w:val="3"/>
    <w:semiHidden/>
    <w:qFormat/>
    <w:uiPriority w:val="99"/>
    <w:rPr>
      <w:rFonts w:ascii="Times New Roman" w:hAnsi="Times New Roman" w:eastAsia="宋体" w:cs="Times New Roman"/>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64</Words>
  <Characters>368</Characters>
  <Lines>3</Lines>
  <Paragraphs>1</Paragraphs>
  <TotalTime>9</TotalTime>
  <ScaleCrop>false</ScaleCrop>
  <LinksUpToDate>false</LinksUpToDate>
  <CharactersWithSpaces>431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2024-01-18T19:08:00Z</dcterms:created>
  <dc:creator>刘桢珍</dc:creator>
  <cp:lastModifiedBy>Administrator</cp:lastModifiedBy>
  <dcterms:modified xsi:type="dcterms:W3CDTF">2024-04-16T07:50:48Z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987F0D83CF524B3E89FD75E4FFFAD0A2_13</vt:lpwstr>
  </property>
</Properties>
</file>