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oter1.xml" ContentType="application/vnd.openxmlformats-officedocument.wordprocessingml.footer+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kinsoku/>
        <w:wordWrap/>
        <w:overflowPunct/>
        <w:topLinePunct w:val="0"/>
        <w:autoSpaceDE/>
        <w:autoSpaceDN/>
        <w:bidi w:val="0"/>
        <w:spacing w:line="560" w:lineRule="exact"/>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攀枝花市</w:t>
      </w:r>
      <w:r>
        <w:rPr>
          <w:rFonts w:hint="eastAsia" w:ascii="Times New Roman" w:hAnsi="Times New Roman" w:eastAsia="方正小标宋_GBK" w:cs="Times New Roman"/>
          <w:sz w:val="44"/>
          <w:szCs w:val="44"/>
        </w:rPr>
        <w:t>残疾人康复教育中心</w:t>
      </w:r>
    </w:p>
    <w:p>
      <w:pPr>
        <w:keepNext w:val="0"/>
        <w:keepLines w:val="0"/>
        <w:pageBreakBefore w:val="0"/>
        <w:kinsoku/>
        <w:wordWrap/>
        <w:overflowPunct/>
        <w:topLinePunct w:val="0"/>
        <w:autoSpaceDE/>
        <w:autoSpaceDN/>
        <w:bidi w:val="0"/>
        <w:spacing w:line="560" w:lineRule="exact"/>
        <w:jc w:val="center"/>
        <w:textAlignment w:val="auto"/>
        <w:rPr>
          <w:rFonts w:ascii="Times New Roman" w:hAnsi="Times New Roman" w:eastAsia="方正小标宋_GBK" w:cs="Times New Roman"/>
          <w:sz w:val="44"/>
          <w:szCs w:val="44"/>
        </w:rPr>
      </w:pPr>
      <w:r>
        <w:rPr>
          <w:rFonts w:ascii="Times New Roman" w:hAnsi="Times New Roman" w:eastAsia="方正小标宋_GBK" w:cs="Times New Roman"/>
          <w:sz w:val="44"/>
          <w:szCs w:val="44"/>
        </w:rPr>
        <w:t>202</w:t>
      </w:r>
      <w:r>
        <w:rPr>
          <w:rFonts w:hint="eastAsia" w:ascii="Times New Roman" w:hAnsi="Times New Roman" w:eastAsia="方正小标宋_GBK" w:cs="Times New Roman"/>
          <w:sz w:val="44"/>
          <w:szCs w:val="44"/>
        </w:rPr>
        <w:t>1</w:t>
      </w:r>
      <w:r>
        <w:rPr>
          <w:rFonts w:ascii="Times New Roman" w:hAnsi="Times New Roman" w:eastAsia="方正小标宋_GBK" w:cs="Times New Roman"/>
          <w:sz w:val="44"/>
          <w:szCs w:val="44"/>
        </w:rPr>
        <w:t>年部门预算编制说明</w:t>
      </w:r>
    </w:p>
    <w:p>
      <w:pPr>
        <w:pStyle w:val="2"/>
      </w:pPr>
    </w:p>
    <w:p>
      <w:pPr>
        <w:widowControl/>
        <w:jc w:val="center"/>
        <w:rPr>
          <w:rFonts w:eastAsia="黑体"/>
          <w:sz w:val="48"/>
          <w:szCs w:val="48"/>
        </w:rPr>
      </w:pPr>
      <w:r>
        <w:rPr>
          <w:rFonts w:eastAsia="黑体"/>
          <w:sz w:val="48"/>
          <w:szCs w:val="48"/>
        </w:rPr>
        <w:t>目录</w:t>
      </w:r>
    </w:p>
    <w:p>
      <w:pPr>
        <w:widowControl/>
        <w:jc w:val="center"/>
        <w:rPr>
          <w:rFonts w:eastAsia="黑体"/>
          <w:sz w:val="28"/>
          <w:szCs w:val="28"/>
        </w:rPr>
      </w:pPr>
      <w:r>
        <w:rPr>
          <w:rFonts w:eastAsia="黑体"/>
          <w:sz w:val="48"/>
          <w:szCs w:val="48"/>
        </w:rPr>
        <w:fldChar w:fldCharType="begin"/>
      </w:r>
      <w:r>
        <w:rPr>
          <w:rFonts w:eastAsia="黑体"/>
          <w:sz w:val="48"/>
          <w:szCs w:val="48"/>
        </w:rPr>
        <w:instrText xml:space="preserve"> TOC \o "1-2" \h \z \u </w:instrText>
      </w:r>
      <w:r>
        <w:rPr>
          <w:rFonts w:eastAsia="黑体"/>
          <w:sz w:val="48"/>
          <w:szCs w:val="48"/>
        </w:rPr>
        <w:fldChar w:fldCharType="separate"/>
      </w:r>
    </w:p>
    <w:p>
      <w:pPr>
        <w:pStyle w:val="5"/>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公开时间：202</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18</w:t>
      </w:r>
      <w:r>
        <w:rPr>
          <w:rFonts w:hint="eastAsia" w:ascii="仿宋_GB2312" w:hAnsi="仿宋_GB2312" w:eastAsia="仿宋_GB2312" w:cs="仿宋_GB2312"/>
          <w:sz w:val="32"/>
          <w:szCs w:val="32"/>
        </w:rPr>
        <w:t>日</w:t>
      </w:r>
    </w:p>
    <w:p>
      <w:pPr>
        <w:pStyle w:val="5"/>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"_Toc15396600"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rPr>
        <w:t>一、基本职能及主要工作</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fldChar w:fldCharType="end"/>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"_Toc15396601"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rPr>
        <w:t>二、</w:t>
      </w:r>
      <w:r>
        <w:rPr>
          <w:rStyle w:val="9"/>
          <w:rFonts w:hint="eastAsia" w:ascii="仿宋_GB2312" w:hAnsi="仿宋_GB2312" w:eastAsia="仿宋_GB2312" w:cs="仿宋_GB2312"/>
          <w:color w:val="auto"/>
          <w:sz w:val="32"/>
          <w:szCs w:val="32"/>
          <w:lang w:val="en-US" w:eastAsia="zh-CN"/>
        </w:rPr>
        <w:t>单位构成情况</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fldChar w:fldCharType="end"/>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"_Toc15396603"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三</w:t>
      </w:r>
      <w:r>
        <w:rPr>
          <w:rStyle w:val="9"/>
          <w:rFonts w:hint="eastAsia" w:ascii="仿宋_GB2312" w:hAnsi="仿宋_GB2312" w:eastAsia="仿宋_GB2312" w:cs="仿宋_GB2312"/>
          <w:bCs/>
          <w:color w:val="auto"/>
          <w:sz w:val="32"/>
          <w:szCs w:val="32"/>
        </w:rPr>
        <w:t>、</w:t>
      </w:r>
      <w:r>
        <w:rPr>
          <w:rStyle w:val="9"/>
          <w:rFonts w:hint="eastAsia" w:ascii="仿宋_GB2312" w:hAnsi="仿宋_GB2312" w:eastAsia="仿宋_GB2312" w:cs="仿宋_GB2312"/>
          <w:color w:val="auto"/>
          <w:sz w:val="32"/>
          <w:szCs w:val="32"/>
          <w:lang w:val="en-US" w:eastAsia="zh-CN"/>
        </w:rPr>
        <w:t>收支预算</w:t>
      </w:r>
      <w:r>
        <w:rPr>
          <w:rStyle w:val="9"/>
          <w:rFonts w:hint="eastAsia" w:ascii="仿宋_GB2312" w:hAnsi="仿宋_GB2312" w:eastAsia="仿宋_GB2312" w:cs="仿宋_GB2312"/>
          <w:bCs/>
          <w:color w:val="auto"/>
          <w:sz w:val="32"/>
          <w:szCs w:val="32"/>
        </w:rPr>
        <w:t>情况说明</w:t>
      </w:r>
      <w:r>
        <w:rPr>
          <w:rFonts w:hint="eastAsia" w:ascii="仿宋_GB2312" w:hAnsi="仿宋_GB2312" w:eastAsia="仿宋_GB2312" w:cs="仿宋_GB2312"/>
          <w:sz w:val="32"/>
          <w:szCs w:val="32"/>
        </w:rPr>
        <w:tab/>
      </w:r>
      <w:r>
        <w:rPr>
          <w:rFonts w:hint="eastAsia" w:ascii="仿宋_GB2312" w:hAnsi="仿宋_GB2312" w:cs="仿宋_GB2312"/>
          <w:sz w:val="32"/>
          <w:szCs w:val="32"/>
          <w:lang w:val="en-US" w:eastAsia="zh-CN"/>
        </w:rPr>
        <w:t>2</w:t>
      </w:r>
      <w:r>
        <w:rPr>
          <w:rFonts w:hint="eastAsia" w:ascii="仿宋_GB2312" w:hAnsi="仿宋_GB2312" w:eastAsia="仿宋_GB2312" w:cs="仿宋_GB2312"/>
          <w:sz w:val="32"/>
          <w:szCs w:val="32"/>
        </w:rPr>
        <w:fldChar w:fldCharType="end"/>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"_Toc15396606"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rPr>
        <w:t>四、财</w:t>
      </w:r>
      <w:r>
        <w:rPr>
          <w:rStyle w:val="9"/>
          <w:rFonts w:hint="eastAsia" w:ascii="仿宋_GB2312" w:hAnsi="仿宋_GB2312" w:eastAsia="仿宋_GB2312" w:cs="仿宋_GB2312"/>
          <w:bCs/>
          <w:color w:val="auto"/>
          <w:sz w:val="32"/>
          <w:szCs w:val="32"/>
        </w:rPr>
        <w:t>政拨款</w:t>
      </w:r>
      <w:r>
        <w:rPr>
          <w:rStyle w:val="9"/>
          <w:rFonts w:hint="eastAsia" w:ascii="仿宋_GB2312" w:hAnsi="仿宋_GB2312" w:eastAsia="仿宋_GB2312" w:cs="仿宋_GB2312"/>
          <w:bCs/>
          <w:color w:val="auto"/>
          <w:sz w:val="32"/>
          <w:szCs w:val="32"/>
          <w:lang w:val="en-US" w:eastAsia="zh-CN"/>
        </w:rPr>
        <w:t>收支预算</w:t>
      </w:r>
      <w:r>
        <w:rPr>
          <w:rStyle w:val="9"/>
          <w:rFonts w:hint="eastAsia" w:ascii="仿宋_GB2312" w:hAnsi="仿宋_GB2312" w:eastAsia="仿宋_GB2312" w:cs="仿宋_GB2312"/>
          <w:bCs/>
          <w:color w:val="auto"/>
          <w:sz w:val="32"/>
          <w:szCs w:val="32"/>
        </w:rPr>
        <w:t>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3</w:t>
      </w:r>
      <w:r>
        <w:rPr>
          <w:rFonts w:hint="eastAsia" w:ascii="仿宋_GB2312" w:hAnsi="仿宋_GB2312" w:eastAsia="仿宋_GB2312" w:cs="仿宋_GB2312"/>
          <w:sz w:val="32"/>
          <w:szCs w:val="32"/>
        </w:rPr>
        <w:fldChar w:fldCharType="end"/>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"_Toc15396607"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rPr>
        <w:t>五、一</w:t>
      </w:r>
      <w:r>
        <w:rPr>
          <w:rStyle w:val="9"/>
          <w:rFonts w:hint="eastAsia" w:ascii="仿宋_GB2312" w:hAnsi="仿宋_GB2312" w:eastAsia="仿宋_GB2312" w:cs="仿宋_GB2312"/>
          <w:bCs/>
          <w:color w:val="auto"/>
          <w:sz w:val="32"/>
          <w:szCs w:val="32"/>
        </w:rPr>
        <w:t>般公共预算</w:t>
      </w:r>
      <w:r>
        <w:rPr>
          <w:rStyle w:val="9"/>
          <w:rFonts w:hint="eastAsia" w:ascii="仿宋_GB2312" w:hAnsi="仿宋_GB2312" w:eastAsia="仿宋_GB2312" w:cs="仿宋_GB2312"/>
          <w:bCs/>
          <w:color w:val="auto"/>
          <w:sz w:val="32"/>
          <w:szCs w:val="32"/>
          <w:lang w:val="en-US" w:eastAsia="zh-CN"/>
        </w:rPr>
        <w:t>当年拨款</w:t>
      </w:r>
      <w:r>
        <w:rPr>
          <w:rStyle w:val="9"/>
          <w:rFonts w:hint="eastAsia" w:ascii="仿宋_GB2312" w:hAnsi="仿宋_GB2312" w:eastAsia="仿宋_GB2312" w:cs="仿宋_GB2312"/>
          <w:bCs/>
          <w:color w:val="auto"/>
          <w:sz w:val="32"/>
          <w:szCs w:val="32"/>
        </w:rPr>
        <w:t>情况说明</w:t>
      </w:r>
      <w:r>
        <w:rPr>
          <w:rFonts w:hint="eastAsia" w:ascii="仿宋_GB2312" w:hAnsi="仿宋_GB2312" w:eastAsia="仿宋_GB2312" w:cs="仿宋_GB2312"/>
          <w:sz w:val="32"/>
          <w:szCs w:val="32"/>
        </w:rPr>
        <w:tab/>
      </w:r>
      <w:r>
        <w:rPr>
          <w:rFonts w:hint="eastAsia" w:ascii="仿宋_GB2312" w:hAnsi="仿宋_GB2312" w:cs="仿宋_GB2312"/>
          <w:sz w:val="32"/>
          <w:szCs w:val="32"/>
          <w:lang w:val="en-US" w:eastAsia="zh-CN"/>
        </w:rPr>
        <w:t>3</w:t>
      </w:r>
      <w:r>
        <w:rPr>
          <w:rFonts w:hint="eastAsia" w:ascii="仿宋_GB2312" w:hAnsi="仿宋_GB2312" w:eastAsia="仿宋_GB2312" w:cs="仿宋_GB2312"/>
          <w:sz w:val="32"/>
          <w:szCs w:val="32"/>
        </w:rPr>
        <w:fldChar w:fldCharType="end"/>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"_Toc15396608"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rPr>
        <w:t>六、一</w:t>
      </w:r>
      <w:r>
        <w:rPr>
          <w:rStyle w:val="9"/>
          <w:rFonts w:hint="eastAsia" w:ascii="仿宋_GB2312" w:hAnsi="仿宋_GB2312" w:eastAsia="仿宋_GB2312" w:cs="仿宋_GB2312"/>
          <w:bCs/>
          <w:color w:val="auto"/>
          <w:sz w:val="32"/>
          <w:szCs w:val="32"/>
        </w:rPr>
        <w:t>般公共预算基本支出情况说明</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5</w:t>
      </w:r>
      <w:r>
        <w:rPr>
          <w:rFonts w:hint="eastAsia" w:ascii="仿宋_GB2312" w:hAnsi="仿宋_GB2312" w:eastAsia="仿宋_GB2312" w:cs="仿宋_GB2312"/>
          <w:sz w:val="32"/>
          <w:szCs w:val="32"/>
        </w:rPr>
        <w:fldChar w:fldCharType="end"/>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"_Toc15396609"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rPr>
        <w:t>七、“</w:t>
      </w:r>
      <w:r>
        <w:rPr>
          <w:rStyle w:val="9"/>
          <w:rFonts w:hint="eastAsia" w:ascii="仿宋_GB2312" w:hAnsi="仿宋_GB2312" w:eastAsia="仿宋_GB2312" w:cs="仿宋_GB2312"/>
          <w:bCs/>
          <w:color w:val="auto"/>
          <w:sz w:val="32"/>
          <w:szCs w:val="32"/>
        </w:rPr>
        <w:t>三公”经费财政拨款</w:t>
      </w:r>
      <w:r>
        <w:rPr>
          <w:rStyle w:val="9"/>
          <w:rFonts w:hint="eastAsia" w:ascii="仿宋_GB2312" w:hAnsi="仿宋_GB2312" w:eastAsia="仿宋_GB2312" w:cs="仿宋_GB2312"/>
          <w:bCs/>
          <w:color w:val="auto"/>
          <w:sz w:val="32"/>
          <w:szCs w:val="32"/>
          <w:lang w:val="en-US" w:eastAsia="zh-CN"/>
        </w:rPr>
        <w:t>预算安排</w:t>
      </w:r>
      <w:r>
        <w:rPr>
          <w:rStyle w:val="9"/>
          <w:rFonts w:hint="eastAsia" w:ascii="仿宋_GB2312" w:hAnsi="仿宋_GB2312" w:eastAsia="仿宋_GB2312" w:cs="仿宋_GB2312"/>
          <w:bCs/>
          <w:color w:val="auto"/>
          <w:sz w:val="32"/>
          <w:szCs w:val="32"/>
        </w:rPr>
        <w:t>情况说明</w:t>
      </w:r>
      <w:r>
        <w:rPr>
          <w:rFonts w:hint="eastAsia" w:ascii="仿宋_GB2312" w:hAnsi="仿宋_GB2312" w:eastAsia="仿宋_GB2312" w:cs="仿宋_GB2312"/>
          <w:sz w:val="32"/>
          <w:szCs w:val="32"/>
        </w:rPr>
        <w:tab/>
      </w:r>
      <w:r>
        <w:rPr>
          <w:rFonts w:hint="eastAsia" w:ascii="仿宋_GB2312" w:hAnsi="仿宋_GB2312" w:cs="仿宋_GB2312"/>
          <w:sz w:val="32"/>
          <w:szCs w:val="32"/>
          <w:lang w:val="en-US" w:eastAsia="zh-CN"/>
        </w:rPr>
        <w:t>5</w:t>
      </w:r>
      <w:r>
        <w:rPr>
          <w:rFonts w:hint="eastAsia" w:ascii="仿宋_GB2312" w:hAnsi="仿宋_GB2312" w:eastAsia="仿宋_GB2312" w:cs="仿宋_GB2312"/>
          <w:sz w:val="32"/>
          <w:szCs w:val="32"/>
        </w:rPr>
        <w:fldChar w:fldCharType="end"/>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"_Toc15396610"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rPr>
        <w:t>八、</w:t>
      </w:r>
      <w:r>
        <w:rPr>
          <w:rStyle w:val="9"/>
          <w:rFonts w:hint="eastAsia" w:ascii="仿宋_GB2312" w:hAnsi="仿宋_GB2312" w:eastAsia="仿宋_GB2312" w:cs="仿宋_GB2312"/>
          <w:bCs/>
          <w:color w:val="auto"/>
          <w:sz w:val="32"/>
          <w:szCs w:val="32"/>
        </w:rPr>
        <w:t>政府性基金预算支出情况说明</w:t>
      </w:r>
      <w:r>
        <w:rPr>
          <w:rFonts w:hint="eastAsia" w:ascii="仿宋_GB2312" w:hAnsi="仿宋_GB2312" w:eastAsia="仿宋_GB2312" w:cs="仿宋_GB2312"/>
          <w:sz w:val="32"/>
          <w:szCs w:val="32"/>
        </w:rPr>
        <w:tab/>
      </w:r>
      <w:r>
        <w:rPr>
          <w:rFonts w:hint="eastAsia" w:ascii="仿宋_GB2312" w:hAnsi="仿宋_GB2312" w:cs="仿宋_GB2312"/>
          <w:sz w:val="32"/>
          <w:szCs w:val="32"/>
          <w:lang w:val="en-US" w:eastAsia="zh-CN"/>
        </w:rPr>
        <w:t>6</w:t>
      </w:r>
      <w:r>
        <w:rPr>
          <w:rFonts w:hint="eastAsia" w:ascii="仿宋_GB2312" w:hAnsi="仿宋_GB2312" w:eastAsia="仿宋_GB2312" w:cs="仿宋_GB2312"/>
          <w:sz w:val="32"/>
          <w:szCs w:val="32"/>
        </w:rPr>
        <w:fldChar w:fldCharType="end"/>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"_Toc15396611"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bCs/>
          <w:color w:val="auto"/>
          <w:sz w:val="32"/>
          <w:szCs w:val="32"/>
        </w:rPr>
        <w:t>九、</w:t>
      </w:r>
      <w:r>
        <w:rPr>
          <w:rStyle w:val="9"/>
          <w:rFonts w:hint="eastAsia" w:ascii="仿宋_GB2312" w:hAnsi="仿宋_GB2312" w:eastAsia="仿宋_GB2312" w:cs="仿宋_GB2312"/>
          <w:color w:val="auto"/>
          <w:sz w:val="32"/>
          <w:szCs w:val="32"/>
          <w:lang w:val="en-US" w:eastAsia="zh-CN"/>
        </w:rPr>
        <w:t>其他重要事项的</w:t>
      </w:r>
      <w:r>
        <w:rPr>
          <w:rStyle w:val="9"/>
          <w:rFonts w:hint="eastAsia" w:ascii="仿宋_GB2312" w:hAnsi="仿宋_GB2312" w:eastAsia="仿宋_GB2312" w:cs="仿宋_GB2312"/>
          <w:bCs/>
          <w:color w:val="auto"/>
          <w:sz w:val="32"/>
          <w:szCs w:val="32"/>
        </w:rPr>
        <w:t>情况说明</w:t>
      </w:r>
      <w:r>
        <w:rPr>
          <w:rFonts w:hint="eastAsia" w:ascii="仿宋_GB2312" w:hAnsi="仿宋_GB2312" w:eastAsia="仿宋_GB2312" w:cs="仿宋_GB2312"/>
          <w:sz w:val="32"/>
          <w:szCs w:val="32"/>
        </w:rPr>
        <w:tab/>
      </w:r>
      <w:r>
        <w:rPr>
          <w:rFonts w:hint="eastAsia" w:ascii="仿宋_GB2312" w:hAnsi="仿宋_GB2312" w:cs="仿宋_GB2312"/>
          <w:sz w:val="32"/>
          <w:szCs w:val="32"/>
          <w:lang w:val="en-US" w:eastAsia="zh-CN"/>
        </w:rPr>
        <w:t>7</w:t>
      </w:r>
      <w:r>
        <w:rPr>
          <w:rFonts w:hint="eastAsia" w:ascii="仿宋_GB2312" w:hAnsi="仿宋_GB2312" w:eastAsia="仿宋_GB2312" w:cs="仿宋_GB2312"/>
          <w:sz w:val="32"/>
          <w:szCs w:val="32"/>
        </w:rPr>
        <w:fldChar w:fldCharType="end"/>
      </w:r>
    </w:p>
    <w:p>
      <w:pPr>
        <w:pStyle w:val="6"/>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"_Toc15396612" </w:instrText>
      </w:r>
      <w:r>
        <w:rPr>
          <w:rFonts w:hint="eastAsia" w:ascii="仿宋_GB2312" w:hAnsi="仿宋_GB2312" w:eastAsia="仿宋_GB2312" w:cs="仿宋_GB2312"/>
          <w:sz w:val="32"/>
          <w:szCs w:val="32"/>
        </w:rPr>
        <w:fldChar w:fldCharType="separate"/>
      </w:r>
      <w:r>
        <w:rPr>
          <w:rStyle w:val="9"/>
          <w:rFonts w:hint="eastAsia" w:ascii="仿宋_GB2312" w:hAnsi="仿宋_GB2312" w:eastAsia="仿宋_GB2312" w:cs="仿宋_GB2312"/>
          <w:color w:val="auto"/>
          <w:sz w:val="32"/>
          <w:szCs w:val="32"/>
        </w:rPr>
        <w:t>十</w:t>
      </w:r>
      <w:r>
        <w:rPr>
          <w:rStyle w:val="9"/>
          <w:rFonts w:hint="eastAsia" w:ascii="仿宋_GB2312" w:hAnsi="仿宋_GB2312" w:eastAsia="仿宋_GB2312" w:cs="仿宋_GB2312"/>
          <w:bCs/>
          <w:color w:val="auto"/>
          <w:sz w:val="32"/>
          <w:szCs w:val="32"/>
        </w:rPr>
        <w:t>、</w:t>
      </w:r>
      <w:r>
        <w:rPr>
          <w:rStyle w:val="9"/>
          <w:rFonts w:hint="eastAsia" w:ascii="仿宋_GB2312" w:hAnsi="仿宋_GB2312" w:eastAsia="仿宋_GB2312" w:cs="仿宋_GB2312"/>
          <w:bCs/>
          <w:color w:val="auto"/>
          <w:sz w:val="32"/>
          <w:szCs w:val="32"/>
          <w:lang w:val="en-US" w:eastAsia="zh-CN"/>
        </w:rPr>
        <w:t>名词解释</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lang w:val="en-US" w:eastAsia="zh-CN"/>
        </w:rPr>
        <w:t>7</w:t>
      </w:r>
      <w:r>
        <w:rPr>
          <w:rFonts w:hint="eastAsia" w:ascii="仿宋_GB2312" w:hAnsi="仿宋_GB2312" w:eastAsia="仿宋_GB2312" w:cs="仿宋_GB2312"/>
          <w:sz w:val="32"/>
          <w:szCs w:val="32"/>
        </w:rPr>
        <w:fldChar w:fldCharType="end"/>
      </w:r>
    </w:p>
    <w:p>
      <w:pPr>
        <w:pStyle w:val="5"/>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rPr>
        <w:fldChar w:fldCharType="begin"/>
      </w:r>
      <w:r>
        <w:rPr>
          <w:rFonts w:hint="eastAsia" w:ascii="仿宋_GB2312" w:hAnsi="仿宋_GB2312" w:eastAsia="仿宋_GB2312" w:cs="仿宋_GB2312"/>
          <w:sz w:val="32"/>
          <w:szCs w:val="32"/>
        </w:rPr>
        <w:instrText xml:space="preserve"> HYPERLINK \l "_Toc15396618" </w:instrText>
      </w:r>
      <w:r>
        <w:rPr>
          <w:rFonts w:hint="eastAsia" w:ascii="仿宋_GB2312" w:hAnsi="仿宋_GB2312" w:eastAsia="仿宋_GB2312" w:cs="仿宋_GB2312"/>
          <w:sz w:val="32"/>
          <w:szCs w:val="32"/>
        </w:rPr>
        <w:fldChar w:fldCharType="separate"/>
      </w:r>
      <w:r>
        <w:rPr>
          <w:rFonts w:hint="eastAsia" w:ascii="仿宋_GB2312" w:hAnsi="仿宋_GB2312" w:eastAsia="仿宋_GB2312" w:cs="仿宋_GB2312"/>
          <w:sz w:val="32"/>
          <w:szCs w:val="32"/>
          <w:lang w:val="en-US" w:eastAsia="zh-CN"/>
        </w:rPr>
        <w:t xml:space="preserve">   </w:t>
      </w:r>
      <w:r>
        <w:rPr>
          <w:rStyle w:val="9"/>
          <w:rFonts w:hint="eastAsia" w:ascii="仿宋_GB2312" w:hAnsi="仿宋_GB2312" w:eastAsia="仿宋_GB2312" w:cs="仿宋_GB2312"/>
          <w:bCs/>
          <w:color w:val="auto"/>
          <w:kern w:val="44"/>
          <w:sz w:val="32"/>
          <w:szCs w:val="32"/>
        </w:rPr>
        <w:t>附</w:t>
      </w:r>
      <w:r>
        <w:rPr>
          <w:rStyle w:val="9"/>
          <w:rFonts w:hint="eastAsia" w:ascii="仿宋_GB2312" w:hAnsi="仿宋_GB2312" w:eastAsia="仿宋_GB2312" w:cs="仿宋_GB2312"/>
          <w:bCs/>
          <w:color w:val="auto"/>
          <w:kern w:val="44"/>
          <w:sz w:val="32"/>
          <w:szCs w:val="32"/>
          <w:lang w:val="en-US" w:eastAsia="zh-CN"/>
        </w:rPr>
        <w:t>表</w:t>
      </w:r>
      <w:r>
        <w:rPr>
          <w:rFonts w:hint="eastAsia" w:ascii="仿宋_GB2312" w:hAnsi="仿宋_GB2312" w:eastAsia="仿宋_GB2312" w:cs="仿宋_GB2312"/>
          <w:sz w:val="32"/>
          <w:szCs w:val="32"/>
        </w:rPr>
        <w:tab/>
      </w:r>
      <w:r>
        <w:rPr>
          <w:rFonts w:hint="eastAsia" w:ascii="仿宋_GB2312" w:hAnsi="仿宋_GB2312" w:eastAsia="仿宋_GB2312" w:cs="仿宋_GB2312"/>
          <w:sz w:val="32"/>
          <w:szCs w:val="32"/>
        </w:rPr>
        <w:fldChar w:fldCharType="end"/>
      </w:r>
      <w:r>
        <w:rPr>
          <w:rFonts w:hint="eastAsia" w:ascii="仿宋_GB2312" w:hAnsi="仿宋_GB2312" w:eastAsia="仿宋_GB2312" w:cs="仿宋_GB2312"/>
          <w:kern w:val="2"/>
          <w:sz w:val="32"/>
          <w:szCs w:val="32"/>
          <w:lang w:val="en-US" w:eastAsia="zh-CN" w:bidi="ar-SA"/>
        </w:rPr>
        <w:t>8</w:t>
      </w:r>
    </w:p>
    <w:p>
      <w:pPr>
        <w:keepNext w:val="0"/>
        <w:keepLines w:val="0"/>
        <w:pageBreakBefore w:val="0"/>
        <w:kinsoku/>
        <w:wordWrap/>
        <w:overflowPunct/>
        <w:topLinePunct w:val="0"/>
        <w:autoSpaceDE/>
        <w:autoSpaceDN/>
        <w:bidi w:val="0"/>
        <w:spacing w:line="560" w:lineRule="exact"/>
        <w:jc w:val="center"/>
        <w:textAlignment w:val="auto"/>
        <w:rPr>
          <w:rFonts w:ascii="Times New Roman" w:hAnsi="Times New Roman" w:cs="Times New Roman"/>
        </w:rPr>
      </w:pPr>
      <w:r>
        <w:rPr>
          <w:rFonts w:eastAsia="仿宋"/>
          <w:sz w:val="24"/>
        </w:rPr>
        <w:fldChar w:fldCharType="end"/>
      </w:r>
    </w:p>
    <w:p>
      <w:pPr>
        <w:pStyle w:val="2"/>
      </w:pPr>
    </w:p>
    <w:p>
      <w:pPr>
        <w:pStyle w:val="2"/>
      </w:pPr>
    </w:p>
    <w:p>
      <w:pPr>
        <w:keepNext w:val="0"/>
        <w:keepLines w:val="0"/>
        <w:pageBreakBefore w:val="0"/>
        <w:kinsoku/>
        <w:wordWrap/>
        <w:overflowPunct/>
        <w:topLinePunct w:val="0"/>
        <w:autoSpaceDE/>
        <w:autoSpaceDN/>
        <w:bidi w:val="0"/>
        <w:spacing w:line="540" w:lineRule="exact"/>
        <w:textAlignment w:val="auto"/>
        <w:rPr>
          <w:rFonts w:ascii="Times New Roman" w:hAnsi="Times New Roman" w:eastAsia="黑体" w:cs="Times New Roman"/>
          <w:sz w:val="32"/>
          <w:szCs w:val="32"/>
        </w:rPr>
      </w:pPr>
      <w:r>
        <w:rPr>
          <w:rFonts w:ascii="Times New Roman" w:hAnsi="Times New Roman" w:eastAsia="仿宋_GB2312" w:cs="Times New Roman"/>
          <w:sz w:val="32"/>
          <w:szCs w:val="32"/>
        </w:rPr>
        <w:t xml:space="preserve">    </w:t>
      </w:r>
      <w:r>
        <w:rPr>
          <w:rFonts w:ascii="Times New Roman" w:hAnsi="Times New Roman" w:eastAsia="黑体" w:cs="Times New Roman"/>
          <w:sz w:val="32"/>
          <w:szCs w:val="32"/>
        </w:rPr>
        <w:t>一、基本职能及主要工作</w:t>
      </w:r>
    </w:p>
    <w:p>
      <w:pPr>
        <w:pStyle w:val="2"/>
        <w:keepNext w:val="0"/>
        <w:keepLines w:val="0"/>
        <w:pageBreakBefore w:val="0"/>
        <w:kinsoku/>
        <w:wordWrap/>
        <w:overflowPunct/>
        <w:topLinePunct w:val="0"/>
        <w:autoSpaceDE/>
        <w:autoSpaceDN/>
        <w:bidi w:val="0"/>
        <w:adjustRightInd w:val="0"/>
        <w:spacing w:before="130" w:beforeLines="0" w:line="540" w:lineRule="exact"/>
        <w:ind w:firstLine="672" w:firstLineChars="210"/>
        <w:textAlignment w:val="auto"/>
        <w:rPr>
          <w:bCs/>
          <w:sz w:val="32"/>
          <w:u w:val="single"/>
        </w:rPr>
      </w:pPr>
      <w:r>
        <w:rPr>
          <w:rFonts w:hint="eastAsia" w:ascii="楷体_GB2312" w:eastAsia="楷体_GB2312"/>
          <w:b/>
          <w:sz w:val="32"/>
        </w:rPr>
        <w:t>（一）攀枝花市残疾人康复教育中心职能简介。</w:t>
      </w:r>
    </w:p>
    <w:p>
      <w:pPr>
        <w:keepNext w:val="0"/>
        <w:keepLines w:val="0"/>
        <w:pageBreakBefore w:val="0"/>
        <w:kinsoku/>
        <w:wordWrap/>
        <w:overflowPunct/>
        <w:topLinePunct w:val="0"/>
        <w:autoSpaceDE/>
        <w:autoSpaceDN/>
        <w:bidi w:val="0"/>
        <w:snapToGrid w:val="0"/>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攀枝花市残疾人康复教育中心工作职责任务是为残疾人提供各类专业康复培训、评估及指导残疾人用品用具的使用等服务工作。</w:t>
      </w:r>
    </w:p>
    <w:p>
      <w:pPr>
        <w:pStyle w:val="2"/>
        <w:keepNext w:val="0"/>
        <w:keepLines w:val="0"/>
        <w:pageBreakBefore w:val="0"/>
        <w:kinsoku/>
        <w:wordWrap/>
        <w:overflowPunct/>
        <w:topLinePunct w:val="0"/>
        <w:autoSpaceDE/>
        <w:autoSpaceDN/>
        <w:bidi w:val="0"/>
        <w:adjustRightInd w:val="0"/>
        <w:spacing w:before="130" w:beforeLines="0" w:line="540" w:lineRule="exact"/>
        <w:ind w:firstLine="672" w:firstLineChars="210"/>
        <w:textAlignment w:val="auto"/>
        <w:rPr>
          <w:rFonts w:ascii="楷体_GB2312" w:eastAsia="楷体_GB2312"/>
          <w:b/>
          <w:sz w:val="32"/>
        </w:rPr>
      </w:pPr>
      <w:r>
        <w:rPr>
          <w:rFonts w:ascii="楷体_GB2312" w:eastAsia="楷体_GB2312"/>
          <w:b/>
          <w:sz w:val="32"/>
        </w:rPr>
        <w:t>（二）</w:t>
      </w:r>
      <w:r>
        <w:rPr>
          <w:rFonts w:hint="eastAsia" w:ascii="楷体_GB2312" w:eastAsia="楷体_GB2312"/>
          <w:b/>
          <w:sz w:val="32"/>
        </w:rPr>
        <w:t>攀枝花市残疾人康复教育中心2021年重点工作。</w:t>
      </w:r>
    </w:p>
    <w:p>
      <w:pPr>
        <w:keepNext w:val="0"/>
        <w:keepLines w:val="0"/>
        <w:pageBreakBefore w:val="0"/>
        <w:widowControl/>
        <w:shd w:val="clear" w:color="auto" w:fill="FFFFFF"/>
        <w:kinsoku/>
        <w:wordWrap/>
        <w:overflowPunct/>
        <w:topLinePunct w:val="0"/>
        <w:autoSpaceDE/>
        <w:autoSpaceDN/>
        <w:bidi w:val="0"/>
        <w:spacing w:line="540" w:lineRule="exact"/>
        <w:ind w:firstLine="675" w:firstLineChars="211"/>
        <w:textAlignment w:val="auto"/>
        <w:rPr>
          <w:rStyle w:val="11"/>
          <w:rFonts w:ascii="仿宋_GB2312" w:hAnsi="楷体" w:eastAsia="仿宋_GB2312" w:cs="仿宋_GB2312"/>
          <w:sz w:val="32"/>
          <w:shd w:val="clear" w:color="auto" w:fill="FFFFFF"/>
          <w:lang w:bidi="ar"/>
        </w:rPr>
      </w:pPr>
      <w:r>
        <w:rPr>
          <w:rStyle w:val="11"/>
          <w:rFonts w:hint="eastAsia" w:ascii="仿宋_GB2312" w:hAnsi="楷体" w:eastAsia="仿宋_GB2312" w:cs="仿宋_GB2312"/>
          <w:sz w:val="32"/>
          <w:shd w:val="clear" w:color="auto" w:fill="FFFFFF"/>
          <w:lang w:bidi="ar"/>
        </w:rPr>
        <w:t>1.新建康复中心运行工作。一是2021年春季市特殊教育学校入驻开展0-12岁残疾儿童康复、教育工作后，中心将做好指导、监督、评估工作；二是做好引进辅具适配机构工作。</w:t>
      </w:r>
    </w:p>
    <w:p>
      <w:pPr>
        <w:keepNext w:val="0"/>
        <w:keepLines w:val="0"/>
        <w:pageBreakBefore w:val="0"/>
        <w:widowControl/>
        <w:shd w:val="clear" w:color="auto" w:fill="FFFFFF"/>
        <w:kinsoku/>
        <w:wordWrap/>
        <w:overflowPunct/>
        <w:topLinePunct w:val="0"/>
        <w:autoSpaceDE/>
        <w:autoSpaceDN/>
        <w:bidi w:val="0"/>
        <w:spacing w:line="540" w:lineRule="exact"/>
        <w:ind w:firstLine="675" w:firstLineChars="211"/>
        <w:textAlignment w:val="auto"/>
        <w:rPr>
          <w:rStyle w:val="11"/>
          <w:rFonts w:ascii="仿宋_GB2312" w:hAnsi="楷体" w:eastAsia="仿宋_GB2312" w:cs="仿宋_GB2312"/>
          <w:sz w:val="32"/>
          <w:shd w:val="clear" w:color="auto" w:fill="FFFFFF"/>
          <w:lang w:bidi="ar"/>
        </w:rPr>
      </w:pPr>
      <w:r>
        <w:rPr>
          <w:rStyle w:val="11"/>
          <w:rFonts w:hint="eastAsia" w:ascii="仿宋_GB2312" w:hAnsi="楷体" w:eastAsia="仿宋_GB2312" w:cs="仿宋_GB2312"/>
          <w:sz w:val="32"/>
          <w:shd w:val="clear" w:color="auto" w:fill="FFFFFF"/>
          <w:lang w:bidi="ar"/>
        </w:rPr>
        <w:t>2.认真做好残疾人康复培训工作。一是做好听障、智障、脑瘫、孤独症儿童的康复训练工作；二是继续在全市开展盲人定向行走培训工作；三是配合市残联康复科做好辅助器具适配工作；四是继续开展“国际残疾预防日”、“全国助残日”、“国际盲人节”、“国际残疾人日”等宣传培训工作。</w:t>
      </w:r>
    </w:p>
    <w:p>
      <w:pPr>
        <w:keepNext w:val="0"/>
        <w:keepLines w:val="0"/>
        <w:pageBreakBefore w:val="0"/>
        <w:widowControl/>
        <w:shd w:val="clear" w:color="auto" w:fill="FFFFFF"/>
        <w:kinsoku/>
        <w:wordWrap/>
        <w:overflowPunct/>
        <w:topLinePunct w:val="0"/>
        <w:autoSpaceDE/>
        <w:autoSpaceDN/>
        <w:bidi w:val="0"/>
        <w:spacing w:line="540" w:lineRule="exact"/>
        <w:ind w:firstLine="675" w:firstLineChars="211"/>
        <w:textAlignment w:val="auto"/>
        <w:rPr>
          <w:rFonts w:ascii="Times New Roman" w:hAnsi="Times New Roman" w:eastAsia="仿宋_GB2312" w:cs="Times New Roman"/>
          <w:sz w:val="32"/>
          <w:szCs w:val="32"/>
        </w:rPr>
      </w:pPr>
      <w:r>
        <w:rPr>
          <w:rStyle w:val="11"/>
          <w:rFonts w:hint="eastAsia" w:ascii="仿宋_GB2312" w:hAnsi="楷体" w:cs="仿宋_GB2312" w:eastAsiaTheme="minorEastAsia"/>
          <w:sz w:val="32"/>
          <w:shd w:val="clear" w:color="auto" w:fill="FFFFFF"/>
          <w:lang w:bidi="ar"/>
        </w:rPr>
        <w:t>3.</w:t>
      </w:r>
      <w:r>
        <w:rPr>
          <w:rStyle w:val="11"/>
          <w:rFonts w:hint="eastAsia" w:ascii="仿宋_GB2312" w:hAnsi="楷体" w:eastAsia="仿宋_GB2312" w:cs="仿宋_GB2312"/>
          <w:sz w:val="32"/>
          <w:shd w:val="clear" w:color="auto" w:fill="FFFFFF"/>
          <w:lang w:bidi="ar"/>
        </w:rPr>
        <w:t>抓好党风廉政建设。认真贯彻落实中央八项规定实施细则、省委省政府十项规定实施细则和市委市政府十项规定实施细则，切实抓好党风廉政建设工作，切实加强中心自身建设。</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黑体" w:cs="Times New Roman"/>
          <w:sz w:val="32"/>
          <w:szCs w:val="32"/>
        </w:rPr>
      </w:pPr>
      <w:r>
        <w:rPr>
          <w:rFonts w:ascii="Times New Roman" w:hAnsi="Times New Roman" w:eastAsia="黑体" w:cs="Times New Roman"/>
          <w:sz w:val="32"/>
          <w:szCs w:val="32"/>
        </w:rPr>
        <w:t>二、单位构成情况</w:t>
      </w:r>
    </w:p>
    <w:p>
      <w:pPr>
        <w:pStyle w:val="2"/>
        <w:keepNext w:val="0"/>
        <w:keepLines w:val="0"/>
        <w:pageBreakBefore w:val="0"/>
        <w:kinsoku/>
        <w:wordWrap/>
        <w:overflowPunct/>
        <w:topLinePunct w:val="0"/>
        <w:autoSpaceDE/>
        <w:autoSpaceDN/>
        <w:bidi w:val="0"/>
        <w:adjustRightInd w:val="0"/>
        <w:spacing w:before="130" w:beforeLines="0" w:line="540" w:lineRule="exact"/>
        <w:ind w:firstLine="672" w:firstLineChars="210"/>
        <w:textAlignment w:val="auto"/>
        <w:rPr>
          <w:sz w:val="32"/>
        </w:rPr>
      </w:pPr>
      <w:r>
        <w:rPr>
          <w:rFonts w:hint="eastAsia"/>
          <w:sz w:val="32"/>
        </w:rPr>
        <w:t>市残疾人康复教育中心下属非独立核算单位0个，其中行政单位0个，参照公务员法管理的事业单位0个，其他事业单位0个。</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三、收支预算情况说明</w:t>
      </w:r>
    </w:p>
    <w:p>
      <w:pPr>
        <w:keepNext w:val="0"/>
        <w:keepLines w:val="0"/>
        <w:pageBreakBefore w:val="0"/>
        <w:kinsoku/>
        <w:wordWrap/>
        <w:overflowPunct/>
        <w:topLinePunct w:val="0"/>
        <w:autoSpaceDE/>
        <w:autoSpaceDN/>
        <w:bidi w:val="0"/>
        <w:spacing w:line="540" w:lineRule="exact"/>
        <w:ind w:firstLine="640" w:firstLineChars="200"/>
        <w:textAlignment w:val="auto"/>
        <w:rPr>
          <w:rFonts w:hint="default" w:ascii="仿宋_GB2312" w:hAnsi="Times New Roman" w:eastAsia="仿宋_GB2312" w:cs="Times New Roman"/>
          <w:color w:val="auto"/>
          <w:sz w:val="32"/>
          <w:szCs w:val="32"/>
          <w:lang w:val="en-US" w:eastAsia="zh-CN"/>
        </w:rPr>
      </w:pPr>
      <w:r>
        <w:rPr>
          <w:rFonts w:hint="eastAsia" w:ascii="仿宋_GB2312" w:hAnsi="Times New Roman" w:eastAsia="仿宋_GB2312" w:cs="Times New Roman"/>
          <w:color w:val="auto"/>
          <w:sz w:val="32"/>
          <w:szCs w:val="32"/>
        </w:rPr>
        <w:t>按照综合预算的原则，市残疾人康复教育中心所有收入和支出均纳入部门预算管理。收入包括：一般公共预算拨款收入135.75万元；支出包括：社会保障和就业支出129.58万元、住房保障支出6.17万元。市残疾人康复教育中心2021年收支总预算</w:t>
      </w:r>
      <w:r>
        <w:rPr>
          <w:rFonts w:hint="eastAsia" w:ascii="仿宋_GB2312" w:hAnsi="Times New Roman" w:eastAsia="仿宋_GB2312" w:cs="Times New Roman"/>
          <w:color w:val="auto"/>
          <w:sz w:val="32"/>
          <w:szCs w:val="32"/>
          <w:lang w:val="en-US" w:eastAsia="zh-CN"/>
        </w:rPr>
        <w:t>135.75</w:t>
      </w:r>
      <w:r>
        <w:rPr>
          <w:rFonts w:hint="eastAsia" w:ascii="仿宋_GB2312" w:hAnsi="Times New Roman" w:eastAsia="仿宋_GB2312" w:cs="Times New Roman"/>
          <w:color w:val="auto"/>
          <w:sz w:val="32"/>
          <w:szCs w:val="32"/>
        </w:rPr>
        <w:t>万元。比2020年预算数</w:t>
      </w:r>
      <w:r>
        <w:rPr>
          <w:rFonts w:hint="eastAsia" w:ascii="仿宋_GB2312" w:hAnsi="Times New Roman" w:eastAsia="仿宋_GB2312" w:cs="Times New Roman"/>
          <w:color w:val="auto"/>
          <w:sz w:val="32"/>
          <w:szCs w:val="32"/>
          <w:lang w:val="en-US" w:eastAsia="zh-CN"/>
        </w:rPr>
        <w:t>减少11.26</w:t>
      </w:r>
      <w:r>
        <w:rPr>
          <w:rFonts w:hint="eastAsia" w:ascii="仿宋_GB2312" w:hAnsi="Times New Roman" w:eastAsia="仿宋_GB2312" w:cs="Times New Roman"/>
          <w:color w:val="auto"/>
          <w:sz w:val="32"/>
          <w:szCs w:val="32"/>
        </w:rPr>
        <w:t>万元，主要是</w:t>
      </w:r>
      <w:r>
        <w:rPr>
          <w:rFonts w:hint="eastAsia" w:ascii="仿宋_GB2312" w:hAnsi="Times New Roman" w:eastAsia="仿宋_GB2312" w:cs="Times New Roman"/>
          <w:color w:val="auto"/>
          <w:sz w:val="32"/>
          <w:szCs w:val="32"/>
          <w:lang w:val="en-US" w:eastAsia="zh-CN"/>
        </w:rPr>
        <w:t>2021年项目减少，预算相应减少。</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楷体_GB2312" w:cs="Times New Roman"/>
          <w:b/>
          <w:color w:val="auto"/>
          <w:sz w:val="32"/>
          <w:szCs w:val="32"/>
        </w:rPr>
      </w:pPr>
      <w:r>
        <w:rPr>
          <w:rFonts w:ascii="Times New Roman" w:hAnsi="Times New Roman" w:eastAsia="楷体_GB2312" w:cs="Times New Roman"/>
          <w:b/>
          <w:color w:val="auto"/>
          <w:sz w:val="32"/>
          <w:szCs w:val="32"/>
        </w:rPr>
        <w:t>（一）收入预算情况</w:t>
      </w:r>
    </w:p>
    <w:p>
      <w:pPr>
        <w:keepNext w:val="0"/>
        <w:keepLines w:val="0"/>
        <w:pageBreakBefore w:val="0"/>
        <w:kinsoku/>
        <w:wordWrap/>
        <w:overflowPunct/>
        <w:topLinePunct w:val="0"/>
        <w:autoSpaceDE/>
        <w:autoSpaceDN/>
        <w:bidi w:val="0"/>
        <w:spacing w:line="54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市残疾人康复教育中心2021年收入预算</w:t>
      </w:r>
      <w:r>
        <w:rPr>
          <w:rFonts w:hint="eastAsia" w:ascii="仿宋_GB2312" w:hAnsi="Times New Roman" w:eastAsia="仿宋_GB2312" w:cs="Times New Roman"/>
          <w:color w:val="auto"/>
          <w:sz w:val="32"/>
          <w:szCs w:val="32"/>
          <w:lang w:val="en-US" w:eastAsia="zh-CN"/>
        </w:rPr>
        <w:t>135.75</w:t>
      </w:r>
      <w:r>
        <w:rPr>
          <w:rFonts w:hint="eastAsia" w:ascii="仿宋_GB2312" w:hAnsi="Times New Roman" w:eastAsia="仿宋_GB2312" w:cs="Times New Roman"/>
          <w:color w:val="auto"/>
          <w:sz w:val="32"/>
          <w:szCs w:val="32"/>
        </w:rPr>
        <w:t>万元，其中：</w:t>
      </w:r>
      <w:r>
        <w:rPr>
          <w:rFonts w:hint="eastAsia" w:ascii="仿宋_GB2312" w:hAnsi="Times New Roman" w:eastAsia="仿宋_GB2312" w:cs="Times New Roman"/>
          <w:color w:val="auto"/>
          <w:sz w:val="32"/>
          <w:szCs w:val="32"/>
          <w:lang w:val="en-US" w:eastAsia="zh-CN"/>
        </w:rPr>
        <w:t>上年结转0万元，占0%；</w:t>
      </w:r>
      <w:r>
        <w:rPr>
          <w:rFonts w:hint="eastAsia" w:ascii="仿宋_GB2312" w:hAnsi="Times New Roman" w:eastAsia="仿宋_GB2312" w:cs="Times New Roman"/>
          <w:color w:val="auto"/>
          <w:sz w:val="32"/>
          <w:szCs w:val="32"/>
        </w:rPr>
        <w:t>一般公共预算拨款收入135.75万元，占</w:t>
      </w:r>
      <w:r>
        <w:rPr>
          <w:rFonts w:hint="eastAsia" w:ascii="仿宋_GB2312" w:hAnsi="Times New Roman" w:eastAsia="仿宋_GB2312" w:cs="Times New Roman"/>
          <w:color w:val="auto"/>
          <w:sz w:val="32"/>
          <w:szCs w:val="32"/>
          <w:lang w:val="en-US" w:eastAsia="zh-CN"/>
        </w:rPr>
        <w:t>100</w:t>
      </w:r>
      <w:r>
        <w:rPr>
          <w:rFonts w:hint="eastAsia" w:ascii="仿宋_GB2312" w:hAnsi="Times New Roman" w:eastAsia="仿宋_GB2312" w:cs="Times New Roman"/>
          <w:color w:val="auto"/>
          <w:sz w:val="32"/>
          <w:szCs w:val="32"/>
        </w:rPr>
        <w:t>%；政府性基金预算拨款收入0万元</w:t>
      </w:r>
      <w:r>
        <w:rPr>
          <w:rFonts w:hint="eastAsia" w:ascii="仿宋_GB2312" w:hAnsi="Times New Roman" w:eastAsia="仿宋_GB2312" w:cs="Times New Roman"/>
          <w:color w:val="auto"/>
          <w:sz w:val="32"/>
          <w:szCs w:val="32"/>
          <w:lang w:eastAsia="zh-CN"/>
        </w:rPr>
        <w:t>，</w:t>
      </w:r>
      <w:r>
        <w:rPr>
          <w:rFonts w:hint="eastAsia" w:ascii="仿宋_GB2312" w:hAnsi="Times New Roman" w:eastAsia="仿宋_GB2312" w:cs="Times New Roman"/>
          <w:color w:val="auto"/>
          <w:sz w:val="32"/>
          <w:szCs w:val="32"/>
          <w:lang w:val="en-US" w:eastAsia="zh-CN"/>
        </w:rPr>
        <w:t>占0%</w:t>
      </w:r>
      <w:r>
        <w:rPr>
          <w:rFonts w:hint="eastAsia" w:ascii="仿宋_GB2312" w:hAnsi="Times New Roman" w:eastAsia="仿宋_GB2312" w:cs="Times New Roman"/>
          <w:color w:val="auto"/>
          <w:sz w:val="32"/>
          <w:szCs w:val="32"/>
        </w:rPr>
        <w:t>；事业收入0万元</w:t>
      </w:r>
      <w:r>
        <w:rPr>
          <w:rFonts w:hint="eastAsia" w:ascii="仿宋_GB2312" w:hAnsi="Times New Roman" w:eastAsia="仿宋_GB2312" w:cs="Times New Roman"/>
          <w:color w:val="auto"/>
          <w:sz w:val="32"/>
          <w:szCs w:val="32"/>
          <w:lang w:eastAsia="zh-CN"/>
        </w:rPr>
        <w:t>，</w:t>
      </w:r>
      <w:r>
        <w:rPr>
          <w:rFonts w:hint="eastAsia" w:ascii="仿宋_GB2312" w:hAnsi="Times New Roman" w:eastAsia="仿宋_GB2312" w:cs="Times New Roman"/>
          <w:color w:val="auto"/>
          <w:sz w:val="32"/>
          <w:szCs w:val="32"/>
          <w:lang w:val="en-US" w:eastAsia="zh-CN"/>
        </w:rPr>
        <w:t>占0%</w:t>
      </w:r>
      <w:r>
        <w:rPr>
          <w:rFonts w:hint="eastAsia" w:ascii="仿宋_GB2312"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楷体_GB2312" w:cs="Times New Roman"/>
          <w:b/>
          <w:color w:val="auto"/>
          <w:sz w:val="32"/>
          <w:szCs w:val="32"/>
        </w:rPr>
      </w:pPr>
      <w:r>
        <w:rPr>
          <w:rFonts w:ascii="Times New Roman" w:hAnsi="Times New Roman" w:eastAsia="楷体_GB2312" w:cs="Times New Roman"/>
          <w:b/>
          <w:color w:val="auto"/>
          <w:sz w:val="32"/>
          <w:szCs w:val="32"/>
        </w:rPr>
        <w:t>（二）支出预算情况</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hint="eastAsia" w:ascii="仿宋_GB2312" w:hAnsi="Times New Roman" w:eastAsia="仿宋_GB2312" w:cs="Times New Roman"/>
          <w:color w:val="auto"/>
          <w:sz w:val="32"/>
          <w:szCs w:val="32"/>
        </w:rPr>
        <w:t>市残疾人康复教育中心2021年支出预算</w:t>
      </w:r>
      <w:r>
        <w:rPr>
          <w:rFonts w:hint="eastAsia" w:ascii="仿宋_GB2312" w:hAnsi="Times New Roman" w:eastAsia="仿宋_GB2312" w:cs="Times New Roman"/>
          <w:color w:val="auto"/>
          <w:sz w:val="32"/>
          <w:szCs w:val="32"/>
          <w:lang w:val="en-US" w:eastAsia="zh-CN"/>
        </w:rPr>
        <w:t>135.75</w:t>
      </w:r>
      <w:r>
        <w:rPr>
          <w:rFonts w:hint="eastAsia" w:ascii="仿宋_GB2312" w:hAnsi="Times New Roman" w:eastAsia="仿宋_GB2312" w:cs="Times New Roman"/>
          <w:color w:val="auto"/>
          <w:sz w:val="32"/>
          <w:szCs w:val="32"/>
        </w:rPr>
        <w:t>万元，其中：基本支出88.75万元，占</w:t>
      </w:r>
      <w:r>
        <w:rPr>
          <w:rFonts w:hint="eastAsia" w:ascii="仿宋_GB2312" w:hAnsi="Times New Roman" w:eastAsia="仿宋_GB2312" w:cs="Times New Roman"/>
          <w:color w:val="auto"/>
          <w:sz w:val="32"/>
          <w:szCs w:val="32"/>
          <w:lang w:val="en-US" w:eastAsia="zh-CN"/>
        </w:rPr>
        <w:t>65.38</w:t>
      </w:r>
      <w:r>
        <w:rPr>
          <w:rFonts w:hint="eastAsia" w:ascii="仿宋_GB2312" w:hAnsi="Times New Roman" w:eastAsia="仿宋_GB2312" w:cs="Times New Roman"/>
          <w:color w:val="auto"/>
          <w:sz w:val="32"/>
          <w:szCs w:val="32"/>
        </w:rPr>
        <w:t>%；项目支出</w:t>
      </w:r>
      <w:r>
        <w:rPr>
          <w:rFonts w:hint="eastAsia" w:ascii="仿宋_GB2312" w:hAnsi="Times New Roman" w:eastAsia="仿宋_GB2312" w:cs="Times New Roman"/>
          <w:color w:val="auto"/>
          <w:sz w:val="32"/>
          <w:szCs w:val="32"/>
          <w:lang w:val="en-US" w:eastAsia="zh-CN"/>
        </w:rPr>
        <w:t>47</w:t>
      </w:r>
      <w:r>
        <w:rPr>
          <w:rFonts w:hint="eastAsia" w:ascii="仿宋_GB2312" w:hAnsi="Times New Roman" w:eastAsia="仿宋_GB2312" w:cs="Times New Roman"/>
          <w:color w:val="auto"/>
          <w:sz w:val="32"/>
          <w:szCs w:val="32"/>
        </w:rPr>
        <w:t>万元，占</w:t>
      </w:r>
      <w:r>
        <w:rPr>
          <w:rFonts w:hint="eastAsia" w:ascii="仿宋_GB2312" w:hAnsi="Times New Roman" w:eastAsia="仿宋_GB2312" w:cs="Times New Roman"/>
          <w:color w:val="auto"/>
          <w:sz w:val="32"/>
          <w:szCs w:val="32"/>
          <w:lang w:val="en-US" w:eastAsia="zh-CN"/>
        </w:rPr>
        <w:t>34.62</w:t>
      </w:r>
      <w:r>
        <w:rPr>
          <w:rFonts w:hint="eastAsia" w:ascii="仿宋_GB2312"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四、财政拨款收支预算情况说明</w:t>
      </w:r>
    </w:p>
    <w:p>
      <w:pPr>
        <w:keepNext w:val="0"/>
        <w:keepLines w:val="0"/>
        <w:pageBreakBefore w:val="0"/>
        <w:kinsoku/>
        <w:wordWrap/>
        <w:overflowPunct/>
        <w:topLinePunct w:val="0"/>
        <w:autoSpaceDE/>
        <w:autoSpaceDN/>
        <w:bidi w:val="0"/>
        <w:spacing w:line="540" w:lineRule="exact"/>
        <w:ind w:firstLine="640" w:firstLineChars="200"/>
        <w:textAlignment w:val="auto"/>
        <w:rPr>
          <w:rFonts w:ascii="仿宋_GB2312" w:hAnsi="Times New Roman" w:eastAsia="仿宋_GB2312" w:cs="Times New Roman"/>
          <w:color w:val="auto"/>
          <w:sz w:val="32"/>
          <w:szCs w:val="32"/>
        </w:rPr>
      </w:pPr>
      <w:r>
        <w:rPr>
          <w:rFonts w:hint="eastAsia" w:ascii="仿宋_GB2312" w:hAnsi="Times New Roman" w:eastAsia="仿宋_GB2312" w:cs="Times New Roman"/>
          <w:color w:val="auto"/>
          <w:sz w:val="32"/>
          <w:szCs w:val="32"/>
        </w:rPr>
        <w:t>市残疾人康复教育中心2021年财政拨款收支总预算135.75万元。收入包括：本年一般公共预算拨款收入135.75万元；支出包括：社会保障和就业支出129.58万元、住房保障支出6.17万元。</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五、一般公共预算当年拨款情况说明</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楷体_GB2312" w:cs="Times New Roman"/>
          <w:b/>
          <w:color w:val="auto"/>
          <w:sz w:val="32"/>
          <w:szCs w:val="32"/>
        </w:rPr>
      </w:pPr>
      <w:r>
        <w:rPr>
          <w:rFonts w:ascii="Times New Roman" w:hAnsi="Times New Roman" w:eastAsia="楷体_GB2312" w:cs="Times New Roman"/>
          <w:b/>
          <w:color w:val="auto"/>
          <w:sz w:val="32"/>
          <w:szCs w:val="32"/>
        </w:rPr>
        <w:t>（一）一般公共预算当年拨款规模变化情况</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市</w:t>
      </w:r>
      <w:r>
        <w:rPr>
          <w:rFonts w:hint="eastAsia" w:ascii="Times New Roman" w:hAnsi="Times New Roman" w:eastAsia="仿宋_GB2312" w:cs="Times New Roman"/>
          <w:color w:val="auto"/>
          <w:sz w:val="32"/>
          <w:szCs w:val="32"/>
        </w:rPr>
        <w:t>残疾人康复教育中心</w:t>
      </w:r>
      <w:r>
        <w:rPr>
          <w:rFonts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rPr>
        <w:t>年一般公共预算当年拨款</w:t>
      </w:r>
      <w:r>
        <w:rPr>
          <w:rFonts w:hint="eastAsia" w:ascii="Times New Roman" w:hAnsi="Times New Roman" w:eastAsia="仿宋_GB2312" w:cs="Times New Roman"/>
          <w:color w:val="auto"/>
          <w:sz w:val="32"/>
          <w:szCs w:val="32"/>
        </w:rPr>
        <w:t>135.75万</w:t>
      </w:r>
      <w:r>
        <w:rPr>
          <w:rFonts w:ascii="Times New Roman" w:hAnsi="Times New Roman" w:eastAsia="仿宋_GB2312" w:cs="Times New Roman"/>
          <w:color w:val="auto"/>
          <w:sz w:val="32"/>
          <w:szCs w:val="32"/>
        </w:rPr>
        <w:t>元，比20</w:t>
      </w:r>
      <w:r>
        <w:rPr>
          <w:rFonts w:hint="eastAsia" w:ascii="Times New Roman" w:hAnsi="Times New Roman" w:eastAsia="仿宋_GB2312" w:cs="Times New Roman"/>
          <w:color w:val="auto"/>
          <w:sz w:val="32"/>
          <w:szCs w:val="32"/>
        </w:rPr>
        <w:t>20</w:t>
      </w:r>
      <w:r>
        <w:rPr>
          <w:rFonts w:ascii="Times New Roman" w:hAnsi="Times New Roman" w:eastAsia="仿宋_GB2312" w:cs="Times New Roman"/>
          <w:color w:val="auto"/>
          <w:sz w:val="32"/>
          <w:szCs w:val="32"/>
        </w:rPr>
        <w:t>年预算数</w:t>
      </w:r>
      <w:r>
        <w:rPr>
          <w:rFonts w:hint="eastAsia" w:ascii="Times New Roman" w:hAnsi="Times New Roman" w:eastAsia="仿宋_GB2312" w:cs="Times New Roman"/>
          <w:color w:val="auto"/>
          <w:sz w:val="32"/>
          <w:szCs w:val="32"/>
        </w:rPr>
        <w:t>减少11.26万</w:t>
      </w:r>
      <w:r>
        <w:rPr>
          <w:rFonts w:ascii="Times New Roman" w:hAnsi="Times New Roman" w:eastAsia="仿宋_GB2312" w:cs="Times New Roman"/>
          <w:color w:val="auto"/>
          <w:sz w:val="32"/>
          <w:szCs w:val="32"/>
        </w:rPr>
        <w:t>元，主要</w:t>
      </w:r>
      <w:r>
        <w:rPr>
          <w:rFonts w:hint="eastAsia" w:ascii="Times New Roman" w:hAnsi="Times New Roman" w:eastAsia="仿宋_GB2312" w:cs="Times New Roman"/>
          <w:color w:val="auto"/>
          <w:sz w:val="32"/>
          <w:szCs w:val="32"/>
        </w:rPr>
        <w:t>原因一是</w:t>
      </w:r>
      <w:r>
        <w:rPr>
          <w:rFonts w:ascii="Times New Roman" w:hAnsi="Times New Roman" w:eastAsia="仿宋_GB2312" w:cs="Times New Roman"/>
          <w:color w:val="auto"/>
          <w:sz w:val="32"/>
          <w:szCs w:val="32"/>
        </w:rPr>
        <w:t>人员增减引起的</w:t>
      </w:r>
      <w:r>
        <w:rPr>
          <w:rFonts w:hint="eastAsia" w:ascii="Times New Roman" w:hAnsi="Times New Roman" w:eastAsia="仿宋_GB2312" w:cs="Times New Roman"/>
          <w:color w:val="auto"/>
          <w:sz w:val="32"/>
          <w:szCs w:val="32"/>
        </w:rPr>
        <w:t>基本支出</w:t>
      </w:r>
      <w:r>
        <w:rPr>
          <w:rFonts w:ascii="Times New Roman" w:hAnsi="Times New Roman" w:eastAsia="仿宋_GB2312" w:cs="Times New Roman"/>
          <w:color w:val="auto"/>
          <w:sz w:val="32"/>
          <w:szCs w:val="32"/>
        </w:rPr>
        <w:t>经费</w:t>
      </w:r>
      <w:r>
        <w:rPr>
          <w:rFonts w:hint="eastAsia" w:ascii="Times New Roman" w:hAnsi="Times New Roman" w:eastAsia="仿宋_GB2312" w:cs="Times New Roman"/>
          <w:color w:val="auto"/>
          <w:sz w:val="32"/>
          <w:szCs w:val="32"/>
        </w:rPr>
        <w:t>减少，二是</w:t>
      </w:r>
      <w:r>
        <w:rPr>
          <w:rFonts w:ascii="Times New Roman" w:hAnsi="Times New Roman" w:eastAsia="仿宋_GB2312" w:cs="Times New Roman"/>
          <w:color w:val="auto"/>
          <w:sz w:val="32"/>
          <w:szCs w:val="32"/>
        </w:rPr>
        <w:t>项目运行经费的</w:t>
      </w:r>
      <w:r>
        <w:rPr>
          <w:rFonts w:hint="eastAsia" w:ascii="Times New Roman" w:hAnsi="Times New Roman" w:eastAsia="仿宋_GB2312" w:cs="Times New Roman"/>
          <w:color w:val="auto"/>
          <w:sz w:val="32"/>
          <w:szCs w:val="32"/>
        </w:rPr>
        <w:t>减少</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楷体_GB2312" w:cs="Times New Roman"/>
          <w:b/>
          <w:color w:val="auto"/>
          <w:sz w:val="32"/>
          <w:szCs w:val="32"/>
        </w:rPr>
      </w:pPr>
      <w:r>
        <w:rPr>
          <w:rFonts w:ascii="Times New Roman" w:hAnsi="Times New Roman" w:eastAsia="楷体_GB2312" w:cs="Times New Roman"/>
          <w:b/>
          <w:color w:val="auto"/>
          <w:sz w:val="32"/>
          <w:szCs w:val="32"/>
        </w:rPr>
        <w:t>（二）一般公共预算当年拨款结构情况</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社会保障和就业支出</w:t>
      </w:r>
      <w:r>
        <w:rPr>
          <w:rFonts w:hint="eastAsia" w:ascii="Times New Roman" w:hAnsi="Times New Roman" w:eastAsia="仿宋_GB2312" w:cs="Times New Roman"/>
          <w:color w:val="auto"/>
          <w:sz w:val="32"/>
          <w:szCs w:val="32"/>
        </w:rPr>
        <w:t>129.58万元</w:t>
      </w:r>
      <w:r>
        <w:rPr>
          <w:rFonts w:ascii="Times New Roman" w:hAnsi="Times New Roman" w:eastAsia="仿宋_GB2312" w:cs="Times New Roman"/>
          <w:color w:val="auto"/>
          <w:sz w:val="32"/>
          <w:szCs w:val="32"/>
        </w:rPr>
        <w:t>，占</w:t>
      </w:r>
      <w:r>
        <w:rPr>
          <w:rFonts w:hint="eastAsia" w:ascii="Times New Roman" w:hAnsi="Times New Roman" w:eastAsia="仿宋_GB2312" w:cs="Times New Roman"/>
          <w:color w:val="auto"/>
          <w:sz w:val="32"/>
          <w:szCs w:val="32"/>
        </w:rPr>
        <w:t>95.45</w:t>
      </w:r>
      <w:r>
        <w:rPr>
          <w:rFonts w:ascii="Times New Roman" w:hAnsi="Times New Roman" w:eastAsia="仿宋_GB2312" w:cs="Times New Roman"/>
          <w:color w:val="auto"/>
          <w:sz w:val="32"/>
          <w:szCs w:val="32"/>
        </w:rPr>
        <w:t>%；住房保障支出</w:t>
      </w:r>
      <w:r>
        <w:rPr>
          <w:rFonts w:hint="eastAsia" w:ascii="Times New Roman" w:hAnsi="Times New Roman" w:eastAsia="仿宋_GB2312" w:cs="Times New Roman"/>
          <w:color w:val="auto"/>
          <w:sz w:val="32"/>
          <w:szCs w:val="32"/>
        </w:rPr>
        <w:t>6.17万</w:t>
      </w:r>
      <w:r>
        <w:rPr>
          <w:rFonts w:ascii="Times New Roman" w:hAnsi="Times New Roman" w:eastAsia="仿宋_GB2312" w:cs="Times New Roman"/>
          <w:color w:val="auto"/>
          <w:sz w:val="32"/>
          <w:szCs w:val="32"/>
        </w:rPr>
        <w:t>元</w:t>
      </w:r>
      <w:r>
        <w:rPr>
          <w:rFonts w:hint="eastAsia" w:ascii="Times New Roman" w:hAnsi="Times New Roman" w:eastAsia="仿宋_GB2312" w:cs="Times New Roman"/>
          <w:color w:val="auto"/>
          <w:sz w:val="32"/>
          <w:szCs w:val="32"/>
        </w:rPr>
        <w:t>，占4.55%</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楷体_GB2312" w:cs="Times New Roman"/>
          <w:b/>
          <w:color w:val="auto"/>
          <w:sz w:val="32"/>
          <w:szCs w:val="32"/>
        </w:rPr>
      </w:pPr>
      <w:r>
        <w:rPr>
          <w:rFonts w:ascii="Times New Roman" w:hAnsi="Times New Roman" w:eastAsia="楷体_GB2312" w:cs="Times New Roman"/>
          <w:b/>
          <w:color w:val="auto"/>
          <w:sz w:val="32"/>
          <w:szCs w:val="32"/>
        </w:rPr>
        <w:t>（三）一般公共预算当年拨款具体使用情况</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rPr>
        <w:t>. 社会保障和就业支出（类）行政事业单位离退休（款）机关事业单位基本养老保险缴费支出（项）20</w:t>
      </w:r>
      <w:r>
        <w:rPr>
          <w:rFonts w:hint="eastAsia" w:ascii="Times New Roman" w:hAnsi="Times New Roman" w:eastAsia="仿宋_GB2312" w:cs="Times New Roman"/>
          <w:color w:val="auto"/>
          <w:sz w:val="32"/>
          <w:szCs w:val="32"/>
        </w:rPr>
        <w:t>21</w:t>
      </w:r>
      <w:r>
        <w:rPr>
          <w:rFonts w:ascii="Times New Roman" w:hAnsi="Times New Roman" w:eastAsia="仿宋_GB2312" w:cs="Times New Roman"/>
          <w:color w:val="auto"/>
          <w:sz w:val="32"/>
          <w:szCs w:val="32"/>
        </w:rPr>
        <w:t>年预算数为</w:t>
      </w:r>
      <w:r>
        <w:rPr>
          <w:rFonts w:hint="eastAsia" w:ascii="Times New Roman" w:hAnsi="Times New Roman" w:eastAsia="仿宋_GB2312" w:cs="Times New Roman"/>
          <w:color w:val="auto"/>
          <w:sz w:val="32"/>
          <w:szCs w:val="32"/>
        </w:rPr>
        <w:t>6.39万</w:t>
      </w:r>
      <w:r>
        <w:rPr>
          <w:rFonts w:ascii="Times New Roman" w:hAnsi="Times New Roman" w:eastAsia="仿宋_GB2312" w:cs="Times New Roman"/>
          <w:color w:val="auto"/>
          <w:sz w:val="32"/>
          <w:szCs w:val="32"/>
        </w:rPr>
        <w:t>元，主要用于：机关在职人员养老保险单位缴费部分。</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社会保障和就业支出（类）残疾人事业（款）机关服务（残疾）（项）2021年预算数为36.28万元</w:t>
      </w:r>
      <w:r>
        <w:rPr>
          <w:rFonts w:ascii="Times New Roman" w:hAnsi="Times New Roman" w:eastAsia="仿宋_GB2312" w:cs="Times New Roman"/>
          <w:color w:val="auto"/>
          <w:sz w:val="32"/>
          <w:szCs w:val="32"/>
        </w:rPr>
        <w:t>，主要用于：</w:t>
      </w:r>
      <w:r>
        <w:rPr>
          <w:rFonts w:hint="eastAsia" w:ascii="Times New Roman" w:hAnsi="Times New Roman" w:eastAsia="仿宋_GB2312" w:cs="Times New Roman"/>
          <w:color w:val="auto"/>
          <w:sz w:val="32"/>
          <w:szCs w:val="32"/>
        </w:rPr>
        <w:t>工资福利支出19.18万元，其中：绩效工资11.50万、职工基本医疗保险缴费3.96万元、公务员医疗补助缴费0.40万元、其他社会保障缴费0.72万元、其他工资福利支出2.60万元；商品和服务支出10.53万元，其中：办公费0.77万元、水费0.15万元、电费0.38万元、邮电费0.65万元、差旅费3.06万元、公务接待费0.19万元、工会经费1.03万元、福利费0.59万元、公务用车运行维护费1.62万元、</w:t>
      </w:r>
      <w:r>
        <w:rPr>
          <w:rFonts w:hint="eastAsia" w:ascii="Times New Roman" w:hAnsi="Times New Roman" w:eastAsia="仿宋_GB2312" w:cs="Times New Roman"/>
          <w:color w:val="auto"/>
          <w:sz w:val="32"/>
          <w:szCs w:val="32"/>
          <w:lang w:val="en-US" w:eastAsia="zh-CN"/>
        </w:rPr>
        <w:t>其他商品和服务支出2.09万元</w:t>
      </w:r>
      <w:r>
        <w:rPr>
          <w:rFonts w:hint="eastAsia" w:ascii="Times New Roman" w:hAnsi="Times New Roman" w:eastAsia="仿宋_GB2312" w:cs="Times New Roman"/>
          <w:color w:val="auto"/>
          <w:sz w:val="32"/>
          <w:szCs w:val="32"/>
        </w:rPr>
        <w:t>；对个人和家庭的补助支出6.57万元，其中：退休费6.25万元</w:t>
      </w:r>
      <w:r>
        <w:rPr>
          <w:rFonts w:hint="eastAsia" w:ascii="Times New Roman" w:hAnsi="Times New Roman" w:eastAsia="仿宋_GB2312" w:cs="Times New Roman"/>
          <w:color w:val="auto"/>
          <w:sz w:val="32"/>
          <w:szCs w:val="32"/>
          <w:lang w:eastAsia="zh-CN"/>
        </w:rPr>
        <w:t>，</w:t>
      </w:r>
      <w:r>
        <w:rPr>
          <w:rFonts w:hint="eastAsia" w:ascii="Times New Roman" w:hAnsi="Times New Roman" w:eastAsia="仿宋_GB2312" w:cs="Times New Roman"/>
          <w:color w:val="auto"/>
          <w:sz w:val="32"/>
          <w:szCs w:val="32"/>
        </w:rPr>
        <w:t>医疗费补助0.32万元。用于保障中心职工人员经费、中心日常运转及退休职工经费，确保完成职能工作。</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w:t>
      </w:r>
      <w:r>
        <w:rPr>
          <w:rFonts w:ascii="Times New Roman" w:hAnsi="Times New Roman" w:eastAsia="仿宋_GB2312" w:cs="Times New Roman"/>
          <w:color w:val="auto"/>
          <w:sz w:val="32"/>
          <w:szCs w:val="32"/>
        </w:rPr>
        <w:t>.</w:t>
      </w:r>
      <w:r>
        <w:rPr>
          <w:rFonts w:hint="eastAsia" w:ascii="Times New Roman" w:hAnsi="Times New Roman" w:eastAsia="仿宋_GB2312" w:cs="Times New Roman"/>
          <w:color w:val="auto"/>
          <w:sz w:val="32"/>
          <w:szCs w:val="32"/>
        </w:rPr>
        <w:t>社会保障和就业支出（类）残疾人事业（款）残疾人康复（项）2021年预算数为25万元</w:t>
      </w:r>
      <w:r>
        <w:rPr>
          <w:rFonts w:ascii="Times New Roman" w:hAnsi="Times New Roman" w:eastAsia="仿宋_GB2312" w:cs="Times New Roman"/>
          <w:color w:val="auto"/>
          <w:sz w:val="32"/>
          <w:szCs w:val="32"/>
        </w:rPr>
        <w:t>，主要用于：</w:t>
      </w:r>
      <w:r>
        <w:rPr>
          <w:rFonts w:hint="eastAsia" w:ascii="Times New Roman" w:hAnsi="Times New Roman" w:eastAsia="仿宋_GB2312" w:cs="Times New Roman"/>
          <w:color w:val="auto"/>
          <w:sz w:val="32"/>
          <w:szCs w:val="32"/>
        </w:rPr>
        <w:t>用于保障中心办公和业务正常运行，更好</w:t>
      </w:r>
      <w:r>
        <w:rPr>
          <w:rFonts w:hint="eastAsia" w:ascii="Times New Roman" w:hAnsi="Times New Roman" w:eastAsia="仿宋_GB2312" w:cs="Times New Roman"/>
          <w:color w:val="auto"/>
          <w:sz w:val="32"/>
          <w:szCs w:val="32"/>
          <w:lang w:val="en-US" w:eastAsia="zh-CN"/>
        </w:rPr>
        <w:t>地</w:t>
      </w:r>
      <w:r>
        <w:rPr>
          <w:rFonts w:hint="eastAsia" w:ascii="Times New Roman" w:hAnsi="Times New Roman" w:eastAsia="仿宋_GB2312" w:cs="Times New Roman"/>
          <w:color w:val="auto"/>
          <w:sz w:val="32"/>
          <w:szCs w:val="32"/>
        </w:rPr>
        <w:t>为残疾人提供各类专业康复培训、训练、评估及指导残疾人用品用具的使用等服务工作</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4</w:t>
      </w:r>
      <w:r>
        <w:rPr>
          <w:rFonts w:ascii="Times New Roman" w:hAnsi="Times New Roman" w:eastAsia="仿宋_GB2312" w:cs="Times New Roman"/>
          <w:color w:val="auto"/>
          <w:sz w:val="32"/>
          <w:szCs w:val="32"/>
        </w:rPr>
        <w:t xml:space="preserve">. </w:t>
      </w:r>
      <w:r>
        <w:rPr>
          <w:rFonts w:hint="eastAsia" w:ascii="Times New Roman" w:hAnsi="Times New Roman" w:eastAsia="仿宋_GB2312" w:cs="Times New Roman"/>
          <w:color w:val="auto"/>
          <w:sz w:val="32"/>
          <w:szCs w:val="32"/>
        </w:rPr>
        <w:t>社会保障和就业支出（类）残疾人事业（款）其他残疾人事业支出（项）2021年预算数为61.91万元</w:t>
      </w:r>
      <w:r>
        <w:rPr>
          <w:rFonts w:ascii="Times New Roman" w:hAnsi="Times New Roman" w:eastAsia="仿宋_GB2312" w:cs="Times New Roman"/>
          <w:color w:val="auto"/>
          <w:sz w:val="32"/>
          <w:szCs w:val="32"/>
        </w:rPr>
        <w:t>，主要用于：</w:t>
      </w:r>
      <w:r>
        <w:rPr>
          <w:rFonts w:hint="eastAsia" w:ascii="Times New Roman" w:hAnsi="Times New Roman" w:eastAsia="仿宋_GB2312" w:cs="Times New Roman"/>
          <w:color w:val="auto"/>
          <w:sz w:val="32"/>
          <w:szCs w:val="32"/>
        </w:rPr>
        <w:t>工资福利支出39.91万元，其中：基本工资19.5</w:t>
      </w:r>
      <w:r>
        <w:rPr>
          <w:rFonts w:hint="eastAsia" w:ascii="Times New Roman" w:hAnsi="Times New Roman" w:eastAsia="仿宋_GB2312" w:cs="Times New Roman"/>
          <w:color w:val="auto"/>
          <w:sz w:val="32"/>
          <w:szCs w:val="32"/>
          <w:lang w:val="en-US" w:eastAsia="zh-CN"/>
        </w:rPr>
        <w:t>3</w:t>
      </w:r>
      <w:r>
        <w:rPr>
          <w:rFonts w:hint="eastAsia" w:ascii="Times New Roman" w:hAnsi="Times New Roman" w:eastAsia="仿宋_GB2312" w:cs="Times New Roman"/>
          <w:color w:val="auto"/>
          <w:sz w:val="32"/>
          <w:szCs w:val="32"/>
        </w:rPr>
        <w:t>万元、津贴补贴2.47万元、绩效工资17.91万；项目支出22万元。用于</w:t>
      </w:r>
      <w:r>
        <w:rPr>
          <w:rFonts w:ascii="Times New Roman" w:hAnsi="Times New Roman" w:eastAsia="仿宋_GB2312" w:cs="Times New Roman"/>
          <w:color w:val="auto"/>
          <w:sz w:val="32"/>
          <w:szCs w:val="32"/>
        </w:rPr>
        <w:t>中心人员经费</w:t>
      </w:r>
      <w:r>
        <w:rPr>
          <w:rFonts w:hint="eastAsia" w:ascii="Times New Roman" w:hAnsi="Times New Roman" w:eastAsia="仿宋_GB2312" w:cs="Times New Roman"/>
          <w:color w:val="auto"/>
          <w:sz w:val="32"/>
          <w:szCs w:val="32"/>
        </w:rPr>
        <w:t>及保障中心办公和业务正常运行，更好</w:t>
      </w:r>
      <w:r>
        <w:rPr>
          <w:rFonts w:hint="eastAsia" w:ascii="Times New Roman" w:hAnsi="Times New Roman" w:eastAsia="仿宋_GB2312" w:cs="Times New Roman"/>
          <w:color w:val="auto"/>
          <w:sz w:val="32"/>
          <w:szCs w:val="32"/>
          <w:lang w:val="en-US" w:eastAsia="zh-CN"/>
        </w:rPr>
        <w:t>地</w:t>
      </w:r>
      <w:bookmarkStart w:id="0" w:name="_GoBack"/>
      <w:bookmarkEnd w:id="0"/>
      <w:r>
        <w:rPr>
          <w:rFonts w:hint="eastAsia" w:ascii="Times New Roman" w:hAnsi="Times New Roman" w:eastAsia="仿宋_GB2312" w:cs="Times New Roman"/>
          <w:color w:val="auto"/>
          <w:sz w:val="32"/>
          <w:szCs w:val="32"/>
        </w:rPr>
        <w:t>为残疾人提供各类专业康复培训、训练、评估及指导残疾人用品用具的使用等服务工作</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5</w:t>
      </w:r>
      <w:r>
        <w:rPr>
          <w:rFonts w:ascii="Times New Roman" w:hAnsi="Times New Roman" w:eastAsia="仿宋_GB2312" w:cs="Times New Roman"/>
          <w:color w:val="auto"/>
          <w:sz w:val="32"/>
          <w:szCs w:val="32"/>
        </w:rPr>
        <w:t>.住房保障支出（类）住房改革支出（款）住房公积金（项）20</w:t>
      </w:r>
      <w:r>
        <w:rPr>
          <w:rFonts w:hint="eastAsia" w:ascii="Times New Roman" w:hAnsi="Times New Roman" w:eastAsia="仿宋_GB2312" w:cs="Times New Roman"/>
          <w:color w:val="auto"/>
          <w:sz w:val="32"/>
          <w:szCs w:val="32"/>
        </w:rPr>
        <w:t>21</w:t>
      </w:r>
      <w:r>
        <w:rPr>
          <w:rFonts w:ascii="Times New Roman" w:hAnsi="Times New Roman" w:eastAsia="仿宋_GB2312" w:cs="Times New Roman"/>
          <w:color w:val="auto"/>
          <w:sz w:val="32"/>
          <w:szCs w:val="32"/>
        </w:rPr>
        <w:t>年预算数为</w:t>
      </w:r>
      <w:r>
        <w:rPr>
          <w:rFonts w:hint="eastAsia" w:ascii="Times New Roman" w:hAnsi="Times New Roman" w:eastAsia="仿宋_GB2312" w:cs="Times New Roman"/>
          <w:color w:val="auto"/>
          <w:sz w:val="32"/>
          <w:szCs w:val="32"/>
        </w:rPr>
        <w:t>6.17万</w:t>
      </w:r>
      <w:r>
        <w:rPr>
          <w:rFonts w:ascii="Times New Roman" w:hAnsi="Times New Roman" w:eastAsia="仿宋_GB2312" w:cs="Times New Roman"/>
          <w:color w:val="auto"/>
          <w:sz w:val="32"/>
          <w:szCs w:val="32"/>
        </w:rPr>
        <w:t>元，主要用于单位人员公积金单位部分</w:t>
      </w:r>
      <w:r>
        <w:rPr>
          <w:rFonts w:hint="eastAsia" w:ascii="Times New Roman" w:hAnsi="Times New Roman" w:eastAsia="仿宋_GB2312" w:cs="Times New Roman"/>
          <w:color w:val="auto"/>
          <w:sz w:val="32"/>
          <w:szCs w:val="32"/>
        </w:rPr>
        <w:t>缴费支出</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六、一般公共预算基本支出情况说明</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市</w:t>
      </w:r>
      <w:r>
        <w:rPr>
          <w:rFonts w:hint="eastAsia" w:ascii="Times New Roman" w:hAnsi="Times New Roman" w:eastAsia="仿宋_GB2312" w:cs="Times New Roman"/>
          <w:color w:val="auto"/>
          <w:sz w:val="32"/>
          <w:szCs w:val="32"/>
        </w:rPr>
        <w:t>残疾人康复教育中心2021</w:t>
      </w:r>
      <w:r>
        <w:rPr>
          <w:rFonts w:ascii="Times New Roman" w:hAnsi="Times New Roman" w:eastAsia="仿宋_GB2312" w:cs="Times New Roman"/>
          <w:color w:val="auto"/>
          <w:sz w:val="32"/>
          <w:szCs w:val="32"/>
        </w:rPr>
        <w:t>年一般公共预算基本支出</w:t>
      </w:r>
      <w:r>
        <w:rPr>
          <w:rFonts w:hint="eastAsia" w:ascii="Times New Roman" w:hAnsi="Times New Roman" w:eastAsia="仿宋_GB2312" w:cs="Times New Roman"/>
          <w:color w:val="auto"/>
          <w:sz w:val="32"/>
          <w:szCs w:val="32"/>
        </w:rPr>
        <w:t>88.75万</w:t>
      </w:r>
      <w:r>
        <w:rPr>
          <w:rFonts w:ascii="Times New Roman" w:hAnsi="Times New Roman" w:eastAsia="仿宋_GB2312" w:cs="Times New Roman"/>
          <w:color w:val="auto"/>
          <w:sz w:val="32"/>
          <w:szCs w:val="32"/>
        </w:rPr>
        <w:t>元，其中：</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人员经费</w:t>
      </w:r>
      <w:r>
        <w:rPr>
          <w:rFonts w:hint="eastAsia" w:ascii="Times New Roman" w:hAnsi="Times New Roman" w:eastAsia="仿宋_GB2312" w:cs="Times New Roman"/>
          <w:color w:val="auto"/>
          <w:sz w:val="32"/>
          <w:szCs w:val="32"/>
        </w:rPr>
        <w:t>78.22万</w:t>
      </w:r>
      <w:r>
        <w:rPr>
          <w:rFonts w:ascii="Times New Roman" w:hAnsi="Times New Roman" w:eastAsia="仿宋_GB2312" w:cs="Times New Roman"/>
          <w:color w:val="auto"/>
          <w:sz w:val="32"/>
          <w:szCs w:val="32"/>
        </w:rPr>
        <w:t>元，主要包括：</w:t>
      </w:r>
      <w:r>
        <w:rPr>
          <w:rFonts w:hint="eastAsia" w:ascii="Times New Roman" w:hAnsi="Times New Roman" w:eastAsia="仿宋_GB2312" w:cs="Times New Roman"/>
          <w:color w:val="auto"/>
          <w:sz w:val="32"/>
          <w:szCs w:val="32"/>
        </w:rPr>
        <w:t>基本工资、津贴补贴、绩效工资、机关事业单位基本养老保险缴费、职工基本医疗保险缴费、公务员医疗补助缴费、其他社会保障缴费、住房公积金、其他工资福利支出、退休费、医疗费补助</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公用经费</w:t>
      </w:r>
      <w:r>
        <w:rPr>
          <w:rFonts w:hint="eastAsia" w:ascii="Times New Roman" w:hAnsi="Times New Roman" w:eastAsia="仿宋_GB2312" w:cs="Times New Roman"/>
          <w:color w:val="auto"/>
          <w:sz w:val="32"/>
          <w:szCs w:val="32"/>
        </w:rPr>
        <w:t>10.53</w:t>
      </w:r>
      <w:r>
        <w:rPr>
          <w:rFonts w:ascii="Times New Roman" w:hAnsi="Times New Roman" w:eastAsia="仿宋_GB2312" w:cs="Times New Roman"/>
          <w:color w:val="auto"/>
          <w:sz w:val="32"/>
          <w:szCs w:val="32"/>
        </w:rPr>
        <w:t>元，主要包括：</w:t>
      </w:r>
      <w:r>
        <w:rPr>
          <w:rFonts w:hint="eastAsia" w:ascii="Times New Roman" w:hAnsi="Times New Roman" w:eastAsia="仿宋_GB2312" w:cs="Times New Roman"/>
          <w:color w:val="auto"/>
          <w:sz w:val="32"/>
          <w:szCs w:val="32"/>
        </w:rPr>
        <w:t>办公费、水费、电费、邮电费、差旅费、公务接待费、工会经费、福利费、公务用车运行维护费、</w:t>
      </w:r>
      <w:r>
        <w:rPr>
          <w:rFonts w:hint="eastAsia" w:ascii="Times New Roman" w:hAnsi="Times New Roman" w:eastAsia="仿宋_GB2312" w:cs="Times New Roman"/>
          <w:color w:val="auto"/>
          <w:sz w:val="32"/>
          <w:szCs w:val="32"/>
          <w:lang w:val="en-US" w:eastAsia="zh-CN"/>
        </w:rPr>
        <w:t>其他商品和服务支出</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七、“三公”经费财政拨款预算安排情况说明</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市残疾人康复教育中心2021</w:t>
      </w:r>
      <w:r>
        <w:rPr>
          <w:rFonts w:ascii="Times New Roman" w:hAnsi="Times New Roman" w:eastAsia="仿宋_GB2312" w:cs="Times New Roman"/>
          <w:color w:val="auto"/>
          <w:sz w:val="32"/>
          <w:szCs w:val="32"/>
        </w:rPr>
        <w:t>年“三公”经费财政拨款预算数</w:t>
      </w:r>
      <w:r>
        <w:rPr>
          <w:rFonts w:hint="eastAsia" w:ascii="Times New Roman" w:hAnsi="Times New Roman" w:eastAsia="仿宋_GB2312" w:cs="Times New Roman"/>
          <w:color w:val="auto"/>
          <w:sz w:val="32"/>
          <w:szCs w:val="32"/>
        </w:rPr>
        <w:t>1.81</w:t>
      </w:r>
      <w:r>
        <w:rPr>
          <w:rFonts w:ascii="Times New Roman" w:hAnsi="Times New Roman" w:eastAsia="仿宋_GB2312" w:cs="Times New Roman"/>
          <w:color w:val="auto"/>
          <w:sz w:val="32"/>
          <w:szCs w:val="32"/>
        </w:rPr>
        <w:t>元，其中：因公出国（境）经费</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万元，公务接待费</w:t>
      </w:r>
      <w:r>
        <w:rPr>
          <w:rFonts w:hint="eastAsia" w:ascii="Times New Roman" w:hAnsi="Times New Roman" w:eastAsia="仿宋_GB2312" w:cs="Times New Roman"/>
          <w:color w:val="auto"/>
          <w:sz w:val="32"/>
          <w:szCs w:val="32"/>
        </w:rPr>
        <w:t>0.19</w:t>
      </w:r>
      <w:r>
        <w:rPr>
          <w:rFonts w:ascii="Times New Roman" w:hAnsi="Times New Roman" w:eastAsia="仿宋_GB2312" w:cs="Times New Roman"/>
          <w:color w:val="auto"/>
          <w:sz w:val="32"/>
          <w:szCs w:val="32"/>
        </w:rPr>
        <w:t>元，公务用车购置及运行维护费</w:t>
      </w:r>
      <w:r>
        <w:rPr>
          <w:rFonts w:hint="eastAsia" w:ascii="Times New Roman" w:hAnsi="Times New Roman" w:eastAsia="仿宋_GB2312" w:cs="Times New Roman"/>
          <w:color w:val="auto"/>
          <w:sz w:val="32"/>
          <w:szCs w:val="32"/>
        </w:rPr>
        <w:t>1.62</w:t>
      </w:r>
      <w:r>
        <w:rPr>
          <w:rFonts w:ascii="Times New Roman" w:hAnsi="Times New Roman" w:eastAsia="仿宋_GB2312" w:cs="Times New Roman"/>
          <w:color w:val="auto"/>
          <w:sz w:val="32"/>
          <w:szCs w:val="32"/>
        </w:rPr>
        <w:t>元。</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楷体_GB2312" w:cs="Times New Roman"/>
          <w:color w:val="auto"/>
          <w:sz w:val="32"/>
          <w:szCs w:val="32"/>
        </w:rPr>
      </w:pPr>
      <w:r>
        <w:rPr>
          <w:rFonts w:ascii="Times New Roman" w:hAnsi="Times New Roman" w:eastAsia="楷体_GB2312" w:cs="Times New Roman"/>
          <w:b/>
          <w:color w:val="auto"/>
          <w:sz w:val="32"/>
          <w:szCs w:val="32"/>
        </w:rPr>
        <w:t>（一）</w:t>
      </w:r>
      <w:r>
        <w:rPr>
          <w:rFonts w:hint="eastAsia" w:ascii="Times New Roman" w:hAnsi="Times New Roman" w:eastAsia="楷体_GB2312" w:cs="Times New Roman"/>
          <w:b/>
          <w:color w:val="auto"/>
          <w:sz w:val="32"/>
          <w:szCs w:val="32"/>
        </w:rPr>
        <w:t>因公出国（境）经费较2020年预算持平。</w:t>
      </w:r>
      <w:r>
        <w:rPr>
          <w:rFonts w:hint="eastAsia" w:ascii="Times New Roman" w:hAnsi="Times New Roman" w:eastAsia="仿宋_GB2312" w:cs="Times New Roman"/>
          <w:color w:val="auto"/>
          <w:sz w:val="32"/>
          <w:szCs w:val="32"/>
        </w:rPr>
        <w:t>主要原因是因公出国（境）经费未下达预算，也未发生预算支出。</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楷体_GB2312" w:cs="Times New Roman"/>
          <w:b/>
          <w:color w:val="auto"/>
          <w:sz w:val="32"/>
          <w:szCs w:val="32"/>
        </w:rPr>
        <w:t>（二）公务接待费较20</w:t>
      </w:r>
      <w:r>
        <w:rPr>
          <w:rFonts w:hint="eastAsia" w:ascii="Times New Roman" w:hAnsi="Times New Roman" w:eastAsia="楷体_GB2312" w:cs="Times New Roman"/>
          <w:b/>
          <w:color w:val="auto"/>
          <w:sz w:val="32"/>
          <w:szCs w:val="32"/>
        </w:rPr>
        <w:t>20</w:t>
      </w:r>
      <w:r>
        <w:rPr>
          <w:rFonts w:ascii="Times New Roman" w:hAnsi="Times New Roman" w:eastAsia="楷体_GB2312" w:cs="Times New Roman"/>
          <w:b/>
          <w:color w:val="auto"/>
          <w:sz w:val="32"/>
          <w:szCs w:val="32"/>
        </w:rPr>
        <w:t>年预算下降</w:t>
      </w:r>
      <w:r>
        <w:rPr>
          <w:rFonts w:hint="eastAsia" w:ascii="Times New Roman" w:hAnsi="Times New Roman" w:eastAsia="楷体_GB2312" w:cs="Times New Roman"/>
          <w:b/>
          <w:color w:val="auto"/>
          <w:sz w:val="32"/>
          <w:szCs w:val="32"/>
        </w:rPr>
        <w:t>5.01</w:t>
      </w:r>
      <w:r>
        <w:rPr>
          <w:rFonts w:ascii="Times New Roman" w:hAnsi="Times New Roman" w:eastAsia="楷体_GB2312" w:cs="Times New Roman"/>
          <w:b/>
          <w:color w:val="auto"/>
          <w:sz w:val="32"/>
          <w:szCs w:val="32"/>
        </w:rPr>
        <w:t>%</w:t>
      </w:r>
      <w:r>
        <w:rPr>
          <w:rFonts w:hint="eastAsia" w:ascii="Times New Roman" w:hAnsi="Times New Roman" w:eastAsia="楷体_GB2312" w:cs="Times New Roman"/>
          <w:b/>
          <w:color w:val="auto"/>
          <w:sz w:val="32"/>
          <w:szCs w:val="32"/>
        </w:rPr>
        <w:t>。</w:t>
      </w:r>
      <w:r>
        <w:rPr>
          <w:rFonts w:hint="eastAsia" w:ascii="Times New Roman" w:hAnsi="Times New Roman" w:eastAsia="仿宋_GB2312" w:cs="Times New Roman"/>
          <w:color w:val="auto"/>
          <w:sz w:val="32"/>
          <w:szCs w:val="32"/>
        </w:rPr>
        <w:t>主要原因是严格按照中央八项规定和省、市十项规定的要求，厉行节约反对浪费，控制三公经费</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rPr>
        <w:t>年公务接待费计划用于</w:t>
      </w:r>
      <w:r>
        <w:rPr>
          <w:rFonts w:hint="eastAsia" w:ascii="Times New Roman" w:hAnsi="Times New Roman" w:eastAsia="仿宋_GB2312" w:cs="Times New Roman"/>
          <w:color w:val="auto"/>
          <w:sz w:val="32"/>
          <w:szCs w:val="32"/>
        </w:rPr>
        <w:t>日常公务接待支出</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color w:val="auto"/>
          <w:sz w:val="32"/>
          <w:szCs w:val="32"/>
        </w:rPr>
      </w:pPr>
      <w:r>
        <w:rPr>
          <w:rFonts w:ascii="Times New Roman" w:hAnsi="Times New Roman" w:eastAsia="楷体_GB2312" w:cs="Times New Roman"/>
          <w:b/>
          <w:color w:val="auto"/>
          <w:sz w:val="32"/>
          <w:szCs w:val="32"/>
        </w:rPr>
        <w:t>（三）公务用车购置及运行维护费较20</w:t>
      </w:r>
      <w:r>
        <w:rPr>
          <w:rFonts w:hint="eastAsia" w:ascii="Times New Roman" w:hAnsi="Times New Roman" w:eastAsia="楷体_GB2312" w:cs="Times New Roman"/>
          <w:b/>
          <w:color w:val="auto"/>
          <w:sz w:val="32"/>
          <w:szCs w:val="32"/>
        </w:rPr>
        <w:t>20</w:t>
      </w:r>
      <w:r>
        <w:rPr>
          <w:rFonts w:ascii="Times New Roman" w:hAnsi="Times New Roman" w:eastAsia="楷体_GB2312" w:cs="Times New Roman"/>
          <w:b/>
          <w:color w:val="auto"/>
          <w:sz w:val="32"/>
          <w:szCs w:val="32"/>
        </w:rPr>
        <w:t>年预算下降</w:t>
      </w:r>
      <w:r>
        <w:rPr>
          <w:rFonts w:hint="eastAsia" w:ascii="Times New Roman" w:hAnsi="Times New Roman" w:eastAsia="楷体_GB2312" w:cs="Times New Roman"/>
          <w:b/>
          <w:color w:val="auto"/>
          <w:sz w:val="32"/>
          <w:szCs w:val="32"/>
        </w:rPr>
        <w:t>5.26</w:t>
      </w:r>
      <w:r>
        <w:rPr>
          <w:rFonts w:ascii="Times New Roman" w:hAnsi="Times New Roman" w:eastAsia="楷体_GB2312" w:cs="Times New Roman"/>
          <w:b/>
          <w:color w:val="auto"/>
          <w:sz w:val="32"/>
          <w:szCs w:val="32"/>
        </w:rPr>
        <w:t>%</w:t>
      </w:r>
      <w:r>
        <w:rPr>
          <w:rFonts w:hint="eastAsia" w:ascii="Times New Roman" w:hAnsi="Times New Roman" w:eastAsia="楷体_GB2312" w:cs="Times New Roman"/>
          <w:b/>
          <w:color w:val="auto"/>
          <w:sz w:val="32"/>
          <w:szCs w:val="32"/>
        </w:rPr>
        <w:t>，</w:t>
      </w:r>
      <w:r>
        <w:rPr>
          <w:rFonts w:ascii="Times New Roman" w:hAnsi="Times New Roman" w:eastAsia="仿宋_GB2312" w:cs="Times New Roman"/>
          <w:color w:val="auto"/>
          <w:sz w:val="32"/>
          <w:szCs w:val="32"/>
        </w:rPr>
        <w:t>主要原因是</w:t>
      </w:r>
      <w:r>
        <w:rPr>
          <w:rFonts w:hint="eastAsia" w:ascii="Times New Roman" w:hAnsi="Times New Roman" w:eastAsia="仿宋_GB2312" w:cs="Times New Roman"/>
          <w:color w:val="auto"/>
          <w:sz w:val="32"/>
          <w:szCs w:val="32"/>
        </w:rPr>
        <w:t>严格按照中央八项规定和省、市十项规定的要求，厉行节约反对浪费，控制三公经费</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单位现有公务用车2辆，其中：轿车（含7座以下商务车、城市越野车）1辆，7座以上19座（含19座）以下客车1辆。</w:t>
      </w:r>
    </w:p>
    <w:p>
      <w:pPr>
        <w:keepNext w:val="0"/>
        <w:keepLines w:val="0"/>
        <w:pageBreakBefore w:val="0"/>
        <w:kinsoku/>
        <w:wordWrap/>
        <w:overflowPunct/>
        <w:topLinePunct w:val="0"/>
        <w:autoSpaceDE/>
        <w:autoSpaceDN/>
        <w:bidi w:val="0"/>
        <w:snapToGrid/>
        <w:spacing w:line="540" w:lineRule="exact"/>
        <w:ind w:firstLine="640"/>
        <w:textAlignment w:val="auto"/>
        <w:rPr>
          <w:rFonts w:hint="default"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lang w:val="en-US" w:eastAsia="zh-CN"/>
        </w:rPr>
        <w:t>1</w:t>
      </w:r>
      <w:r>
        <w:rPr>
          <w:rFonts w:ascii="Times New Roman" w:hAnsi="Times New Roman" w:eastAsia="仿宋_GB2312" w:cs="Times New Roman"/>
          <w:color w:val="auto"/>
          <w:sz w:val="32"/>
          <w:szCs w:val="32"/>
        </w:rPr>
        <w:t>年安排公务用车购置费0万元</w:t>
      </w:r>
      <w:r>
        <w:rPr>
          <w:rFonts w:hint="eastAsia" w:ascii="Times New Roman" w:hAnsi="Times New Roman" w:eastAsia="仿宋_GB2312" w:cs="Times New Roman"/>
          <w:color w:val="auto"/>
          <w:sz w:val="32"/>
          <w:szCs w:val="32"/>
          <w:lang w:eastAsia="zh-CN"/>
        </w:rPr>
        <w:t>，</w:t>
      </w:r>
      <w:r>
        <w:rPr>
          <w:rFonts w:hint="default" w:ascii="Times New Roman" w:hAnsi="Times New Roman" w:eastAsia="仿宋_GB2312" w:cs="Times New Roman"/>
          <w:color w:val="auto"/>
          <w:sz w:val="32"/>
          <w:szCs w:val="32"/>
        </w:rPr>
        <w:t>购置公务用车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辆，其中：轿车（含7座以下商务车、城市越野车）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辆，7座以上19座（含19座）以下客车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辆，越野车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辆，货车及19座以上客车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辆，摩托车</w:t>
      </w:r>
      <w:r>
        <w:rPr>
          <w:rFonts w:hint="default" w:ascii="Times New Roman" w:hAnsi="Times New Roman" w:eastAsia="仿宋_GB2312" w:cs="Times New Roman"/>
          <w:color w:val="auto"/>
          <w:sz w:val="32"/>
          <w:szCs w:val="32"/>
          <w:lang w:val="en-US" w:eastAsia="zh-CN"/>
        </w:rPr>
        <w:t>0</w:t>
      </w:r>
      <w:r>
        <w:rPr>
          <w:rFonts w:hint="default" w:ascii="Times New Roman" w:hAnsi="Times New Roman" w:eastAsia="仿宋_GB2312" w:cs="Times New Roman"/>
          <w:color w:val="auto"/>
          <w:sz w:val="32"/>
          <w:szCs w:val="32"/>
        </w:rPr>
        <w:t>辆。</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rPr>
        <w:t>年安排公务用车运行维护费</w:t>
      </w:r>
      <w:r>
        <w:rPr>
          <w:rFonts w:hint="eastAsia" w:ascii="Times New Roman" w:hAnsi="Times New Roman" w:eastAsia="仿宋_GB2312" w:cs="Times New Roman"/>
          <w:color w:val="auto"/>
          <w:sz w:val="32"/>
          <w:szCs w:val="32"/>
        </w:rPr>
        <w:t>1.62万</w:t>
      </w:r>
      <w:r>
        <w:rPr>
          <w:rFonts w:ascii="Times New Roman" w:hAnsi="Times New Roman" w:eastAsia="仿宋_GB2312" w:cs="Times New Roman"/>
          <w:color w:val="auto"/>
          <w:sz w:val="32"/>
          <w:szCs w:val="32"/>
        </w:rPr>
        <w:t>元，用于</w:t>
      </w:r>
      <w:r>
        <w:rPr>
          <w:rFonts w:hint="eastAsia"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rPr>
        <w:t>辆公务用车燃油、维修、车辆通行等方面支出，</w:t>
      </w:r>
      <w:r>
        <w:rPr>
          <w:rFonts w:hint="eastAsia" w:ascii="Times New Roman" w:hAnsi="Times New Roman" w:eastAsia="仿宋_GB2312" w:cs="Times New Roman"/>
          <w:color w:val="auto"/>
          <w:sz w:val="32"/>
          <w:szCs w:val="32"/>
        </w:rPr>
        <w:t>主要保障日常公务出行及辅具车的日常运行等工作开展</w:t>
      </w:r>
      <w:r>
        <w:rPr>
          <w:rFonts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八、政府性基金预算支出情况说明</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市残疾人康复教育中心2021</w:t>
      </w:r>
      <w:r>
        <w:rPr>
          <w:rFonts w:ascii="Times New Roman" w:hAnsi="Times New Roman" w:eastAsia="仿宋_GB2312" w:cs="Times New Roman"/>
          <w:color w:val="auto"/>
          <w:sz w:val="32"/>
          <w:szCs w:val="32"/>
        </w:rPr>
        <w:t>年没有政府性基金预算拨款安排的支出。</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九、其他重要事项的情况说明</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楷体_GB2312" w:cs="Times New Roman"/>
          <w:b/>
          <w:color w:val="auto"/>
          <w:sz w:val="32"/>
          <w:szCs w:val="32"/>
        </w:rPr>
      </w:pPr>
      <w:r>
        <w:rPr>
          <w:rFonts w:ascii="Times New Roman" w:hAnsi="Times New Roman" w:eastAsia="楷体_GB2312" w:cs="Times New Roman"/>
          <w:b/>
          <w:color w:val="auto"/>
          <w:sz w:val="32"/>
          <w:szCs w:val="32"/>
        </w:rPr>
        <w:t>（一）业务运行经费</w:t>
      </w:r>
    </w:p>
    <w:p>
      <w:pPr>
        <w:keepNext w:val="0"/>
        <w:keepLines w:val="0"/>
        <w:pageBreakBefore w:val="0"/>
        <w:widowControl w:val="0"/>
        <w:kinsoku/>
        <w:wordWrap/>
        <w:overflowPunct/>
        <w:topLinePunct w:val="0"/>
        <w:autoSpaceDE/>
        <w:autoSpaceDN/>
        <w:bidi w:val="0"/>
        <w:adjustRightInd/>
        <w:snapToGrid/>
        <w:spacing w:line="540" w:lineRule="exact"/>
        <w:ind w:firstLine="640" w:firstLineChars="20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rPr>
        <w:t>年，市</w:t>
      </w:r>
      <w:r>
        <w:rPr>
          <w:rFonts w:hint="eastAsia" w:ascii="Times New Roman" w:hAnsi="Times New Roman" w:eastAsia="仿宋_GB2312" w:cs="Times New Roman"/>
          <w:color w:val="auto"/>
          <w:sz w:val="32"/>
          <w:szCs w:val="32"/>
        </w:rPr>
        <w:t>残疾人康复教育中心</w:t>
      </w:r>
      <w:r>
        <w:rPr>
          <w:rFonts w:hint="eastAsia" w:ascii="Times New Roman" w:hAnsi="Times New Roman" w:eastAsia="仿宋_GB2312" w:cs="Times New Roman"/>
          <w:color w:val="auto"/>
          <w:sz w:val="32"/>
          <w:szCs w:val="32"/>
          <w:lang w:val="en-US" w:eastAsia="zh-CN"/>
        </w:rPr>
        <w:t>系公益一类事业单位，</w:t>
      </w:r>
      <w:r>
        <w:rPr>
          <w:rFonts w:hint="default" w:ascii="Times New Roman" w:hAnsi="Times New Roman" w:eastAsia="仿宋_GB2312" w:cs="Times New Roman"/>
          <w:color w:val="auto"/>
          <w:sz w:val="32"/>
          <w:szCs w:val="32"/>
          <w:lang w:val="en-US" w:eastAsia="zh-CN"/>
        </w:rPr>
        <w:t>无</w:t>
      </w:r>
      <w:r>
        <w:rPr>
          <w:rFonts w:hint="default" w:ascii="Times New Roman" w:hAnsi="Times New Roman" w:eastAsia="仿宋_GB2312" w:cs="Times New Roman"/>
          <w:color w:val="auto"/>
          <w:sz w:val="32"/>
          <w:szCs w:val="32"/>
        </w:rPr>
        <w:t>机关运行经费财政拨款预算</w:t>
      </w:r>
      <w:r>
        <w:rPr>
          <w:rFonts w:hint="eastAsia" w:ascii="Times New Roman" w:hAnsi="Times New Roman" w:eastAsia="仿宋_GB2312" w:cs="Times New Roman"/>
          <w:color w:val="auto"/>
          <w:sz w:val="32"/>
          <w:szCs w:val="32"/>
        </w:rPr>
        <w:t>。</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楷体_GB2312" w:cs="Times New Roman"/>
          <w:b/>
          <w:color w:val="auto"/>
          <w:sz w:val="32"/>
          <w:szCs w:val="32"/>
        </w:rPr>
      </w:pPr>
      <w:r>
        <w:rPr>
          <w:rFonts w:ascii="Times New Roman" w:hAnsi="Times New Roman" w:eastAsia="楷体_GB2312" w:cs="Times New Roman"/>
          <w:b/>
          <w:color w:val="auto"/>
          <w:sz w:val="32"/>
          <w:szCs w:val="32"/>
        </w:rPr>
        <w:t>（二）国有资产占有使用情况</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截至20</w:t>
      </w:r>
      <w:r>
        <w:rPr>
          <w:rFonts w:hint="eastAsia" w:ascii="Times New Roman" w:hAnsi="Times New Roman" w:eastAsia="仿宋_GB2312" w:cs="Times New Roman"/>
          <w:color w:val="auto"/>
          <w:sz w:val="32"/>
          <w:szCs w:val="32"/>
        </w:rPr>
        <w:t>20</w:t>
      </w:r>
      <w:r>
        <w:rPr>
          <w:rFonts w:ascii="Times New Roman" w:hAnsi="Times New Roman" w:eastAsia="仿宋_GB2312" w:cs="Times New Roman"/>
          <w:color w:val="auto"/>
          <w:sz w:val="32"/>
          <w:szCs w:val="32"/>
        </w:rPr>
        <w:t>年底，</w:t>
      </w:r>
      <w:r>
        <w:rPr>
          <w:rFonts w:hint="eastAsia" w:ascii="Times New Roman" w:hAnsi="Times New Roman" w:eastAsia="仿宋_GB2312" w:cs="Times New Roman"/>
          <w:color w:val="auto"/>
          <w:sz w:val="32"/>
          <w:szCs w:val="32"/>
        </w:rPr>
        <w:t>市残疾人康复教育中心</w:t>
      </w:r>
      <w:r>
        <w:rPr>
          <w:rFonts w:ascii="Times New Roman" w:hAnsi="Times New Roman" w:eastAsia="仿宋_GB2312" w:cs="Times New Roman"/>
          <w:color w:val="auto"/>
          <w:sz w:val="32"/>
          <w:szCs w:val="32"/>
        </w:rPr>
        <w:t>共有车辆</w:t>
      </w:r>
      <w:r>
        <w:rPr>
          <w:rFonts w:hint="eastAsia"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rPr>
        <w:t>辆，其中，执法执勤用车</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辆</w:t>
      </w:r>
      <w:r>
        <w:rPr>
          <w:rFonts w:hint="eastAsia" w:ascii="Times New Roman" w:hAnsi="Times New Roman" w:eastAsia="仿宋_GB2312" w:cs="Times New Roman"/>
          <w:color w:val="auto"/>
          <w:sz w:val="32"/>
          <w:szCs w:val="32"/>
        </w:rPr>
        <w:t>。</w:t>
      </w:r>
      <w:r>
        <w:rPr>
          <w:rFonts w:ascii="Times New Roman" w:hAnsi="Times New Roman" w:eastAsia="仿宋_GB2312" w:cs="Times New Roman"/>
          <w:color w:val="auto"/>
          <w:sz w:val="32"/>
          <w:szCs w:val="32"/>
        </w:rPr>
        <w:t>单位价值200万元以上大型设备</w:t>
      </w:r>
      <w:r>
        <w:rPr>
          <w:rFonts w:hint="eastAsia" w:ascii="Times New Roman" w:hAnsi="Times New Roman" w:eastAsia="仿宋_GB2312" w:cs="Times New Roman"/>
          <w:color w:val="auto"/>
          <w:sz w:val="32"/>
          <w:szCs w:val="32"/>
        </w:rPr>
        <w:t>0</w:t>
      </w:r>
      <w:r>
        <w:rPr>
          <w:rFonts w:ascii="Times New Roman" w:hAnsi="Times New Roman" w:eastAsia="仿宋_GB2312" w:cs="Times New Roman"/>
          <w:color w:val="auto"/>
          <w:sz w:val="32"/>
          <w:szCs w:val="32"/>
        </w:rPr>
        <w:t>台。</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楷体_GB2312" w:cs="Times New Roman"/>
          <w:b/>
          <w:color w:val="auto"/>
          <w:sz w:val="32"/>
          <w:szCs w:val="32"/>
        </w:rPr>
      </w:pPr>
      <w:r>
        <w:rPr>
          <w:rFonts w:ascii="Times New Roman" w:hAnsi="Times New Roman" w:eastAsia="楷体_GB2312" w:cs="Times New Roman"/>
          <w:b/>
          <w:color w:val="auto"/>
          <w:sz w:val="32"/>
          <w:szCs w:val="32"/>
        </w:rPr>
        <w:t>（三）绩效目标设置情况</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202</w:t>
      </w:r>
      <w:r>
        <w:rPr>
          <w:rFonts w:hint="eastAsia" w:ascii="Times New Roman" w:hAnsi="Times New Roman" w:eastAsia="仿宋_GB2312" w:cs="Times New Roman"/>
          <w:color w:val="auto"/>
          <w:sz w:val="32"/>
          <w:szCs w:val="32"/>
        </w:rPr>
        <w:t>1</w:t>
      </w:r>
      <w:r>
        <w:rPr>
          <w:rFonts w:ascii="Times New Roman" w:hAnsi="Times New Roman" w:eastAsia="仿宋_GB2312" w:cs="Times New Roman"/>
          <w:color w:val="auto"/>
          <w:sz w:val="32"/>
          <w:szCs w:val="32"/>
        </w:rPr>
        <w:t>年</w:t>
      </w:r>
      <w:r>
        <w:rPr>
          <w:rFonts w:hint="eastAsia" w:ascii="Times New Roman" w:hAnsi="Times New Roman" w:eastAsia="仿宋_GB2312" w:cs="Times New Roman"/>
          <w:color w:val="auto"/>
          <w:sz w:val="32"/>
          <w:szCs w:val="32"/>
        </w:rPr>
        <w:t>市残疾人康复教育中心</w:t>
      </w:r>
      <w:r>
        <w:rPr>
          <w:rFonts w:ascii="Times New Roman" w:hAnsi="Times New Roman" w:eastAsia="仿宋_GB2312" w:cs="Times New Roman"/>
          <w:color w:val="auto"/>
          <w:sz w:val="32"/>
          <w:szCs w:val="32"/>
        </w:rPr>
        <w:t>部门通用项目和专用项目均按要求实行绩效目标管理，涉及一般公共预算当年拨款</w:t>
      </w:r>
      <w:r>
        <w:rPr>
          <w:rFonts w:hint="eastAsia" w:ascii="Times New Roman" w:hAnsi="Times New Roman" w:eastAsia="仿宋_GB2312" w:cs="Times New Roman"/>
          <w:color w:val="auto"/>
          <w:sz w:val="32"/>
          <w:szCs w:val="32"/>
        </w:rPr>
        <w:t>47万</w:t>
      </w:r>
      <w:r>
        <w:rPr>
          <w:rFonts w:ascii="Times New Roman" w:hAnsi="Times New Roman" w:eastAsia="仿宋_GB2312" w:cs="Times New Roman"/>
          <w:color w:val="auto"/>
          <w:sz w:val="32"/>
          <w:szCs w:val="32"/>
        </w:rPr>
        <w:t>元。</w:t>
      </w:r>
    </w:p>
    <w:p>
      <w:pPr>
        <w:keepNext w:val="0"/>
        <w:keepLines w:val="0"/>
        <w:pageBreakBefore w:val="0"/>
        <w:kinsoku/>
        <w:wordWrap/>
        <w:overflowPunct/>
        <w:topLinePunct w:val="0"/>
        <w:autoSpaceDE/>
        <w:autoSpaceDN/>
        <w:bidi w:val="0"/>
        <w:spacing w:line="540" w:lineRule="exact"/>
        <w:ind w:firstLine="640" w:firstLineChars="200"/>
        <w:textAlignment w:val="auto"/>
        <w:rPr>
          <w:rFonts w:ascii="Times New Roman" w:hAnsi="Times New Roman" w:eastAsia="黑体" w:cs="Times New Roman"/>
          <w:color w:val="auto"/>
          <w:sz w:val="32"/>
          <w:szCs w:val="32"/>
        </w:rPr>
      </w:pPr>
      <w:r>
        <w:rPr>
          <w:rFonts w:ascii="Times New Roman" w:hAnsi="Times New Roman" w:eastAsia="黑体" w:cs="Times New Roman"/>
          <w:color w:val="auto"/>
          <w:sz w:val="32"/>
          <w:szCs w:val="32"/>
        </w:rPr>
        <w:t>十、名词解释</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color w:val="auto"/>
          <w:sz w:val="32"/>
          <w:szCs w:val="32"/>
        </w:rPr>
      </w:pPr>
      <w:r>
        <w:rPr>
          <w:rFonts w:ascii="Times New Roman" w:hAnsi="Times New Roman" w:eastAsia="仿宋_GB2312" w:cs="Times New Roman"/>
          <w:color w:val="auto"/>
          <w:sz w:val="32"/>
          <w:szCs w:val="32"/>
        </w:rPr>
        <w:t>1.一般公共预算拨款收入：指市级财政当年拨付的资金。</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2</w:t>
      </w:r>
      <w:r>
        <w:rPr>
          <w:rFonts w:ascii="Times New Roman" w:hAnsi="Times New Roman" w:eastAsia="仿宋_GB2312" w:cs="Times New Roman"/>
          <w:color w:val="auto"/>
          <w:sz w:val="32"/>
          <w:szCs w:val="32"/>
        </w:rPr>
        <w:t>.基本支出：指为保证机构正常运转，完成日常工作任务而发生的人员支出和公用支出。</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color w:val="auto"/>
          <w:sz w:val="32"/>
          <w:szCs w:val="32"/>
        </w:rPr>
      </w:pPr>
      <w:r>
        <w:rPr>
          <w:rFonts w:hint="eastAsia" w:ascii="Times New Roman" w:hAnsi="Times New Roman" w:eastAsia="仿宋_GB2312" w:cs="Times New Roman"/>
          <w:color w:val="auto"/>
          <w:sz w:val="32"/>
          <w:szCs w:val="32"/>
        </w:rPr>
        <w:t>3</w:t>
      </w:r>
      <w:r>
        <w:rPr>
          <w:rFonts w:ascii="Times New Roman" w:hAnsi="Times New Roman" w:eastAsia="仿宋_GB2312" w:cs="Times New Roman"/>
          <w:color w:val="auto"/>
          <w:sz w:val="32"/>
          <w:szCs w:val="32"/>
        </w:rPr>
        <w:t>.项目支出：指在基本支出之外为完成特定行政任务和事业发展目标所发生的支出。</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sz w:val="32"/>
          <w:szCs w:val="32"/>
        </w:rPr>
      </w:pPr>
      <w:r>
        <w:rPr>
          <w:rFonts w:hint="eastAsia" w:ascii="Times New Roman" w:hAnsi="Times New Roman" w:eastAsia="仿宋_GB2312" w:cs="Times New Roman"/>
          <w:color w:val="auto"/>
          <w:sz w:val="32"/>
          <w:szCs w:val="32"/>
        </w:rPr>
        <w:t>4</w:t>
      </w:r>
      <w:r>
        <w:rPr>
          <w:rFonts w:ascii="Times New Roman" w:hAnsi="Times New Roman" w:eastAsia="仿宋_GB2312" w:cs="Times New Roman"/>
          <w:color w:val="auto"/>
          <w:sz w:val="32"/>
          <w:szCs w:val="32"/>
        </w:rPr>
        <w:t>.“三公”经费：纳入预决算管理的“三公”经费，是指部门用财政拨款安排的因公出国（境）费、公务用车购置及运行费和公务接待费。其中，因公出国（境）费反映单位公务出国（境）的国际旅费、国外城市间交通费、住宿费、伙食费、培训费、公杂</w:t>
      </w:r>
      <w:r>
        <w:rPr>
          <w:rFonts w:ascii="Times New Roman" w:hAnsi="Times New Roman" w:eastAsia="仿宋_GB2312" w:cs="Times New Roman"/>
          <w:sz w:val="32"/>
          <w:szCs w:val="32"/>
        </w:rPr>
        <w:t>费等支出；公务用车购置及运行费反映单位公务用车车辆购置支出（含车辆购置税）及租用费、燃料费、维修费、过路过桥费、保险费等支出；公务接待费反映单位按规定开支的各类公务接待（含外宾接待）支出。</w:t>
      </w:r>
    </w:p>
    <w:p>
      <w:pPr>
        <w:keepNext w:val="0"/>
        <w:keepLines w:val="0"/>
        <w:pageBreakBefore w:val="0"/>
        <w:kinsoku/>
        <w:wordWrap/>
        <w:overflowPunct/>
        <w:topLinePunct w:val="0"/>
        <w:autoSpaceDE/>
        <w:autoSpaceDN/>
        <w:bidi w:val="0"/>
        <w:spacing w:line="540" w:lineRule="exact"/>
        <w:ind w:firstLine="640"/>
        <w:textAlignment w:val="auto"/>
        <w:rPr>
          <w:rFonts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spacing w:line="540" w:lineRule="exact"/>
        <w:textAlignment w:val="auto"/>
        <w:rPr>
          <w:rFonts w:hint="eastAsia" w:ascii="仿宋_GB2312" w:hAnsi="仿宋_GB2312" w:eastAsia="仿宋_GB2312" w:cs="仿宋_GB2312"/>
          <w:sz w:val="32"/>
          <w:szCs w:val="32"/>
        </w:rPr>
      </w:pPr>
    </w:p>
    <w:p>
      <w:pPr>
        <w:keepNext w:val="0"/>
        <w:keepLines w:val="0"/>
        <w:pageBreakBefore w:val="0"/>
        <w:kinsoku/>
        <w:wordWrap/>
        <w:overflowPunct/>
        <w:topLinePunct w:val="0"/>
        <w:autoSpaceDE/>
        <w:autoSpaceDN/>
        <w:bidi w:val="0"/>
        <w:spacing w:line="540" w:lineRule="exact"/>
        <w:ind w:firstLine="640" w:firstLineChars="2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附件：表1.</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收支总表</w:t>
      </w:r>
    </w:p>
    <w:p>
      <w:pPr>
        <w:keepNext w:val="0"/>
        <w:keepLines w:val="0"/>
        <w:pageBreakBefore w:val="0"/>
        <w:kinsoku/>
        <w:wordWrap/>
        <w:overflowPunct/>
        <w:topLinePunct w:val="0"/>
        <w:autoSpaceDE/>
        <w:autoSpaceDN/>
        <w:bidi w:val="0"/>
        <w:spacing w:line="54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表1-1.</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收入总表</w:t>
      </w:r>
    </w:p>
    <w:p>
      <w:pPr>
        <w:keepNext w:val="0"/>
        <w:keepLines w:val="0"/>
        <w:pageBreakBefore w:val="0"/>
        <w:kinsoku/>
        <w:wordWrap/>
        <w:overflowPunct/>
        <w:topLinePunct w:val="0"/>
        <w:autoSpaceDE/>
        <w:autoSpaceDN/>
        <w:bidi w:val="0"/>
        <w:spacing w:line="540" w:lineRule="exact"/>
        <w:ind w:firstLine="64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rPr>
        <w:t>表1-2.</w:t>
      </w:r>
      <w:r>
        <w:rPr>
          <w:rFonts w:hint="eastAsia" w:ascii="仿宋_GB2312" w:hAnsi="仿宋_GB2312" w:eastAsia="仿宋_GB2312" w:cs="仿宋_GB2312"/>
          <w:sz w:val="32"/>
          <w:szCs w:val="32"/>
          <w:lang w:val="en-US" w:eastAsia="zh-CN"/>
        </w:rPr>
        <w:t>单位</w:t>
      </w:r>
      <w:r>
        <w:rPr>
          <w:rFonts w:hint="eastAsia" w:ascii="仿宋_GB2312" w:hAnsi="仿宋_GB2312" w:eastAsia="仿宋_GB2312" w:cs="仿宋_GB2312"/>
          <w:sz w:val="32"/>
          <w:szCs w:val="32"/>
        </w:rPr>
        <w:t>支出总表</w:t>
      </w:r>
    </w:p>
    <w:p>
      <w:pPr>
        <w:keepNext w:val="0"/>
        <w:keepLines w:val="0"/>
        <w:pageBreakBefore w:val="0"/>
        <w:kinsoku/>
        <w:wordWrap/>
        <w:overflowPunct/>
        <w:topLinePunct w:val="0"/>
        <w:autoSpaceDE/>
        <w:autoSpaceDN/>
        <w:bidi w:val="0"/>
        <w:spacing w:line="540" w:lineRule="exact"/>
        <w:ind w:firstLine="1600" w:firstLineChars="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表2.财政拨款收支预算总表</w:t>
      </w:r>
    </w:p>
    <w:p>
      <w:pPr>
        <w:keepNext w:val="0"/>
        <w:keepLines w:val="0"/>
        <w:pageBreakBefore w:val="0"/>
        <w:kinsoku/>
        <w:wordWrap/>
        <w:overflowPunct/>
        <w:topLinePunct w:val="0"/>
        <w:autoSpaceDE/>
        <w:autoSpaceDN/>
        <w:bidi w:val="0"/>
        <w:spacing w:line="540" w:lineRule="exact"/>
        <w:ind w:firstLine="1600" w:firstLineChars="500"/>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表2-1.财政拨款支出预算表</w:t>
      </w:r>
    </w:p>
    <w:p>
      <w:pPr>
        <w:keepNext w:val="0"/>
        <w:keepLines w:val="0"/>
        <w:pageBreakBefore w:val="0"/>
        <w:kinsoku/>
        <w:wordWrap/>
        <w:overflowPunct/>
        <w:topLinePunct w:val="0"/>
        <w:autoSpaceDE/>
        <w:autoSpaceDN/>
        <w:bidi w:val="0"/>
        <w:spacing w:line="540" w:lineRule="exact"/>
        <w:ind w:firstLine="1600" w:firstLineChars="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表3.一般公共预算支出预算表</w:t>
      </w:r>
    </w:p>
    <w:p>
      <w:pPr>
        <w:keepNext w:val="0"/>
        <w:keepLines w:val="0"/>
        <w:pageBreakBefore w:val="0"/>
        <w:kinsoku/>
        <w:wordWrap/>
        <w:overflowPunct/>
        <w:topLinePunct w:val="0"/>
        <w:autoSpaceDE/>
        <w:autoSpaceDN/>
        <w:bidi w:val="0"/>
        <w:spacing w:line="540" w:lineRule="exact"/>
        <w:ind w:firstLine="1600" w:firstLineChars="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表3-1.一般公共预算基本支出预算表</w:t>
      </w:r>
    </w:p>
    <w:p>
      <w:pPr>
        <w:keepNext w:val="0"/>
        <w:keepLines w:val="0"/>
        <w:pageBreakBefore w:val="0"/>
        <w:kinsoku/>
        <w:wordWrap/>
        <w:overflowPunct/>
        <w:topLinePunct w:val="0"/>
        <w:autoSpaceDE/>
        <w:autoSpaceDN/>
        <w:bidi w:val="0"/>
        <w:spacing w:line="540" w:lineRule="exact"/>
        <w:ind w:firstLine="1600" w:firstLineChars="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表3-2.一般公共预算项目支出预算表</w:t>
      </w:r>
    </w:p>
    <w:p>
      <w:pPr>
        <w:keepNext w:val="0"/>
        <w:keepLines w:val="0"/>
        <w:pageBreakBefore w:val="0"/>
        <w:kinsoku/>
        <w:wordWrap/>
        <w:overflowPunct/>
        <w:topLinePunct w:val="0"/>
        <w:autoSpaceDE/>
        <w:autoSpaceDN/>
        <w:bidi w:val="0"/>
        <w:spacing w:line="540" w:lineRule="exact"/>
        <w:ind w:firstLine="1600" w:firstLineChars="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表3-3.一般公共预算“三公”经费支出预算表</w:t>
      </w:r>
    </w:p>
    <w:p>
      <w:pPr>
        <w:keepNext w:val="0"/>
        <w:keepLines w:val="0"/>
        <w:pageBreakBefore w:val="0"/>
        <w:kinsoku/>
        <w:wordWrap/>
        <w:overflowPunct/>
        <w:topLinePunct w:val="0"/>
        <w:autoSpaceDE/>
        <w:autoSpaceDN/>
        <w:bidi w:val="0"/>
        <w:spacing w:line="540" w:lineRule="exact"/>
        <w:ind w:firstLine="1600" w:firstLineChars="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表4.政府性基金支出预算表</w:t>
      </w:r>
    </w:p>
    <w:p>
      <w:pPr>
        <w:keepNext w:val="0"/>
        <w:keepLines w:val="0"/>
        <w:pageBreakBefore w:val="0"/>
        <w:kinsoku/>
        <w:wordWrap/>
        <w:overflowPunct/>
        <w:topLinePunct w:val="0"/>
        <w:autoSpaceDE/>
        <w:autoSpaceDN/>
        <w:bidi w:val="0"/>
        <w:spacing w:line="540" w:lineRule="exact"/>
        <w:ind w:firstLine="1600" w:firstLineChars="500"/>
        <w:textAlignment w:val="auto"/>
        <w:rPr>
          <w:rFonts w:ascii="仿宋_GB2312" w:hAnsi="仿宋_GB2312" w:eastAsia="仿宋_GB2312" w:cs="仿宋_GB2312"/>
          <w:sz w:val="32"/>
          <w:szCs w:val="32"/>
        </w:rPr>
      </w:pPr>
      <w:r>
        <w:rPr>
          <w:rFonts w:hint="eastAsia" w:ascii="仿宋_GB2312" w:hAnsi="仿宋_GB2312" w:eastAsia="仿宋_GB2312" w:cs="仿宋_GB2312"/>
          <w:sz w:val="32"/>
          <w:szCs w:val="32"/>
        </w:rPr>
        <w:t>表4-1.政府性基金预算“三公”经费支出预算表</w:t>
      </w:r>
    </w:p>
    <w:p>
      <w:pPr>
        <w:keepNext w:val="0"/>
        <w:keepLines w:val="0"/>
        <w:pageBreakBefore w:val="0"/>
        <w:kinsoku/>
        <w:wordWrap/>
        <w:overflowPunct/>
        <w:topLinePunct w:val="0"/>
        <w:autoSpaceDE/>
        <w:autoSpaceDN/>
        <w:bidi w:val="0"/>
        <w:spacing w:line="540" w:lineRule="exact"/>
        <w:ind w:firstLine="1600" w:firstLineChars="5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表5.国有资本经营预算支出预算表</w:t>
      </w:r>
    </w:p>
    <w:p>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kern w:val="2"/>
          <w:sz w:val="32"/>
          <w:szCs w:val="32"/>
          <w:lang w:val="en-US" w:eastAsia="zh-CN" w:bidi="ar-SA"/>
        </w:rPr>
        <w:t>表6.</w:t>
      </w:r>
      <w:r>
        <w:rPr>
          <w:rFonts w:hint="default" w:ascii="仿宋_GB2312" w:hAnsi="仿宋_GB2312" w:eastAsia="仿宋_GB2312" w:cs="仿宋_GB2312"/>
          <w:kern w:val="2"/>
          <w:sz w:val="32"/>
          <w:szCs w:val="32"/>
          <w:lang w:val="en-US" w:eastAsia="zh-CN" w:bidi="ar-SA"/>
        </w:rPr>
        <w:t>部门整体支出绩效目标表</w:t>
      </w:r>
    </w:p>
    <w:p>
      <w:pPr>
        <w:keepNext w:val="0"/>
        <w:keepLines w:val="0"/>
        <w:pageBreakBefore w:val="0"/>
        <w:widowControl w:val="0"/>
        <w:kinsoku/>
        <w:wordWrap/>
        <w:overflowPunct/>
        <w:topLinePunct w:val="0"/>
        <w:autoSpaceDE/>
        <w:autoSpaceDN/>
        <w:bidi w:val="0"/>
        <w:adjustRightInd/>
        <w:snapToGrid/>
        <w:spacing w:line="540" w:lineRule="exact"/>
        <w:ind w:firstLine="1600" w:firstLineChars="500"/>
        <w:textAlignment w:val="auto"/>
        <w:rPr>
          <w:rFonts w:hint="eastAsia" w:ascii="仿宋_GB2312" w:hAnsi="仿宋_GB2312" w:eastAsia="仿宋_GB2312" w:cs="仿宋_GB2312"/>
          <w:kern w:val="2"/>
          <w:sz w:val="32"/>
          <w:szCs w:val="32"/>
          <w:lang w:val="en-US" w:eastAsia="zh-CN" w:bidi="ar-SA"/>
        </w:rPr>
      </w:pPr>
      <w:r>
        <w:rPr>
          <w:rFonts w:hint="eastAsia" w:ascii="仿宋_GB2312" w:hAnsi="仿宋_GB2312" w:eastAsia="仿宋_GB2312" w:cs="仿宋_GB2312"/>
          <w:sz w:val="32"/>
          <w:szCs w:val="32"/>
          <w:lang w:val="en-US" w:eastAsia="zh-CN"/>
        </w:rPr>
        <w:t>表7.</w:t>
      </w:r>
      <w:r>
        <w:rPr>
          <w:rFonts w:hint="eastAsia" w:ascii="仿宋_GB2312" w:hAnsi="仿宋_GB2312" w:eastAsia="仿宋_GB2312" w:cs="仿宋_GB2312"/>
          <w:kern w:val="2"/>
          <w:sz w:val="32"/>
          <w:szCs w:val="32"/>
          <w:lang w:val="en-US" w:eastAsia="zh-CN" w:bidi="ar-SA"/>
        </w:rPr>
        <w:t>（部门）单位预算项目绩效目标表</w:t>
      </w:r>
    </w:p>
    <w:p>
      <w:pPr>
        <w:keepNext w:val="0"/>
        <w:keepLines w:val="0"/>
        <w:pageBreakBefore w:val="0"/>
        <w:kinsoku/>
        <w:wordWrap/>
        <w:overflowPunct/>
        <w:topLinePunct w:val="0"/>
        <w:autoSpaceDE/>
        <w:autoSpaceDN/>
        <w:bidi w:val="0"/>
        <w:spacing w:line="540" w:lineRule="exact"/>
        <w:ind w:firstLine="1600" w:firstLineChars="500"/>
        <w:textAlignment w:val="auto"/>
        <w:rPr>
          <w:rFonts w:hint="default" w:ascii="仿宋_GB2312" w:hAnsi="仿宋_GB2312" w:eastAsia="仿宋_GB2312" w:cs="仿宋_GB2312"/>
          <w:sz w:val="32"/>
          <w:szCs w:val="32"/>
          <w:lang w:val="en-US" w:eastAsia="zh-CN"/>
        </w:rPr>
      </w:pPr>
    </w:p>
    <w:p>
      <w:pPr>
        <w:keepNext w:val="0"/>
        <w:keepLines w:val="0"/>
        <w:pageBreakBefore w:val="0"/>
        <w:kinsoku/>
        <w:wordWrap/>
        <w:overflowPunct/>
        <w:topLinePunct w:val="0"/>
        <w:autoSpaceDE/>
        <w:autoSpaceDN/>
        <w:bidi w:val="0"/>
        <w:spacing w:line="540" w:lineRule="exact"/>
        <w:textAlignment w:val="auto"/>
        <w:rPr>
          <w:rFonts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spacing w:line="540" w:lineRule="exact"/>
        <w:textAlignment w:val="auto"/>
        <w:rPr>
          <w:rFonts w:ascii="Times New Roman" w:hAnsi="Times New Roman" w:eastAsia="仿宋_GB2312" w:cs="Times New Roman"/>
          <w:sz w:val="32"/>
          <w:szCs w:val="32"/>
        </w:rPr>
      </w:pPr>
    </w:p>
    <w:p>
      <w:pPr>
        <w:keepNext w:val="0"/>
        <w:keepLines w:val="0"/>
        <w:pageBreakBefore w:val="0"/>
        <w:kinsoku/>
        <w:wordWrap/>
        <w:overflowPunct/>
        <w:topLinePunct w:val="0"/>
        <w:autoSpaceDE/>
        <w:autoSpaceDN/>
        <w:bidi w:val="0"/>
        <w:spacing w:line="540" w:lineRule="exac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攀枝花市残疾人康复教育中心</w:t>
      </w:r>
    </w:p>
    <w:p>
      <w:pPr>
        <w:keepNext w:val="0"/>
        <w:keepLines w:val="0"/>
        <w:pageBreakBefore w:val="0"/>
        <w:kinsoku/>
        <w:wordWrap/>
        <w:overflowPunct/>
        <w:topLinePunct w:val="0"/>
        <w:autoSpaceDE/>
        <w:autoSpaceDN/>
        <w:bidi w:val="0"/>
        <w:spacing w:line="540" w:lineRule="exact"/>
        <w:textAlignment w:val="auto"/>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 xml:space="preserve">                                  2021年</w:t>
      </w:r>
      <w:r>
        <w:rPr>
          <w:rFonts w:hint="eastAsia" w:ascii="Times New Roman" w:hAnsi="Times New Roman" w:eastAsia="仿宋_GB2312" w:cs="Times New Roman"/>
          <w:sz w:val="32"/>
          <w:szCs w:val="32"/>
          <w:lang w:val="en-US" w:eastAsia="zh-CN"/>
        </w:rPr>
        <w:t>2</w:t>
      </w:r>
      <w:r>
        <w:rPr>
          <w:rFonts w:hint="eastAsia" w:ascii="Times New Roman" w:hAnsi="Times New Roman" w:eastAsia="仿宋_GB2312" w:cs="Times New Roman"/>
          <w:sz w:val="32"/>
          <w:szCs w:val="32"/>
        </w:rPr>
        <w:t>月</w:t>
      </w:r>
      <w:r>
        <w:rPr>
          <w:rFonts w:hint="eastAsia" w:ascii="Times New Roman" w:hAnsi="Times New Roman" w:eastAsia="仿宋_GB2312" w:cs="Times New Roman"/>
          <w:sz w:val="32"/>
          <w:szCs w:val="32"/>
          <w:lang w:val="en-US" w:eastAsia="zh-CN"/>
        </w:rPr>
        <w:t>18</w:t>
      </w:r>
      <w:r>
        <w:rPr>
          <w:rFonts w:hint="eastAsia" w:ascii="Times New Roman" w:hAnsi="Times New Roman" w:eastAsia="仿宋_GB2312" w:cs="Times New Roman"/>
          <w:sz w:val="32"/>
          <w:szCs w:val="32"/>
        </w:rPr>
        <w:t>日</w:t>
      </w:r>
    </w:p>
    <w:p>
      <w:pPr>
        <w:spacing w:line="560" w:lineRule="exact"/>
        <w:rPr>
          <w:rFonts w:ascii="Times New Roman" w:hAnsi="Times New Roman" w:eastAsia="仿宋_GB2312" w:cs="Times New Roman"/>
          <w:sz w:val="32"/>
          <w:szCs w:val="32"/>
        </w:rPr>
      </w:pPr>
    </w:p>
    <w:sectPr>
      <w:footerReference r:id="rId5" w:type="default"/>
      <w:pgSz w:w="11906" w:h="16838"/>
      <w:pgMar w:top="2098" w:right="1474" w:bottom="1985" w:left="1588" w:header="851" w:footer="992" w:gutter="0"/>
      <w:cols w:space="425" w:num="1"/>
      <w:docGrid w:type="lines" w:linePitch="312"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altName w:val="宋体"/>
    <w:panose1 w:val="02010609060101010101"/>
    <w:charset w:val="86"/>
    <w:family w:val="auto"/>
    <w:pitch w:val="default"/>
    <w:sig w:usb0="800002BF" w:usb1="38CF7CFA" w:usb2="00000016" w:usb3="00000000" w:csb0="00040001" w:csb1="00000000"/>
    <w:embedRegular r:id="rId1" w:fontKey="{B717BDD9-A945-4368-8B0D-BD3E0CC326B2}"/>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embedRegular r:id="rId2" w:fontKey="{8B476175-CE35-4015-A05F-50FC11B7D0DB}"/>
  </w:font>
  <w:font w:name="仿宋_GB2312">
    <w:altName w:val="仿宋"/>
    <w:panose1 w:val="02010609030101010101"/>
    <w:charset w:val="86"/>
    <w:family w:val="modern"/>
    <w:pitch w:val="default"/>
    <w:sig w:usb0="00000000" w:usb1="00000000" w:usb2="00000000" w:usb3="00000000" w:csb0="00040000" w:csb1="00000000"/>
    <w:embedRegular r:id="rId3" w:fontKey="{40AC4C16-12A4-4DDD-8061-AB7E7978C2E8}"/>
  </w:font>
  <w:font w:name="仿宋">
    <w:panose1 w:val="02010609060101010101"/>
    <w:charset w:val="86"/>
    <w:family w:val="auto"/>
    <w:pitch w:val="default"/>
    <w:sig w:usb0="800002BF" w:usb1="38CF7CFA" w:usb2="00000016" w:usb3="00000000" w:csb0="00040001" w:csb1="00000000"/>
    <w:embedRegular r:id="rId4" w:fontKey="{ABBC8794-02A4-418A-AB02-9F302EB83573}"/>
  </w:font>
  <w:font w:name="??_GB2312">
    <w:altName w:val="Times New Roman"/>
    <w:panose1 w:val="00000000000000000000"/>
    <w:charset w:val="00"/>
    <w:family w:val="auto"/>
    <w:pitch w:val="default"/>
    <w:sig w:usb0="00000000" w:usb1="00000000" w:usb2="00000000" w:usb3="00000000" w:csb0="00000001" w:csb1="00000000"/>
  </w:font>
  <w:font w:name="方正小标宋_GBK">
    <w:panose1 w:val="02000000000000000000"/>
    <w:charset w:val="86"/>
    <w:family w:val="script"/>
    <w:pitch w:val="default"/>
    <w:sig w:usb0="A00002BF" w:usb1="38CF7CFA" w:usb2="00082016" w:usb3="00000000" w:csb0="00040001" w:csb1="00000000"/>
    <w:embedRegular r:id="rId5" w:fontKey="{C2584AB6-90B1-44F0-9D39-1F09529559D8}"/>
  </w:font>
  <w:font w:name="楷体_GB2312">
    <w:altName w:val="微软雅黑"/>
    <w:panose1 w:val="00000000000000000000"/>
    <w:charset w:val="86"/>
    <w:family w:val="modern"/>
    <w:pitch w:val="default"/>
    <w:sig w:usb0="00000000" w:usb1="00000000" w:usb2="00000000" w:usb3="00000000" w:csb0="00040000" w:csb1="00000000"/>
    <w:embedRegular r:id="rId6" w:fontKey="{AE6E3EB4-80BF-4F58-8FDF-744E10198F0E}"/>
  </w:font>
  <w:font w:name="楷体">
    <w:altName w:val="宋体"/>
    <w:panose1 w:val="02010609060101010101"/>
    <w:charset w:val="86"/>
    <w:family w:val="auto"/>
    <w:pitch w:val="default"/>
    <w:sig w:usb0="00000000" w:usb1="00000000" w:usb2="00000016" w:usb3="00000000" w:csb0="00040001" w:csb1="00000000"/>
    <w:embedRegular r:id="rId7" w:fontKey="{AEB43456-064E-418C-AE3D-155B584C9F1B}"/>
  </w:font>
  <w:font w:name="微软雅黑">
    <w:panose1 w:val="020B0503020204020204"/>
    <w:charset w:val="86"/>
    <w:family w:val="auto"/>
    <w:pitch w:val="default"/>
    <w:sig w:usb0="80000287" w:usb1="2ACF3C50"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3"/>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3"/>
                    </w:pPr>
                    <w:r>
                      <w:fldChar w:fldCharType="begin"/>
                    </w:r>
                    <w:r>
                      <w:instrText xml:space="preserve"> PAGE  \* MERGEFORMAT </w:instrText>
                    </w:r>
                    <w:r>
                      <w:fldChar w:fldCharType="separate"/>
                    </w:r>
                    <w:r>
                      <w:t>1</w:t>
                    </w:r>
                    <w:r>
                      <w:fldChar w:fldCharType="end"/>
                    </w:r>
                  </w:p>
                </w:txbxContent>
              </v:textbox>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360" w:lineRule="auto"/>
      </w:pPr>
      <w:r>
        <w:separator/>
      </w:r>
    </w:p>
  </w:footnote>
  <w:footnote w:type="continuationSeparator" w:id="1">
    <w:p>
      <w:pPr>
        <w:spacing w:line="36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I3MjI3Mzk4YjE5NmU1Y2MyZjE3NTYwMGQzZjU4MGUifQ=="/>
  </w:docVars>
  <w:rsids>
    <w:rsidRoot w:val="006F3485"/>
    <w:rsid w:val="0011163F"/>
    <w:rsid w:val="00132032"/>
    <w:rsid w:val="0016785F"/>
    <w:rsid w:val="00185210"/>
    <w:rsid w:val="00326C74"/>
    <w:rsid w:val="00431C6F"/>
    <w:rsid w:val="004937E6"/>
    <w:rsid w:val="00552CBE"/>
    <w:rsid w:val="005803CC"/>
    <w:rsid w:val="00607776"/>
    <w:rsid w:val="006F3485"/>
    <w:rsid w:val="008256F3"/>
    <w:rsid w:val="00906CD9"/>
    <w:rsid w:val="009A3A7A"/>
    <w:rsid w:val="00A44458"/>
    <w:rsid w:val="00A763FF"/>
    <w:rsid w:val="00B1395E"/>
    <w:rsid w:val="00C572F8"/>
    <w:rsid w:val="00CA2306"/>
    <w:rsid w:val="00F94136"/>
    <w:rsid w:val="0447011E"/>
    <w:rsid w:val="07B63121"/>
    <w:rsid w:val="08E902D2"/>
    <w:rsid w:val="0A231479"/>
    <w:rsid w:val="0AB318C8"/>
    <w:rsid w:val="0ACB1572"/>
    <w:rsid w:val="0EAB6D9F"/>
    <w:rsid w:val="1A6A027A"/>
    <w:rsid w:val="1D1853DB"/>
    <w:rsid w:val="225321B1"/>
    <w:rsid w:val="26187789"/>
    <w:rsid w:val="27F53048"/>
    <w:rsid w:val="29F930BE"/>
    <w:rsid w:val="2CC07C23"/>
    <w:rsid w:val="2CC53F53"/>
    <w:rsid w:val="306936B0"/>
    <w:rsid w:val="314E3D30"/>
    <w:rsid w:val="32D153CA"/>
    <w:rsid w:val="332C033B"/>
    <w:rsid w:val="36035488"/>
    <w:rsid w:val="39BF19D3"/>
    <w:rsid w:val="3B5A71CB"/>
    <w:rsid w:val="3C4C5FC1"/>
    <w:rsid w:val="406D6559"/>
    <w:rsid w:val="43266297"/>
    <w:rsid w:val="444E341D"/>
    <w:rsid w:val="45435433"/>
    <w:rsid w:val="48685869"/>
    <w:rsid w:val="4A907BB2"/>
    <w:rsid w:val="4AE65456"/>
    <w:rsid w:val="4EFE0DEE"/>
    <w:rsid w:val="4F0D0276"/>
    <w:rsid w:val="537F310C"/>
    <w:rsid w:val="55AB57BF"/>
    <w:rsid w:val="56275418"/>
    <w:rsid w:val="568D2A87"/>
    <w:rsid w:val="56DB2790"/>
    <w:rsid w:val="594116B9"/>
    <w:rsid w:val="5A1D4843"/>
    <w:rsid w:val="5B025791"/>
    <w:rsid w:val="61B318AF"/>
    <w:rsid w:val="623E7D03"/>
    <w:rsid w:val="666D4CCE"/>
    <w:rsid w:val="672A35B8"/>
    <w:rsid w:val="69D00C3E"/>
    <w:rsid w:val="6BFD6B71"/>
    <w:rsid w:val="6C23142F"/>
    <w:rsid w:val="6D7D7579"/>
    <w:rsid w:val="6F7F788F"/>
    <w:rsid w:val="75814D02"/>
    <w:rsid w:val="78167E50"/>
    <w:rsid w:val="7BF91553"/>
    <w:rsid w:val="7D8E537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spacing w:line="360" w:lineRule="auto"/>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qFormat/>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link w:val="10"/>
    <w:qFormat/>
    <w:uiPriority w:val="0"/>
    <w:pPr>
      <w:spacing w:beforeLines="30" w:line="240" w:lineRule="auto"/>
    </w:pPr>
    <w:rPr>
      <w:rFonts w:ascii="仿宋_GB2312" w:hAnsi="Times New Roman" w:eastAsia="仿宋_GB2312" w:cs="Times New Roman"/>
      <w:sz w:val="30"/>
      <w:szCs w:val="32"/>
    </w:rPr>
  </w:style>
  <w:style w:type="paragraph" w:styleId="3">
    <w:name w:val="footer"/>
    <w:basedOn w:val="1"/>
    <w:semiHidden/>
    <w:unhideWhenUsed/>
    <w:qFormat/>
    <w:uiPriority w:val="99"/>
    <w:pPr>
      <w:tabs>
        <w:tab w:val="center" w:pos="4153"/>
        <w:tab w:val="right" w:pos="8306"/>
      </w:tabs>
      <w:snapToGrid w:val="0"/>
      <w:jc w:val="left"/>
    </w:pPr>
    <w:rPr>
      <w:sz w:val="18"/>
    </w:rPr>
  </w:style>
  <w:style w:type="paragraph" w:styleId="4">
    <w:name w:val="header"/>
    <w:basedOn w:val="1"/>
    <w:semiHidden/>
    <w:unhideWhenUsed/>
    <w:qFormat/>
    <w:uiPriority w:val="99"/>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5">
    <w:name w:val="toc 1"/>
    <w:basedOn w:val="1"/>
    <w:next w:val="1"/>
    <w:unhideWhenUsed/>
    <w:qFormat/>
    <w:uiPriority w:val="39"/>
    <w:pPr>
      <w:tabs>
        <w:tab w:val="right" w:leader="dot" w:pos="8296"/>
      </w:tabs>
      <w:spacing w:before="93"/>
      <w:jc w:val="center"/>
    </w:pPr>
    <w:rPr>
      <w:rFonts w:ascii="仿宋" w:hAnsi="仿宋" w:eastAsia="仿宋"/>
      <w:sz w:val="28"/>
      <w:szCs w:val="28"/>
    </w:rPr>
  </w:style>
  <w:style w:type="paragraph" w:styleId="6">
    <w:name w:val="toc 2"/>
    <w:basedOn w:val="1"/>
    <w:next w:val="1"/>
    <w:unhideWhenUsed/>
    <w:qFormat/>
    <w:uiPriority w:val="39"/>
    <w:pPr>
      <w:tabs>
        <w:tab w:val="right" w:leader="dot" w:pos="8296"/>
      </w:tabs>
      <w:ind w:left="420" w:leftChars="200"/>
    </w:pPr>
  </w:style>
  <w:style w:type="character" w:styleId="9">
    <w:name w:val="Hyperlink"/>
    <w:basedOn w:val="8"/>
    <w:unhideWhenUsed/>
    <w:qFormat/>
    <w:uiPriority w:val="99"/>
    <w:rPr>
      <w:color w:val="0000FF"/>
      <w:u w:val="single"/>
    </w:rPr>
  </w:style>
  <w:style w:type="character" w:customStyle="1" w:styleId="10">
    <w:name w:val="正文文本 Char"/>
    <w:basedOn w:val="8"/>
    <w:link w:val="2"/>
    <w:qFormat/>
    <w:uiPriority w:val="0"/>
    <w:rPr>
      <w:rFonts w:ascii="仿宋_GB2312" w:hAnsi="Times New Roman" w:eastAsia="仿宋_GB2312" w:cs="Times New Roman"/>
      <w:sz w:val="30"/>
      <w:szCs w:val="32"/>
    </w:rPr>
  </w:style>
  <w:style w:type="character" w:customStyle="1" w:styleId="11">
    <w:name w:val="font61"/>
    <w:basedOn w:val="8"/>
    <w:qFormat/>
    <w:uiPriority w:val="0"/>
    <w:rPr>
      <w:rFonts w:hint="default" w:ascii="Times New Roman" w:hAnsi="Times New Roman" w:eastAsia="Times New Roman" w:cs="??_GB2312"/>
      <w:sz w:val="24"/>
      <w:szCs w:val="24"/>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Chinese ORG</Company>
  <Pages>8</Pages>
  <Words>3311</Words>
  <Characters>3683</Characters>
  <Lines>25</Lines>
  <Paragraphs>7</Paragraphs>
  <TotalTime>0</TotalTime>
  <ScaleCrop>false</ScaleCrop>
  <LinksUpToDate>false</LinksUpToDate>
  <CharactersWithSpaces>3777</CharactersWithSpaces>
  <Application>WPS Office_12.1.0.16910_F1E327BC-269C-435d-A152-05C5408002CA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2021-03-09T00:49:00Z</dcterms:created>
  <dc:creator>曹辛冬</dc:creator>
  <cp:lastModifiedBy>鸢尾</cp:lastModifiedBy>
  <dcterms:modified xsi:type="dcterms:W3CDTF">2024-05-16T01:38:47Z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2052-12.1.0.16910</vt:lpwstr>
  </property>
  <property fmtid="{D5CDD505-2E9C-101B-9397-08002B2CF9AE}" pid="3" name="KSOSaveFontToCloudKey">
    <vt:lpwstr>536801771_btnclosed</vt:lpwstr>
  </property>
  <property fmtid="{D5CDD505-2E9C-101B-9397-08002B2CF9AE}" pid="4" name="ICV">
    <vt:lpwstr>B96A414B889F44099CC82C3A4BA5F9A6_13</vt:lpwstr>
  </property>
</Properties>
</file>