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lang w:eastAsia="zh-CN"/>
        </w:rPr>
        <w:t>攀枝花市体育场馆中心</w:t>
      </w:r>
      <w:r>
        <w:rPr>
          <w:rFonts w:hint="eastAsia" w:ascii="方正小标宋简体" w:hAnsi="宋体" w:eastAsia="方正小标宋简体"/>
          <w:sz w:val="44"/>
          <w:szCs w:val="44"/>
        </w:rPr>
        <w:t>20</w:t>
      </w:r>
      <w:r>
        <w:rPr>
          <w:rFonts w:hint="eastAsia" w:ascii="方正小标宋简体" w:hAnsi="宋体" w:eastAsia="方正小标宋简体"/>
          <w:sz w:val="44"/>
          <w:szCs w:val="44"/>
          <w:lang w:val="en-US" w:eastAsia="zh-CN"/>
        </w:rPr>
        <w:t>20</w:t>
      </w:r>
      <w:r>
        <w:rPr>
          <w:rFonts w:hint="eastAsia" w:ascii="方正小标宋简体" w:hAnsi="宋体" w:eastAsia="方正小标宋简体"/>
          <w:sz w:val="44"/>
          <w:szCs w:val="44"/>
        </w:rPr>
        <w:t>年</w:t>
      </w:r>
    </w:p>
    <w:p>
      <w:pPr>
        <w:spacing w:line="600" w:lineRule="exact"/>
        <w:jc w:val="center"/>
        <w:rPr>
          <w:rFonts w:hint="eastAsia" w:ascii="方正小标宋简体" w:hAnsi="宋体" w:eastAsia="方正小标宋简体"/>
          <w:sz w:val="44"/>
          <w:szCs w:val="44"/>
          <w:u w:val="single"/>
        </w:rPr>
      </w:pPr>
      <w:r>
        <w:rPr>
          <w:rFonts w:hint="eastAsia" w:ascii="方正小标宋简体" w:hAnsi="宋体" w:eastAsia="方正小标宋简体"/>
          <w:sz w:val="44"/>
          <w:szCs w:val="44"/>
        </w:rPr>
        <w:t>部门预算编制说明</w:t>
      </w:r>
    </w:p>
    <w:p>
      <w:pPr>
        <w:pStyle w:val="2"/>
        <w:adjustRightInd w:val="0"/>
        <w:spacing w:before="130" w:beforeLines="0" w:line="600" w:lineRule="exact"/>
        <w:rPr>
          <w:rFonts w:hint="eastAsia"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hint="eastAsia" w:ascii="黑体" w:eastAsia="黑体"/>
        </w:rPr>
      </w:pPr>
      <w:r>
        <w:rPr>
          <w:rFonts w:hint="eastAsia" w:ascii="黑体" w:eastAsia="黑体"/>
        </w:rPr>
        <w:t>一、基本职能及主要工作</w:t>
      </w:r>
    </w:p>
    <w:p>
      <w:pPr>
        <w:widowControl/>
        <w:spacing w:line="560" w:lineRule="exact"/>
        <w:ind w:firstLine="643" w:firstLineChars="200"/>
        <w:rPr>
          <w:rFonts w:ascii="仿宋_GB2312" w:hAnsi="宋体"/>
          <w:b/>
        </w:rPr>
      </w:pPr>
      <w:r>
        <w:rPr>
          <w:rFonts w:hint="eastAsia" w:ascii="仿宋_GB2312" w:hAnsi="宋体"/>
          <w:b/>
        </w:rPr>
        <w:t>（一）、攀枝花市体育场馆中心基本职能</w:t>
      </w:r>
    </w:p>
    <w:p>
      <w:pPr>
        <w:widowControl/>
        <w:spacing w:line="560" w:lineRule="exact"/>
        <w:ind w:firstLine="640" w:firstLineChars="200"/>
        <w:rPr>
          <w:rFonts w:ascii="仿宋_GB2312" w:hAnsi="宋体"/>
        </w:rPr>
      </w:pPr>
      <w:r>
        <w:rPr>
          <w:rFonts w:hint="eastAsia" w:ascii="仿宋_GB2312" w:hAnsi="宋体"/>
        </w:rPr>
        <w:t>做好体育场馆的维护、管理和养护，保证安全使用；为市民提供免费低收费健身场地服务及应急避难场所；为全市文化、体育等大型活动提供场所，开展社会热点体育项目的辅导、培训；拓宽体育产业渠道，引进高水平体育竞赛活动；为全市业余训练项目提供训练、比赛场地，承担游泳、赛艇、皮划艇、羽毛球、乒乓球、网球、少儿棒球、跆拳道</w:t>
      </w:r>
      <w:r>
        <w:rPr>
          <w:rFonts w:hint="eastAsia" w:ascii="仿宋_GB2312"/>
        </w:rPr>
        <w:t>8个项目的业余训练工作及省级以上重大赛事的参赛任务，向省级各类专业运动队输送优秀运动员，并为社会培训体育骨干；免费为全市体育场馆建设提供咨询服务和相关技术指</w:t>
      </w:r>
      <w:r>
        <w:rPr>
          <w:rFonts w:hint="eastAsia" w:ascii="仿宋_GB2312" w:hAnsi="宋体"/>
        </w:rPr>
        <w:t>导。</w:t>
      </w:r>
      <w:r>
        <w:rPr>
          <w:rFonts w:hint="eastAsia" w:ascii="仿宋_GB2312" w:hAnsi="宋体"/>
          <w:kern w:val="0"/>
        </w:rPr>
        <w:t>承办市教育体育局交办的其他事项。</w:t>
      </w:r>
    </w:p>
    <w:p>
      <w:pPr>
        <w:pStyle w:val="2"/>
        <w:numPr>
          <w:ilvl w:val="0"/>
          <w:numId w:val="1"/>
        </w:numPr>
        <w:adjustRightInd w:val="0"/>
        <w:spacing w:before="130" w:beforeLines="0" w:line="600" w:lineRule="exact"/>
        <w:rPr>
          <w:rFonts w:hint="eastAsia" w:ascii="楷体_GB2312" w:eastAsia="楷体_GB2312"/>
          <w:b/>
          <w:color w:val="auto"/>
          <w:sz w:val="32"/>
        </w:rPr>
      </w:pPr>
      <w:r>
        <w:rPr>
          <w:rFonts w:hint="eastAsia" w:ascii="仿宋_GB2312" w:hAnsi="宋体"/>
          <w:b/>
          <w:color w:val="auto"/>
        </w:rPr>
        <w:t>攀枝花市体育场馆中心</w:t>
      </w:r>
      <w:r>
        <w:rPr>
          <w:rFonts w:hint="eastAsia" w:ascii="楷体_GB2312" w:eastAsia="楷体_GB2312"/>
          <w:b/>
          <w:color w:val="auto"/>
          <w:sz w:val="32"/>
        </w:rPr>
        <w:t>20</w:t>
      </w:r>
      <w:r>
        <w:rPr>
          <w:rFonts w:hint="eastAsia" w:ascii="楷体_GB2312" w:eastAsia="楷体_GB2312"/>
          <w:b/>
          <w:color w:val="auto"/>
          <w:sz w:val="32"/>
          <w:lang w:val="en-US" w:eastAsia="zh-CN"/>
        </w:rPr>
        <w:t>20</w:t>
      </w:r>
      <w:r>
        <w:rPr>
          <w:rFonts w:hint="eastAsia" w:ascii="楷体_GB2312" w:eastAsia="楷体_GB2312"/>
          <w:b/>
          <w:color w:val="auto"/>
          <w:sz w:val="32"/>
        </w:rPr>
        <w:t>年重点工作。</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2020年，市体育场馆中心全体职工，将继续以习近平新时代中国特色社会主义思想为引领，牢固树立“四个意识”，坚定“四个自信”，坚决做到“两个维护”，不忘初心、牢记使命，积极稳妥地把中心各项工作推向前进。</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一）深入学习贯彻十九大精神和习近平总书记系列重要讲话精神，切实开展“两学一做”学习教育工作常态化、制度化，推动全面从严治党和党风廉政建设工作向纵深发展。严格按照《党支部工作条例》，严肃党内政治生活，扎实开展“不忘初心、牢记使命”主题教育，进一步解决中心干部职工在思想、组织、作风、纪律等方面存在的问题。</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（二）认真开展落实好精准扶贫工作，确保马安银家不返贫，巩固精准扶贫工作成果。</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（三）切实做好大型体育场馆免费、低收费开放工作，完善相关制度，扩大开放力度，强化服务意识，提升服务质量，实现各场馆天天能开放，周周有活动，月月有赛事。</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四）做好2020年四川省青少年锦标赛备战及参赛工作，保证训练、比赛的正常开展。端正教练员、运动员思想，严格遵守赛风赛纪，确保我中心各运动队比赛期间无兴奋剂等违规、违纪行为，力争赛出风格，赛出水平，取得优异成绩，完成目标任务。</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（五）积极备战四川省第十四届运动会，完善梯队建设，抓好选材和输送工作，加强教练员管理，提高训练质量。</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（六）认真贯彻落实国家“老有所为，老有所乐”的养老政策，做好市老年体育活动中心的各项工作，为我市老年人群体提供一个良好的健身场所。</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 xml:space="preserve">（七）积极争取、筹措资金，做好市体育馆升级改造工作，提升和完善市体育馆健身功能，推动我市全民健身运动的蓬勃发展。                   </w:t>
      </w:r>
      <w:r>
        <w:rPr>
          <w:rFonts w:ascii="仿宋" w:hAnsi="仿宋" w:eastAsia="仿宋"/>
          <w:color w:val="000000"/>
          <w:sz w:val="32"/>
          <w:szCs w:val="32"/>
        </w:rPr>
        <w:t xml:space="preserve"> </w:t>
      </w:r>
    </w:p>
    <w:p>
      <w:pPr>
        <w:spacing w:line="600" w:lineRule="exact"/>
        <w:ind w:firstLine="640" w:firstLineChars="200"/>
        <w:rPr>
          <w:rFonts w:hint="eastAsia" w:ascii="黑体" w:eastAsia="黑体"/>
        </w:rPr>
      </w:pPr>
      <w:r>
        <w:rPr>
          <w:rFonts w:hint="eastAsia" w:ascii="黑体" w:eastAsia="黑体"/>
        </w:rPr>
        <w:t>二、单位构成情况</w:t>
      </w:r>
    </w:p>
    <w:p>
      <w:pPr>
        <w:spacing w:line="600" w:lineRule="exact"/>
        <w:ind w:firstLine="640" w:firstLineChars="200"/>
        <w:rPr>
          <w:rFonts w:ascii="仿宋_GB2312" w:hAnsi="宋体"/>
        </w:rPr>
      </w:pPr>
      <w:r>
        <w:rPr>
          <w:rFonts w:hint="eastAsia" w:ascii="仿宋_GB2312" w:hAnsi="宋体"/>
        </w:rPr>
        <w:t>攀枝花市体育场馆中心是市教育体育局下属独立核算差额拨款事业单位，单位事业编制35人，实有人数3</w:t>
      </w:r>
      <w:r>
        <w:rPr>
          <w:rFonts w:hint="eastAsia" w:ascii="仿宋_GB2312" w:hAnsi="宋体"/>
          <w:lang w:val="en-US" w:eastAsia="zh-CN"/>
        </w:rPr>
        <w:t>2</w:t>
      </w:r>
      <w:r>
        <w:rPr>
          <w:rFonts w:hint="eastAsia" w:ascii="仿宋_GB2312" w:hAnsi="宋体"/>
        </w:rPr>
        <w:t>人，内设机构4个(办公室、体育事业股、场地股、产业开发股) 。</w:t>
      </w:r>
    </w:p>
    <w:p>
      <w:pPr>
        <w:numPr>
          <w:ilvl w:val="0"/>
          <w:numId w:val="0"/>
        </w:numPr>
        <w:spacing w:line="600" w:lineRule="exact"/>
        <w:ind w:firstLine="640" w:firstLineChars="200"/>
        <w:rPr>
          <w:rFonts w:hint="eastAsia" w:ascii="黑体" w:eastAsia="黑体"/>
        </w:rPr>
      </w:pPr>
      <w:r>
        <w:rPr>
          <w:rFonts w:hint="eastAsia" w:ascii="黑体" w:eastAsia="黑体"/>
          <w:lang w:eastAsia="zh-CN"/>
        </w:rPr>
        <w:t>三、</w:t>
      </w:r>
      <w:r>
        <w:rPr>
          <w:rFonts w:hint="eastAsia" w:ascii="黑体" w:eastAsia="黑体"/>
        </w:rPr>
        <w:t>收支预算情况说明</w:t>
      </w:r>
    </w:p>
    <w:p>
      <w:pPr>
        <w:spacing w:line="600" w:lineRule="exact"/>
        <w:ind w:firstLine="640" w:firstLineChars="200"/>
        <w:rPr>
          <w:rFonts w:hint="eastAsia" w:ascii="仿宋_GB2312"/>
        </w:rPr>
      </w:pPr>
      <w:r>
        <w:rPr>
          <w:rFonts w:hint="eastAsia"/>
        </w:rPr>
        <w:t>按照综合预算的原则，攀枝花市体育场馆中心</w:t>
      </w:r>
      <w:r>
        <w:rPr>
          <w:rFonts w:hint="eastAsia" w:ascii="仿宋_GB2312"/>
        </w:rPr>
        <w:t>所有收入和支出均纳入部门预算管理。收入包括：一般公共预算拨款收入。</w:t>
      </w:r>
    </w:p>
    <w:p>
      <w:pPr>
        <w:spacing w:line="600" w:lineRule="exact"/>
        <w:ind w:firstLine="640" w:firstLineChars="200"/>
        <w:rPr>
          <w:rFonts w:hint="eastAsia" w:ascii="仿宋_GB2312"/>
          <w:color w:val="FFC000"/>
        </w:rPr>
      </w:pPr>
      <w:r>
        <w:rPr>
          <w:rFonts w:hint="eastAsia" w:ascii="仿宋_GB2312"/>
        </w:rPr>
        <w:t>支出包括：</w:t>
      </w:r>
      <w:r>
        <w:rPr>
          <w:rFonts w:hint="eastAsia" w:ascii="仿宋_GB2312" w:hAnsi="宋体"/>
        </w:rPr>
        <w:t>文化体育与传媒支出、社会保障和就业支出、住房保障支出。</w:t>
      </w:r>
    </w:p>
    <w:p>
      <w:pPr>
        <w:spacing w:line="600" w:lineRule="exact"/>
        <w:rPr>
          <w:rFonts w:ascii="仿宋_GB2312" w:hAnsi="宋体"/>
        </w:rPr>
      </w:pPr>
      <w:r>
        <w:rPr>
          <w:rFonts w:hint="eastAsia"/>
        </w:rPr>
        <w:t>攀枝花市体育场馆中心</w:t>
      </w:r>
      <w:r>
        <w:rPr>
          <w:rFonts w:hint="eastAsia" w:ascii="仿宋_GB2312"/>
        </w:rPr>
        <w:t>20</w:t>
      </w:r>
      <w:r>
        <w:rPr>
          <w:rFonts w:hint="eastAsia" w:ascii="仿宋_GB2312"/>
          <w:lang w:val="en-US" w:eastAsia="zh-CN"/>
        </w:rPr>
        <w:t>20</w:t>
      </w:r>
      <w:r>
        <w:rPr>
          <w:rFonts w:hint="eastAsia" w:ascii="仿宋_GB2312"/>
        </w:rPr>
        <w:t>年收支总预算</w:t>
      </w:r>
      <w:r>
        <w:rPr>
          <w:rFonts w:hint="eastAsia"/>
          <w:lang w:val="en-US" w:eastAsia="zh-CN"/>
        </w:rPr>
        <w:t>555.79</w:t>
      </w:r>
      <w:r>
        <w:rPr>
          <w:rFonts w:hint="eastAsia" w:ascii="仿宋_GB2312"/>
        </w:rPr>
        <w:t>万元。</w:t>
      </w:r>
    </w:p>
    <w:p>
      <w:pPr>
        <w:spacing w:line="600" w:lineRule="exact"/>
        <w:ind w:firstLine="643" w:firstLineChars="200"/>
        <w:rPr>
          <w:rFonts w:hint="eastAsia" w:ascii="楷体_GB2312" w:eastAsia="楷体_GB2312"/>
          <w:b/>
        </w:rPr>
      </w:pPr>
      <w:r>
        <w:rPr>
          <w:rFonts w:hint="eastAsia" w:ascii="楷体_GB2312" w:eastAsia="楷体_GB2312"/>
          <w:b/>
        </w:rPr>
        <w:t>（一）收入预算情况</w:t>
      </w:r>
    </w:p>
    <w:p>
      <w:pPr>
        <w:spacing w:line="600" w:lineRule="exact"/>
        <w:ind w:firstLine="640" w:firstLineChars="200"/>
        <w:rPr>
          <w:rFonts w:hint="eastAsia" w:ascii="仿宋_GB2312"/>
          <w:color w:val="FFC000"/>
        </w:rPr>
      </w:pPr>
      <w:r>
        <w:rPr>
          <w:rFonts w:hint="eastAsia"/>
        </w:rPr>
        <w:t>攀枝花市体育场馆中心</w:t>
      </w:r>
      <w:r>
        <w:rPr>
          <w:rFonts w:hint="eastAsia" w:ascii="仿宋_GB2312"/>
          <w:lang w:eastAsia="zh-CN"/>
        </w:rPr>
        <w:t>2020</w:t>
      </w:r>
      <w:r>
        <w:rPr>
          <w:rFonts w:hint="eastAsia" w:ascii="仿宋_GB2312"/>
        </w:rPr>
        <w:t>年收入预算</w:t>
      </w:r>
      <w:r>
        <w:rPr>
          <w:rFonts w:hint="eastAsia"/>
          <w:lang w:val="en-US" w:eastAsia="zh-CN"/>
        </w:rPr>
        <w:t>555.79</w:t>
      </w:r>
      <w:r>
        <w:rPr>
          <w:rFonts w:hint="eastAsia" w:ascii="仿宋_GB2312"/>
        </w:rPr>
        <w:t>万元，其中：上年结转</w:t>
      </w:r>
      <w:r>
        <w:rPr>
          <w:rFonts w:hint="eastAsia"/>
          <w:lang w:val="en-US" w:eastAsia="zh-CN"/>
        </w:rPr>
        <w:t>0</w:t>
      </w:r>
      <w:r>
        <w:rPr>
          <w:rFonts w:hint="eastAsia" w:ascii="仿宋_GB2312"/>
        </w:rPr>
        <w:t>万元，占</w:t>
      </w:r>
      <w:r>
        <w:rPr>
          <w:rFonts w:hint="eastAsia"/>
          <w:lang w:val="en-US" w:eastAsia="zh-CN"/>
        </w:rPr>
        <w:t>0</w:t>
      </w:r>
      <w:r>
        <w:rPr>
          <w:rFonts w:hint="eastAsia" w:ascii="仿宋_GB2312"/>
        </w:rPr>
        <w:t>%；一般公共预算拨款收入</w:t>
      </w:r>
      <w:r>
        <w:rPr>
          <w:rFonts w:hint="eastAsia"/>
          <w:lang w:val="en-US" w:eastAsia="zh-CN"/>
        </w:rPr>
        <w:t>555.79</w:t>
      </w:r>
      <w:r>
        <w:rPr>
          <w:rFonts w:hint="eastAsia" w:ascii="仿宋_GB2312"/>
        </w:rPr>
        <w:t>万元，占</w:t>
      </w:r>
      <w:r>
        <w:rPr>
          <w:rFonts w:hint="eastAsia"/>
          <w:lang w:val="en-US" w:eastAsia="zh-CN"/>
        </w:rPr>
        <w:t>100</w:t>
      </w:r>
      <w:r>
        <w:rPr>
          <w:rFonts w:hint="eastAsia" w:ascii="仿宋_GB2312"/>
        </w:rPr>
        <w:t>%；政府性基金预算拨款收入</w:t>
      </w:r>
      <w:r>
        <w:rPr>
          <w:rFonts w:hint="eastAsia"/>
          <w:lang w:val="en-US" w:eastAsia="zh-CN"/>
        </w:rPr>
        <w:t>0</w:t>
      </w:r>
      <w:r>
        <w:rPr>
          <w:rFonts w:hint="eastAsia" w:ascii="仿宋_GB2312"/>
        </w:rPr>
        <w:t>万元，占</w:t>
      </w:r>
      <w:r>
        <w:rPr>
          <w:rFonts w:hint="eastAsia"/>
          <w:lang w:val="en-US" w:eastAsia="zh-CN"/>
        </w:rPr>
        <w:t>0</w:t>
      </w:r>
      <w:r>
        <w:rPr>
          <w:rFonts w:hint="eastAsia" w:ascii="仿宋_GB2312"/>
        </w:rPr>
        <w:t>%；事业收入</w:t>
      </w:r>
      <w:r>
        <w:rPr>
          <w:rFonts w:hint="eastAsia"/>
          <w:lang w:val="en-US" w:eastAsia="zh-CN"/>
        </w:rPr>
        <w:t>0</w:t>
      </w:r>
      <w:r>
        <w:rPr>
          <w:rFonts w:hint="eastAsia" w:ascii="仿宋_GB2312"/>
        </w:rPr>
        <w:t>万元，占</w:t>
      </w:r>
      <w:r>
        <w:rPr>
          <w:rFonts w:hint="eastAsia"/>
          <w:lang w:val="en-US" w:eastAsia="zh-CN"/>
        </w:rPr>
        <w:t>0</w:t>
      </w:r>
      <w:r>
        <w:rPr>
          <w:rFonts w:hint="eastAsia" w:ascii="仿宋_GB2312"/>
        </w:rPr>
        <w:t>%</w:t>
      </w:r>
      <w:r>
        <w:rPr>
          <w:rFonts w:hint="eastAsia" w:ascii="仿宋_GB2312"/>
          <w:lang w:eastAsia="zh-CN"/>
        </w:rPr>
        <w:t>。</w:t>
      </w:r>
    </w:p>
    <w:p>
      <w:pPr>
        <w:spacing w:line="600" w:lineRule="exact"/>
        <w:ind w:firstLine="643" w:firstLineChars="200"/>
        <w:rPr>
          <w:rFonts w:hint="eastAsia" w:ascii="楷体_GB2312" w:eastAsia="楷体_GB2312"/>
          <w:b/>
        </w:rPr>
      </w:pPr>
      <w:r>
        <w:rPr>
          <w:rFonts w:hint="eastAsia" w:ascii="楷体_GB2312" w:eastAsia="楷体_GB2312"/>
          <w:b/>
        </w:rPr>
        <w:t>（二）支出预算情况</w:t>
      </w:r>
    </w:p>
    <w:p>
      <w:pPr>
        <w:spacing w:line="600" w:lineRule="exact"/>
        <w:ind w:firstLine="640" w:firstLineChars="200"/>
        <w:rPr>
          <w:rFonts w:hint="eastAsia" w:ascii="仿宋_GB2312"/>
          <w:lang w:eastAsia="zh-CN"/>
        </w:rPr>
      </w:pPr>
      <w:r>
        <w:rPr>
          <w:rFonts w:hint="eastAsia"/>
        </w:rPr>
        <w:t>攀枝花市体育场馆中心</w:t>
      </w:r>
      <w:r>
        <w:rPr>
          <w:rFonts w:hint="eastAsia" w:ascii="仿宋_GB2312"/>
          <w:lang w:eastAsia="zh-CN"/>
        </w:rPr>
        <w:t>2020</w:t>
      </w:r>
      <w:r>
        <w:rPr>
          <w:rFonts w:hint="eastAsia" w:ascii="仿宋_GB2312"/>
        </w:rPr>
        <w:t>年支出预算</w:t>
      </w:r>
      <w:r>
        <w:rPr>
          <w:rFonts w:hint="eastAsia"/>
          <w:lang w:val="en-US" w:eastAsia="zh-CN"/>
        </w:rPr>
        <w:t>555.79</w:t>
      </w:r>
      <w:r>
        <w:rPr>
          <w:rFonts w:hint="eastAsia" w:ascii="仿宋_GB2312"/>
        </w:rPr>
        <w:t>万元，其中：基本支出</w:t>
      </w:r>
      <w:r>
        <w:rPr>
          <w:rFonts w:hint="eastAsia"/>
          <w:lang w:val="en-US" w:eastAsia="zh-CN"/>
        </w:rPr>
        <w:t>520.79</w:t>
      </w:r>
      <w:r>
        <w:rPr>
          <w:rFonts w:hint="eastAsia" w:ascii="仿宋_GB2312"/>
        </w:rPr>
        <w:t>万元，占</w:t>
      </w:r>
      <w:r>
        <w:rPr>
          <w:rFonts w:hint="eastAsia"/>
          <w:lang w:val="en-US" w:eastAsia="zh-CN"/>
        </w:rPr>
        <w:t>93.70</w:t>
      </w:r>
      <w:r>
        <w:rPr>
          <w:rFonts w:hint="eastAsia" w:ascii="仿宋_GB2312"/>
        </w:rPr>
        <w:t>%；项目支出</w:t>
      </w:r>
      <w:r>
        <w:rPr>
          <w:rFonts w:hint="eastAsia"/>
          <w:lang w:val="en-US" w:eastAsia="zh-CN"/>
        </w:rPr>
        <w:t>35.00</w:t>
      </w:r>
      <w:r>
        <w:rPr>
          <w:rFonts w:hint="eastAsia" w:ascii="仿宋_GB2312"/>
        </w:rPr>
        <w:t>万元，占</w:t>
      </w:r>
      <w:r>
        <w:rPr>
          <w:rFonts w:hint="eastAsia"/>
          <w:lang w:val="en-US" w:eastAsia="zh-CN"/>
        </w:rPr>
        <w:t>6.30</w:t>
      </w:r>
      <w:r>
        <w:rPr>
          <w:rFonts w:hint="eastAsia" w:ascii="仿宋_GB2312"/>
        </w:rPr>
        <w:t>%</w:t>
      </w:r>
      <w:r>
        <w:rPr>
          <w:rFonts w:hint="eastAsia" w:ascii="仿宋_GB2312"/>
          <w:lang w:eastAsia="zh-CN"/>
        </w:rPr>
        <w:t>。</w:t>
      </w:r>
    </w:p>
    <w:p>
      <w:pPr>
        <w:spacing w:line="600" w:lineRule="exact"/>
        <w:ind w:firstLine="640" w:firstLineChars="200"/>
        <w:rPr>
          <w:rFonts w:hint="eastAsia" w:ascii="黑体" w:eastAsia="黑体"/>
        </w:rPr>
      </w:pPr>
      <w:r>
        <w:rPr>
          <w:rFonts w:hint="eastAsia" w:ascii="黑体" w:eastAsia="黑体"/>
        </w:rPr>
        <w:t>四、财政拨款收支预算情况说明</w:t>
      </w:r>
    </w:p>
    <w:p>
      <w:pPr>
        <w:spacing w:line="600" w:lineRule="exact"/>
        <w:ind w:firstLine="640" w:firstLineChars="200"/>
        <w:rPr>
          <w:rFonts w:hint="eastAsia" w:ascii="仿宋_GB2312"/>
        </w:rPr>
      </w:pPr>
      <w:r>
        <w:rPr>
          <w:rFonts w:hint="eastAsia"/>
        </w:rPr>
        <w:t>攀枝花市体育场馆中心</w:t>
      </w:r>
      <w:r>
        <w:rPr>
          <w:rFonts w:hint="eastAsia" w:ascii="仿宋_GB2312"/>
          <w:lang w:eastAsia="zh-CN"/>
        </w:rPr>
        <w:t>2020</w:t>
      </w:r>
      <w:r>
        <w:rPr>
          <w:rFonts w:hint="eastAsia" w:ascii="仿宋_GB2312"/>
        </w:rPr>
        <w:t>年财政拨款收支总预算</w:t>
      </w:r>
      <w:r>
        <w:rPr>
          <w:rFonts w:hint="eastAsia"/>
          <w:lang w:val="en-US" w:eastAsia="zh-CN"/>
        </w:rPr>
        <w:t>555.79</w:t>
      </w:r>
      <w:r>
        <w:rPr>
          <w:rFonts w:hint="eastAsia" w:ascii="仿宋_GB2312"/>
        </w:rPr>
        <w:t>万元。收入包括：本年一般公共预算拨款收入</w:t>
      </w:r>
      <w:r>
        <w:rPr>
          <w:rFonts w:hint="eastAsia"/>
          <w:lang w:val="en-US" w:eastAsia="zh-CN"/>
        </w:rPr>
        <w:t>555.79</w:t>
      </w:r>
      <w:r>
        <w:rPr>
          <w:rFonts w:hint="eastAsia" w:ascii="仿宋_GB2312"/>
        </w:rPr>
        <w:t>万元、本年政府性基金预算拨款收入</w:t>
      </w:r>
      <w:r>
        <w:rPr>
          <w:rFonts w:hint="eastAsia"/>
          <w:lang w:val="en-US" w:eastAsia="zh-CN"/>
        </w:rPr>
        <w:t>0</w:t>
      </w:r>
      <w:r>
        <w:rPr>
          <w:rFonts w:hint="eastAsia" w:ascii="仿宋_GB2312"/>
        </w:rPr>
        <w:t>万元</w:t>
      </w:r>
      <w:r>
        <w:rPr>
          <w:rFonts w:hint="eastAsia" w:ascii="仿宋_GB2312"/>
          <w:lang w:eastAsia="zh-CN"/>
        </w:rPr>
        <w:t>。</w:t>
      </w:r>
      <w:r>
        <w:rPr>
          <w:rFonts w:hint="eastAsia" w:ascii="仿宋_GB2312"/>
        </w:rPr>
        <w:t>支出包括：文化体育与传媒支出</w:t>
      </w:r>
      <w:r>
        <w:rPr>
          <w:rFonts w:hint="eastAsia" w:ascii="仿宋_GB2312"/>
          <w:lang w:val="en-US" w:eastAsia="zh-CN"/>
        </w:rPr>
        <w:t>477.30</w:t>
      </w:r>
      <w:r>
        <w:rPr>
          <w:rFonts w:hint="eastAsia" w:ascii="仿宋_GB2312"/>
        </w:rPr>
        <w:t>万元，占</w:t>
      </w:r>
      <w:r>
        <w:rPr>
          <w:rFonts w:hint="eastAsia"/>
        </w:rPr>
        <w:t>拨款的8</w:t>
      </w:r>
      <w:r>
        <w:rPr>
          <w:rFonts w:hint="eastAsia"/>
          <w:lang w:val="en-US" w:eastAsia="zh-CN"/>
        </w:rPr>
        <w:t>5.87</w:t>
      </w:r>
      <w:r>
        <w:rPr>
          <w:rFonts w:hint="eastAsia" w:ascii="仿宋_GB2312"/>
        </w:rPr>
        <w:t>%；社会保障和就业支出</w:t>
      </w:r>
      <w:r>
        <w:rPr>
          <w:rFonts w:hint="eastAsia" w:ascii="仿宋_GB2312"/>
          <w:lang w:val="en-US" w:eastAsia="zh-CN"/>
        </w:rPr>
        <w:t>40.01</w:t>
      </w:r>
      <w:r>
        <w:rPr>
          <w:rFonts w:hint="eastAsia" w:ascii="仿宋_GB2312"/>
        </w:rPr>
        <w:t>万元，占</w:t>
      </w:r>
      <w:r>
        <w:rPr>
          <w:rFonts w:hint="eastAsia"/>
        </w:rPr>
        <w:t>拨款的</w:t>
      </w:r>
      <w:r>
        <w:rPr>
          <w:rFonts w:hint="eastAsia"/>
          <w:lang w:val="en-US" w:eastAsia="zh-CN"/>
        </w:rPr>
        <w:t>7.20</w:t>
      </w:r>
      <w:r>
        <w:rPr>
          <w:rFonts w:hint="eastAsia" w:ascii="仿宋_GB2312"/>
        </w:rPr>
        <w:t>%；住房保障支出</w:t>
      </w:r>
      <w:r>
        <w:rPr>
          <w:rFonts w:hint="eastAsia" w:ascii="仿宋_GB2312"/>
          <w:lang w:val="en-US" w:eastAsia="zh-CN"/>
        </w:rPr>
        <w:t>38.48</w:t>
      </w:r>
      <w:r>
        <w:rPr>
          <w:rFonts w:hint="eastAsia" w:ascii="仿宋_GB2312"/>
        </w:rPr>
        <w:t>万元，占</w:t>
      </w:r>
      <w:r>
        <w:rPr>
          <w:rFonts w:hint="eastAsia"/>
        </w:rPr>
        <w:t>拨款的6.</w:t>
      </w:r>
      <w:r>
        <w:rPr>
          <w:rFonts w:hint="eastAsia"/>
          <w:lang w:val="en-US" w:eastAsia="zh-CN"/>
        </w:rPr>
        <w:t>93</w:t>
      </w:r>
      <w:r>
        <w:rPr>
          <w:rFonts w:hint="eastAsia" w:ascii="仿宋_GB2312"/>
        </w:rPr>
        <w:t>%。</w:t>
      </w:r>
    </w:p>
    <w:p>
      <w:pPr>
        <w:spacing w:line="600" w:lineRule="exact"/>
        <w:ind w:firstLine="640" w:firstLineChars="200"/>
        <w:rPr>
          <w:rFonts w:hint="eastAsia" w:ascii="黑体" w:eastAsia="黑体"/>
        </w:rPr>
      </w:pPr>
      <w:r>
        <w:rPr>
          <w:rFonts w:hint="eastAsia" w:ascii="黑体" w:eastAsia="黑体"/>
        </w:rPr>
        <w:t>五、一般公共预算当年拨款情况说明</w:t>
      </w:r>
    </w:p>
    <w:p>
      <w:pPr>
        <w:spacing w:line="600" w:lineRule="exact"/>
        <w:ind w:firstLine="643" w:firstLineChars="200"/>
        <w:rPr>
          <w:rFonts w:hint="eastAsia" w:ascii="楷体_GB2312" w:eastAsia="楷体_GB2312"/>
          <w:b/>
        </w:rPr>
      </w:pPr>
      <w:r>
        <w:rPr>
          <w:rFonts w:hint="eastAsia" w:ascii="楷体_GB2312" w:eastAsia="楷体_GB2312"/>
          <w:b/>
        </w:rPr>
        <w:t>（一）一般公共预算当年拨款规模变化情况</w:t>
      </w:r>
    </w:p>
    <w:p>
      <w:pPr>
        <w:spacing w:line="600" w:lineRule="exact"/>
        <w:ind w:firstLine="640" w:firstLineChars="200"/>
        <w:rPr>
          <w:rFonts w:hint="eastAsia" w:ascii="仿宋_GB2312"/>
        </w:rPr>
      </w:pPr>
      <w:r>
        <w:rPr>
          <w:rFonts w:hint="eastAsia"/>
        </w:rPr>
        <w:t>攀枝花市体育场馆中心</w:t>
      </w:r>
      <w:r>
        <w:rPr>
          <w:rFonts w:hint="eastAsia" w:ascii="仿宋_GB2312"/>
          <w:lang w:eastAsia="zh-CN"/>
        </w:rPr>
        <w:t>2020</w:t>
      </w:r>
      <w:r>
        <w:rPr>
          <w:rFonts w:hint="eastAsia" w:ascii="仿宋_GB2312"/>
        </w:rPr>
        <w:t>年一般公共预算当年拨款</w:t>
      </w:r>
      <w:r>
        <w:rPr>
          <w:rFonts w:hint="eastAsia"/>
          <w:lang w:val="en-US" w:eastAsia="zh-CN"/>
        </w:rPr>
        <w:t>555.79</w:t>
      </w:r>
      <w:r>
        <w:rPr>
          <w:rFonts w:hint="eastAsia" w:ascii="仿宋_GB2312"/>
        </w:rPr>
        <w:t>万元，比</w:t>
      </w:r>
      <w:r>
        <w:rPr>
          <w:rFonts w:hint="eastAsia" w:ascii="仿宋_GB2312"/>
          <w:lang w:eastAsia="zh-CN"/>
        </w:rPr>
        <w:t>2019</w:t>
      </w:r>
      <w:r>
        <w:rPr>
          <w:rFonts w:hint="eastAsia" w:ascii="仿宋_GB2312"/>
        </w:rPr>
        <w:t>年预算数</w:t>
      </w:r>
      <w:r>
        <w:rPr>
          <w:rFonts w:hint="eastAsia" w:ascii="仿宋_GB2312"/>
          <w:u w:val="single"/>
        </w:rPr>
        <w:t>增加</w:t>
      </w:r>
      <w:r>
        <w:rPr>
          <w:rFonts w:hint="eastAsia"/>
          <w:lang w:val="en-US" w:eastAsia="zh-CN"/>
        </w:rPr>
        <w:t>29.95</w:t>
      </w:r>
      <w:r>
        <w:rPr>
          <w:rFonts w:hint="eastAsia" w:ascii="仿宋_GB2312"/>
        </w:rPr>
        <w:t>万元，主要是</w:t>
      </w:r>
      <w:r>
        <w:rPr>
          <w:rFonts w:hint="eastAsia" w:ascii="仿宋_GB2312"/>
          <w:lang w:eastAsia="zh-CN"/>
        </w:rPr>
        <w:t>：</w:t>
      </w:r>
      <w:r>
        <w:rPr>
          <w:rFonts w:hint="eastAsia" w:ascii="仿宋_GB2312"/>
          <w:lang w:val="en-US" w:eastAsia="zh-CN"/>
        </w:rPr>
        <w:t>新增调入职工1人增加工资和职工调资及绩效工资。</w:t>
      </w:r>
    </w:p>
    <w:p>
      <w:pPr>
        <w:spacing w:line="600" w:lineRule="exact"/>
        <w:ind w:firstLine="643" w:firstLineChars="200"/>
        <w:rPr>
          <w:rFonts w:hint="eastAsia" w:ascii="楷体_GB2312" w:eastAsia="楷体_GB2312"/>
          <w:b/>
        </w:rPr>
      </w:pPr>
      <w:r>
        <w:rPr>
          <w:rFonts w:hint="eastAsia" w:ascii="楷体_GB2312" w:eastAsia="楷体_GB2312"/>
          <w:b/>
        </w:rPr>
        <w:t>（二）一般公共预算当年拨款结构情况</w:t>
      </w:r>
    </w:p>
    <w:p>
      <w:pPr>
        <w:spacing w:line="600" w:lineRule="exact"/>
        <w:ind w:firstLine="640" w:firstLineChars="200"/>
        <w:rPr>
          <w:rFonts w:hint="eastAsia" w:ascii="仿宋_GB2312"/>
        </w:rPr>
      </w:pPr>
      <w:r>
        <w:rPr>
          <w:rFonts w:hint="eastAsia" w:ascii="仿宋_GB2312"/>
        </w:rPr>
        <w:t>文化体育与传媒支出</w:t>
      </w:r>
      <w:r>
        <w:rPr>
          <w:rFonts w:hint="eastAsia" w:ascii="仿宋_GB2312"/>
          <w:lang w:val="en-US" w:eastAsia="zh-CN"/>
        </w:rPr>
        <w:t>477.30</w:t>
      </w:r>
      <w:r>
        <w:rPr>
          <w:rFonts w:hint="eastAsia" w:ascii="仿宋_GB2312"/>
        </w:rPr>
        <w:t>万元，占</w:t>
      </w:r>
      <w:r>
        <w:rPr>
          <w:rFonts w:hint="eastAsia"/>
        </w:rPr>
        <w:t>拨款的8</w:t>
      </w:r>
      <w:r>
        <w:rPr>
          <w:rFonts w:hint="eastAsia"/>
          <w:lang w:val="en-US" w:eastAsia="zh-CN"/>
        </w:rPr>
        <w:t>5.87</w:t>
      </w:r>
      <w:r>
        <w:rPr>
          <w:rFonts w:hint="eastAsia" w:ascii="仿宋_GB2312"/>
        </w:rPr>
        <w:t>%；社会保障和就业支出</w:t>
      </w:r>
      <w:r>
        <w:rPr>
          <w:rFonts w:hint="eastAsia" w:ascii="仿宋_GB2312"/>
          <w:lang w:val="en-US" w:eastAsia="zh-CN"/>
        </w:rPr>
        <w:t>40.01</w:t>
      </w:r>
      <w:r>
        <w:rPr>
          <w:rFonts w:hint="eastAsia" w:ascii="仿宋_GB2312"/>
        </w:rPr>
        <w:t>万元，占</w:t>
      </w:r>
      <w:r>
        <w:rPr>
          <w:rFonts w:hint="eastAsia"/>
        </w:rPr>
        <w:t>拨款的</w:t>
      </w:r>
      <w:r>
        <w:rPr>
          <w:rFonts w:hint="eastAsia"/>
          <w:lang w:val="en-US" w:eastAsia="zh-CN"/>
        </w:rPr>
        <w:t>7.20</w:t>
      </w:r>
      <w:r>
        <w:rPr>
          <w:rFonts w:hint="eastAsia" w:ascii="仿宋_GB2312"/>
        </w:rPr>
        <w:t>%；住房保障支出</w:t>
      </w:r>
      <w:r>
        <w:rPr>
          <w:rFonts w:hint="eastAsia" w:ascii="仿宋_GB2312"/>
          <w:lang w:val="en-US" w:eastAsia="zh-CN"/>
        </w:rPr>
        <w:t>38.48</w:t>
      </w:r>
      <w:r>
        <w:rPr>
          <w:rFonts w:hint="eastAsia" w:ascii="仿宋_GB2312"/>
        </w:rPr>
        <w:t>万元，占</w:t>
      </w:r>
      <w:r>
        <w:rPr>
          <w:rFonts w:hint="eastAsia"/>
        </w:rPr>
        <w:t>拨款的6.</w:t>
      </w:r>
      <w:r>
        <w:rPr>
          <w:rFonts w:hint="eastAsia"/>
          <w:lang w:val="en-US" w:eastAsia="zh-CN"/>
        </w:rPr>
        <w:t>93</w:t>
      </w:r>
      <w:r>
        <w:rPr>
          <w:rFonts w:hint="eastAsia" w:ascii="仿宋_GB2312"/>
        </w:rPr>
        <w:t>%。</w:t>
      </w:r>
    </w:p>
    <w:p>
      <w:pPr>
        <w:numPr>
          <w:ilvl w:val="0"/>
          <w:numId w:val="2"/>
        </w:numPr>
        <w:spacing w:line="600" w:lineRule="exact"/>
        <w:ind w:firstLine="643" w:firstLineChars="200"/>
        <w:rPr>
          <w:rFonts w:hint="eastAsia" w:ascii="楷体_GB2312" w:eastAsia="楷体_GB2312"/>
          <w:b/>
        </w:rPr>
      </w:pPr>
      <w:r>
        <w:rPr>
          <w:rFonts w:hint="eastAsia" w:ascii="楷体_GB2312" w:eastAsia="楷体_GB2312"/>
          <w:b/>
        </w:rPr>
        <w:t>一般公共预算当年拨款具体使用情况</w:t>
      </w:r>
    </w:p>
    <w:p>
      <w:pPr>
        <w:spacing w:line="600" w:lineRule="exact"/>
        <w:ind w:firstLine="640"/>
        <w:rPr>
          <w:rFonts w:ascii="仿宋_GB2312" w:hAnsi="宋体"/>
          <w:kern w:val="0"/>
        </w:rPr>
      </w:pPr>
      <w:r>
        <w:rPr>
          <w:rFonts w:hint="eastAsia" w:ascii="仿宋_GB2312" w:hAnsi="宋体"/>
        </w:rPr>
        <w:t>1. 文化体育与传媒支出（类）体育（款）其他体育支出（项）20</w:t>
      </w:r>
      <w:r>
        <w:rPr>
          <w:rFonts w:hint="eastAsia" w:ascii="仿宋_GB2312" w:hAnsi="宋体"/>
          <w:lang w:val="en-US" w:eastAsia="zh-CN"/>
        </w:rPr>
        <w:t>20</w:t>
      </w:r>
      <w:r>
        <w:rPr>
          <w:rFonts w:hint="eastAsia" w:ascii="仿宋_GB2312" w:hAnsi="宋体"/>
        </w:rPr>
        <w:t>年预算数为</w:t>
      </w:r>
      <w:r>
        <w:rPr>
          <w:rFonts w:hint="eastAsia" w:ascii="仿宋_GB2312" w:hAnsi="宋体"/>
          <w:lang w:val="en-US" w:eastAsia="zh-CN"/>
        </w:rPr>
        <w:t>477.30</w:t>
      </w:r>
      <w:r>
        <w:rPr>
          <w:rFonts w:hint="eastAsia" w:ascii="仿宋_GB2312" w:hAnsi="宋体"/>
        </w:rPr>
        <w:t>万元，主要用于：</w:t>
      </w:r>
      <w:r>
        <w:rPr>
          <w:rFonts w:hint="eastAsia" w:ascii="仿宋_GB2312" w:hAnsi="宋体"/>
          <w:kern w:val="0"/>
        </w:rPr>
        <w:t>用于保障攀枝花市体育场馆中心正常运转的日常支出和</w:t>
      </w:r>
      <w:r>
        <w:rPr>
          <w:rFonts w:hint="eastAsia" w:ascii="仿宋_GB2312" w:hAnsi="宋体"/>
          <w:color w:val="000000"/>
        </w:rPr>
        <w:t>完成</w:t>
      </w:r>
      <w:r>
        <w:rPr>
          <w:rFonts w:hint="eastAsia" w:ascii="仿宋_GB2312" w:hAnsi="宋体"/>
        </w:rPr>
        <w:t>青少年业余训练、培训</w:t>
      </w:r>
      <w:r>
        <w:rPr>
          <w:rFonts w:hint="eastAsia" w:ascii="仿宋_GB2312" w:hAnsi="宋体"/>
          <w:color w:val="000000"/>
        </w:rPr>
        <w:t>任务及场馆对外开放目标专项业务工作的经费支出</w:t>
      </w:r>
      <w:r>
        <w:rPr>
          <w:rFonts w:hint="eastAsia" w:ascii="仿宋_GB2312" w:hAnsi="宋体"/>
          <w:kern w:val="0"/>
        </w:rPr>
        <w:t>，包括基本工资、津贴补贴、绩效工资、社会保障缴费、职工基本医疗保险、公务员医疗补助缴费、离退休费、日常公用经费支出和体育场馆</w:t>
      </w:r>
      <w:r>
        <w:rPr>
          <w:rFonts w:hint="eastAsia" w:ascii="仿宋_GB2312" w:hAnsi="宋体"/>
          <w:kern w:val="0"/>
          <w:lang w:eastAsia="zh-CN"/>
        </w:rPr>
        <w:t>免费低收费对外开放</w:t>
      </w:r>
      <w:r>
        <w:rPr>
          <w:rFonts w:hint="eastAsia" w:ascii="仿宋_GB2312" w:hAnsi="宋体"/>
          <w:kern w:val="0"/>
        </w:rPr>
        <w:t>维护维修费、水电等运行费</w:t>
      </w:r>
      <w:r>
        <w:rPr>
          <w:rFonts w:hint="eastAsia" w:ascii="仿宋_GB2312" w:hAnsi="宋体"/>
          <w:kern w:val="0"/>
          <w:lang w:eastAsia="zh-CN"/>
        </w:rPr>
        <w:t>支出</w:t>
      </w:r>
      <w:r>
        <w:rPr>
          <w:rFonts w:hint="eastAsia" w:ascii="仿宋_GB2312" w:hAnsi="宋体"/>
          <w:kern w:val="0"/>
        </w:rPr>
        <w:t>。</w:t>
      </w:r>
    </w:p>
    <w:p>
      <w:pPr>
        <w:spacing w:line="600" w:lineRule="exact"/>
        <w:ind w:firstLine="640"/>
        <w:rPr>
          <w:rFonts w:ascii="仿宋_GB2312" w:hAnsi="宋体"/>
          <w:kern w:val="0"/>
        </w:rPr>
      </w:pPr>
      <w:r>
        <w:rPr>
          <w:rFonts w:hint="eastAsia" w:ascii="仿宋_GB2312" w:hAnsi="宋体"/>
        </w:rPr>
        <w:t>2. 社会保障和就业支出（类）</w:t>
      </w:r>
      <w:r>
        <w:rPr>
          <w:rFonts w:hint="eastAsia" w:ascii="仿宋_GB2312" w:hAnsi="宋体"/>
          <w:lang w:val="en-US" w:eastAsia="zh-CN"/>
        </w:rPr>
        <w:t xml:space="preserve"> </w:t>
      </w:r>
      <w:r>
        <w:rPr>
          <w:rFonts w:hint="eastAsia" w:ascii="仿宋_GB2312" w:hAnsi="宋体"/>
          <w:color w:val="000000"/>
        </w:rPr>
        <w:t>行政事业单位离退休（款）</w:t>
      </w:r>
      <w:r>
        <w:rPr>
          <w:rFonts w:hint="eastAsia" w:ascii="仿宋_GB2312" w:hAnsi="宋体"/>
          <w:color w:val="000000"/>
          <w:lang w:val="en-US" w:eastAsia="zh-CN"/>
        </w:rPr>
        <w:t xml:space="preserve"> </w:t>
      </w:r>
      <w:r>
        <w:rPr>
          <w:rFonts w:hint="eastAsia" w:ascii="仿宋_GB2312" w:hAnsi="宋体"/>
          <w:color w:val="000000"/>
        </w:rPr>
        <w:t>机关事业单位基本养老保险缴费（项）20</w:t>
      </w:r>
      <w:r>
        <w:rPr>
          <w:rFonts w:hint="eastAsia" w:ascii="仿宋_GB2312" w:hAnsi="宋体"/>
          <w:color w:val="000000"/>
          <w:lang w:val="en-US" w:eastAsia="zh-CN"/>
        </w:rPr>
        <w:t>20</w:t>
      </w:r>
      <w:r>
        <w:rPr>
          <w:rFonts w:hint="eastAsia" w:ascii="仿宋_GB2312" w:hAnsi="宋体"/>
          <w:color w:val="000000"/>
        </w:rPr>
        <w:t>年预</w:t>
      </w:r>
      <w:r>
        <w:rPr>
          <w:rFonts w:hint="eastAsia" w:ascii="仿宋_GB2312" w:hAnsi="宋体"/>
        </w:rPr>
        <w:t>算数为</w:t>
      </w:r>
      <w:r>
        <w:rPr>
          <w:rFonts w:hint="eastAsia" w:ascii="仿宋_GB2312" w:hAnsi="宋体"/>
          <w:lang w:val="en-US" w:eastAsia="zh-CN"/>
        </w:rPr>
        <w:t>40.01</w:t>
      </w:r>
      <w:r>
        <w:rPr>
          <w:rFonts w:hint="eastAsia" w:ascii="仿宋_GB2312" w:hAnsi="宋体"/>
        </w:rPr>
        <w:t>万元，主要用于：职工基本养老保险缴费</w:t>
      </w:r>
      <w:r>
        <w:rPr>
          <w:rFonts w:hint="eastAsia" w:ascii="仿宋_GB2312" w:hAnsi="宋体"/>
          <w:lang w:eastAsia="zh-CN"/>
        </w:rPr>
        <w:t>支出</w:t>
      </w:r>
      <w:r>
        <w:rPr>
          <w:rFonts w:hint="eastAsia" w:ascii="仿宋_GB2312" w:hAnsi="宋体"/>
          <w:kern w:val="0"/>
        </w:rPr>
        <w:t>。</w:t>
      </w:r>
    </w:p>
    <w:p>
      <w:pPr>
        <w:spacing w:line="600" w:lineRule="exact"/>
        <w:ind w:firstLine="640"/>
        <w:rPr>
          <w:rFonts w:hint="eastAsia" w:ascii="仿宋_GB2312"/>
          <w:color w:val="FFC000"/>
          <w:u w:val="single"/>
        </w:rPr>
      </w:pPr>
      <w:r>
        <w:rPr>
          <w:rFonts w:hint="eastAsia" w:ascii="仿宋_GB2312" w:hAnsi="宋体"/>
        </w:rPr>
        <w:t>3.住房保障支出（类）住房改革支出（款）住房公积金（项）20</w:t>
      </w:r>
      <w:r>
        <w:rPr>
          <w:rFonts w:hint="eastAsia" w:ascii="仿宋_GB2312" w:hAnsi="宋体"/>
          <w:lang w:val="en-US" w:eastAsia="zh-CN"/>
        </w:rPr>
        <w:t>20</w:t>
      </w:r>
      <w:r>
        <w:rPr>
          <w:rFonts w:hint="eastAsia" w:ascii="仿宋_GB2312" w:hAnsi="宋体"/>
        </w:rPr>
        <w:t>年预算数为</w:t>
      </w:r>
      <w:r>
        <w:rPr>
          <w:rFonts w:hint="eastAsia" w:ascii="仿宋_GB2312" w:hAnsi="宋体"/>
          <w:lang w:val="en-US" w:eastAsia="zh-CN"/>
        </w:rPr>
        <w:t>38.48</w:t>
      </w:r>
      <w:r>
        <w:rPr>
          <w:rFonts w:hint="eastAsia" w:ascii="仿宋_GB2312" w:hAnsi="宋体"/>
        </w:rPr>
        <w:t>万元，主要用于缴纳职工住房公积金支出。</w:t>
      </w:r>
    </w:p>
    <w:p>
      <w:pPr>
        <w:spacing w:line="600" w:lineRule="exact"/>
        <w:ind w:firstLine="640" w:firstLineChars="200"/>
        <w:rPr>
          <w:rFonts w:hint="eastAsia" w:ascii="黑体" w:eastAsia="黑体"/>
        </w:rPr>
      </w:pPr>
      <w:r>
        <w:rPr>
          <w:rFonts w:hint="eastAsia" w:ascii="黑体" w:eastAsia="黑体"/>
        </w:rPr>
        <w:t>六、一般公共预算基本支出情况说明</w:t>
      </w:r>
    </w:p>
    <w:p>
      <w:pPr>
        <w:spacing w:line="600" w:lineRule="exact"/>
        <w:ind w:firstLine="640" w:firstLineChars="200"/>
        <w:rPr>
          <w:rFonts w:hint="eastAsia" w:ascii="仿宋_GB2312"/>
        </w:rPr>
      </w:pPr>
      <w:r>
        <w:rPr>
          <w:rFonts w:hint="eastAsia"/>
        </w:rPr>
        <w:t>攀枝花市体育场馆中心</w:t>
      </w:r>
      <w:r>
        <w:rPr>
          <w:rFonts w:hint="eastAsia" w:ascii="仿宋_GB2312"/>
          <w:lang w:eastAsia="zh-CN"/>
        </w:rPr>
        <w:t>2020</w:t>
      </w:r>
      <w:r>
        <w:rPr>
          <w:rFonts w:hint="eastAsia" w:ascii="仿宋_GB2312"/>
        </w:rPr>
        <w:t>年一般公共预算基本支出</w:t>
      </w:r>
      <w:r>
        <w:rPr>
          <w:rFonts w:hint="eastAsia"/>
          <w:lang w:val="en-US" w:eastAsia="zh-CN"/>
        </w:rPr>
        <w:t>520.79</w:t>
      </w:r>
      <w:r>
        <w:rPr>
          <w:rFonts w:hint="eastAsia" w:ascii="仿宋_GB2312"/>
        </w:rPr>
        <w:t>万元，其中：</w:t>
      </w:r>
    </w:p>
    <w:p>
      <w:pPr>
        <w:spacing w:line="600" w:lineRule="exact"/>
        <w:ind w:firstLine="640" w:firstLineChars="200"/>
        <w:rPr>
          <w:rFonts w:hint="eastAsia" w:ascii="仿宋_GB2312"/>
          <w:color w:val="FFC000"/>
          <w:u w:val="single"/>
        </w:rPr>
      </w:pPr>
      <w:r>
        <w:rPr>
          <w:rFonts w:hint="eastAsia" w:ascii="仿宋_GB2312"/>
        </w:rPr>
        <w:t>人员经费</w:t>
      </w:r>
      <w:r>
        <w:rPr>
          <w:rFonts w:hint="eastAsia"/>
          <w:lang w:val="en-US" w:eastAsia="zh-CN"/>
        </w:rPr>
        <w:t>469.07</w:t>
      </w:r>
      <w:r>
        <w:rPr>
          <w:rFonts w:hint="eastAsia" w:ascii="仿宋_GB2312"/>
        </w:rPr>
        <w:t>万元，主要包括：</w:t>
      </w:r>
      <w:r>
        <w:rPr>
          <w:rFonts w:hint="eastAsia" w:ascii="仿宋_GB2312" w:hAnsi="宋体"/>
          <w:kern w:val="0"/>
        </w:rPr>
        <w:t>基本工资</w:t>
      </w:r>
      <w:r>
        <w:rPr>
          <w:rFonts w:hint="eastAsia" w:ascii="仿宋_GB2312" w:hAnsi="宋体"/>
          <w:kern w:val="0"/>
          <w:lang w:val="en-US" w:eastAsia="zh-CN"/>
        </w:rPr>
        <w:t>124.19</w:t>
      </w:r>
      <w:r>
        <w:rPr>
          <w:rFonts w:hint="eastAsia" w:ascii="仿宋_GB2312"/>
        </w:rPr>
        <w:t>万元</w:t>
      </w:r>
      <w:r>
        <w:rPr>
          <w:rFonts w:hint="eastAsia" w:ascii="仿宋_GB2312" w:hAnsi="宋体"/>
          <w:kern w:val="0"/>
        </w:rPr>
        <w:t>、津贴补贴</w:t>
      </w:r>
      <w:r>
        <w:rPr>
          <w:rFonts w:hint="eastAsia" w:ascii="仿宋_GB2312" w:hAnsi="宋体"/>
          <w:kern w:val="0"/>
          <w:lang w:val="en-US" w:eastAsia="zh-CN"/>
        </w:rPr>
        <w:t>15.69</w:t>
      </w:r>
      <w:r>
        <w:rPr>
          <w:rFonts w:hint="eastAsia" w:ascii="仿宋_GB2312"/>
        </w:rPr>
        <w:t>万元</w:t>
      </w:r>
      <w:r>
        <w:rPr>
          <w:rFonts w:hint="eastAsia" w:ascii="仿宋_GB2312" w:hAnsi="宋体"/>
          <w:kern w:val="0"/>
        </w:rPr>
        <w:t>、绩效工资</w:t>
      </w:r>
      <w:r>
        <w:rPr>
          <w:rFonts w:hint="eastAsia" w:ascii="仿宋_GB2312" w:hAnsi="宋体"/>
          <w:kern w:val="0"/>
          <w:lang w:val="en-US" w:eastAsia="zh-CN"/>
        </w:rPr>
        <w:t>180.83</w:t>
      </w:r>
      <w:r>
        <w:rPr>
          <w:rFonts w:hint="eastAsia" w:ascii="仿宋_GB2312"/>
        </w:rPr>
        <w:t>万元</w:t>
      </w:r>
      <w:r>
        <w:rPr>
          <w:rFonts w:hint="eastAsia" w:ascii="仿宋_GB2312" w:hAnsi="宋体"/>
          <w:kern w:val="0"/>
        </w:rPr>
        <w:t>、机关事业单位养老保险缴费</w:t>
      </w:r>
      <w:r>
        <w:rPr>
          <w:rFonts w:hint="eastAsia" w:ascii="仿宋_GB2312" w:hAnsi="宋体"/>
          <w:kern w:val="0"/>
          <w:lang w:val="en-US" w:eastAsia="zh-CN"/>
        </w:rPr>
        <w:t>40.01</w:t>
      </w:r>
      <w:r>
        <w:rPr>
          <w:rFonts w:hint="eastAsia" w:ascii="仿宋_GB2312"/>
        </w:rPr>
        <w:t>万元、职工基本医疗保险缴费</w:t>
      </w:r>
      <w:r>
        <w:rPr>
          <w:rFonts w:hint="eastAsia" w:ascii="仿宋_GB2312"/>
          <w:lang w:val="en-US" w:eastAsia="zh-CN"/>
        </w:rPr>
        <w:t>24.06</w:t>
      </w:r>
      <w:r>
        <w:rPr>
          <w:rFonts w:hint="eastAsia" w:ascii="仿宋_GB2312"/>
        </w:rPr>
        <w:t>万元、</w:t>
      </w:r>
      <w:r>
        <w:rPr>
          <w:rFonts w:hint="eastAsia" w:ascii="仿宋_GB2312" w:hAnsi="宋体"/>
          <w:kern w:val="0"/>
        </w:rPr>
        <w:t>公务员医疗补助缴费</w:t>
      </w:r>
      <w:r>
        <w:rPr>
          <w:rFonts w:hint="eastAsia" w:ascii="仿宋_GB2312" w:hAnsi="宋体"/>
          <w:kern w:val="0"/>
          <w:lang w:val="en-US" w:eastAsia="zh-CN"/>
        </w:rPr>
        <w:t>2.56</w:t>
      </w:r>
      <w:r>
        <w:rPr>
          <w:rFonts w:hint="eastAsia" w:ascii="仿宋_GB2312" w:hAnsi="宋体"/>
          <w:kern w:val="0"/>
        </w:rPr>
        <w:t>万元、其他社会保障缴费</w:t>
      </w:r>
      <w:r>
        <w:rPr>
          <w:rFonts w:hint="eastAsia" w:ascii="仿宋_GB2312" w:hAnsi="宋体"/>
          <w:kern w:val="0"/>
          <w:lang w:val="en-US" w:eastAsia="zh-CN"/>
        </w:rPr>
        <w:t>5.13</w:t>
      </w:r>
      <w:r>
        <w:rPr>
          <w:rFonts w:hint="eastAsia" w:ascii="仿宋_GB2312" w:hAnsi="宋体"/>
          <w:kern w:val="0"/>
        </w:rPr>
        <w:t>万元、</w:t>
      </w:r>
      <w:r>
        <w:rPr>
          <w:rFonts w:hint="eastAsia" w:ascii="仿宋_GB2312" w:hAnsi="宋体"/>
        </w:rPr>
        <w:t>住房公积金</w:t>
      </w:r>
      <w:r>
        <w:rPr>
          <w:rFonts w:hint="eastAsia" w:ascii="仿宋_GB2312" w:hAnsi="宋体"/>
          <w:lang w:val="en-US" w:eastAsia="zh-CN"/>
        </w:rPr>
        <w:t>38.48</w:t>
      </w:r>
      <w:r>
        <w:rPr>
          <w:rFonts w:hint="eastAsia" w:ascii="仿宋_GB2312" w:hAnsi="宋体"/>
        </w:rPr>
        <w:t>万元、其他工资福利支出</w:t>
      </w:r>
      <w:r>
        <w:rPr>
          <w:rFonts w:hint="eastAsia" w:ascii="仿宋_GB2312" w:hAnsi="宋体"/>
          <w:lang w:val="en-US" w:eastAsia="zh-CN"/>
        </w:rPr>
        <w:t>16.64</w:t>
      </w:r>
      <w:r>
        <w:rPr>
          <w:rFonts w:hint="eastAsia" w:ascii="仿宋_GB2312" w:hAnsi="宋体"/>
        </w:rPr>
        <w:t>万元、</w:t>
      </w:r>
      <w:r>
        <w:rPr>
          <w:rFonts w:hint="eastAsia" w:ascii="仿宋_GB2312" w:hAnsi="宋体"/>
          <w:kern w:val="0"/>
        </w:rPr>
        <w:t>退休费</w:t>
      </w:r>
      <w:r>
        <w:rPr>
          <w:rFonts w:hint="eastAsia" w:ascii="仿宋_GB2312" w:hAnsi="宋体"/>
          <w:kern w:val="0"/>
          <w:lang w:val="en-US" w:eastAsia="zh-CN"/>
        </w:rPr>
        <w:t>20.28</w:t>
      </w:r>
      <w:r>
        <w:rPr>
          <w:rFonts w:hint="eastAsia" w:ascii="仿宋_GB2312" w:hAnsi="宋体"/>
          <w:kern w:val="0"/>
        </w:rPr>
        <w:t>万元、医疗补助缴费</w:t>
      </w:r>
      <w:r>
        <w:rPr>
          <w:rFonts w:hint="eastAsia" w:ascii="仿宋_GB2312" w:hAnsi="宋体"/>
          <w:kern w:val="0"/>
          <w:lang w:val="en-US" w:eastAsia="zh-CN"/>
        </w:rPr>
        <w:t>1.20</w:t>
      </w:r>
      <w:r>
        <w:rPr>
          <w:rFonts w:hint="eastAsia" w:ascii="仿宋_GB2312" w:hAnsi="宋体"/>
          <w:kern w:val="0"/>
        </w:rPr>
        <w:t>万元</w:t>
      </w:r>
      <w:r>
        <w:rPr>
          <w:rFonts w:hint="eastAsia" w:ascii="仿宋_GB2312" w:hAnsi="宋体"/>
        </w:rPr>
        <w:t>。公用经费</w:t>
      </w:r>
      <w:r>
        <w:rPr>
          <w:rFonts w:hint="eastAsia" w:ascii="仿宋_GB2312" w:hAnsi="宋体"/>
          <w:lang w:val="en-US" w:eastAsia="zh-CN"/>
        </w:rPr>
        <w:t>51.72</w:t>
      </w:r>
      <w:r>
        <w:rPr>
          <w:rFonts w:hint="eastAsia" w:ascii="仿宋_GB2312" w:hAnsi="宋体"/>
        </w:rPr>
        <w:t>万元，主要包括：办公费</w:t>
      </w:r>
      <w:r>
        <w:rPr>
          <w:rFonts w:hint="eastAsia" w:ascii="仿宋_GB2312" w:hAnsi="宋体"/>
          <w:lang w:val="en-US" w:eastAsia="zh-CN"/>
        </w:rPr>
        <w:t>5.18</w:t>
      </w:r>
      <w:r>
        <w:rPr>
          <w:rFonts w:hint="eastAsia" w:ascii="仿宋_GB2312" w:hAnsi="宋体"/>
        </w:rPr>
        <w:t>万元、水费1.</w:t>
      </w:r>
      <w:r>
        <w:rPr>
          <w:rFonts w:hint="eastAsia" w:ascii="仿宋_GB2312" w:hAnsi="宋体"/>
          <w:lang w:val="en-US" w:eastAsia="zh-CN"/>
        </w:rPr>
        <w:t>04</w:t>
      </w:r>
      <w:r>
        <w:rPr>
          <w:rFonts w:hint="eastAsia" w:ascii="仿宋_GB2312" w:hAnsi="宋体"/>
        </w:rPr>
        <w:t>万元、电费2.</w:t>
      </w:r>
      <w:r>
        <w:rPr>
          <w:rFonts w:hint="eastAsia" w:ascii="仿宋_GB2312" w:hAnsi="宋体"/>
          <w:lang w:val="en-US" w:eastAsia="zh-CN"/>
        </w:rPr>
        <w:t>59</w:t>
      </w:r>
      <w:r>
        <w:rPr>
          <w:rFonts w:hint="eastAsia" w:ascii="仿宋_GB2312" w:hAnsi="宋体"/>
        </w:rPr>
        <w:t>万元、邮电费1.</w:t>
      </w:r>
      <w:r>
        <w:rPr>
          <w:rFonts w:hint="eastAsia" w:ascii="仿宋_GB2312" w:hAnsi="宋体"/>
          <w:lang w:val="en-US" w:eastAsia="zh-CN"/>
        </w:rPr>
        <w:t>24</w:t>
      </w:r>
      <w:r>
        <w:rPr>
          <w:rFonts w:hint="eastAsia" w:ascii="仿宋_GB2312" w:hAnsi="宋体"/>
        </w:rPr>
        <w:t>万元、差旅费2</w:t>
      </w:r>
      <w:r>
        <w:rPr>
          <w:rFonts w:hint="eastAsia" w:ascii="仿宋_GB2312" w:hAnsi="宋体"/>
          <w:lang w:val="en-US" w:eastAsia="zh-CN"/>
        </w:rPr>
        <w:t>0.74</w:t>
      </w:r>
      <w:r>
        <w:rPr>
          <w:rFonts w:hint="eastAsia" w:ascii="仿宋_GB2312" w:hAnsi="宋体"/>
        </w:rPr>
        <w:t>万元、公务接待费0.8</w:t>
      </w:r>
      <w:r>
        <w:rPr>
          <w:rFonts w:hint="eastAsia" w:ascii="仿宋_GB2312" w:hAnsi="宋体"/>
          <w:lang w:val="en-US" w:eastAsia="zh-CN"/>
        </w:rPr>
        <w:t>4</w:t>
      </w:r>
      <w:r>
        <w:rPr>
          <w:rFonts w:hint="eastAsia" w:ascii="仿宋_GB2312" w:hAnsi="宋体"/>
        </w:rPr>
        <w:t>万元、工会经费</w:t>
      </w:r>
      <w:r>
        <w:rPr>
          <w:rFonts w:hint="eastAsia" w:ascii="仿宋_GB2312" w:hAnsi="宋体"/>
          <w:lang w:val="en-US" w:eastAsia="zh-CN"/>
        </w:rPr>
        <w:t>6.41</w:t>
      </w:r>
      <w:r>
        <w:rPr>
          <w:rFonts w:hint="eastAsia" w:ascii="仿宋_GB2312" w:hAnsi="宋体"/>
        </w:rPr>
        <w:t>万元、福利费</w:t>
      </w:r>
      <w:r>
        <w:rPr>
          <w:rFonts w:hint="eastAsia" w:ascii="仿宋_GB2312" w:hAnsi="宋体"/>
          <w:lang w:val="en-US" w:eastAsia="zh-CN"/>
        </w:rPr>
        <w:t>4.41</w:t>
      </w:r>
      <w:r>
        <w:rPr>
          <w:rFonts w:hint="eastAsia" w:ascii="仿宋_GB2312" w:hAnsi="宋体"/>
        </w:rPr>
        <w:t>万元（含离退休）、公务用车运行维护费1.</w:t>
      </w:r>
      <w:r>
        <w:rPr>
          <w:rFonts w:hint="eastAsia" w:ascii="仿宋_GB2312" w:hAnsi="宋体"/>
          <w:lang w:val="en-US" w:eastAsia="zh-CN"/>
        </w:rPr>
        <w:t>71</w:t>
      </w:r>
      <w:r>
        <w:rPr>
          <w:rFonts w:hint="eastAsia" w:ascii="仿宋_GB2312" w:hAnsi="宋体"/>
        </w:rPr>
        <w:t>万元、其他商品和服务7.</w:t>
      </w:r>
      <w:r>
        <w:rPr>
          <w:rFonts w:hint="eastAsia" w:ascii="仿宋_GB2312" w:hAnsi="宋体"/>
          <w:lang w:val="en-US" w:eastAsia="zh-CN"/>
        </w:rPr>
        <w:t>56</w:t>
      </w:r>
      <w:r>
        <w:rPr>
          <w:rFonts w:hint="eastAsia" w:ascii="仿宋_GB2312" w:hAnsi="宋体"/>
        </w:rPr>
        <w:t>万元。</w:t>
      </w:r>
      <w:r>
        <w:rPr>
          <w:rFonts w:hint="eastAsia" w:ascii="仿宋_GB2312"/>
          <w:color w:val="FFC000"/>
        </w:rPr>
        <w:t>。</w:t>
      </w:r>
    </w:p>
    <w:p>
      <w:pPr>
        <w:spacing w:line="600" w:lineRule="exact"/>
        <w:ind w:firstLine="640" w:firstLineChars="200"/>
        <w:rPr>
          <w:rFonts w:hint="eastAsia" w:ascii="黑体" w:eastAsia="黑体"/>
        </w:rPr>
      </w:pPr>
      <w:r>
        <w:rPr>
          <w:rFonts w:hint="eastAsia" w:ascii="黑体" w:eastAsia="黑体"/>
        </w:rPr>
        <w:t>七、“三公”经费财政拨款预算安排情况说明</w:t>
      </w:r>
    </w:p>
    <w:p>
      <w:pPr>
        <w:spacing w:line="600" w:lineRule="exact"/>
        <w:ind w:firstLine="640" w:firstLineChars="200"/>
        <w:rPr>
          <w:rFonts w:ascii="仿宋_GB2312"/>
          <w:color w:val="FFC000"/>
        </w:rPr>
      </w:pPr>
      <w:r>
        <w:rPr>
          <w:rFonts w:hint="eastAsia"/>
        </w:rPr>
        <w:t>攀枝花市体育场馆中心</w:t>
      </w:r>
      <w:r>
        <w:rPr>
          <w:rFonts w:hint="eastAsia" w:ascii="仿宋_GB2312"/>
          <w:lang w:eastAsia="zh-CN"/>
        </w:rPr>
        <w:t>2020</w:t>
      </w:r>
      <w:r>
        <w:rPr>
          <w:rFonts w:hint="eastAsia" w:ascii="仿宋_GB2312"/>
        </w:rPr>
        <w:t>年“三公”经费财政拨款预算数</w:t>
      </w:r>
      <w:r>
        <w:rPr>
          <w:rFonts w:hint="eastAsia"/>
          <w:lang w:val="en-US" w:eastAsia="zh-CN"/>
        </w:rPr>
        <w:t>2.55</w:t>
      </w:r>
      <w:r>
        <w:rPr>
          <w:rFonts w:hint="eastAsia" w:ascii="仿宋_GB2312"/>
        </w:rPr>
        <w:t>万元，其中：因公出国（境）经费</w:t>
      </w:r>
      <w:r>
        <w:rPr>
          <w:rFonts w:hint="eastAsia"/>
          <w:lang w:val="en-US" w:eastAsia="zh-CN"/>
        </w:rPr>
        <w:t>0</w:t>
      </w:r>
      <w:r>
        <w:rPr>
          <w:rFonts w:hint="eastAsia" w:ascii="仿宋_GB2312"/>
        </w:rPr>
        <w:t>万元，公务接待费</w:t>
      </w:r>
      <w:r>
        <w:rPr>
          <w:rFonts w:hint="eastAsia"/>
          <w:lang w:val="en-US" w:eastAsia="zh-CN"/>
        </w:rPr>
        <w:t>0.84</w:t>
      </w:r>
      <w:r>
        <w:rPr>
          <w:rFonts w:hint="eastAsia" w:ascii="仿宋_GB2312"/>
        </w:rPr>
        <w:t>万元，公务用车购置及运行维护费</w:t>
      </w:r>
      <w:r>
        <w:rPr>
          <w:rFonts w:hint="eastAsia"/>
          <w:lang w:val="en-US" w:eastAsia="zh-CN"/>
        </w:rPr>
        <w:t>1.71</w:t>
      </w:r>
      <w:r>
        <w:rPr>
          <w:rFonts w:hint="eastAsia" w:ascii="仿宋_GB2312"/>
        </w:rPr>
        <w:t>万元。</w:t>
      </w:r>
    </w:p>
    <w:p>
      <w:pPr>
        <w:numPr>
          <w:ilvl w:val="0"/>
          <w:numId w:val="3"/>
        </w:numPr>
        <w:spacing w:line="600" w:lineRule="exact"/>
        <w:ind w:firstLine="321" w:firstLineChars="100"/>
        <w:rPr>
          <w:rFonts w:hint="eastAsia" w:ascii="楷体_GB2312" w:eastAsia="楷体_GB2312"/>
          <w:b/>
          <w:color w:val="FF0000"/>
          <w:lang w:eastAsia="zh-CN"/>
        </w:rPr>
      </w:pPr>
      <w:r>
        <w:rPr>
          <w:rFonts w:hint="eastAsia" w:ascii="楷体_GB2312" w:eastAsia="楷体_GB2312"/>
          <w:b/>
        </w:rPr>
        <w:t>因公出国（</w:t>
      </w:r>
      <w:r>
        <w:rPr>
          <w:rFonts w:hint="eastAsia" w:ascii="楷体_GB2312" w:eastAsia="楷体_GB2312"/>
          <w:b/>
          <w:color w:val="auto"/>
        </w:rPr>
        <w:t>境）经费</w:t>
      </w:r>
      <w:r>
        <w:rPr>
          <w:rFonts w:hint="eastAsia" w:ascii="楷体_GB2312" w:eastAsia="楷体_GB2312"/>
          <w:b/>
          <w:color w:val="auto"/>
          <w:lang w:eastAsia="zh-CN"/>
        </w:rPr>
        <w:t>（无）</w:t>
      </w:r>
    </w:p>
    <w:p>
      <w:pPr>
        <w:numPr>
          <w:ilvl w:val="0"/>
          <w:numId w:val="3"/>
        </w:numPr>
        <w:spacing w:line="600" w:lineRule="exact"/>
        <w:ind w:firstLine="321" w:firstLineChars="100"/>
        <w:rPr>
          <w:rFonts w:hint="eastAsia" w:ascii="仿宋_GB2312"/>
        </w:rPr>
      </w:pPr>
      <w:r>
        <w:rPr>
          <w:rFonts w:hint="eastAsia" w:ascii="楷体_GB2312" w:eastAsia="楷体_GB2312"/>
          <w:b/>
        </w:rPr>
        <w:t>（二）公务接待费较</w:t>
      </w:r>
      <w:r>
        <w:rPr>
          <w:rFonts w:hint="eastAsia" w:ascii="楷体_GB2312" w:eastAsia="楷体_GB2312"/>
          <w:b/>
          <w:lang w:eastAsia="zh-CN"/>
        </w:rPr>
        <w:t>2019</w:t>
      </w:r>
      <w:r>
        <w:rPr>
          <w:rFonts w:hint="eastAsia" w:ascii="楷体_GB2312" w:eastAsia="楷体_GB2312"/>
          <w:b/>
        </w:rPr>
        <w:t>年预算</w:t>
      </w:r>
      <w:r>
        <w:rPr>
          <w:rFonts w:hint="eastAsia" w:ascii="楷体_GB2312" w:eastAsia="楷体_GB2312"/>
          <w:b/>
          <w:u w:val="single"/>
        </w:rPr>
        <w:t>下降</w:t>
      </w:r>
      <w:r>
        <w:rPr>
          <w:rFonts w:hint="eastAsia" w:eastAsia="楷体_GB2312"/>
          <w:b/>
          <w:lang w:val="en-US" w:eastAsia="zh-CN"/>
        </w:rPr>
        <w:t>4</w:t>
      </w:r>
      <w:r>
        <w:rPr>
          <w:rFonts w:hint="eastAsia" w:eastAsia="楷体_GB2312"/>
          <w:b/>
          <w:lang w:val="en-US" w:eastAsia="zh-CN"/>
        </w:rPr>
        <w:t>.55</w:t>
      </w:r>
      <w:r>
        <w:rPr>
          <w:rFonts w:ascii="楷体_GB2312" w:eastAsia="楷体_GB2312"/>
          <w:b/>
        </w:rPr>
        <w:t>%</w:t>
      </w:r>
      <w:r>
        <w:rPr>
          <w:rFonts w:hint="eastAsia" w:ascii="楷体_GB2312" w:eastAsia="楷体_GB2312"/>
          <w:b/>
        </w:rPr>
        <w:t>。</w:t>
      </w:r>
      <w:r>
        <w:rPr>
          <w:rFonts w:hint="eastAsia" w:ascii="仿宋_GB2312"/>
        </w:rPr>
        <w:t>主要原因是主要原因是</w:t>
      </w:r>
      <w:r>
        <w:rPr>
          <w:rFonts w:hint="eastAsia" w:ascii="仿宋_GB2312" w:hAnsi="仿宋" w:cs="Calibri"/>
          <w:sz w:val="30"/>
          <w:szCs w:val="30"/>
        </w:rPr>
        <w:t>坚决贯彻执行中央</w:t>
      </w:r>
      <w:bookmarkStart w:id="0" w:name="_GoBack"/>
      <w:bookmarkEnd w:id="0"/>
      <w:r>
        <w:rPr>
          <w:rFonts w:hint="eastAsia" w:ascii="仿宋_GB2312" w:hAnsi="仿宋" w:cs="Calibri"/>
          <w:sz w:val="30"/>
          <w:szCs w:val="30"/>
        </w:rPr>
        <w:t>八项规定和省、市“十项规定”以及《党政机关厉行节约反对浪费条例》等相关规定，减少公务接待费支</w:t>
      </w:r>
      <w:r>
        <w:rPr>
          <w:rFonts w:hint="eastAsia" w:ascii="仿宋_GB2312" w:hAnsi="仿宋" w:cs="Calibri"/>
          <w:sz w:val="30"/>
          <w:szCs w:val="30"/>
          <w:lang w:eastAsia="zh-CN"/>
        </w:rPr>
        <w:t>出</w:t>
      </w:r>
      <w:r>
        <w:rPr>
          <w:rFonts w:hint="eastAsia" w:ascii="仿宋_GB2312"/>
        </w:rPr>
        <w:t>。</w:t>
      </w:r>
    </w:p>
    <w:p>
      <w:pPr>
        <w:spacing w:line="600" w:lineRule="exact"/>
        <w:ind w:firstLine="640"/>
        <w:rPr>
          <w:rFonts w:ascii="仿宋_GB2312" w:hAnsi="宋体"/>
        </w:rPr>
      </w:pPr>
      <w:r>
        <w:rPr>
          <w:rFonts w:hint="eastAsia" w:ascii="仿宋_GB2312"/>
          <w:lang w:eastAsia="zh-CN"/>
        </w:rPr>
        <w:t>2020</w:t>
      </w:r>
      <w:r>
        <w:rPr>
          <w:rFonts w:hint="eastAsia" w:ascii="仿宋_GB2312"/>
        </w:rPr>
        <w:t>年公务接待费计划用于</w:t>
      </w:r>
      <w:r>
        <w:rPr>
          <w:rFonts w:hint="eastAsia" w:ascii="仿宋_GB2312" w:hAnsi="宋体"/>
        </w:rPr>
        <w:t>全省各地市州相关业务部门及省各相关业务单位来攀检查指导工作的工作餐费支出。</w:t>
      </w:r>
    </w:p>
    <w:p>
      <w:pPr>
        <w:spacing w:line="600" w:lineRule="exact"/>
        <w:ind w:firstLine="640"/>
        <w:rPr>
          <w:rFonts w:hint="eastAsia" w:ascii="楷体_GB2312" w:eastAsia="仿宋_GB2312"/>
          <w:b/>
          <w:lang w:eastAsia="zh-CN"/>
        </w:rPr>
      </w:pPr>
      <w:r>
        <w:rPr>
          <w:rFonts w:hint="eastAsia" w:ascii="楷体_GB2312" w:eastAsia="楷体_GB2312"/>
          <w:b/>
        </w:rPr>
        <w:t>（三）公务用车购置及运行维护费较</w:t>
      </w:r>
      <w:r>
        <w:rPr>
          <w:rFonts w:hint="eastAsia" w:ascii="楷体_GB2312" w:eastAsia="楷体_GB2312"/>
          <w:b/>
          <w:lang w:eastAsia="zh-CN"/>
        </w:rPr>
        <w:t>2019</w:t>
      </w:r>
      <w:r>
        <w:rPr>
          <w:rFonts w:hint="eastAsia" w:ascii="楷体_GB2312" w:eastAsia="楷体_GB2312"/>
          <w:b/>
        </w:rPr>
        <w:t>年预算</w:t>
      </w:r>
      <w:r>
        <w:rPr>
          <w:rFonts w:hint="eastAsia" w:ascii="楷体_GB2312" w:eastAsia="楷体_GB2312"/>
          <w:b/>
          <w:u w:val="single"/>
        </w:rPr>
        <w:t>下降</w:t>
      </w:r>
      <w:r>
        <w:rPr>
          <w:rFonts w:hint="eastAsia" w:eastAsia="楷体_GB2312"/>
          <w:b/>
          <w:lang w:val="en-US" w:eastAsia="zh-CN"/>
        </w:rPr>
        <w:t>5</w:t>
      </w:r>
      <w:r>
        <w:rPr>
          <w:rFonts w:hint="eastAsia" w:eastAsia="楷体_GB2312"/>
          <w:b/>
          <w:lang w:val="en-US" w:eastAsia="zh-CN"/>
        </w:rPr>
        <w:t>.00</w:t>
      </w:r>
      <w:r>
        <w:rPr>
          <w:rFonts w:ascii="楷体_GB2312" w:eastAsia="楷体_GB2312"/>
          <w:b/>
        </w:rPr>
        <w:t>%</w:t>
      </w:r>
      <w:r>
        <w:rPr>
          <w:rFonts w:hint="eastAsia" w:ascii="楷体_GB2312" w:eastAsia="楷体_GB2312"/>
          <w:b/>
        </w:rPr>
        <w:t>。</w:t>
      </w:r>
      <w:r>
        <w:rPr>
          <w:rFonts w:hint="eastAsia" w:ascii="仿宋_GB2312"/>
        </w:rPr>
        <w:t>主要原因是</w:t>
      </w:r>
      <w:r>
        <w:rPr>
          <w:rFonts w:hint="eastAsia" w:ascii="仿宋_GB2312" w:hAnsi="仿宋" w:cs="Calibri"/>
          <w:sz w:val="30"/>
          <w:szCs w:val="30"/>
        </w:rPr>
        <w:t>加强公务用车的管理，制定严格的公务车使用制度，提高了公务车的使用效率</w:t>
      </w:r>
      <w:r>
        <w:rPr>
          <w:rFonts w:hint="eastAsia" w:ascii="仿宋_GB2312" w:hAnsi="仿宋" w:cs="Calibri"/>
          <w:sz w:val="30"/>
          <w:szCs w:val="30"/>
          <w:lang w:eastAsia="zh-CN"/>
        </w:rPr>
        <w:t>，减少公务用车支出。</w:t>
      </w:r>
    </w:p>
    <w:p>
      <w:pPr>
        <w:spacing w:line="600" w:lineRule="exact"/>
        <w:ind w:firstLine="640"/>
        <w:rPr>
          <w:rFonts w:hint="eastAsia" w:ascii="仿宋_GB2312"/>
        </w:rPr>
      </w:pPr>
      <w:r>
        <w:rPr>
          <w:rFonts w:hint="eastAsia" w:ascii="仿宋_GB2312"/>
        </w:rPr>
        <w:t>单位现有公务用车</w:t>
      </w:r>
      <w:r>
        <w:rPr>
          <w:rFonts w:hint="eastAsia"/>
          <w:lang w:val="en-US" w:eastAsia="zh-CN"/>
        </w:rPr>
        <w:t>1</w:t>
      </w:r>
      <w:r>
        <w:rPr>
          <w:rFonts w:hint="eastAsia" w:ascii="仿宋_GB2312"/>
        </w:rPr>
        <w:t>辆，其中：轿车（含7座以下商务车、城市越野车）</w:t>
      </w:r>
      <w:r>
        <w:rPr>
          <w:rFonts w:hint="eastAsia"/>
          <w:lang w:val="en-US" w:eastAsia="zh-CN"/>
        </w:rPr>
        <w:t>1</w:t>
      </w:r>
      <w:r>
        <w:rPr>
          <w:rFonts w:hint="eastAsia" w:ascii="仿宋_GB2312"/>
        </w:rPr>
        <w:t>辆，7座以上19座（含19座）以下客车</w:t>
      </w:r>
      <w:r>
        <w:rPr>
          <w:rFonts w:hint="eastAsia"/>
          <w:lang w:val="en-US" w:eastAsia="zh-CN"/>
        </w:rPr>
        <w:t>0</w:t>
      </w:r>
      <w:r>
        <w:rPr>
          <w:rFonts w:hint="eastAsia" w:ascii="仿宋_GB2312"/>
        </w:rPr>
        <w:t>辆，越野车</w:t>
      </w:r>
      <w:r>
        <w:rPr>
          <w:rFonts w:hint="eastAsia"/>
          <w:lang w:val="en-US" w:eastAsia="zh-CN"/>
        </w:rPr>
        <w:t>0</w:t>
      </w:r>
      <w:r>
        <w:rPr>
          <w:rFonts w:hint="eastAsia" w:ascii="仿宋_GB2312"/>
        </w:rPr>
        <w:t>辆，货车及19座以上客车</w:t>
      </w:r>
      <w:r>
        <w:rPr>
          <w:rFonts w:hint="eastAsia"/>
          <w:lang w:val="en-US" w:eastAsia="zh-CN"/>
        </w:rPr>
        <w:t>0</w:t>
      </w:r>
      <w:r>
        <w:rPr>
          <w:rFonts w:hint="eastAsia" w:ascii="仿宋_GB2312"/>
        </w:rPr>
        <w:t>辆，摩托车</w:t>
      </w:r>
      <w:r>
        <w:rPr>
          <w:rFonts w:hint="eastAsia"/>
          <w:lang w:val="en-US" w:eastAsia="zh-CN"/>
        </w:rPr>
        <w:t>0</w:t>
      </w:r>
      <w:r>
        <w:rPr>
          <w:rFonts w:hint="eastAsia" w:ascii="仿宋_GB2312"/>
        </w:rPr>
        <w:t>辆。</w:t>
      </w:r>
    </w:p>
    <w:p>
      <w:pPr>
        <w:spacing w:line="600" w:lineRule="exact"/>
        <w:ind w:firstLine="640"/>
        <w:rPr>
          <w:rFonts w:hint="eastAsia" w:ascii="仿宋_GB2312"/>
        </w:rPr>
      </w:pPr>
      <w:r>
        <w:rPr>
          <w:rFonts w:hint="eastAsia" w:ascii="仿宋_GB2312"/>
          <w:lang w:eastAsia="zh-CN"/>
        </w:rPr>
        <w:t>2020</w:t>
      </w:r>
      <w:r>
        <w:rPr>
          <w:rFonts w:hint="eastAsia" w:ascii="仿宋_GB2312"/>
        </w:rPr>
        <w:t>年安排公务用车购置费</w:t>
      </w:r>
      <w:r>
        <w:rPr>
          <w:rFonts w:hint="eastAsia"/>
          <w:lang w:val="en-US" w:eastAsia="zh-CN"/>
        </w:rPr>
        <w:t>0</w:t>
      </w:r>
      <w:r>
        <w:rPr>
          <w:rFonts w:hint="eastAsia" w:ascii="仿宋_GB2312"/>
        </w:rPr>
        <w:t>万元，购置公务用车</w:t>
      </w:r>
      <w:r>
        <w:rPr>
          <w:rFonts w:hint="eastAsia"/>
          <w:lang w:val="en-US" w:eastAsia="zh-CN"/>
        </w:rPr>
        <w:t>0</w:t>
      </w:r>
      <w:r>
        <w:rPr>
          <w:rFonts w:hint="eastAsia" w:ascii="仿宋_GB2312"/>
        </w:rPr>
        <w:t>辆，其中：轿车（含7座以下商务车、城市越野车）</w:t>
      </w:r>
      <w:r>
        <w:rPr>
          <w:rFonts w:hint="eastAsia"/>
          <w:lang w:val="en-US" w:eastAsia="zh-CN"/>
        </w:rPr>
        <w:t>0</w:t>
      </w:r>
      <w:r>
        <w:rPr>
          <w:rFonts w:hint="eastAsia" w:ascii="仿宋_GB2312"/>
        </w:rPr>
        <w:t>辆，7座以上19座（含19座）以下客车</w:t>
      </w:r>
      <w:r>
        <w:rPr>
          <w:rFonts w:hint="eastAsia"/>
          <w:lang w:val="en-US" w:eastAsia="zh-CN"/>
        </w:rPr>
        <w:t>0</w:t>
      </w:r>
      <w:r>
        <w:rPr>
          <w:rFonts w:hint="eastAsia" w:ascii="仿宋_GB2312"/>
        </w:rPr>
        <w:t>辆，越野车</w:t>
      </w:r>
      <w:r>
        <w:rPr>
          <w:rFonts w:hint="eastAsia"/>
          <w:lang w:val="en-US" w:eastAsia="zh-CN"/>
        </w:rPr>
        <w:t>0</w:t>
      </w:r>
      <w:r>
        <w:rPr>
          <w:rFonts w:hint="eastAsia" w:ascii="仿宋_GB2312"/>
        </w:rPr>
        <w:t>辆，货车及19座以上客车</w:t>
      </w:r>
      <w:r>
        <w:rPr>
          <w:rFonts w:hint="eastAsia"/>
          <w:lang w:val="en-US" w:eastAsia="zh-CN"/>
        </w:rPr>
        <w:t>0</w:t>
      </w:r>
      <w:r>
        <w:rPr>
          <w:rFonts w:hint="eastAsia" w:ascii="仿宋_GB2312"/>
        </w:rPr>
        <w:t>辆，摩托车</w:t>
      </w:r>
      <w:r>
        <w:rPr>
          <w:rFonts w:hint="eastAsia"/>
          <w:lang w:val="en-US" w:eastAsia="zh-CN"/>
        </w:rPr>
        <w:t>0</w:t>
      </w:r>
      <w:r>
        <w:rPr>
          <w:rFonts w:hint="eastAsia" w:ascii="仿宋_GB2312"/>
        </w:rPr>
        <w:t>辆。</w:t>
      </w:r>
    </w:p>
    <w:p>
      <w:pPr>
        <w:spacing w:line="600" w:lineRule="exact"/>
        <w:ind w:firstLine="640"/>
        <w:rPr>
          <w:rFonts w:hint="eastAsia" w:ascii="仿宋_GB2312"/>
        </w:rPr>
      </w:pPr>
      <w:r>
        <w:rPr>
          <w:rFonts w:hint="eastAsia" w:ascii="仿宋_GB2312"/>
          <w:lang w:eastAsia="zh-CN"/>
        </w:rPr>
        <w:t>2020</w:t>
      </w:r>
      <w:r>
        <w:rPr>
          <w:rFonts w:hint="eastAsia" w:ascii="仿宋_GB2312"/>
        </w:rPr>
        <w:t>年安排公务用车运行维护费</w:t>
      </w:r>
      <w:r>
        <w:rPr>
          <w:rFonts w:hint="eastAsia" w:ascii="仿宋_GB2312"/>
          <w:lang w:val="en-US" w:eastAsia="zh-CN"/>
        </w:rPr>
        <w:t>1.71</w:t>
      </w:r>
      <w:r>
        <w:rPr>
          <w:rFonts w:hint="eastAsia" w:ascii="仿宋_GB2312"/>
        </w:rPr>
        <w:t>万元，</w:t>
      </w:r>
      <w:r>
        <w:rPr>
          <w:rFonts w:hint="eastAsia" w:ascii="仿宋_GB2312" w:hAnsi="宋体"/>
        </w:rPr>
        <w:t>用于1辆公务用车（燃油、维修、车辆通行）等方面支出，主要保障</w:t>
      </w:r>
      <w:r>
        <w:rPr>
          <w:rFonts w:hint="eastAsia" w:ascii="仿宋_GB2312" w:hAnsi="宋体"/>
          <w:kern w:val="0"/>
        </w:rPr>
        <w:t>攀枝花市体育场馆中心日常工作正常运转及</w:t>
      </w:r>
      <w:r>
        <w:rPr>
          <w:rFonts w:hint="eastAsia" w:ascii="仿宋_GB2312" w:hAnsi="宋体"/>
        </w:rPr>
        <w:t>青少年业余训练、培训</w:t>
      </w:r>
      <w:r>
        <w:rPr>
          <w:rFonts w:hint="eastAsia" w:ascii="仿宋_GB2312" w:hAnsi="宋体"/>
          <w:color w:val="000000"/>
        </w:rPr>
        <w:t>任务及场馆对外开放目标专项业务工作的</w:t>
      </w:r>
      <w:r>
        <w:rPr>
          <w:rFonts w:hint="eastAsia" w:ascii="仿宋_GB2312" w:hAnsi="宋体"/>
        </w:rPr>
        <w:t>开展。</w:t>
      </w:r>
    </w:p>
    <w:p>
      <w:pPr>
        <w:spacing w:line="600" w:lineRule="exact"/>
        <w:ind w:firstLine="640" w:firstLineChars="200"/>
        <w:rPr>
          <w:rFonts w:hint="eastAsia" w:ascii="黑体" w:eastAsia="黑体"/>
        </w:rPr>
      </w:pPr>
      <w:r>
        <w:rPr>
          <w:rFonts w:hint="eastAsia" w:ascii="黑体" w:eastAsia="黑体"/>
        </w:rPr>
        <w:t>八、政府性基金预算支出情况说明</w:t>
      </w:r>
    </w:p>
    <w:p>
      <w:pPr>
        <w:spacing w:line="600" w:lineRule="exact"/>
        <w:ind w:firstLine="640" w:firstLineChars="200"/>
        <w:rPr>
          <w:rFonts w:hint="eastAsia" w:ascii="仿宋_GB2312"/>
        </w:rPr>
      </w:pPr>
      <w:r>
        <w:rPr>
          <w:rFonts w:hint="eastAsia" w:ascii="仿宋_GB2312" w:hAnsi="宋体"/>
          <w:kern w:val="0"/>
        </w:rPr>
        <w:t>攀枝花市体育场馆中心</w:t>
      </w:r>
      <w:r>
        <w:rPr>
          <w:rFonts w:hint="eastAsia" w:ascii="仿宋_GB2312"/>
          <w:lang w:eastAsia="zh-CN"/>
        </w:rPr>
        <w:t>2020</w:t>
      </w:r>
      <w:r>
        <w:rPr>
          <w:rFonts w:hint="eastAsia" w:ascii="仿宋_GB2312"/>
        </w:rPr>
        <w:t>年没有使用政府性基金预算拨款安排的支出。</w:t>
      </w:r>
    </w:p>
    <w:p>
      <w:pPr>
        <w:spacing w:line="600" w:lineRule="exact"/>
        <w:ind w:firstLine="640" w:firstLineChars="200"/>
        <w:rPr>
          <w:rFonts w:hint="eastAsia" w:ascii="黑体" w:eastAsia="黑体"/>
        </w:rPr>
      </w:pPr>
      <w:r>
        <w:rPr>
          <w:rFonts w:hint="eastAsia" w:ascii="黑体" w:eastAsia="黑体"/>
        </w:rPr>
        <w:t>九、其他重要事项的情况说明</w:t>
      </w:r>
    </w:p>
    <w:p>
      <w:pPr>
        <w:spacing w:line="600" w:lineRule="exact"/>
        <w:ind w:firstLine="643" w:firstLineChars="200"/>
        <w:rPr>
          <w:rFonts w:hint="eastAsia" w:ascii="楷体_GB2312" w:eastAsia="楷体_GB2312"/>
          <w:b/>
          <w:color w:val="FF0000"/>
          <w:lang w:eastAsia="zh-CN"/>
        </w:rPr>
      </w:pPr>
      <w:r>
        <w:rPr>
          <w:rFonts w:hint="eastAsia" w:ascii="楷体_GB2312" w:eastAsia="楷体_GB2312"/>
          <w:b/>
        </w:rPr>
        <w:t>（一）</w:t>
      </w:r>
      <w:r>
        <w:rPr>
          <w:rFonts w:hint="eastAsia" w:ascii="楷体_GB2312" w:eastAsia="楷体_GB2312"/>
          <w:b/>
          <w:lang w:eastAsia="zh-CN"/>
        </w:rPr>
        <w:t>业务</w:t>
      </w:r>
      <w:r>
        <w:rPr>
          <w:rFonts w:hint="eastAsia" w:ascii="楷体_GB2312" w:eastAsia="楷体_GB2312"/>
          <w:b/>
        </w:rPr>
        <w:t>运行经费</w:t>
      </w:r>
      <w:r>
        <w:rPr>
          <w:rFonts w:hint="eastAsia" w:ascii="楷体_GB2312" w:eastAsia="楷体_GB2312"/>
          <w:b/>
          <w:color w:val="FF0000"/>
          <w:lang w:eastAsia="zh-CN"/>
        </w:rPr>
        <w:t>（无）</w:t>
      </w:r>
    </w:p>
    <w:p>
      <w:pPr>
        <w:spacing w:line="600" w:lineRule="exact"/>
        <w:ind w:firstLine="643" w:firstLineChars="200"/>
        <w:rPr>
          <w:rFonts w:hint="eastAsia" w:ascii="楷体_GB2312" w:eastAsia="楷体_GB2312"/>
          <w:b/>
        </w:rPr>
      </w:pPr>
      <w:r>
        <w:rPr>
          <w:rFonts w:hint="eastAsia" w:ascii="楷体_GB2312" w:eastAsia="楷体_GB2312"/>
          <w:b/>
        </w:rPr>
        <w:t>（二）国有资产占有使用情况</w:t>
      </w:r>
    </w:p>
    <w:p>
      <w:pPr>
        <w:spacing w:line="600" w:lineRule="exact"/>
        <w:ind w:firstLine="640" w:firstLineChars="200"/>
        <w:rPr>
          <w:rFonts w:hint="eastAsia" w:ascii="仿宋_GB2312"/>
        </w:rPr>
      </w:pPr>
      <w:r>
        <w:rPr>
          <w:rFonts w:hint="eastAsia" w:ascii="仿宋_GB2312"/>
        </w:rPr>
        <w:t>截至</w:t>
      </w:r>
      <w:r>
        <w:rPr>
          <w:rFonts w:hint="eastAsia" w:ascii="仿宋_GB2312"/>
          <w:lang w:eastAsia="zh-CN"/>
        </w:rPr>
        <w:t>2019</w:t>
      </w:r>
      <w:r>
        <w:rPr>
          <w:rFonts w:hint="eastAsia" w:ascii="仿宋_GB2312"/>
        </w:rPr>
        <w:t>年底，</w:t>
      </w:r>
      <w:r>
        <w:rPr>
          <w:rFonts w:hint="eastAsia" w:ascii="仿宋_GB2312" w:hAnsi="宋体"/>
          <w:kern w:val="0"/>
        </w:rPr>
        <w:t>攀枝花市体育场馆中心</w:t>
      </w:r>
      <w:r>
        <w:rPr>
          <w:rFonts w:hint="eastAsia" w:ascii="仿宋_GB2312"/>
        </w:rPr>
        <w:t>共有车辆</w:t>
      </w:r>
      <w:r>
        <w:rPr>
          <w:rFonts w:hint="eastAsia"/>
          <w:lang w:val="en-US" w:eastAsia="zh-CN"/>
        </w:rPr>
        <w:t>1</w:t>
      </w:r>
      <w:r>
        <w:rPr>
          <w:rFonts w:hint="eastAsia" w:ascii="仿宋_GB2312"/>
        </w:rPr>
        <w:t>辆</w:t>
      </w:r>
      <w:r>
        <w:rPr>
          <w:rFonts w:hint="eastAsia" w:ascii="仿宋_GB2312"/>
          <w:color w:val="auto"/>
          <w:u w:val="single"/>
        </w:rPr>
        <w:t>（车辆数应与“三公”经费说明中单位现有公务用车保有量一致）</w:t>
      </w:r>
      <w:r>
        <w:rPr>
          <w:rFonts w:hint="eastAsia" w:ascii="仿宋_GB2312"/>
        </w:rPr>
        <w:t>，其中，执法执勤用车</w:t>
      </w:r>
      <w:r>
        <w:rPr>
          <w:rFonts w:hint="eastAsia"/>
          <w:lang w:val="en-US" w:eastAsia="zh-CN"/>
        </w:rPr>
        <w:t>0</w:t>
      </w:r>
      <w:r>
        <w:rPr>
          <w:rFonts w:hint="eastAsia" w:ascii="仿宋_GB2312"/>
        </w:rPr>
        <w:t>辆</w:t>
      </w:r>
      <w:r>
        <w:rPr>
          <w:rFonts w:hint="eastAsia" w:ascii="仿宋_GB2312"/>
          <w:u w:val="single"/>
        </w:rPr>
        <w:t>（若没有的请填写0辆）</w:t>
      </w:r>
      <w:r>
        <w:rPr>
          <w:rFonts w:hint="eastAsia" w:ascii="仿宋_GB2312"/>
        </w:rPr>
        <w:t>。单位价值200万元以上大型设备</w:t>
      </w:r>
      <w:r>
        <w:rPr>
          <w:rFonts w:hint="eastAsia"/>
          <w:lang w:val="en-US" w:eastAsia="zh-CN"/>
        </w:rPr>
        <w:t>0</w:t>
      </w:r>
      <w:r>
        <w:rPr>
          <w:rFonts w:hint="eastAsia" w:ascii="仿宋_GB2312"/>
        </w:rPr>
        <w:t>台</w:t>
      </w:r>
      <w:r>
        <w:rPr>
          <w:rFonts w:hint="eastAsia" w:ascii="仿宋_GB2312"/>
          <w:u w:val="single"/>
        </w:rPr>
        <w:t>（套）</w:t>
      </w:r>
      <w:r>
        <w:rPr>
          <w:rFonts w:hint="eastAsia" w:ascii="仿宋_GB2312"/>
        </w:rPr>
        <w:t>。</w:t>
      </w:r>
    </w:p>
    <w:p>
      <w:pPr>
        <w:spacing w:line="600" w:lineRule="exact"/>
        <w:ind w:firstLine="643" w:firstLineChars="200"/>
        <w:rPr>
          <w:rFonts w:hint="eastAsia" w:ascii="楷体_GB2312" w:eastAsia="楷体_GB2312"/>
          <w:b/>
        </w:rPr>
      </w:pPr>
      <w:r>
        <w:rPr>
          <w:rFonts w:hint="eastAsia" w:ascii="楷体_GB2312" w:eastAsia="楷体_GB2312"/>
          <w:b/>
        </w:rPr>
        <w:t>（三）绩效目标设置情况</w:t>
      </w:r>
    </w:p>
    <w:p>
      <w:pPr>
        <w:spacing w:line="600" w:lineRule="exact"/>
        <w:ind w:firstLine="640" w:firstLineChars="200"/>
        <w:rPr>
          <w:rFonts w:hint="eastAsia" w:ascii="仿宋_GB2312"/>
        </w:rPr>
      </w:pPr>
      <w:r>
        <w:rPr>
          <w:rFonts w:hint="eastAsia" w:ascii="仿宋_GB2312"/>
          <w:lang w:eastAsia="zh-CN"/>
        </w:rPr>
        <w:t>2020</w:t>
      </w:r>
      <w:r>
        <w:rPr>
          <w:rFonts w:hint="eastAsia" w:ascii="仿宋_GB2312"/>
        </w:rPr>
        <w:t>年</w:t>
      </w:r>
      <w:r>
        <w:rPr>
          <w:rFonts w:hint="eastAsia" w:ascii="仿宋_GB2312" w:hAnsi="宋体"/>
          <w:kern w:val="0"/>
        </w:rPr>
        <w:t>攀枝花市体育场馆中心</w:t>
      </w:r>
      <w:r>
        <w:rPr>
          <w:rFonts w:hint="eastAsia" w:ascii="仿宋_GB2312" w:hAnsi="宋体"/>
          <w:kern w:val="0"/>
          <w:lang w:eastAsia="zh-CN"/>
        </w:rPr>
        <w:t>，</w:t>
      </w:r>
      <w:r>
        <w:rPr>
          <w:rFonts w:hint="eastAsia" w:ascii="仿宋_GB2312"/>
        </w:rPr>
        <w:t>通用项目和专用项目均按要求实行绩效目标管理，涉及一般公共预算当年拨款</w:t>
      </w:r>
      <w:r>
        <w:rPr>
          <w:rFonts w:hint="eastAsia"/>
          <w:lang w:val="en-US" w:eastAsia="zh-CN"/>
        </w:rPr>
        <w:t>35.00</w:t>
      </w:r>
      <w:r>
        <w:rPr>
          <w:rFonts w:hint="eastAsia" w:ascii="仿宋_GB2312"/>
        </w:rPr>
        <w:t>万元。</w:t>
      </w:r>
    </w:p>
    <w:p>
      <w:pPr>
        <w:spacing w:line="600" w:lineRule="exact"/>
        <w:ind w:firstLine="640" w:firstLineChars="200"/>
        <w:rPr>
          <w:rFonts w:hint="eastAsia" w:ascii="黑体" w:eastAsia="黑体"/>
        </w:rPr>
      </w:pPr>
      <w:r>
        <w:rPr>
          <w:rFonts w:hint="eastAsia" w:ascii="黑体" w:eastAsia="黑体"/>
        </w:rPr>
        <w:t>十、名词解释</w:t>
      </w:r>
    </w:p>
    <w:p>
      <w:pPr>
        <w:spacing w:line="600" w:lineRule="exact"/>
        <w:ind w:firstLine="640" w:firstLineChars="200"/>
        <w:rPr>
          <w:rFonts w:hint="eastAsia" w:ascii="仿宋_GB2312"/>
          <w:u w:val="none"/>
          <w:lang w:eastAsia="zh-CN"/>
        </w:rPr>
      </w:pPr>
      <w:r>
        <w:rPr>
          <w:rFonts w:hint="eastAsia" w:ascii="仿宋_GB2312"/>
          <w:u w:val="none"/>
          <w:lang w:val="en-US" w:eastAsia="zh-CN"/>
        </w:rPr>
        <w:t>1.</w:t>
      </w:r>
      <w:r>
        <w:rPr>
          <w:rFonts w:hint="eastAsia" w:ascii="仿宋_GB2312"/>
          <w:u w:val="none"/>
          <w:lang w:eastAsia="zh-CN"/>
        </w:rPr>
        <w:t>一般公共预算拨款收入：指市级财政当年拨付的资金。</w:t>
      </w:r>
    </w:p>
    <w:p>
      <w:pPr>
        <w:spacing w:line="600" w:lineRule="exact"/>
        <w:ind w:firstLine="640" w:firstLineChars="200"/>
        <w:rPr>
          <w:rFonts w:hint="eastAsia" w:ascii="仿宋_GB2312"/>
          <w:u w:val="none"/>
        </w:rPr>
      </w:pPr>
      <w:r>
        <w:rPr>
          <w:rFonts w:hint="eastAsia" w:ascii="仿宋_GB2312"/>
          <w:u w:val="none"/>
          <w:lang w:val="en-US" w:eastAsia="zh-CN"/>
        </w:rPr>
        <w:t>2.</w:t>
      </w:r>
      <w:r>
        <w:rPr>
          <w:rFonts w:hint="eastAsia" w:ascii="仿宋_GB2312"/>
          <w:u w:val="none"/>
          <w:lang w:eastAsia="zh-CN"/>
        </w:rPr>
        <w:t>医疗卫生与计划生育（类）行政事业单位医疗（款）行政单位医疗（项）：指市机关及参公管理事业单位用于缴纳单位基本医疗保险支出。（单位涉及的所有支出功能分类科目都要要解释）</w:t>
      </w:r>
    </w:p>
    <w:p>
      <w:pPr>
        <w:spacing w:line="600" w:lineRule="exact"/>
        <w:ind w:firstLine="640" w:firstLineChars="200"/>
        <w:rPr>
          <w:rFonts w:hint="eastAsia" w:ascii="仿宋_GB2312"/>
        </w:rPr>
      </w:pPr>
      <w:r>
        <w:rPr>
          <w:rFonts w:hint="eastAsia" w:ascii="仿宋_GB2312"/>
          <w:lang w:val="en-US" w:eastAsia="zh-CN"/>
        </w:rPr>
        <w:t>3.</w:t>
      </w:r>
      <w:r>
        <w:rPr>
          <w:rFonts w:hint="eastAsia" w:ascii="仿宋_GB2312"/>
        </w:rPr>
        <w:t>基本支出：指为保证机构正常运转，完成日常工作任务而发生的人员支出和公用支出。</w:t>
      </w:r>
    </w:p>
    <w:p>
      <w:pPr>
        <w:spacing w:line="600" w:lineRule="exact"/>
        <w:ind w:firstLine="640" w:firstLineChars="200"/>
        <w:rPr>
          <w:rFonts w:hint="eastAsia" w:ascii="仿宋_GB2312"/>
        </w:rPr>
      </w:pPr>
      <w:r>
        <w:rPr>
          <w:rFonts w:hint="eastAsia" w:ascii="仿宋_GB2312"/>
          <w:lang w:val="en-US" w:eastAsia="zh-CN"/>
        </w:rPr>
        <w:t>4</w:t>
      </w:r>
      <w:r>
        <w:rPr>
          <w:rFonts w:hint="eastAsia" w:ascii="仿宋_GB2312"/>
        </w:rPr>
        <w:t>.项目支出：指在基本支出之外为完成特定行政任务和事业发展目标所发生的支出。</w:t>
      </w:r>
    </w:p>
    <w:p>
      <w:pPr>
        <w:spacing w:line="600" w:lineRule="exact"/>
        <w:ind w:firstLine="640" w:firstLineChars="200"/>
        <w:rPr>
          <w:rFonts w:hint="eastAsia" w:ascii="仿宋_GB2312"/>
        </w:rPr>
      </w:pPr>
      <w:r>
        <w:rPr>
          <w:rFonts w:hint="eastAsia" w:ascii="仿宋_GB2312"/>
          <w:lang w:val="en-US" w:eastAsia="zh-CN"/>
        </w:rPr>
        <w:t>5.</w:t>
      </w:r>
      <w:r>
        <w:rPr>
          <w:rFonts w:hint="eastAsia" w:ascii="仿宋_GB231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hint="eastAsia" w:ascii="仿宋_GB2312"/>
        </w:rPr>
      </w:pPr>
      <w:r>
        <w:rPr>
          <w:rFonts w:hint="eastAsia" w:ascii="仿宋_GB2312"/>
          <w:lang w:val="en-US" w:eastAsia="zh-CN"/>
        </w:rPr>
        <w:t>6</w:t>
      </w:r>
      <w:r>
        <w:rPr>
          <w:rFonts w:hint="eastAsia" w:ascii="仿宋_GB2312"/>
        </w:rPr>
        <w:t>.</w:t>
      </w:r>
      <w:r>
        <w:rPr>
          <w:rFonts w:hint="eastAsia" w:ascii="仿宋_GB2312"/>
          <w:lang w:eastAsia="zh-CN"/>
        </w:rPr>
        <w:t>业务</w:t>
      </w:r>
      <w:r>
        <w:rPr>
          <w:rFonts w:hint="eastAsia" w:ascii="仿宋_GB2312"/>
        </w:rPr>
        <w:t>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hint="eastAsia" w:ascii="Arial" w:hAnsi="Arial" w:eastAsia="仿宋_GB2312" w:cs="Arial"/>
          <w:lang w:val="en-US" w:eastAsia="zh-CN"/>
        </w:rPr>
      </w:pPr>
    </w:p>
    <w:p>
      <w:pPr>
        <w:spacing w:line="600" w:lineRule="exact"/>
        <w:rPr>
          <w:rFonts w:hint="eastAsia" w:ascii="仿宋_GB2312"/>
        </w:rPr>
      </w:pPr>
      <w:r>
        <w:rPr>
          <w:rFonts w:hint="eastAsia" w:ascii="仿宋_GB2312"/>
        </w:rPr>
        <w:t>附件：表1.部门收支总表</w:t>
      </w:r>
    </w:p>
    <w:p>
      <w:pPr>
        <w:spacing w:line="600" w:lineRule="exact"/>
        <w:rPr>
          <w:rFonts w:hint="eastAsia" w:ascii="仿宋_GB2312"/>
        </w:rPr>
      </w:pPr>
      <w:r>
        <w:rPr>
          <w:rFonts w:hint="eastAsia" w:ascii="仿宋_GB2312"/>
        </w:rPr>
        <w:t xml:space="preserve">      表1-1.部门收入总表</w:t>
      </w:r>
    </w:p>
    <w:p>
      <w:pPr>
        <w:spacing w:line="600" w:lineRule="exact"/>
        <w:rPr>
          <w:rFonts w:hint="eastAsia" w:ascii="仿宋_GB2312"/>
        </w:rPr>
      </w:pPr>
      <w:r>
        <w:rPr>
          <w:rFonts w:hint="eastAsia" w:ascii="仿宋_GB2312"/>
        </w:rPr>
        <w:t xml:space="preserve">      表1-2.部门支出总表</w:t>
      </w:r>
    </w:p>
    <w:p>
      <w:pPr>
        <w:spacing w:line="600" w:lineRule="exact"/>
        <w:ind w:firstLine="960" w:firstLineChars="300"/>
        <w:rPr>
          <w:rFonts w:hint="eastAsia" w:ascii="仿宋_GB2312"/>
        </w:rPr>
      </w:pPr>
      <w:r>
        <w:rPr>
          <w:rFonts w:hint="eastAsia" w:ascii="仿宋_GB2312"/>
        </w:rPr>
        <w:t>表2.财政拨款收支预算总表</w:t>
      </w:r>
    </w:p>
    <w:p>
      <w:pPr>
        <w:spacing w:line="600" w:lineRule="exact"/>
        <w:ind w:firstLine="960" w:firstLineChars="300"/>
        <w:rPr>
          <w:rFonts w:hint="eastAsia" w:ascii="仿宋_GB2312" w:eastAsia="仿宋_GB2312"/>
          <w:lang w:eastAsia="zh-CN"/>
        </w:rPr>
      </w:pPr>
      <w:r>
        <w:rPr>
          <w:rFonts w:hint="eastAsia" w:ascii="仿宋_GB2312"/>
          <w:lang w:eastAsia="zh-CN"/>
        </w:rPr>
        <w:t>表</w:t>
      </w:r>
      <w:r>
        <w:rPr>
          <w:rFonts w:hint="eastAsia" w:ascii="仿宋_GB2312"/>
          <w:lang w:val="en-US" w:eastAsia="zh-CN"/>
        </w:rPr>
        <w:t>2-1.财政拨款支出预算表</w:t>
      </w:r>
    </w:p>
    <w:p>
      <w:pPr>
        <w:spacing w:line="600" w:lineRule="exact"/>
        <w:ind w:firstLine="960" w:firstLineChars="300"/>
        <w:rPr>
          <w:rFonts w:hint="eastAsia" w:ascii="仿宋_GB2312"/>
        </w:rPr>
      </w:pPr>
      <w:r>
        <w:rPr>
          <w:rFonts w:hint="eastAsia" w:ascii="仿宋_GB2312"/>
        </w:rPr>
        <w:t>表3.一般公共预算支出预算表</w:t>
      </w:r>
    </w:p>
    <w:p>
      <w:pPr>
        <w:spacing w:line="600" w:lineRule="exact"/>
        <w:ind w:firstLine="960" w:firstLineChars="300"/>
        <w:rPr>
          <w:rFonts w:hint="eastAsia" w:ascii="仿宋_GB2312"/>
        </w:rPr>
      </w:pPr>
      <w:r>
        <w:rPr>
          <w:rFonts w:hint="eastAsia" w:ascii="仿宋_GB2312"/>
        </w:rPr>
        <w:t>表3-1.一般公共预算基本支出预算表</w:t>
      </w:r>
    </w:p>
    <w:p>
      <w:pPr>
        <w:spacing w:line="600" w:lineRule="exact"/>
        <w:ind w:firstLine="960" w:firstLineChars="300"/>
        <w:rPr>
          <w:rFonts w:hint="eastAsia" w:ascii="仿宋_GB2312"/>
        </w:rPr>
      </w:pPr>
      <w:r>
        <w:rPr>
          <w:rFonts w:hint="eastAsia" w:ascii="仿宋_GB2312"/>
        </w:rPr>
        <w:t>表3-2.一般公共预算项目支出预算表</w:t>
      </w:r>
    </w:p>
    <w:p>
      <w:pPr>
        <w:spacing w:line="600" w:lineRule="exact"/>
        <w:ind w:firstLine="960" w:firstLineChars="300"/>
        <w:rPr>
          <w:rFonts w:hint="eastAsia" w:ascii="仿宋_GB2312"/>
        </w:rPr>
      </w:pPr>
      <w:r>
        <w:rPr>
          <w:rFonts w:hint="eastAsia" w:ascii="仿宋_GB2312"/>
        </w:rPr>
        <w:t>表3-3.一般公共预算“三公”经费支出预算表</w:t>
      </w:r>
    </w:p>
    <w:p>
      <w:pPr>
        <w:spacing w:line="600" w:lineRule="exact"/>
        <w:ind w:firstLine="960" w:firstLineChars="300"/>
        <w:rPr>
          <w:rFonts w:hint="eastAsia" w:ascii="仿宋_GB2312"/>
        </w:rPr>
      </w:pPr>
      <w:r>
        <w:rPr>
          <w:rFonts w:hint="eastAsia" w:ascii="仿宋_GB2312"/>
        </w:rPr>
        <w:t>表4.政府性基金支出预算表</w:t>
      </w:r>
    </w:p>
    <w:p>
      <w:pPr>
        <w:spacing w:line="600" w:lineRule="exact"/>
        <w:ind w:firstLine="960" w:firstLineChars="300"/>
        <w:rPr>
          <w:rFonts w:hint="eastAsia" w:ascii="仿宋_GB2312"/>
        </w:rPr>
      </w:pPr>
      <w:r>
        <w:rPr>
          <w:rFonts w:hint="eastAsia" w:ascii="仿宋_GB2312"/>
        </w:rPr>
        <w:t>表4-1.政府性基金预算“三公”经费支出预算表</w:t>
      </w:r>
    </w:p>
    <w:p>
      <w:pPr>
        <w:spacing w:line="600" w:lineRule="exact"/>
        <w:ind w:firstLine="960" w:firstLineChars="300"/>
        <w:rPr>
          <w:rFonts w:hint="eastAsia" w:ascii="仿宋_GB2312"/>
        </w:rPr>
      </w:pPr>
      <w:r>
        <w:rPr>
          <w:rFonts w:hint="eastAsia" w:ascii="仿宋_GB2312"/>
        </w:rPr>
        <w:t>表5.国有资本经营预算支出预算表</w:t>
      </w:r>
    </w:p>
    <w:p>
      <w:pPr>
        <w:spacing w:line="600" w:lineRule="exact"/>
        <w:ind w:firstLine="960" w:firstLineChars="300"/>
        <w:rPr>
          <w:rFonts w:hint="eastAsia" w:ascii="仿宋_GB2312" w:eastAsia="仿宋_GB2312"/>
          <w:lang w:eastAsia="zh-CN"/>
        </w:rPr>
      </w:pPr>
      <w:r>
        <w:rPr>
          <w:rFonts w:hint="eastAsia" w:ascii="仿宋_GB2312"/>
          <w:lang w:eastAsia="zh-CN"/>
        </w:rPr>
        <w:t>表</w:t>
      </w:r>
      <w:r>
        <w:rPr>
          <w:rFonts w:hint="eastAsia" w:ascii="仿宋_GB2312"/>
          <w:lang w:val="en-US" w:eastAsia="zh-CN"/>
        </w:rPr>
        <w:t>6.（部门）单位预算项目绩效目标表</w:t>
      </w:r>
    </w:p>
    <w:p>
      <w:pPr>
        <w:spacing w:line="600" w:lineRule="exact"/>
        <w:ind w:firstLine="960" w:firstLineChars="300"/>
        <w:rPr>
          <w:rFonts w:hint="eastAsia" w:ascii="仿宋_GB2312"/>
          <w:u w:val="single"/>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1" w:usb1="080E0000" w:usb2="00000000" w:usb3="00000000" w:csb0="00040000" w:csb1="00000000"/>
  </w:font>
  <w:font w:name="方正小标宋简体">
    <w:altName w:val="黑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Fonts w:ascii="宋体" w:hAnsi="宋体"/>
        <w:sz w:val="30"/>
        <w:szCs w:val="30"/>
      </w:rPr>
    </w:pPr>
    <w:r>
      <w:rPr>
        <w:rFonts w:ascii="宋体" w:hAnsi="宋体"/>
        <w:sz w:val="30"/>
        <w:szCs w:val="30"/>
      </w:rPr>
      <w:fldChar w:fldCharType="begin"/>
    </w:r>
    <w:r>
      <w:rPr>
        <w:rStyle w:val="8"/>
        <w:rFonts w:ascii="宋体" w:hAnsi="宋体"/>
        <w:sz w:val="30"/>
        <w:szCs w:val="30"/>
      </w:rPr>
      <w:instrText xml:space="preserve">PAGE  </w:instrText>
    </w:r>
    <w:r>
      <w:rPr>
        <w:rFonts w:ascii="宋体" w:hAnsi="宋体"/>
        <w:sz w:val="30"/>
        <w:szCs w:val="30"/>
      </w:rPr>
      <w:fldChar w:fldCharType="separate"/>
    </w:r>
    <w:r>
      <w:rPr>
        <w:rStyle w:val="8"/>
        <w:rFonts w:ascii="宋体" w:hAnsi="宋体"/>
        <w:sz w:val="30"/>
        <w:szCs w:val="30"/>
        <w:lang/>
      </w:rPr>
      <w:t>- 4 -</w:t>
    </w:r>
    <w:r>
      <w:rPr>
        <w:rFonts w:ascii="宋体" w:hAnsi="宋体"/>
        <w:sz w:val="30"/>
        <w:szCs w:val="30"/>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18925E"/>
    <w:multiLevelType w:val="singleLevel"/>
    <w:tmpl w:val="4618925E"/>
    <w:lvl w:ilvl="0" w:tentative="0">
      <w:start w:val="3"/>
      <w:numFmt w:val="chineseCounting"/>
      <w:suff w:val="nothing"/>
      <w:lvlText w:val="（%1）"/>
      <w:lvlJc w:val="left"/>
      <w:rPr>
        <w:rFonts w:hint="eastAsia"/>
      </w:rPr>
    </w:lvl>
  </w:abstractNum>
  <w:abstractNum w:abstractNumId="1">
    <w:nsid w:val="5E4E8266"/>
    <w:multiLevelType w:val="singleLevel"/>
    <w:tmpl w:val="5E4E8266"/>
    <w:lvl w:ilvl="0" w:tentative="0">
      <w:start w:val="1"/>
      <w:numFmt w:val="chineseCounting"/>
      <w:suff w:val="nothing"/>
      <w:lvlText w:val="（%1）"/>
      <w:lvlJc w:val="left"/>
    </w:lvl>
  </w:abstractNum>
  <w:abstractNum w:abstractNumId="2">
    <w:nsid w:val="7BAE6BB7"/>
    <w:multiLevelType w:val="singleLevel"/>
    <w:tmpl w:val="7BAE6BB7"/>
    <w:lvl w:ilvl="0" w:tentative="0">
      <w:start w:val="2"/>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hyphenationZone w:val="360"/>
  <w:drawingGridHorizontalSpacing w:val="160"/>
  <w:drawingGridVerticalSpacing w:val="43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zZjExODZjZTdlNzI5NzkwMDdlYWFhNGUyYjdkODAifQ=="/>
  </w:docVars>
  <w:rsids>
    <w:rsidRoot w:val="00172A27"/>
    <w:rsid w:val="06C75D2E"/>
    <w:rsid w:val="088D2E93"/>
    <w:rsid w:val="0EB95201"/>
    <w:rsid w:val="0EEF3D3F"/>
    <w:rsid w:val="0EF578CA"/>
    <w:rsid w:val="12604576"/>
    <w:rsid w:val="1667058A"/>
    <w:rsid w:val="182D53E7"/>
    <w:rsid w:val="2022446B"/>
    <w:rsid w:val="202C63F8"/>
    <w:rsid w:val="25FD7809"/>
    <w:rsid w:val="299669BA"/>
    <w:rsid w:val="2A7A4CF5"/>
    <w:rsid w:val="2E1130C2"/>
    <w:rsid w:val="31565DE5"/>
    <w:rsid w:val="33DA12C8"/>
    <w:rsid w:val="357F58F8"/>
    <w:rsid w:val="38A6163E"/>
    <w:rsid w:val="3AC04E69"/>
    <w:rsid w:val="3D663034"/>
    <w:rsid w:val="3DBE1B89"/>
    <w:rsid w:val="4B270992"/>
    <w:rsid w:val="4F2F156E"/>
    <w:rsid w:val="554D5E1C"/>
    <w:rsid w:val="55EA41FC"/>
    <w:rsid w:val="57151FEA"/>
    <w:rsid w:val="5BB97494"/>
    <w:rsid w:val="5E9E2E2C"/>
    <w:rsid w:val="5EAB3B30"/>
    <w:rsid w:val="5EF775EA"/>
    <w:rsid w:val="5F134BEE"/>
    <w:rsid w:val="62B51A66"/>
    <w:rsid w:val="6B2D309B"/>
    <w:rsid w:val="70011961"/>
    <w:rsid w:val="73A008DD"/>
    <w:rsid w:val="753C0ABC"/>
    <w:rsid w:val="75F6479B"/>
    <w:rsid w:val="7E6243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仿宋_GB2312"/>
      <w:kern w:val="2"/>
      <w:sz w:val="32"/>
      <w:szCs w:val="32"/>
      <w:lang w:val="en-US" w:eastAsia="zh-CN" w:bidi="ar-SA"/>
    </w:rPr>
  </w:style>
  <w:style w:type="character" w:default="1" w:styleId="7">
    <w:name w:val="Default Paragraph Font"/>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w:basedOn w:val="1"/>
    <w:uiPriority w:val="0"/>
    <w:pPr>
      <w:spacing w:before="93" w:beforeLines="30"/>
    </w:pPr>
    <w:rPr>
      <w:rFonts w:ascii="仿宋_GB2312" w:eastAsia="仿宋_GB2312"/>
      <w:sz w:val="30"/>
    </w:rPr>
  </w:style>
  <w:style w:type="paragraph" w:styleId="3">
    <w:name w:val="Balloon Text"/>
    <w:basedOn w:val="1"/>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paragraph" w:customStyle="1" w:styleId="9">
    <w:name w:val=" Char Char1 Char Char Char Char Char Char Char Char"/>
    <w:basedOn w:val="1"/>
    <w:next w:val="1"/>
    <w:uiPriority w:val="0"/>
    <w:pPr>
      <w:spacing w:line="240" w:lineRule="atLeast"/>
      <w:ind w:left="420" w:firstLine="420"/>
      <w:jc w:val="left"/>
    </w:pPr>
    <w:rPr>
      <w:rFonts w:eastAsia="宋体"/>
      <w:kern w:val="0"/>
      <w:sz w:val="21"/>
      <w:szCs w:val="21"/>
    </w:rPr>
  </w:style>
  <w:style w:type="paragraph" w:customStyle="1" w:styleId="10">
    <w:name w:val="Char Char Char Char Char Char Char Char Char Char Char Char"/>
    <w:basedOn w:val="1"/>
    <w:uiPriority w:val="0"/>
    <w:rPr>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微软中国</Company>
  <Pages>9</Pages>
  <Words>3678</Words>
  <Characters>4033</Characters>
  <Lines>20</Lines>
  <Paragraphs>5</Paragraphs>
  <TotalTime>5</TotalTime>
  <ScaleCrop>false</ScaleCrop>
  <LinksUpToDate>false</LinksUpToDate>
  <CharactersWithSpaces>4074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2014-03-03T08:31:00Z</dcterms:created>
  <dc:creator>赵树子</dc:creator>
  <cp:lastModifiedBy>Administrator</cp:lastModifiedBy>
  <cp:lastPrinted>2017-02-23T08:48:00Z</cp:lastPrinted>
  <dcterms:modified xsi:type="dcterms:W3CDTF">2024-05-16T08:35:22Z</dcterms:modified>
  <dc:title>四川省财政厅2011年部门预算编制说明</dc:title>
  <cp:revision>215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7C346DC7640D44C3B7CB14ADAC018806_13</vt:lpwstr>
  </property>
</Properties>
</file>