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00" w:lineRule="exact"/>
        <w:jc w:val="center"/>
        <w:outlineLvl w:val="0"/>
        <w:rPr>
          <w:rFonts w:ascii="方正小标宋简体" w:eastAsia="方正小标宋简体"/>
          <w:sz w:val="72"/>
          <w:szCs w:val="72"/>
        </w:rPr>
      </w:pPr>
      <w:bookmarkStart w:id="0" w:name="_Toc15377425"/>
      <w:bookmarkStart w:id="1" w:name="_Toc15377193"/>
      <w:bookmarkStart w:id="2" w:name="_Toc15396475"/>
      <w:bookmarkStart w:id="3" w:name="_Toc15396597"/>
      <w:bookmarkStart w:id="4" w:name="_Toc15378441"/>
      <w:bookmarkStart w:id="5" w:name="_Toc15306267"/>
    </w:p>
    <w:p>
      <w:pPr>
        <w:spacing w:line="600" w:lineRule="exact"/>
        <w:jc w:val="center"/>
        <w:outlineLvl w:val="0"/>
        <w:rPr>
          <w:rFonts w:ascii="方正小标宋简体" w:eastAsia="方正小标宋简体"/>
          <w:sz w:val="72"/>
          <w:szCs w:val="72"/>
        </w:rPr>
      </w:pPr>
    </w:p>
    <w:p>
      <w:pPr>
        <w:spacing w:line="600" w:lineRule="exact"/>
        <w:jc w:val="center"/>
        <w:outlineLvl w:val="0"/>
        <w:rPr>
          <w:rFonts w:ascii="方正小标宋简体" w:eastAsia="方正小标宋简体"/>
          <w:sz w:val="72"/>
          <w:szCs w:val="72"/>
        </w:rPr>
      </w:pPr>
    </w:p>
    <w:p>
      <w:pPr>
        <w:adjustRightInd w:val="0"/>
        <w:snapToGrid w:val="0"/>
        <w:spacing w:line="360" w:lineRule="auto"/>
        <w:jc w:val="center"/>
        <w:outlineLvl w:val="0"/>
        <w:rPr>
          <w:rFonts w:ascii="方正小标宋简体" w:eastAsia="方正小标宋简体" w:cs="方正小标宋简体"/>
          <w:sz w:val="72"/>
          <w:szCs w:val="72"/>
        </w:rPr>
      </w:pPr>
      <w:r>
        <w:rPr>
          <w:rFonts w:ascii="方正小标宋简体" w:eastAsia="方正小标宋简体" w:cs="方正小标宋简体" w:hint="eastAsia"/>
          <w:sz w:val="72"/>
          <w:szCs w:val="72"/>
        </w:rPr>
        <w:t>2022年度</w:t>
      </w:r>
      <w:bookmarkEnd w:id="0"/>
      <w:bookmarkEnd w:id="1"/>
      <w:bookmarkEnd w:id="2"/>
      <w:bookmarkEnd w:id="3"/>
      <w:bookmarkEnd w:id="4"/>
    </w:p>
    <w:p>
      <w:pPr>
        <w:adjustRightInd w:val="0"/>
        <w:snapToGrid w:val="0"/>
        <w:spacing w:line="360" w:lineRule="auto"/>
        <w:jc w:val="center"/>
        <w:outlineLvl w:val="0"/>
        <w:rPr>
          <w:rFonts w:ascii="方正小标宋简体" w:eastAsia="方正小标宋简体" w:cs="方正小标宋简体"/>
          <w:sz w:val="72"/>
          <w:szCs w:val="72"/>
        </w:rPr>
      </w:pPr>
      <w:bookmarkStart w:id="6" w:name="_Toc15306268"/>
      <w:bookmarkStart w:id="7" w:name="_Toc15377194"/>
      <w:bookmarkStart w:id="8" w:name="_Toc15396598"/>
      <w:bookmarkStart w:id="9" w:name="_Toc15378442"/>
      <w:bookmarkStart w:id="10" w:name="_Toc15377426"/>
      <w:bookmarkStart w:id="11" w:name="_Toc15396476"/>
      <w:bookmarkEnd w:id="5"/>
      <w:r>
        <w:rPr>
          <w:rFonts w:ascii="方正小标宋简体" w:eastAsia="方正小标宋简体" w:cs="方正小标宋简体" w:hint="eastAsia"/>
          <w:sz w:val="72"/>
          <w:szCs w:val="72"/>
        </w:rPr>
        <w:t>攀枝花市人民政府驻北京联络处部门决算</w:t>
      </w:r>
      <w:bookmarkEnd w:id="6"/>
      <w:bookmarkEnd w:id="7"/>
      <w:bookmarkEnd w:id="8"/>
      <w:bookmarkEnd w:id="9"/>
      <w:bookmarkEnd w:id="10"/>
      <w:bookmarkEnd w:id="11"/>
    </w:p>
    <w:p>
      <w:pPr>
        <w:widowControl/>
        <w:jc w:val="center"/>
        <w:rPr>
          <w:rFonts w:ascii="黑体" w:eastAsia="黑体"/>
          <w:sz w:val="48"/>
          <w:szCs w:val="48"/>
        </w:rPr>
      </w:pPr>
      <w:r>
        <w:rPr>
          <w:rFonts w:ascii="方正小标宋简体" w:eastAsia="方正小标宋简体"/>
          <w:sz w:val="36"/>
          <w:szCs w:val="36"/>
        </w:rPr>
        <w:br w:type="page"/>
      </w:r>
      <w:r>
        <w:rPr>
          <w:rFonts w:ascii="黑体" w:eastAsia="黑体" w:hint="eastAsia"/>
          <w:sz w:val="48"/>
          <w:szCs w:val="48"/>
        </w:rPr>
        <w:t>目录</w:t>
      </w:r>
    </w:p>
    <w:p>
      <w:pPr>
        <w:widowControl/>
        <w:jc w:val="center"/>
        <w:rPr>
          <w:rFonts w:ascii="黑体" w:eastAsia="黑体" w:cs="Arial"/>
          <w:sz w:val="28"/>
          <w:szCs w:val="28"/>
        </w:rPr>
      </w:pPr>
    </w:p>
    <w:p>
      <w:pPr>
        <w:pStyle w:val="23"/>
        <w:tabs>
          <w:tab w:val="right" w:leader="dot" w:pos="8296"/>
        </w:tabs>
      </w:pPr>
      <w:r>
        <w:rPr>
          <w:rFonts w:hint="eastAsia"/>
        </w:rPr>
        <w:t>公开时间：2023年9月</w:t>
      </w:r>
      <w:r>
        <w:t>1</w:t>
      </w:r>
      <w:r>
        <w:rPr>
          <w:rFonts w:hint="eastAsia"/>
        </w:rPr>
        <w:t>4日</w:t>
      </w:r>
    </w:p>
    <w:p/>
    <w:p>
      <w:pPr>
        <w:pStyle w:val="23"/>
        <w:tabs>
          <w:tab w:val="right" w:leader="dot" w:pos="8296"/>
        </w:tabs>
        <w:adjustRightInd w:val="0"/>
        <w:snapToGrid w:val="0"/>
        <w:spacing w:before="0" w:line="440" w:lineRule="exact"/>
        <w:jc w:val="left"/>
        <w:rPr>
          <w:rFonts w:cs="Arial"/>
          <w:sz w:val="24"/>
          <w:szCs w:val="24"/>
        </w:rPr>
      </w:pPr>
      <w:r>
        <w:rPr>
          <w:rFonts w:hint="eastAsia"/>
          <w:sz w:val="24"/>
        </w:rPr>
        <w:t>第一部分</w:t>
      </w:r>
      <w:r>
        <w:rPr>
          <w:sz w:val="24"/>
        </w:rPr>
        <w:t xml:space="preserve"> </w:t>
      </w:r>
      <w:r>
        <w:rPr>
          <w:rFonts w:hint="eastAsia"/>
          <w:sz w:val="24"/>
        </w:rPr>
        <w:t>部门概况</w:t>
      </w:r>
      <w:r>
        <w:rPr>
          <w:rFonts w:cs="Arial"/>
          <w:sz w:val="24"/>
          <w:szCs w:val="24"/>
        </w:rPr>
        <w:tab/>
      </w:r>
      <w:r>
        <w:rPr>
          <w:rFonts w:cs="Arial" w:hint="eastAsia"/>
          <w:sz w:val="24"/>
          <w:szCs w:val="24"/>
        </w:rPr>
        <w:t>4</w:t>
      </w:r>
    </w:p>
    <w:p>
      <w:pPr>
        <w:pStyle w:val="24"/>
        <w:tabs>
          <w:tab w:val="right" w:leader="dot" w:pos="8296"/>
        </w:tabs>
        <w:adjustRightInd w:val="0"/>
        <w:snapToGrid w:val="0"/>
        <w:spacing w:line="440" w:lineRule="exact"/>
        <w:jc w:val="left"/>
        <w:rPr>
          <w:rFonts w:ascii="仿宋" w:hAnsi="仿宋"/>
          <w:sz w:val="24"/>
        </w:rPr>
      </w:pPr>
      <w:r>
        <w:rPr>
          <w:rFonts w:hint="eastAsia"/>
          <w:sz w:val="24"/>
        </w:rPr>
        <w:t>一、部门职责</w:t>
      </w:r>
      <w:r>
        <w:rPr>
          <w:rFonts w:cs="Arial"/>
          <w:sz w:val="24"/>
        </w:rPr>
        <w:tab/>
      </w:r>
      <w:r>
        <w:rPr>
          <w:rFonts w:cs="Arial" w:hint="eastAsia"/>
          <w:sz w:val="24"/>
        </w:rPr>
        <w:t>4</w:t>
      </w:r>
    </w:p>
    <w:p>
      <w:pPr>
        <w:pStyle w:val="24"/>
        <w:tabs>
          <w:tab w:val="right" w:leader="dot" w:pos="8296"/>
        </w:tabs>
        <w:adjustRightInd w:val="0"/>
        <w:snapToGrid w:val="0"/>
        <w:spacing w:line="440" w:lineRule="exact"/>
        <w:jc w:val="left"/>
        <w:rPr>
          <w:rFonts w:ascii="仿宋" w:hAnsi="仿宋"/>
          <w:sz w:val="24"/>
        </w:rPr>
      </w:pPr>
      <w:r>
        <w:rPr>
          <w:rFonts w:hint="eastAsia"/>
          <w:sz w:val="24"/>
        </w:rPr>
        <w:t>二、机构设置</w:t>
      </w:r>
      <w:r>
        <w:rPr>
          <w:rFonts w:cs="Arial"/>
          <w:sz w:val="24"/>
        </w:rPr>
        <w:tab/>
      </w:r>
      <w:r>
        <w:rPr>
          <w:rFonts w:cs="Arial" w:hint="eastAsia"/>
          <w:sz w:val="24"/>
        </w:rPr>
        <w:t>4</w:t>
      </w:r>
    </w:p>
    <w:p>
      <w:pPr>
        <w:pStyle w:val="23"/>
        <w:tabs>
          <w:tab w:val="right" w:leader="dot" w:pos="8296"/>
        </w:tabs>
        <w:adjustRightInd w:val="0"/>
        <w:snapToGrid w:val="0"/>
        <w:spacing w:before="0" w:line="440" w:lineRule="exact"/>
        <w:jc w:val="left"/>
        <w:rPr>
          <w:sz w:val="24"/>
        </w:rPr>
      </w:pPr>
      <w:r>
        <w:rPr>
          <w:rFonts w:hint="eastAsia"/>
          <w:sz w:val="24"/>
        </w:rPr>
        <w:t>第二部分 2022年度部门决算情况说明</w:t>
        <w:tab/>
        <w:t>5</w:t>
      </w:r>
    </w:p>
    <w:p>
      <w:pPr>
        <w:pStyle w:val="24"/>
        <w:tabs>
          <w:tab w:val="right" w:leader="dot" w:pos="8296"/>
        </w:tabs>
        <w:adjustRightInd w:val="0"/>
        <w:snapToGrid w:val="0"/>
        <w:spacing w:line="440" w:lineRule="exact"/>
        <w:jc w:val="left"/>
        <w:rPr>
          <w:rFonts w:ascii="仿宋" w:hAnsi="仿宋"/>
          <w:sz w:val="24"/>
        </w:rPr>
      </w:pPr>
      <w:r>
        <w:rPr>
          <w:rFonts w:hint="eastAsia"/>
          <w:sz w:val="24"/>
        </w:rPr>
        <w:t>一、收入支出决算总体情况说明</w:t>
      </w:r>
      <w:r>
        <w:rPr>
          <w:rFonts w:cs="Arial"/>
          <w:sz w:val="24"/>
        </w:rPr>
        <w:tab/>
      </w:r>
      <w:r>
        <w:rPr>
          <w:rFonts w:cs="Arial" w:hint="eastAsia"/>
          <w:sz w:val="24"/>
        </w:rPr>
        <w:t>5</w:t>
      </w:r>
    </w:p>
    <w:p>
      <w:pPr>
        <w:pStyle w:val="24"/>
        <w:tabs>
          <w:tab w:val="right" w:leader="dot" w:pos="8296"/>
        </w:tabs>
        <w:adjustRightInd w:val="0"/>
        <w:snapToGrid w:val="0"/>
        <w:spacing w:line="440" w:lineRule="exact"/>
        <w:jc w:val="left"/>
        <w:rPr>
          <w:rFonts w:ascii="仿宋" w:cs="Arial" w:hAnsi="仿宋"/>
          <w:sz w:val="24"/>
        </w:rPr>
      </w:pPr>
      <w:r>
        <w:rPr>
          <w:rFonts w:hint="eastAsia"/>
          <w:sz w:val="24"/>
        </w:rPr>
        <w:t>二、收入决算情况说明</w:t>
      </w:r>
      <w:r>
        <w:rPr>
          <w:rFonts w:cs="Arial"/>
          <w:sz w:val="24"/>
        </w:rPr>
        <w:tab/>
      </w:r>
      <w:r>
        <w:rPr>
          <w:rFonts w:cs="Arial" w:hint="eastAsia"/>
          <w:sz w:val="24"/>
        </w:rPr>
        <w:t>5</w:t>
      </w:r>
    </w:p>
    <w:p>
      <w:pPr>
        <w:pStyle w:val="24"/>
        <w:tabs>
          <w:tab w:val="right" w:leader="dot" w:pos="8296"/>
        </w:tabs>
        <w:adjustRightInd w:val="0"/>
        <w:snapToGrid w:val="0"/>
        <w:spacing w:line="440" w:lineRule="exact"/>
        <w:jc w:val="left"/>
        <w:rPr>
          <w:rFonts w:ascii="仿宋" w:cs="Arial" w:hAnsi="仿宋"/>
          <w:sz w:val="24"/>
        </w:rPr>
      </w:pPr>
      <w:r>
        <w:rPr>
          <w:rFonts w:hint="eastAsia"/>
          <w:sz w:val="24"/>
        </w:rPr>
        <w:t>三、支出决算情况说明</w:t>
      </w:r>
      <w:r>
        <w:rPr>
          <w:rFonts w:cs="Arial"/>
          <w:sz w:val="24"/>
        </w:rPr>
        <w:tab/>
      </w:r>
      <w:r>
        <w:rPr>
          <w:rFonts w:cs="Arial" w:hint="eastAsia"/>
          <w:sz w:val="24"/>
        </w:rPr>
        <w:t>6</w:t>
      </w:r>
    </w:p>
    <w:p>
      <w:pPr>
        <w:pStyle w:val="24"/>
        <w:tabs>
          <w:tab w:val="right" w:leader="dot" w:pos="8296"/>
        </w:tabs>
        <w:adjustRightInd w:val="0"/>
        <w:snapToGrid w:val="0"/>
        <w:spacing w:line="440" w:lineRule="exact"/>
        <w:jc w:val="left"/>
        <w:rPr>
          <w:rFonts w:ascii="仿宋" w:cs="Arial" w:hAnsi="仿宋"/>
          <w:sz w:val="24"/>
        </w:rPr>
      </w:pPr>
      <w:r>
        <w:rPr>
          <w:rFonts w:hint="eastAsia"/>
          <w:sz w:val="24"/>
        </w:rPr>
        <w:t>四、财政拨款收入支出决算总体情况说明</w:t>
      </w:r>
      <w:r>
        <w:rPr>
          <w:rFonts w:cs="Arial"/>
          <w:sz w:val="24"/>
        </w:rPr>
        <w:tab/>
      </w:r>
      <w:r>
        <w:rPr>
          <w:rFonts w:cs="Arial" w:hint="eastAsia"/>
          <w:sz w:val="24"/>
        </w:rPr>
        <w:t>6</w:t>
      </w:r>
    </w:p>
    <w:p>
      <w:pPr>
        <w:pStyle w:val="24"/>
        <w:tabs>
          <w:tab w:val="right" w:leader="dot" w:pos="8296"/>
        </w:tabs>
        <w:adjustRightInd w:val="0"/>
        <w:snapToGrid w:val="0"/>
        <w:spacing w:line="440" w:lineRule="exact"/>
        <w:jc w:val="left"/>
        <w:rPr>
          <w:rFonts w:ascii="仿宋" w:cs="Arial" w:hAnsi="仿宋"/>
          <w:sz w:val="24"/>
        </w:rPr>
      </w:pPr>
      <w:r>
        <w:rPr>
          <w:rFonts w:hint="eastAsia"/>
          <w:sz w:val="24"/>
        </w:rPr>
        <w:t>五、一般公共预算财政拨款支出决算情况说明</w:t>
      </w:r>
      <w:r>
        <w:rPr>
          <w:rFonts w:cs="Arial"/>
          <w:sz w:val="24"/>
        </w:rPr>
        <w:tab/>
      </w:r>
      <w:r>
        <w:rPr>
          <w:rFonts w:cs="Arial" w:hint="eastAsia"/>
          <w:sz w:val="24"/>
        </w:rPr>
        <w:t>6</w:t>
      </w:r>
    </w:p>
    <w:p>
      <w:pPr>
        <w:pStyle w:val="24"/>
        <w:tabs>
          <w:tab w:val="right" w:leader="dot" w:pos="8296"/>
        </w:tabs>
        <w:adjustRightInd w:val="0"/>
        <w:snapToGrid w:val="0"/>
        <w:spacing w:line="440" w:lineRule="exact"/>
        <w:jc w:val="left"/>
        <w:rPr>
          <w:rFonts w:ascii="仿宋" w:cs="Arial" w:hAnsi="仿宋"/>
          <w:sz w:val="24"/>
        </w:rPr>
      </w:pPr>
      <w:r>
        <w:rPr>
          <w:rFonts w:hint="eastAsia"/>
          <w:sz w:val="24"/>
        </w:rPr>
        <w:t>六、一般公共预算财政拨款基本支出决算情况说明</w:t>
      </w:r>
      <w:r>
        <w:rPr>
          <w:rFonts w:cs="Arial"/>
          <w:sz w:val="24"/>
        </w:rPr>
        <w:tab/>
      </w:r>
      <w:r>
        <w:rPr>
          <w:rFonts w:cs="Arial" w:hint="eastAsia"/>
          <w:sz w:val="24"/>
        </w:rPr>
        <w:t>9</w:t>
      </w:r>
    </w:p>
    <w:p>
      <w:pPr>
        <w:pStyle w:val="24"/>
        <w:tabs>
          <w:tab w:val="right" w:leader="dot" w:pos="8296"/>
        </w:tabs>
        <w:adjustRightInd w:val="0"/>
        <w:snapToGrid w:val="0"/>
        <w:spacing w:line="440" w:lineRule="exact"/>
        <w:jc w:val="left"/>
        <w:rPr>
          <w:rFonts w:ascii="仿宋" w:cs="Arial" w:hAnsi="仿宋"/>
          <w:sz w:val="24"/>
        </w:rPr>
      </w:pPr>
      <w:r>
        <w:rPr>
          <w:rFonts w:hint="eastAsia"/>
          <w:sz w:val="24"/>
        </w:rPr>
        <w:t>七、财政拨款“三公”经费支出决算情况说明</w:t>
      </w:r>
      <w:r>
        <w:rPr>
          <w:rFonts w:cs="Arial"/>
          <w:sz w:val="24"/>
        </w:rPr>
        <w:tab/>
      </w:r>
      <w:r>
        <w:rPr>
          <w:rFonts w:cs="Arial" w:hint="eastAsia"/>
          <w:sz w:val="24"/>
        </w:rPr>
        <w:t>9</w:t>
      </w:r>
    </w:p>
    <w:p>
      <w:pPr>
        <w:pStyle w:val="24"/>
        <w:tabs>
          <w:tab w:val="right" w:leader="dot" w:pos="8296"/>
        </w:tabs>
        <w:adjustRightInd w:val="0"/>
        <w:snapToGrid w:val="0"/>
        <w:spacing w:line="440" w:lineRule="exact"/>
        <w:jc w:val="left"/>
        <w:rPr>
          <w:rFonts w:ascii="仿宋" w:eastAsia="仿宋" w:cs="Arial"/>
          <w:sz w:val="24"/>
        </w:rPr>
      </w:pPr>
      <w:r>
        <w:rPr>
          <w:rFonts w:hint="eastAsia"/>
          <w:sz w:val="24"/>
        </w:rPr>
        <w:t>八、政府性基金预算支出决算情况说明</w:t>
      </w:r>
      <w:r>
        <w:rPr>
          <w:rFonts w:cs="Arial"/>
          <w:sz w:val="24"/>
        </w:rPr>
        <w:tab/>
      </w:r>
      <w:r>
        <w:rPr>
          <w:rFonts w:cs="Arial" w:hint="eastAsia"/>
          <w:sz w:val="24"/>
        </w:rPr>
        <w:t>11</w:t>
      </w:r>
    </w:p>
    <w:p>
      <w:pPr>
        <w:pStyle w:val="24"/>
        <w:tabs>
          <w:tab w:val="right" w:leader="dot" w:pos="8296"/>
        </w:tabs>
        <w:adjustRightInd w:val="0"/>
        <w:snapToGrid w:val="0"/>
        <w:spacing w:line="440" w:lineRule="exact"/>
        <w:jc w:val="left"/>
        <w:rPr>
          <w:sz w:val="24"/>
        </w:rPr>
      </w:pPr>
      <w:r>
        <w:rPr>
          <w:rFonts w:hint="eastAsia"/>
          <w:sz w:val="24"/>
        </w:rPr>
        <w:t>九、国有资本经营预算支出决算情况说明</w:t>
        <w:tab/>
        <w:t>11</w:t>
      </w:r>
    </w:p>
    <w:p>
      <w:pPr>
        <w:pStyle w:val="24"/>
        <w:tabs>
          <w:tab w:val="right" w:leader="dot" w:pos="8296"/>
        </w:tabs>
        <w:adjustRightInd w:val="0"/>
        <w:snapToGrid w:val="0"/>
        <w:spacing w:line="440" w:lineRule="exact"/>
        <w:jc w:val="left"/>
        <w:rPr>
          <w:sz w:val="24"/>
        </w:rPr>
      </w:pPr>
      <w:r>
        <w:rPr>
          <w:rFonts w:hint="eastAsia"/>
          <w:sz w:val="24"/>
        </w:rPr>
        <w:t>十、其他重要事项的情况说明</w:t>
      </w:r>
      <w:r>
        <w:rPr>
          <w:rFonts w:cs="Arial"/>
          <w:sz w:val="24"/>
        </w:rPr>
        <w:tab/>
      </w:r>
      <w:r>
        <w:rPr>
          <w:rFonts w:cs="Arial" w:hint="eastAsia"/>
          <w:sz w:val="24"/>
        </w:rPr>
        <w:t>11</w:t>
      </w:r>
    </w:p>
    <w:p>
      <w:pPr>
        <w:pStyle w:val="23"/>
        <w:tabs>
          <w:tab w:val="right" w:leader="dot" w:pos="8296"/>
        </w:tabs>
        <w:adjustRightInd w:val="0"/>
        <w:snapToGrid w:val="0"/>
        <w:spacing w:before="0" w:line="440" w:lineRule="exact"/>
        <w:jc w:val="left"/>
        <w:rPr>
          <w:rFonts w:cs="Arial"/>
          <w:sz w:val="24"/>
          <w:szCs w:val="24"/>
        </w:rPr>
      </w:pPr>
      <w:r>
        <w:rPr>
          <w:rFonts w:hint="eastAsia"/>
          <w:sz w:val="24"/>
        </w:rPr>
        <w:t>第三部分</w:t>
      </w:r>
      <w:r>
        <w:rPr>
          <w:sz w:val="24"/>
        </w:rPr>
        <w:t xml:space="preserve"> </w:t>
      </w:r>
      <w:r>
        <w:rPr>
          <w:rFonts w:hint="eastAsia"/>
          <w:sz w:val="24"/>
        </w:rPr>
        <w:t>名词解释</w:t>
      </w:r>
      <w:r>
        <w:rPr>
          <w:rFonts w:cs="Arial"/>
          <w:sz w:val="24"/>
        </w:rPr>
        <w:tab/>
      </w:r>
      <w:r>
        <w:rPr>
          <w:rFonts w:cs="Arial" w:hint="eastAsia"/>
          <w:sz w:val="24"/>
        </w:rPr>
        <w:t>14</w:t>
      </w:r>
    </w:p>
    <w:p>
      <w:pPr>
        <w:pStyle w:val="23"/>
        <w:tabs>
          <w:tab w:val="right" w:leader="dot" w:pos="8296"/>
        </w:tabs>
        <w:adjustRightInd w:val="0"/>
        <w:snapToGrid w:val="0"/>
        <w:spacing w:before="0" w:line="440" w:lineRule="exact"/>
        <w:jc w:val="left"/>
        <w:rPr>
          <w:rFonts w:cs="Arial"/>
          <w:sz w:val="24"/>
          <w:szCs w:val="24"/>
        </w:rPr>
      </w:pPr>
      <w:r>
        <w:rPr>
          <w:rFonts w:hint="eastAsia"/>
          <w:sz w:val="24"/>
        </w:rPr>
        <w:t>第四部分</w:t>
      </w:r>
      <w:r>
        <w:rPr>
          <w:sz w:val="24"/>
        </w:rPr>
        <w:t xml:space="preserve"> </w:t>
      </w:r>
      <w:r>
        <w:rPr>
          <w:rFonts w:hint="eastAsia"/>
          <w:sz w:val="24"/>
        </w:rPr>
        <w:t>附件</w:t>
      </w:r>
      <w:r>
        <w:rPr>
          <w:rFonts w:cs="Arial"/>
          <w:sz w:val="24"/>
        </w:rPr>
        <w:tab/>
      </w:r>
      <w:r>
        <w:rPr>
          <w:rFonts w:cs="Arial" w:hint="eastAsia"/>
          <w:sz w:val="24"/>
        </w:rPr>
        <w:t>17</w:t>
      </w:r>
    </w:p>
    <w:p>
      <w:pPr>
        <w:pStyle w:val="23"/>
        <w:tabs>
          <w:tab w:val="right" w:leader="dot" w:pos="8296"/>
        </w:tabs>
        <w:adjustRightInd w:val="0"/>
        <w:snapToGrid w:val="0"/>
        <w:spacing w:before="0" w:line="440" w:lineRule="exact"/>
        <w:jc w:val="left"/>
        <w:rPr>
          <w:rFonts w:cs="Arial"/>
          <w:sz w:val="24"/>
          <w:szCs w:val="24"/>
        </w:rPr>
      </w:pPr>
      <w:r>
        <w:rPr>
          <w:rFonts w:hint="eastAsia"/>
          <w:sz w:val="24"/>
        </w:rPr>
        <w:t>第五部分</w:t>
      </w:r>
      <w:r>
        <w:rPr>
          <w:sz w:val="24"/>
        </w:rPr>
        <w:t xml:space="preserve"> </w:t>
      </w:r>
      <w:r>
        <w:rPr>
          <w:rFonts w:hint="eastAsia"/>
          <w:sz w:val="24"/>
        </w:rPr>
        <w:t>附表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一、收入支出决算总表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二、收入决算表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三、支出决算表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四、财政拨款收入支出决算总表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五、财政拨款支出决算明细表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六、一般公共预算财政拨款支出决算表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七、一般公共预算财政拨款支出决算明细表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八、一般公共预算财政拨款基本支出决算明细表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九、一般公共预算财政拨款项目支出决算表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十、政府性基金预算财政拨款收入支出决算表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十一、国有资本经营预算财政拨款收入支出决算表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sz w:val="24"/>
        </w:rPr>
      </w:pPr>
      <w:r>
        <w:rPr>
          <w:rFonts w:hint="eastAsia"/>
          <w:sz w:val="24"/>
        </w:rPr>
        <w:t>十二、国有资本经营预算财政拨款支出决算表</w:t>
      </w:r>
      <w:r>
        <w:rPr>
          <w:rFonts w:cs="Arial"/>
          <w:sz w:val="24"/>
        </w:rPr>
        <w:tab/>
      </w:r>
      <w:r>
        <w:rPr>
          <w:rFonts w:cs="Arial" w:hint="eastAsia"/>
          <w:sz w:val="24"/>
        </w:rPr>
        <w:t>32</w:t>
      </w:r>
    </w:p>
    <w:p>
      <w:pPr>
        <w:pStyle w:val="24"/>
        <w:tabs>
          <w:tab w:val="right" w:leader="dot" w:pos="8296"/>
        </w:tabs>
        <w:adjustRightInd w:val="0"/>
        <w:snapToGrid w:val="0"/>
        <w:spacing w:line="440" w:lineRule="exact"/>
        <w:jc w:val="left"/>
        <w:rPr>
          <w:rFonts w:ascii="宋体" w:eastAsia="宋体" w:cs="宋体"/>
          <w:sz w:val="24"/>
        </w:rPr>
      </w:pPr>
      <w:r>
        <w:rPr>
          <w:rFonts w:hint="eastAsia"/>
          <w:sz w:val="24"/>
        </w:rPr>
        <w:t>十三、财政拨款“三公”经费支出决算表</w:t>
      </w:r>
      <w:r>
        <w:rPr>
          <w:rFonts w:cs="Arial"/>
          <w:sz w:val="24"/>
        </w:rPr>
        <w:tab/>
      </w:r>
      <w:r>
        <w:rPr>
          <w:rFonts w:cs="Arial" w:hint="eastAsia"/>
          <w:sz w:val="24"/>
        </w:rPr>
        <w:t>32</w:t>
      </w:r>
    </w:p>
    <w:p>
      <w:pPr>
        <w:widowControl/>
        <w:spacing w:line="440" w:lineRule="exact"/>
        <w:jc w:val="left"/>
        <w:rPr>
          <w:rFonts w:ascii="仿宋" w:eastAsia="仿宋"/>
          <w:bCs/>
          <w:kern w:val="44"/>
          <w:sz w:val="24"/>
        </w:rPr>
      </w:pPr>
      <w:bookmarkStart w:id="12" w:name="_Toc15396599"/>
      <w:bookmarkStart w:id="13" w:name="_Toc15377196"/>
      <w:r>
        <w:rPr>
          <w:rFonts w:ascii="仿宋" w:eastAsia="仿宋"/>
          <w:b/>
          <w:sz w:val="24"/>
        </w:rPr>
        <w:br w:type="page"/>
      </w:r>
    </w:p>
    <w:p>
      <w:pPr>
        <w:pStyle w:val="1"/>
        <w:jc w:val="center"/>
        <w:rPr>
          <w:rStyle w:val="1Char"/>
          <w:rFonts w:ascii="黑体" w:eastAsia="黑体"/>
          <w:b/>
        </w:rPr>
      </w:pPr>
      <w:r>
        <w:rPr>
          <w:rFonts w:ascii="黑体" w:eastAsia="黑体" w:hint="eastAsia"/>
          <w:b w:val="0"/>
        </w:rPr>
        <w:t xml:space="preserve">第一部分 </w:t>
      </w:r>
      <w:r>
        <w:rPr>
          <w:rStyle w:val="1Char"/>
          <w:rFonts w:ascii="黑体" w:eastAsia="黑体" w:hint="eastAsia"/>
        </w:rPr>
        <w:t>部门概况</w:t>
      </w:r>
      <w:bookmarkEnd w:id="12"/>
      <w:bookmarkEnd w:id="13"/>
    </w:p>
    <w:p>
      <w:pPr>
        <w:widowControl/>
        <w:jc w:val="left"/>
        <w:rPr>
          <w:rFonts w:ascii="黑体" w:eastAsia="黑体"/>
          <w:sz w:val="32"/>
          <w:szCs w:val="32"/>
        </w:rPr>
      </w:pPr>
    </w:p>
    <w:p>
      <w:pPr>
        <w:pStyle w:val="2"/>
        <w:ind w:firstLineChars="200" w:firstLine="640"/>
        <w:rPr>
          <w:rFonts w:ascii="黑体" w:eastAsia="黑体"/>
          <w:b w:val="0"/>
        </w:rPr>
      </w:pPr>
      <w:r>
        <w:rPr>
          <w:rFonts w:ascii="黑体" w:eastAsia="黑体" w:hint="eastAsia"/>
          <w:b w:val="0"/>
        </w:rPr>
        <w:t>一、部门职责</w:t>
      </w:r>
    </w:p>
    <w:p>
      <w:pPr>
        <w:pStyle w:val="15"/>
        <w:adjustRightInd w:val="0"/>
        <w:snapToGrid w:val="0"/>
        <w:spacing w:beforeLines="0" w:before="93" w:line="600" w:lineRule="exact"/>
        <w:ind w:firstLineChars="208" w:firstLine="669"/>
        <w:outlineLvl w:val="2"/>
        <w:rPr>
          <w:rFonts w:ascii="仿宋" w:eastAsia="仿宋"/>
          <w:bCs/>
          <w:color w:val="000000"/>
          <w:sz w:val="32"/>
          <w:szCs w:val="32"/>
        </w:rPr>
      </w:pPr>
      <w:r>
        <w:rPr>
          <w:rFonts w:ascii="仿宋" w:eastAsia="仿宋" w:hint="eastAsia"/>
          <w:bCs/>
          <w:color w:val="000000"/>
          <w:sz w:val="32"/>
          <w:szCs w:val="32"/>
        </w:rPr>
        <w:t>根据《攀枝花市人民政府办公室　关于印发攀枝花市人民政府驻北京联络处主要职责内设机构和人员编制规定的通知》（攀办发﹝2011﹞46号），攀枝花市人民政府驻北京联络处主要职责为：</w:t>
      </w:r>
    </w:p>
    <w:p>
      <w:pPr>
        <w:pStyle w:val="15"/>
        <w:adjustRightInd w:val="0"/>
        <w:snapToGrid w:val="0"/>
        <w:spacing w:beforeLines="0" w:before="93" w:line="600" w:lineRule="exact"/>
        <w:ind w:firstLineChars="208" w:firstLine="669"/>
        <w:outlineLvl w:val="2"/>
        <w:rPr>
          <w:rFonts w:ascii="仿宋" w:eastAsia="仿宋"/>
          <w:bCs/>
          <w:sz w:val="32"/>
          <w:szCs w:val="32"/>
        </w:rPr>
      </w:pPr>
      <w:r>
        <w:rPr>
          <w:rFonts w:ascii="仿宋" w:eastAsia="仿宋" w:hint="eastAsia"/>
          <w:bCs/>
          <w:color w:val="000000"/>
          <w:sz w:val="32"/>
          <w:szCs w:val="32"/>
        </w:rPr>
        <w:t>1.负责与中央国家机关和相关驻京机构的联络。2.开展宣传、联络、协调、信息收集与传递工作，为市委、市政府决策提供参考。3.开展招商引资和区域间经济、技术、人才、文化交流与合作。4.承担有关接待工作，为市级部门、县（区）、企事业单位以及基层组织、社会组织和人民群众在京活动提供服务。5.协助做好我市在京流动党员教育管理服务工作，配合做好维护首都稳定的有关工作。6.负责对联络处的国有资产进行监督管理。7.承办市委、市政府和主管部门交办的其它工作。</w:t>
      </w:r>
    </w:p>
    <w:p/>
    <w:p>
      <w:pPr>
        <w:pStyle w:val="2"/>
        <w:ind w:firstLineChars="200" w:firstLine="640"/>
        <w:rPr>
          <w:rStyle w:val="2Char"/>
        </w:rPr>
      </w:pPr>
      <w:bookmarkStart w:id="14" w:name="_Toc15396601"/>
      <w:bookmarkStart w:id="15" w:name="_Toc15377200"/>
      <w:r>
        <w:rPr>
          <w:rFonts w:ascii="黑体" w:eastAsia="黑体" w:hint="eastAsia"/>
          <w:b w:val="0"/>
        </w:rPr>
        <w:t>二、机</w:t>
      </w:r>
      <w:r>
        <w:rPr>
          <w:rStyle w:val="2Char"/>
          <w:rFonts w:ascii="黑体" w:eastAsia="黑体" w:hint="eastAsia"/>
        </w:rPr>
        <w:t>构设置</w:t>
      </w:r>
      <w:bookmarkEnd w:id="14"/>
      <w:bookmarkEnd w:id="15"/>
    </w:p>
    <w:p>
      <w:pPr>
        <w:ind w:firstLineChars="200" w:firstLine="640"/>
        <w:rPr>
          <w:rFonts w:ascii="仿宋" w:eastAsia="仿宋"/>
          <w:sz w:val="32"/>
          <w:szCs w:val="32"/>
        </w:rPr>
      </w:pPr>
      <w:r>
        <w:rPr>
          <w:rFonts w:ascii="仿宋" w:eastAsia="仿宋" w:hint="eastAsia"/>
          <w:sz w:val="32"/>
          <w:szCs w:val="32"/>
        </w:rPr>
        <w:t>攀枝花市人民政府驻北京联络处下属二级单位1个，其中全额拨款事业单位1个，财务不独立。</w:t>
      </w:r>
    </w:p>
    <w:p>
      <w:pPr>
        <w:pStyle w:val="1"/>
        <w:ind w:right="440"/>
        <w:jc w:val="center"/>
        <w:rPr>
          <w:rStyle w:val="1Char"/>
          <w:rFonts w:ascii="黑体" w:eastAsia="黑体"/>
          <w:bCs/>
        </w:rPr>
      </w:pPr>
      <w:bookmarkStart w:id="16" w:name="_Toc15396602"/>
      <w:bookmarkStart w:id="17" w:name="_Toc15377204"/>
      <w:r>
        <w:rPr>
          <w:rFonts w:ascii="黑体" w:eastAsia="黑体" w:hint="eastAsia"/>
          <w:b w:val="0"/>
        </w:rPr>
        <w:t>第二部分 2022年度</w:t>
      </w:r>
      <w:r>
        <w:rPr>
          <w:rStyle w:val="1Char"/>
          <w:rFonts w:ascii="黑体" w:eastAsia="黑体" w:hint="eastAsia"/>
          <w:bCs/>
        </w:rPr>
        <w:t>部门决算情况说明</w:t>
      </w:r>
      <w:bookmarkEnd w:id="16"/>
      <w:bookmarkEnd w:id="17"/>
    </w:p>
    <w:p/>
    <w:p>
      <w:pPr>
        <w:pStyle w:val="35"/>
        <w:numPr>
          <w:ilvl w:val="0"/>
          <w:numId w:val="1"/>
        </w:numPr>
        <w:spacing w:line="600" w:lineRule="exact"/>
        <w:ind w:firstLineChars="0"/>
        <w:outlineLvl w:val="1"/>
        <w:rPr>
          <w:rStyle w:val="2Char"/>
          <w:rFonts w:ascii="黑体" w:eastAsia="黑体"/>
          <w:b w:val="0"/>
        </w:rPr>
      </w:pPr>
      <w:bookmarkStart w:id="18" w:name="_Toc15377205"/>
      <w:bookmarkStart w:id="19" w:name="_Toc15396603"/>
      <w:r>
        <w:rPr>
          <w:rFonts w:ascii="黑体" w:eastAsia="黑体" w:hint="eastAsia"/>
          <w:sz w:val="32"/>
          <w:szCs w:val="32"/>
        </w:rPr>
        <w:t>收</w:t>
      </w:r>
      <w:r>
        <w:rPr>
          <w:rStyle w:val="2Char"/>
          <w:rFonts w:ascii="黑体" w:eastAsia="黑体" w:hint="eastAsia"/>
          <w:b w:val="0"/>
        </w:rPr>
        <w:t>入支出决算总体情况说明</w:t>
      </w:r>
      <w:bookmarkEnd w:id="18"/>
      <w:bookmarkEnd w:id="19"/>
    </w:p>
    <w:p>
      <w:pPr>
        <w:spacing w:line="600" w:lineRule="exact"/>
        <w:ind w:firstLineChars="200" w:firstLine="640"/>
        <w:rPr>
          <w:rFonts w:ascii="仿宋" w:eastAsia="仿宋"/>
          <w:sz w:val="32"/>
          <w:szCs w:val="32"/>
        </w:rPr>
      </w:pPr>
      <w:r>
        <w:rPr>
          <w:rFonts w:ascii="仿宋" w:eastAsia="仿宋" w:hint="eastAsia"/>
          <w:sz w:val="32"/>
          <w:szCs w:val="32"/>
        </w:rPr>
        <w:t>2022年度收、支总计228.35万元。与2021年相比，收、支总计各减少66.4万元，下降23</w:t>
      </w:r>
      <w:r>
        <w:rPr>
          <w:rFonts w:ascii="仿宋" w:eastAsia="仿宋"/>
          <w:sz w:val="32"/>
          <w:szCs w:val="32"/>
        </w:rPr>
        <w:t>%</w:t>
      </w:r>
      <w:r>
        <w:rPr>
          <w:rFonts w:ascii="仿宋" w:eastAsia="仿宋" w:hint="eastAsia"/>
          <w:sz w:val="32"/>
          <w:szCs w:val="32"/>
        </w:rPr>
        <w:t>。主要变动原因是2022年财政减少项目经费批复和拨付。</w:t>
      </w:r>
    </w:p>
    <w:p>
      <w:pPr>
        <w:spacing w:line="600" w:lineRule="exact"/>
        <w:ind w:firstLineChars="200" w:firstLine="640"/>
        <w:jc w:val="left"/>
        <w:rPr>
          <w:rStyle w:val="2Char"/>
          <w:rFonts w:ascii="黑体" w:eastAsia="黑体"/>
          <w:b w:val="0"/>
        </w:rPr>
      </w:pPr>
      <w:r>
        <w:rPr>
          <w:rStyle w:val="2Char"/>
          <w:rFonts w:ascii="黑体" w:eastAsia="黑体" w:hint="eastAsia"/>
          <w:b w:val="0"/>
        </w:rPr>
        <w:drawing>
          <wp:anchor distT="0" distB="0" distL="114300" distR="114300" simplePos="0" relativeHeight="18" behindDoc="0" locked="0" layoutInCell="1" hidden="0" allowOverlap="1">
            <wp:simplePos x="0" y="0"/>
            <wp:positionH relativeFrom="column">
              <wp:posOffset>309245</wp:posOffset>
            </wp:positionH>
            <wp:positionV relativeFrom="paragraph">
              <wp:posOffset>166370</wp:posOffset>
            </wp:positionV>
            <wp:extent cx="4575175" cy="2172335"/>
            <wp:effectExtent l="0" t="0" r="0" b="0"/>
            <wp:wrapTopAndBottom/>
            <wp:docPr id="1" name="图表 2"/>
            <wp:cNvGraphicFramePr>
              <a:graphicFrameLocks noChangeAspect="0"/>
            </wp:cNvGraphicFramePr>
            <a:graphic>
              <a:graphicData uri="http://schemas.openxmlformats.org/drawingml/2006/chart">
                <c:chart xmlns:c="http://schemas.openxmlformats.org/drawingml/2006/chart" r:id="rId4"/>
              </a:graphicData>
            </a:graphic>
          </wp:anchor>
        </w:drawing>
      </w:r>
      <w:bookmarkStart w:id="20" w:name="_Toc15396604"/>
      <w:bookmarkStart w:id="21" w:name="_Toc15377206"/>
      <w:r>
        <w:rPr>
          <w:rStyle w:val="2Char"/>
          <w:rFonts w:ascii="黑体" w:eastAsia="黑体" w:hint="eastAsia"/>
          <w:b w:val="0"/>
        </w:rPr>
        <w:t>二、收入决算情况说明</w:t>
      </w:r>
      <w:bookmarkEnd w:id="20"/>
      <w:bookmarkEnd w:id="21"/>
    </w:p>
    <w:p>
      <w:pPr>
        <w:spacing w:line="600" w:lineRule="exact"/>
        <w:ind w:firstLineChars="200" w:firstLine="420"/>
        <w:outlineLvl w:val="1"/>
        <w:rPr>
          <w:rFonts w:ascii="仿宋" w:eastAsia="仿宋"/>
          <w:sz w:val="32"/>
          <w:szCs w:val="32"/>
        </w:rPr>
      </w:pPr>
      <w:r>
        <w:drawing>
          <wp:anchor distT="0" distB="0" distL="114300" distR="114300" simplePos="0" relativeHeight="20" behindDoc="0" locked="0" layoutInCell="1" hidden="0" allowOverlap="1">
            <wp:simplePos x="0" y="0"/>
            <wp:positionH relativeFrom="column">
              <wp:posOffset>347345</wp:posOffset>
            </wp:positionH>
            <wp:positionV relativeFrom="paragraph">
              <wp:posOffset>1256664</wp:posOffset>
            </wp:positionV>
            <wp:extent cx="4537075" cy="2466340"/>
            <wp:effectExtent l="0" t="0" r="0" b="0"/>
            <wp:wrapTopAndBottom/>
            <wp:docPr id="2" name="图表 4"/>
            <wp:cNvGraphicFramePr>
              <a:graphicFrameLocks noChangeAspect="0"/>
            </wp:cNvGraphicFramePr>
            <a:graphic>
              <a:graphicData uri="http://schemas.openxmlformats.org/drawingml/2006/chart">
                <c:chart xmlns:c="http://schemas.openxmlformats.org/drawingml/2006/chart" r:id="rId5"/>
              </a:graphicData>
            </a:graphic>
          </wp:anchor>
        </w:drawing>
      </w:r>
      <w:r>
        <w:rPr>
          <w:rFonts w:ascii="仿宋" w:eastAsia="仿宋"/>
          <w:sz w:val="32"/>
          <w:szCs w:val="32"/>
        </w:rPr>
        <w:t>20</w:t>
      </w:r>
      <w:r>
        <w:rPr>
          <w:rFonts w:ascii="仿宋" w:eastAsia="仿宋" w:hint="eastAsia"/>
          <w:sz w:val="32"/>
          <w:szCs w:val="32"/>
        </w:rPr>
        <w:t>22年本年收入合计228.35万元，其中：一般公共预算财政拨款收入223.7万元，占97.96</w:t>
      </w:r>
      <w:r>
        <w:rPr>
          <w:rFonts w:ascii="仿宋" w:eastAsia="仿宋"/>
          <w:sz w:val="32"/>
          <w:szCs w:val="32"/>
        </w:rPr>
        <w:t>%</w:t>
      </w:r>
      <w:r>
        <w:rPr>
          <w:rFonts w:ascii="仿宋" w:eastAsia="仿宋" w:hint="eastAsia"/>
          <w:sz w:val="32"/>
          <w:szCs w:val="32"/>
        </w:rPr>
        <w:t>；其他收入0.02万元，占0.01</w:t>
      </w:r>
      <w:r>
        <w:rPr>
          <w:rFonts w:ascii="仿宋" w:eastAsia="仿宋"/>
          <w:sz w:val="32"/>
          <w:szCs w:val="32"/>
        </w:rPr>
        <w:t>%</w:t>
      </w:r>
      <w:r>
        <w:rPr>
          <w:rFonts w:ascii="仿宋" w:eastAsia="仿宋" w:hint="eastAsia"/>
          <w:sz w:val="32"/>
          <w:szCs w:val="32"/>
        </w:rPr>
        <w:t>，年初结转和结余4.63万元，占2.03</w:t>
      </w:r>
      <w:r>
        <w:rPr>
          <w:rFonts w:ascii="仿宋" w:eastAsia="仿宋"/>
          <w:sz w:val="32"/>
          <w:szCs w:val="32"/>
        </w:rPr>
        <w:t>%</w:t>
      </w:r>
      <w:r>
        <w:rPr>
          <w:rFonts w:ascii="仿宋" w:eastAsia="仿宋" w:hint="eastAsia"/>
          <w:sz w:val="32"/>
          <w:szCs w:val="32"/>
        </w:rPr>
        <w:t>。</w:t>
      </w:r>
    </w:p>
    <w:p>
      <w:pPr>
        <w:pStyle w:val="35"/>
        <w:spacing w:line="600" w:lineRule="exact"/>
        <w:ind w:left="640" w:firstLineChars="0" w:firstLine="0"/>
        <w:outlineLvl w:val="1"/>
        <w:rPr>
          <w:rStyle w:val="2Char"/>
          <w:rFonts w:ascii="黑体" w:eastAsia="黑体"/>
          <w:b w:val="0"/>
        </w:rPr>
      </w:pPr>
      <w:bookmarkStart w:id="22" w:name="_Toc15377207"/>
      <w:bookmarkStart w:id="23" w:name="_Toc15396605"/>
      <w:r>
        <w:rPr>
          <w:rFonts w:ascii="黑体" w:eastAsia="黑体" w:hint="eastAsia"/>
          <w:sz w:val="32"/>
          <w:szCs w:val="32"/>
        </w:rPr>
        <w:t>三、支</w:t>
      </w:r>
      <w:r>
        <w:rPr>
          <w:rStyle w:val="2Char"/>
          <w:rFonts w:ascii="黑体" w:eastAsia="黑体" w:hint="eastAsia"/>
          <w:b w:val="0"/>
        </w:rPr>
        <w:t>出决算情况说明</w:t>
      </w:r>
      <w:bookmarkEnd w:id="22"/>
      <w:bookmarkEnd w:id="23"/>
    </w:p>
    <w:p>
      <w:pPr>
        <w:spacing w:line="600" w:lineRule="exact"/>
        <w:ind w:firstLineChars="200" w:firstLine="640"/>
        <w:outlineLvl w:val="1"/>
        <w:rPr>
          <w:rFonts w:ascii="仿宋" w:eastAsia="仿宋"/>
          <w:sz w:val="32"/>
          <w:szCs w:val="32"/>
        </w:rPr>
      </w:pPr>
      <w:r>
        <w:rPr>
          <w:rFonts w:ascii="仿宋" w:eastAsia="仿宋"/>
          <w:sz w:val="32"/>
          <w:szCs w:val="32"/>
        </w:rPr>
        <w:t>20</w:t>
      </w:r>
      <w:r>
        <w:rPr>
          <w:rFonts w:ascii="仿宋" w:eastAsia="仿宋" w:hint="eastAsia"/>
          <w:sz w:val="32"/>
          <w:szCs w:val="32"/>
        </w:rPr>
        <w:t>22年本年支出合计228.35万元，其中：基本支出218.35万元，占95.62</w:t>
      </w:r>
      <w:r>
        <w:rPr>
          <w:rFonts w:ascii="仿宋" w:eastAsia="仿宋"/>
          <w:sz w:val="32"/>
          <w:szCs w:val="32"/>
        </w:rPr>
        <w:t>%</w:t>
      </w:r>
      <w:r>
        <w:rPr>
          <w:rFonts w:ascii="仿宋" w:eastAsia="仿宋" w:hint="eastAsia"/>
          <w:sz w:val="32"/>
          <w:szCs w:val="32"/>
        </w:rPr>
        <w:t>；项目支出10万元，占4.38</w:t>
      </w:r>
      <w:r>
        <w:rPr>
          <w:rFonts w:ascii="仿宋" w:eastAsia="仿宋"/>
          <w:sz w:val="32"/>
          <w:szCs w:val="32"/>
        </w:rPr>
        <w:t>%</w:t>
      </w:r>
      <w:r>
        <w:rPr>
          <w:rFonts w:ascii="仿宋" w:eastAsia="仿宋" w:hint="eastAsia"/>
          <w:sz w:val="32"/>
          <w:szCs w:val="32"/>
        </w:rPr>
        <w:t>。</w:t>
      </w:r>
    </w:p>
    <w:p>
      <w:pPr>
        <w:spacing w:line="600" w:lineRule="exact"/>
        <w:ind w:firstLineChars="200" w:firstLine="420"/>
        <w:rPr>
          <w:rFonts w:ascii="仿宋_GB2312" w:eastAsia="仿宋_GB2312"/>
          <w:sz w:val="32"/>
          <w:szCs w:val="32"/>
        </w:rPr>
      </w:pPr>
      <w:r>
        <w:drawing>
          <wp:anchor distT="0" distB="0" distL="114300" distR="114300" simplePos="0" relativeHeight="22" behindDoc="0" locked="0" layoutInCell="1" hidden="0" allowOverlap="1">
            <wp:simplePos x="0" y="0"/>
            <wp:positionH relativeFrom="column">
              <wp:posOffset>366395</wp:posOffset>
            </wp:positionH>
            <wp:positionV relativeFrom="paragraph">
              <wp:posOffset>80645</wp:posOffset>
            </wp:positionV>
            <wp:extent cx="4572000" cy="2788920"/>
            <wp:effectExtent l="0" t="0" r="0" b="0"/>
            <wp:wrapTopAndBottom/>
            <wp:docPr id="3" name="图表 1"/>
            <wp:cNvGraphicFramePr>
              <a:graphicFrameLocks noChangeAspect="0"/>
            </wp:cNvGraphicFramePr>
            <a:graphic>
              <a:graphicData uri="http://schemas.openxmlformats.org/drawingml/2006/chart">
                <c:chart xmlns:c="http://schemas.openxmlformats.org/drawingml/2006/chart" r:id="rId6"/>
              </a:graphicData>
            </a:graphic>
          </wp:anchor>
        </w:drawing>
      </w:r>
    </w:p>
    <w:p>
      <w:pPr>
        <w:spacing w:line="600" w:lineRule="exact"/>
        <w:ind w:firstLineChars="200" w:firstLine="640"/>
        <w:outlineLvl w:val="1"/>
        <w:rPr>
          <w:rStyle w:val="2Char"/>
          <w:rFonts w:ascii="黑体" w:eastAsia="黑体"/>
          <w:b w:val="0"/>
        </w:rPr>
      </w:pPr>
      <w:bookmarkStart w:id="24" w:name="_Toc15377208"/>
      <w:bookmarkStart w:id="25" w:name="_Toc15396606"/>
      <w:r>
        <w:rPr>
          <w:rFonts w:ascii="黑体" w:eastAsia="黑体" w:hint="eastAsia"/>
          <w:sz w:val="32"/>
          <w:szCs w:val="32"/>
        </w:rPr>
        <w:t>四、财</w:t>
      </w:r>
      <w:r>
        <w:rPr>
          <w:rStyle w:val="2Char"/>
          <w:rFonts w:ascii="黑体" w:eastAsia="黑体" w:hint="eastAsia"/>
          <w:b w:val="0"/>
        </w:rPr>
        <w:t>政拨款收入支出决算总体情况说明</w:t>
      </w:r>
      <w:bookmarkEnd w:id="24"/>
      <w:bookmarkEnd w:id="25"/>
    </w:p>
    <w:p>
      <w:pPr>
        <w:spacing w:line="600" w:lineRule="exact"/>
        <w:ind w:firstLineChars="200" w:firstLine="640"/>
        <w:rPr>
          <w:rFonts w:ascii="仿宋" w:eastAsia="仿宋"/>
          <w:sz w:val="32"/>
          <w:szCs w:val="32"/>
        </w:rPr>
      </w:pPr>
      <w:r>
        <w:rPr>
          <w:rFonts w:ascii="仿宋" w:eastAsia="仿宋"/>
          <w:sz w:val="32"/>
          <w:szCs w:val="32"/>
        </w:rPr>
        <w:t>20</w:t>
      </w:r>
      <w:r>
        <w:rPr>
          <w:rFonts w:ascii="仿宋" w:eastAsia="仿宋" w:hint="eastAsia"/>
          <w:sz w:val="32"/>
          <w:szCs w:val="32"/>
        </w:rPr>
        <w:t>22年财政拨款收、支总计223.7万元。与</w:t>
      </w:r>
      <w:r>
        <w:rPr>
          <w:rFonts w:ascii="仿宋" w:eastAsia="仿宋"/>
          <w:sz w:val="32"/>
          <w:szCs w:val="32"/>
        </w:rPr>
        <w:t>20</w:t>
      </w:r>
      <w:r>
        <w:rPr>
          <w:rFonts w:ascii="仿宋" w:eastAsia="仿宋" w:hint="eastAsia"/>
          <w:sz w:val="32"/>
          <w:szCs w:val="32"/>
        </w:rPr>
        <w:t>21年相比，财政拨款收、支总计各减少70.91万元，下降24.06</w:t>
      </w:r>
      <w:r>
        <w:rPr>
          <w:rFonts w:ascii="仿宋" w:eastAsia="仿宋"/>
          <w:sz w:val="32"/>
          <w:szCs w:val="32"/>
        </w:rPr>
        <w:t>%</w:t>
      </w:r>
      <w:r>
        <w:rPr>
          <w:rFonts w:ascii="仿宋" w:eastAsia="仿宋" w:hint="eastAsia"/>
          <w:sz w:val="32"/>
          <w:szCs w:val="32"/>
        </w:rPr>
        <w:t>。主要变动原因是2022年财政减少项目经费批复和拨付。</w:t>
      </w:r>
    </w:p>
    <w:p>
      <w:pPr>
        <w:spacing w:line="600" w:lineRule="exact"/>
        <w:ind w:firstLineChars="200" w:firstLine="640"/>
        <w:outlineLvl w:val="1"/>
        <w:rPr>
          <w:rFonts w:ascii="黑体" w:eastAsia="黑体"/>
          <w:sz w:val="32"/>
          <w:szCs w:val="32"/>
        </w:rPr>
      </w:pPr>
      <w:bookmarkStart w:id="26" w:name="_Toc15396607"/>
      <w:bookmarkStart w:id="27" w:name="_Toc15377209"/>
    </w:p>
    <w:p>
      <w:pPr>
        <w:spacing w:line="600" w:lineRule="exact"/>
        <w:ind w:firstLineChars="200" w:firstLine="420"/>
        <w:outlineLvl w:val="1"/>
        <w:rPr>
          <w:rStyle w:val="2Char"/>
          <w:rFonts w:ascii="黑体" w:eastAsia="黑体"/>
          <w:b w:val="0"/>
        </w:rPr>
      </w:pPr>
      <w:r>
        <w:drawing>
          <wp:anchor distT="0" distB="0" distL="114300" distR="114300" simplePos="0" relativeHeight="24" behindDoc="0" locked="0" layoutInCell="1" hidden="0" allowOverlap="1">
            <wp:simplePos x="0" y="0"/>
            <wp:positionH relativeFrom="column">
              <wp:posOffset>461644</wp:posOffset>
            </wp:positionH>
            <wp:positionV relativeFrom="paragraph">
              <wp:posOffset>118110</wp:posOffset>
            </wp:positionV>
            <wp:extent cx="4572000" cy="2028825"/>
            <wp:effectExtent l="0" t="0" r="0" b="0"/>
            <wp:wrapTopAndBottom/>
            <wp:docPr id="4" name="图表 1"/>
            <wp:cNvGraphicFramePr>
              <a:graphicFrameLocks noChangeAspect="0"/>
            </wp:cNvGraphicFramePr>
            <a:graphic>
              <a:graphicData uri="http://schemas.openxmlformats.org/drawingml/2006/chart">
                <c:chart xmlns:c="http://schemas.openxmlformats.org/drawingml/2006/chart" r:id="rId7"/>
              </a:graphicData>
            </a:graphic>
          </wp:anchor>
        </w:drawing>
      </w:r>
      <w:r>
        <w:rPr>
          <w:rFonts w:ascii="黑体" w:eastAsia="黑体" w:hint="eastAsia"/>
          <w:sz w:val="32"/>
          <w:szCs w:val="32"/>
        </w:rPr>
        <w:t>五、</w:t>
      </w:r>
      <w:r>
        <w:rPr>
          <w:rFonts w:ascii="黑体" w:eastAsia="黑体" w:hint="eastAsia"/>
          <w:b/>
          <w:sz w:val="32"/>
          <w:szCs w:val="32"/>
        </w:rPr>
        <w:t>一</w:t>
      </w:r>
      <w:r>
        <w:rPr>
          <w:rStyle w:val="2Char"/>
          <w:rFonts w:ascii="黑体" w:eastAsia="黑体" w:hint="eastAsia"/>
          <w:b w:val="0"/>
        </w:rPr>
        <w:t>般公共预算财政拨款支出决算情况说明</w:t>
      </w:r>
      <w:bookmarkEnd w:id="26"/>
      <w:bookmarkEnd w:id="27"/>
    </w:p>
    <w:p>
      <w:pPr>
        <w:spacing w:line="600" w:lineRule="exact"/>
        <w:ind w:firstLineChars="200" w:firstLine="640"/>
        <w:outlineLvl w:val="2"/>
        <w:rPr>
          <w:rFonts w:ascii="仿宋" w:eastAsia="仿宋"/>
          <w:b/>
          <w:sz w:val="32"/>
          <w:szCs w:val="32"/>
        </w:rPr>
      </w:pPr>
      <w:bookmarkStart w:id="28" w:name="_Toc15377210"/>
      <w:r>
        <w:rPr>
          <w:rFonts w:ascii="仿宋" w:eastAsia="仿宋" w:hint="eastAsia"/>
          <w:b/>
          <w:sz w:val="32"/>
          <w:szCs w:val="32"/>
        </w:rPr>
        <w:t>（一）一般公共预算财政拨款支出决算总体情况</w:t>
      </w:r>
      <w:bookmarkEnd w:id="28"/>
    </w:p>
    <w:p>
      <w:pPr>
        <w:spacing w:line="600" w:lineRule="exact"/>
        <w:ind w:firstLineChars="200" w:firstLine="420"/>
        <w:rPr>
          <w:rFonts w:ascii="仿宋" w:eastAsia="仿宋"/>
          <w:sz w:val="32"/>
          <w:szCs w:val="32"/>
        </w:rPr>
      </w:pPr>
      <w:r>
        <w:drawing>
          <wp:anchor distT="0" distB="0" distL="114300" distR="114300" simplePos="0" relativeHeight="26" behindDoc="0" locked="0" layoutInCell="1" hidden="0" allowOverlap="1">
            <wp:simplePos x="0" y="0"/>
            <wp:positionH relativeFrom="column">
              <wp:posOffset>404495</wp:posOffset>
            </wp:positionH>
            <wp:positionV relativeFrom="paragraph">
              <wp:posOffset>1537969</wp:posOffset>
            </wp:positionV>
            <wp:extent cx="4575175" cy="2819400"/>
            <wp:effectExtent l="0" t="0" r="0" b="0"/>
            <wp:wrapTopAndBottom/>
            <wp:docPr id="5" name="图表 1"/>
            <wp:cNvGraphicFramePr>
              <a:graphicFrameLocks noChangeAspect="0"/>
            </wp:cNvGraphicFramePr>
            <a:graphic>
              <a:graphicData uri="http://schemas.openxmlformats.org/drawingml/2006/chart">
                <c:chart xmlns:c="http://schemas.openxmlformats.org/drawingml/2006/chart" r:id="rId8"/>
              </a:graphicData>
            </a:graphic>
          </wp:anchor>
        </w:drawing>
      </w:r>
      <w:r>
        <w:rPr>
          <w:rFonts w:ascii="仿宋" w:eastAsia="仿宋"/>
          <w:sz w:val="32"/>
          <w:szCs w:val="32"/>
        </w:rPr>
        <w:t>20</w:t>
      </w:r>
      <w:r>
        <w:rPr>
          <w:rFonts w:ascii="仿宋" w:eastAsia="仿宋" w:hint="eastAsia"/>
          <w:sz w:val="32"/>
          <w:szCs w:val="32"/>
        </w:rPr>
        <w:t>22年一般公共预算财政拨款支出228.33万元，占本年支出合计的99.99</w:t>
      </w:r>
      <w:r>
        <w:rPr>
          <w:rFonts w:ascii="仿宋" w:eastAsia="仿宋"/>
          <w:sz w:val="32"/>
          <w:szCs w:val="32"/>
        </w:rPr>
        <w:t>%</w:t>
      </w:r>
      <w:r>
        <w:rPr>
          <w:rFonts w:ascii="仿宋" w:eastAsia="仿宋" w:hint="eastAsia"/>
          <w:sz w:val="32"/>
          <w:szCs w:val="32"/>
        </w:rPr>
        <w:t>。与</w:t>
      </w:r>
      <w:r>
        <w:rPr>
          <w:rFonts w:ascii="仿宋" w:eastAsia="仿宋"/>
          <w:sz w:val="32"/>
          <w:szCs w:val="32"/>
        </w:rPr>
        <w:t>20</w:t>
      </w:r>
      <w:r>
        <w:rPr>
          <w:rFonts w:ascii="仿宋" w:eastAsia="仿宋" w:hint="eastAsia"/>
          <w:sz w:val="32"/>
          <w:szCs w:val="32"/>
        </w:rPr>
        <w:t>21年相比，一般公共预算财政拨款支出减少40.13万元，下降14.95</w:t>
      </w:r>
      <w:r>
        <w:rPr>
          <w:rFonts w:ascii="仿宋" w:eastAsia="仿宋"/>
          <w:sz w:val="32"/>
          <w:szCs w:val="32"/>
        </w:rPr>
        <w:t>%</w:t>
      </w:r>
      <w:r>
        <w:rPr>
          <w:rFonts w:ascii="仿宋" w:eastAsia="仿宋" w:hint="eastAsia"/>
          <w:sz w:val="32"/>
          <w:szCs w:val="32"/>
        </w:rPr>
        <w:t>。主要变动原因是2022年财政减少项目经费批复和拨付。</w:t>
      </w:r>
    </w:p>
    <w:p>
      <w:pPr>
        <w:spacing w:line="600" w:lineRule="exact"/>
        <w:ind w:firstLineChars="200" w:firstLine="640"/>
        <w:outlineLvl w:val="2"/>
        <w:rPr>
          <w:rFonts w:ascii="仿宋" w:eastAsia="仿宋"/>
          <w:b/>
          <w:sz w:val="32"/>
          <w:szCs w:val="32"/>
        </w:rPr>
      </w:pPr>
      <w:bookmarkStart w:id="29" w:name="_Toc15377211"/>
    </w:p>
    <w:p>
      <w:pPr>
        <w:spacing w:line="600" w:lineRule="exact"/>
        <w:ind w:firstLineChars="200" w:firstLine="640"/>
        <w:outlineLvl w:val="2"/>
        <w:rPr>
          <w:rFonts w:ascii="仿宋" w:eastAsia="仿宋"/>
          <w:b/>
          <w:sz w:val="32"/>
          <w:szCs w:val="32"/>
        </w:rPr>
      </w:pPr>
      <w:r>
        <w:rPr>
          <w:rFonts w:ascii="仿宋" w:eastAsia="仿宋" w:hint="eastAsia"/>
          <w:b/>
          <w:sz w:val="32"/>
          <w:szCs w:val="32"/>
        </w:rPr>
        <w:t>（二）一般公共预算财政拨款支出决算结构情况</w:t>
      </w:r>
      <w:bookmarkEnd w:id="29"/>
    </w:p>
    <w:p>
      <w:pPr>
        <w:spacing w:line="600" w:lineRule="exact"/>
        <w:ind w:firstLine="640"/>
        <w:rPr>
          <w:rFonts w:ascii="仿宋" w:eastAsia="仿宋"/>
          <w:sz w:val="32"/>
          <w:szCs w:val="32"/>
        </w:rPr>
      </w:pPr>
      <w:r>
        <w:rPr>
          <w:rFonts w:ascii="仿宋" w:eastAsia="仿宋"/>
          <w:sz w:val="32"/>
          <w:szCs w:val="32"/>
        </w:rPr>
        <w:t>20</w:t>
      </w:r>
      <w:r>
        <w:rPr>
          <w:rFonts w:ascii="仿宋" w:eastAsia="仿宋" w:hint="eastAsia"/>
          <w:sz w:val="32"/>
          <w:szCs w:val="32"/>
        </w:rPr>
        <w:t>22年一般公共预算财政拨款支出228.33万元，主要用于以下方面</w:t>
      </w:r>
      <w:r>
        <w:rPr>
          <w:rFonts w:ascii="仿宋" w:eastAsia="仿宋"/>
          <w:sz w:val="32"/>
          <w:szCs w:val="32"/>
        </w:rPr>
        <w:t>:</w:t>
      </w:r>
      <w:r>
        <w:rPr>
          <w:rFonts w:ascii="仿宋" w:eastAsia="仿宋" w:hint="eastAsia"/>
          <w:b/>
          <w:sz w:val="32"/>
          <w:szCs w:val="32"/>
        </w:rPr>
        <w:t>一般公共服务</w:t>
      </w:r>
      <w:r>
        <w:rPr>
          <w:rFonts w:ascii="仿宋" w:eastAsia="仿宋" w:hint="eastAsia"/>
          <w:b/>
          <w:bCs/>
          <w:sz w:val="32"/>
          <w:szCs w:val="32"/>
        </w:rPr>
        <w:t>支出</w:t>
      </w:r>
      <w:r>
        <w:rPr>
          <w:rFonts w:ascii="仿宋" w:eastAsia="仿宋" w:hint="eastAsia"/>
          <w:sz w:val="32"/>
          <w:szCs w:val="32"/>
        </w:rPr>
        <w:t>193.99万元，占84.96</w:t>
      </w:r>
      <w:r>
        <w:rPr>
          <w:rFonts w:ascii="仿宋" w:eastAsia="仿宋"/>
          <w:sz w:val="32"/>
          <w:szCs w:val="32"/>
        </w:rPr>
        <w:t>%</w:t>
      </w:r>
      <w:r>
        <w:rPr>
          <w:rFonts w:ascii="仿宋" w:eastAsia="仿宋" w:hint="eastAsia"/>
          <w:sz w:val="32"/>
          <w:szCs w:val="32"/>
        </w:rPr>
        <w:t>；</w:t>
      </w:r>
      <w:r>
        <w:rPr>
          <w:rFonts w:ascii="仿宋" w:eastAsia="仿宋" w:hint="eastAsia"/>
          <w:b/>
          <w:sz w:val="32"/>
          <w:szCs w:val="32"/>
        </w:rPr>
        <w:t>社会保障和就业</w:t>
      </w:r>
      <w:r>
        <w:rPr>
          <w:rFonts w:ascii="仿宋" w:eastAsia="仿宋" w:hint="eastAsia"/>
          <w:b/>
          <w:bCs/>
          <w:sz w:val="32"/>
          <w:szCs w:val="32"/>
        </w:rPr>
        <w:t>支出</w:t>
      </w:r>
      <w:r>
        <w:rPr>
          <w:rFonts w:ascii="仿宋" w:eastAsia="仿宋" w:hint="eastAsia"/>
          <w:sz w:val="32"/>
          <w:szCs w:val="32"/>
        </w:rPr>
        <w:t>20.05万元，占8.78</w:t>
      </w:r>
      <w:r>
        <w:rPr>
          <w:rFonts w:ascii="仿宋" w:eastAsia="仿宋"/>
          <w:sz w:val="32"/>
          <w:szCs w:val="32"/>
        </w:rPr>
        <w:t>%</w:t>
      </w:r>
      <w:r>
        <w:rPr>
          <w:rFonts w:ascii="仿宋" w:eastAsia="仿宋" w:hint="eastAsia"/>
          <w:sz w:val="32"/>
          <w:szCs w:val="32"/>
        </w:rPr>
        <w:t>；</w:t>
      </w:r>
      <w:r>
        <w:rPr>
          <w:rFonts w:ascii="仿宋" w:eastAsia="仿宋" w:hint="eastAsia"/>
          <w:b/>
          <w:bCs/>
          <w:sz w:val="32"/>
          <w:szCs w:val="32"/>
        </w:rPr>
        <w:t>住房保障支出</w:t>
      </w:r>
      <w:r>
        <w:rPr>
          <w:rFonts w:ascii="仿宋" w:eastAsia="仿宋" w:hint="eastAsia"/>
          <w:sz w:val="32"/>
          <w:szCs w:val="32"/>
        </w:rPr>
        <w:t>14.3万元，占6.26</w:t>
      </w:r>
      <w:r>
        <w:rPr>
          <w:rFonts w:ascii="仿宋" w:eastAsia="仿宋"/>
          <w:sz w:val="32"/>
          <w:szCs w:val="32"/>
        </w:rPr>
        <w:t>%</w:t>
      </w:r>
      <w:r>
        <w:rPr>
          <w:rFonts w:ascii="仿宋" w:eastAsia="仿宋" w:hint="eastAsia"/>
          <w:sz w:val="32"/>
          <w:szCs w:val="32"/>
        </w:rPr>
        <w:t>。</w:t>
      </w:r>
    </w:p>
    <w:p>
      <w:pPr>
        <w:spacing w:line="600" w:lineRule="exact"/>
        <w:ind w:firstLineChars="200" w:firstLine="640"/>
        <w:rPr>
          <w:rFonts w:ascii="仿宋" w:eastAsia="仿宋"/>
          <w:sz w:val="32"/>
          <w:szCs w:val="32"/>
        </w:rPr>
      </w:pPr>
      <w:r>
        <w:rPr>
          <w:rFonts w:ascii="仿宋" w:eastAsia="仿宋" w:hint="eastAsia"/>
          <w:sz w:val="32"/>
          <w:szCs w:val="32"/>
        </w:rPr>
        <w:t>图6：一般公共预算财政拨款支出决算结构</w:t>
      </w:r>
    </w:p>
    <w:p>
      <w:pPr>
        <w:spacing w:line="600" w:lineRule="exact"/>
        <w:ind w:firstLine="640"/>
        <w:rPr>
          <w:rFonts w:ascii="仿宋" w:eastAsia="仿宋"/>
          <w:sz w:val="32"/>
          <w:szCs w:val="32"/>
        </w:rPr>
      </w:pPr>
      <w:r>
        <w:drawing>
          <wp:anchor distT="0" distB="0" distL="114300" distR="114300" simplePos="0" relativeHeight="28" behindDoc="0" locked="0" layoutInCell="1" hidden="0" allowOverlap="1">
            <wp:simplePos x="0" y="0"/>
            <wp:positionH relativeFrom="column">
              <wp:posOffset>467994</wp:posOffset>
            </wp:positionH>
            <wp:positionV relativeFrom="paragraph">
              <wp:posOffset>137795</wp:posOffset>
            </wp:positionV>
            <wp:extent cx="4810125" cy="3628390"/>
            <wp:effectExtent l="0" t="0" r="0" b="0"/>
            <wp:wrapTopAndBottom/>
            <wp:docPr id="6" name="图表 5"/>
            <wp:cNvGraphicFramePr>
              <a:graphicFrameLocks noChangeAspect="0"/>
            </wp:cNvGraphicFramePr>
            <a:graphic>
              <a:graphicData uri="http://schemas.openxmlformats.org/drawingml/2006/chart">
                <c:chart xmlns:c="http://schemas.openxmlformats.org/drawingml/2006/chart" r:id="rId9"/>
              </a:graphicData>
            </a:graphic>
          </wp:anchor>
        </w:drawing>
      </w:r>
    </w:p>
    <w:p>
      <w:pPr>
        <w:spacing w:line="600" w:lineRule="exact"/>
        <w:ind w:firstLineChars="200" w:firstLine="640"/>
        <w:outlineLvl w:val="2"/>
        <w:rPr>
          <w:rFonts w:ascii="仿宋" w:eastAsia="仿宋"/>
          <w:b/>
          <w:sz w:val="32"/>
          <w:szCs w:val="32"/>
        </w:rPr>
      </w:pPr>
      <w:bookmarkStart w:id="30" w:name="_Toc15377212"/>
      <w:r>
        <w:rPr>
          <w:rFonts w:ascii="仿宋" w:eastAsia="仿宋" w:hint="eastAsia"/>
          <w:b/>
          <w:sz w:val="32"/>
          <w:szCs w:val="32"/>
        </w:rPr>
        <w:t>（三）一般公共预算财政拨款支出决算具体情况</w:t>
      </w:r>
      <w:bookmarkEnd w:id="30"/>
    </w:p>
    <w:p>
      <w:pPr>
        <w:spacing w:line="600" w:lineRule="exact"/>
        <w:ind w:firstLineChars="200" w:firstLine="640"/>
        <w:outlineLvl w:val="2"/>
        <w:rPr>
          <w:rFonts w:ascii="仿宋" w:eastAsia="仿宋"/>
          <w:sz w:val="32"/>
          <w:szCs w:val="32"/>
        </w:rPr>
      </w:pPr>
      <w:bookmarkStart w:id="31" w:name="_Toc15377213"/>
      <w:bookmarkStart w:id="32" w:name="_Toc15378460"/>
      <w:bookmarkStart w:id="33" w:name="_Toc15377444"/>
      <w:r>
        <w:rPr>
          <w:rFonts w:ascii="仿宋" w:eastAsia="仿宋" w:hint="eastAsia"/>
          <w:b/>
          <w:sz w:val="32"/>
          <w:szCs w:val="32"/>
        </w:rPr>
        <w:t>2022年一般公共预算支出决算数为228.33万元</w:t>
      </w:r>
      <w:r>
        <w:rPr>
          <w:rFonts w:ascii="仿宋" w:eastAsia="仿宋" w:hint="eastAsia"/>
          <w:sz w:val="32"/>
          <w:szCs w:val="32"/>
        </w:rPr>
        <w:t>，</w:t>
      </w:r>
      <w:r>
        <w:rPr>
          <w:rStyle w:val="26"/>
          <w:rFonts w:ascii="仿宋" w:eastAsia="仿宋" w:hint="eastAsia"/>
          <w:bCs/>
          <w:sz w:val="32"/>
          <w:szCs w:val="32"/>
        </w:rPr>
        <w:t>完成预算100</w:t>
      </w:r>
      <w:r>
        <w:rPr>
          <w:rStyle w:val="26"/>
          <w:rFonts w:ascii="仿宋" w:eastAsia="仿宋"/>
          <w:bCs/>
          <w:sz w:val="32"/>
          <w:szCs w:val="32"/>
        </w:rPr>
        <w:t>%</w:t>
      </w:r>
      <w:r>
        <w:rPr>
          <w:rStyle w:val="26"/>
          <w:rFonts w:ascii="仿宋" w:eastAsia="仿宋" w:hint="eastAsia"/>
          <w:bCs/>
          <w:sz w:val="32"/>
          <w:szCs w:val="32"/>
        </w:rPr>
        <w:t>。其中：</w:t>
      </w:r>
      <w:bookmarkEnd w:id="31"/>
      <w:bookmarkEnd w:id="32"/>
      <w:bookmarkEnd w:id="33"/>
    </w:p>
    <w:p>
      <w:pPr>
        <w:spacing w:line="600" w:lineRule="exact"/>
        <w:ind w:firstLineChars="200" w:firstLine="640"/>
        <w:rPr>
          <w:rFonts w:ascii="仿宋" w:eastAsia="仿宋"/>
          <w:b/>
          <w:sz w:val="32"/>
          <w:szCs w:val="32"/>
        </w:rPr>
      </w:pPr>
      <w:r>
        <w:rPr>
          <w:rStyle w:val="26"/>
          <w:rFonts w:ascii="仿宋" w:eastAsia="仿宋"/>
          <w:bCs/>
          <w:sz w:val="32"/>
          <w:szCs w:val="32"/>
        </w:rPr>
        <w:t>1.</w:t>
      </w:r>
      <w:r>
        <w:rPr>
          <w:rStyle w:val="26"/>
          <w:rFonts w:ascii="仿宋" w:eastAsia="仿宋" w:hint="eastAsia"/>
          <w:bCs/>
          <w:sz w:val="32"/>
          <w:szCs w:val="32"/>
        </w:rPr>
        <w:t>一般公共服务（类）政府办公厅（室）及相关机构事务（款）行政运行（项）</w:t>
      </w:r>
      <w:r>
        <w:rPr>
          <w:rStyle w:val="26"/>
          <w:rFonts w:ascii="仿宋" w:eastAsia="仿宋"/>
          <w:bCs/>
          <w:sz w:val="32"/>
          <w:szCs w:val="32"/>
        </w:rPr>
        <w:t>:</w:t>
      </w:r>
      <w:r>
        <w:rPr>
          <w:rStyle w:val="26"/>
          <w:rFonts w:ascii="仿宋" w:eastAsia="仿宋"/>
          <w:b w:val="0"/>
          <w:bCs/>
          <w:sz w:val="32"/>
          <w:szCs w:val="32"/>
        </w:rPr>
        <w:t xml:space="preserve"> </w:t>
      </w:r>
      <w:r>
        <w:rPr>
          <w:rStyle w:val="26"/>
          <w:rFonts w:ascii="仿宋" w:eastAsia="仿宋" w:hint="eastAsia"/>
          <w:b w:val="0"/>
          <w:bCs/>
          <w:sz w:val="32"/>
          <w:szCs w:val="32"/>
        </w:rPr>
        <w:t>支出决算为159.24万元，完成预算100</w:t>
      </w:r>
      <w:r>
        <w:rPr>
          <w:rStyle w:val="26"/>
          <w:rFonts w:ascii="仿宋" w:eastAsia="仿宋"/>
          <w:b w:val="0"/>
          <w:bCs/>
          <w:sz w:val="32"/>
          <w:szCs w:val="32"/>
        </w:rPr>
        <w:t>%</w:t>
      </w:r>
      <w:r>
        <w:rPr>
          <w:rStyle w:val="26"/>
          <w:rFonts w:ascii="仿宋" w:eastAsia="仿宋" w:hint="eastAsia"/>
          <w:b w:val="0"/>
          <w:bCs/>
          <w:sz w:val="32"/>
          <w:szCs w:val="32"/>
        </w:rPr>
        <w:t>，决算数小于</w:t>
      </w:r>
      <w:r>
        <w:rPr>
          <w:rStyle w:val="26"/>
          <w:rFonts w:ascii="仿宋" w:eastAsia="仿宋"/>
          <w:b w:val="0"/>
          <w:bCs/>
          <w:sz w:val="32"/>
          <w:szCs w:val="32"/>
        </w:rPr>
        <w:t>/</w:t>
      </w:r>
      <w:r>
        <w:rPr>
          <w:rStyle w:val="26"/>
          <w:rFonts w:ascii="仿宋" w:eastAsia="仿宋" w:hint="eastAsia"/>
          <w:b w:val="0"/>
          <w:bCs/>
          <w:sz w:val="32"/>
          <w:szCs w:val="32"/>
        </w:rPr>
        <w:t>等于预算数的主要原因是…。</w:t>
      </w:r>
    </w:p>
    <w:p>
      <w:pPr>
        <w:spacing w:line="600" w:lineRule="exact"/>
        <w:ind w:firstLineChars="200" w:firstLine="640"/>
        <w:rPr>
          <w:rFonts w:ascii="仿宋" w:eastAsia="仿宋"/>
          <w:b/>
          <w:sz w:val="32"/>
          <w:szCs w:val="32"/>
        </w:rPr>
      </w:pPr>
      <w:r>
        <w:rPr>
          <w:rStyle w:val="26"/>
          <w:rFonts w:ascii="仿宋" w:eastAsia="仿宋"/>
          <w:bCs/>
          <w:sz w:val="32"/>
          <w:szCs w:val="32"/>
        </w:rPr>
        <w:t>2.</w:t>
      </w:r>
      <w:r>
        <w:rPr>
          <w:rStyle w:val="26"/>
          <w:rFonts w:ascii="仿宋" w:eastAsia="仿宋" w:hint="eastAsia"/>
          <w:bCs/>
          <w:sz w:val="32"/>
          <w:szCs w:val="32"/>
        </w:rPr>
        <w:t>一般公共服务（类）政府办公厅（室）及相关机构事务（款）一般行政管理事务（项）:</w:t>
      </w:r>
      <w:r>
        <w:rPr>
          <w:rStyle w:val="26"/>
          <w:rFonts w:ascii="仿宋" w:eastAsia="仿宋" w:hint="eastAsia"/>
          <w:b w:val="0"/>
          <w:bCs/>
          <w:sz w:val="32"/>
          <w:szCs w:val="32"/>
        </w:rPr>
        <w:t>支出决算为10万元，完成预算100</w:t>
      </w:r>
      <w:r>
        <w:rPr>
          <w:rStyle w:val="26"/>
          <w:rFonts w:ascii="仿宋" w:eastAsia="仿宋"/>
          <w:b w:val="0"/>
          <w:bCs/>
          <w:sz w:val="32"/>
          <w:szCs w:val="32"/>
        </w:rPr>
        <w:t>%</w:t>
      </w:r>
      <w:r>
        <w:rPr>
          <w:rStyle w:val="26"/>
          <w:rFonts w:ascii="仿宋" w:eastAsia="仿宋" w:hint="eastAsia"/>
          <w:b w:val="0"/>
          <w:bCs/>
          <w:sz w:val="32"/>
          <w:szCs w:val="32"/>
        </w:rPr>
        <w:t>。</w:t>
      </w:r>
    </w:p>
    <w:p>
      <w:pPr>
        <w:spacing w:line="600" w:lineRule="exact"/>
        <w:ind w:firstLineChars="200" w:firstLine="640"/>
        <w:rPr>
          <w:rFonts w:ascii="仿宋" w:eastAsia="仿宋"/>
          <w:b/>
          <w:sz w:val="32"/>
          <w:szCs w:val="32"/>
        </w:rPr>
      </w:pPr>
      <w:r>
        <w:rPr>
          <w:rStyle w:val="26"/>
          <w:rFonts w:ascii="仿宋" w:eastAsia="仿宋"/>
          <w:bCs/>
          <w:sz w:val="32"/>
          <w:szCs w:val="32"/>
        </w:rPr>
        <w:t>3.</w:t>
      </w:r>
      <w:r>
        <w:rPr>
          <w:rStyle w:val="26"/>
          <w:rFonts w:ascii="仿宋" w:eastAsia="仿宋" w:hint="eastAsia"/>
          <w:bCs/>
          <w:sz w:val="32"/>
          <w:szCs w:val="32"/>
        </w:rPr>
        <w:t>一般公共服务（类）政府办公厅（室）及相关机构事务（款）事业运行（项）:</w:t>
      </w:r>
      <w:r>
        <w:rPr>
          <w:rStyle w:val="26"/>
          <w:rFonts w:ascii="仿宋" w:eastAsia="仿宋"/>
          <w:b w:val="0"/>
          <w:bCs/>
          <w:sz w:val="32"/>
          <w:szCs w:val="32"/>
        </w:rPr>
        <w:t xml:space="preserve"> </w:t>
      </w:r>
      <w:r>
        <w:rPr>
          <w:rStyle w:val="26"/>
          <w:rFonts w:ascii="仿宋" w:eastAsia="仿宋" w:hint="eastAsia"/>
          <w:b w:val="0"/>
          <w:bCs/>
          <w:sz w:val="32"/>
          <w:szCs w:val="32"/>
        </w:rPr>
        <w:t>支出决算为2.75万元，完成预算100</w:t>
      </w:r>
      <w:r>
        <w:rPr>
          <w:rStyle w:val="26"/>
          <w:rFonts w:ascii="仿宋" w:eastAsia="仿宋"/>
          <w:b w:val="0"/>
          <w:bCs/>
          <w:sz w:val="32"/>
          <w:szCs w:val="32"/>
        </w:rPr>
        <w:t>%</w:t>
      </w:r>
      <w:r>
        <w:rPr>
          <w:rStyle w:val="26"/>
          <w:rFonts w:ascii="仿宋" w:eastAsia="仿宋" w:hint="eastAsia"/>
          <w:b w:val="0"/>
          <w:bCs/>
          <w:sz w:val="32"/>
          <w:szCs w:val="32"/>
        </w:rPr>
        <w:t>。</w:t>
      </w:r>
    </w:p>
    <w:p>
      <w:pPr>
        <w:spacing w:line="600" w:lineRule="exact"/>
        <w:ind w:firstLineChars="200" w:firstLine="640"/>
        <w:rPr>
          <w:rFonts w:ascii="仿宋" w:eastAsia="仿宋"/>
          <w:b/>
          <w:sz w:val="32"/>
          <w:szCs w:val="32"/>
        </w:rPr>
      </w:pPr>
      <w:r>
        <w:rPr>
          <w:rStyle w:val="26"/>
          <w:rFonts w:ascii="仿宋" w:eastAsia="仿宋"/>
          <w:bCs/>
          <w:sz w:val="32"/>
          <w:szCs w:val="32"/>
        </w:rPr>
        <w:t>4.</w:t>
      </w:r>
      <w:r>
        <w:rPr>
          <w:rStyle w:val="26"/>
          <w:rFonts w:ascii="仿宋" w:eastAsia="仿宋" w:hint="eastAsia"/>
          <w:bCs/>
          <w:sz w:val="32"/>
          <w:szCs w:val="32"/>
        </w:rPr>
        <w:t xml:space="preserve">社会保障和就业（类）行政事业单位离退休（款）行政单位离退休（项）: </w:t>
      </w:r>
      <w:r>
        <w:rPr>
          <w:rStyle w:val="26"/>
          <w:rFonts w:ascii="仿宋" w:eastAsia="仿宋"/>
          <w:b w:val="0"/>
          <w:bCs/>
          <w:sz w:val="32"/>
          <w:szCs w:val="32"/>
        </w:rPr>
        <w:t xml:space="preserve"> </w:t>
      </w:r>
      <w:r>
        <w:rPr>
          <w:rStyle w:val="26"/>
          <w:rFonts w:ascii="仿宋" w:eastAsia="仿宋" w:hint="eastAsia"/>
          <w:b w:val="0"/>
          <w:bCs/>
          <w:sz w:val="32"/>
          <w:szCs w:val="32"/>
        </w:rPr>
        <w:t>支出决算为7.07万元，完成预算100</w:t>
      </w:r>
      <w:r>
        <w:rPr>
          <w:rStyle w:val="26"/>
          <w:rFonts w:ascii="仿宋" w:eastAsia="仿宋"/>
          <w:b w:val="0"/>
          <w:bCs/>
          <w:sz w:val="32"/>
          <w:szCs w:val="32"/>
        </w:rPr>
        <w:t>%</w:t>
      </w:r>
      <w:r>
        <w:rPr>
          <w:rStyle w:val="26"/>
          <w:rFonts w:ascii="仿宋" w:eastAsia="仿宋" w:hint="eastAsia"/>
          <w:b w:val="0"/>
          <w:bCs/>
          <w:sz w:val="32"/>
          <w:szCs w:val="32"/>
        </w:rPr>
        <w:t>。</w:t>
      </w:r>
    </w:p>
    <w:p>
      <w:pPr>
        <w:spacing w:line="600" w:lineRule="exact"/>
        <w:ind w:firstLineChars="200" w:firstLine="640"/>
        <w:rPr>
          <w:rFonts w:ascii="仿宋" w:eastAsia="仿宋"/>
          <w:b/>
          <w:sz w:val="32"/>
          <w:szCs w:val="32"/>
        </w:rPr>
      </w:pPr>
      <w:r>
        <w:rPr>
          <w:rStyle w:val="26"/>
          <w:rFonts w:ascii="仿宋" w:eastAsia="仿宋"/>
          <w:bCs/>
          <w:sz w:val="32"/>
          <w:szCs w:val="32"/>
        </w:rPr>
        <w:t>5.</w:t>
      </w:r>
      <w:r>
        <w:rPr>
          <w:rStyle w:val="26"/>
          <w:rFonts w:ascii="仿宋" w:eastAsia="仿宋" w:hint="eastAsia"/>
          <w:bCs/>
          <w:sz w:val="32"/>
          <w:szCs w:val="32"/>
        </w:rPr>
        <w:t>社会保障和就业（类）行政事业单位离退休（款）机关事业单位基本养老保险缴费支出（项）:</w:t>
      </w:r>
      <w:r>
        <w:rPr>
          <w:rStyle w:val="26"/>
          <w:rFonts w:ascii="仿宋" w:eastAsia="仿宋"/>
          <w:b w:val="0"/>
          <w:bCs/>
          <w:sz w:val="32"/>
          <w:szCs w:val="32"/>
        </w:rPr>
        <w:t xml:space="preserve"> </w:t>
      </w:r>
      <w:r>
        <w:rPr>
          <w:rStyle w:val="26"/>
          <w:rFonts w:ascii="仿宋" w:eastAsia="仿宋" w:hint="eastAsia"/>
          <w:b w:val="0"/>
          <w:bCs/>
          <w:sz w:val="32"/>
          <w:szCs w:val="32"/>
        </w:rPr>
        <w:t>支出决算为12.98万元，完成预算100</w:t>
      </w:r>
      <w:r>
        <w:rPr>
          <w:rStyle w:val="26"/>
          <w:rFonts w:ascii="仿宋" w:eastAsia="仿宋"/>
          <w:b w:val="0"/>
          <w:bCs/>
          <w:sz w:val="32"/>
          <w:szCs w:val="32"/>
        </w:rPr>
        <w:t>%</w:t>
      </w:r>
      <w:r>
        <w:rPr>
          <w:rStyle w:val="26"/>
          <w:rFonts w:ascii="仿宋" w:eastAsia="仿宋" w:hint="eastAsia"/>
          <w:b w:val="0"/>
          <w:bCs/>
          <w:sz w:val="32"/>
          <w:szCs w:val="32"/>
        </w:rPr>
        <w:t>。</w:t>
      </w:r>
    </w:p>
    <w:p>
      <w:pPr>
        <w:spacing w:line="600" w:lineRule="exact"/>
        <w:ind w:firstLineChars="200" w:firstLine="640"/>
        <w:rPr>
          <w:rFonts w:ascii="仿宋" w:eastAsia="仿宋"/>
          <w:b/>
          <w:sz w:val="32"/>
          <w:szCs w:val="32"/>
        </w:rPr>
      </w:pPr>
      <w:r>
        <w:rPr>
          <w:rStyle w:val="26"/>
          <w:rFonts w:ascii="仿宋" w:eastAsia="仿宋"/>
          <w:bCs/>
          <w:sz w:val="32"/>
          <w:szCs w:val="32"/>
        </w:rPr>
        <w:t>6.</w:t>
      </w:r>
      <w:r>
        <w:rPr>
          <w:rFonts w:ascii="仿宋" w:eastAsia="仿宋" w:hint="eastAsia"/>
          <w:b/>
          <w:bCs/>
          <w:sz w:val="32"/>
          <w:szCs w:val="32"/>
        </w:rPr>
        <w:t>住房保障支出（类）住房改革支出（款）住房公积金（项）:</w:t>
      </w:r>
      <w:r>
        <w:rPr>
          <w:rStyle w:val="26"/>
          <w:rFonts w:ascii="仿宋" w:eastAsia="仿宋" w:hint="eastAsia"/>
          <w:b w:val="0"/>
          <w:bCs/>
          <w:sz w:val="32"/>
          <w:szCs w:val="32"/>
        </w:rPr>
        <w:t>支出决算为14.30万元，完成预算100</w:t>
      </w:r>
      <w:r>
        <w:rPr>
          <w:rStyle w:val="26"/>
          <w:rFonts w:ascii="仿宋" w:eastAsia="仿宋"/>
          <w:b w:val="0"/>
          <w:bCs/>
          <w:sz w:val="32"/>
          <w:szCs w:val="32"/>
        </w:rPr>
        <w:t>%</w:t>
      </w:r>
      <w:r>
        <w:rPr>
          <w:rStyle w:val="26"/>
          <w:rFonts w:ascii="仿宋" w:eastAsia="仿宋" w:hint="eastAsia"/>
          <w:b w:val="0"/>
          <w:bCs/>
          <w:sz w:val="32"/>
          <w:szCs w:val="32"/>
        </w:rPr>
        <w:t>。</w:t>
      </w:r>
    </w:p>
    <w:p>
      <w:pPr>
        <w:spacing w:line="600" w:lineRule="exact"/>
        <w:ind w:firstLine="640"/>
        <w:rPr>
          <w:rFonts w:ascii="仿宋" w:eastAsia="仿宋"/>
          <w:b/>
          <w:sz w:val="32"/>
          <w:szCs w:val="32"/>
        </w:rPr>
      </w:pPr>
    </w:p>
    <w:p>
      <w:pPr>
        <w:tabs>
          <w:tab w:val="right" w:pos="8306"/>
        </w:tabs>
        <w:spacing w:line="600" w:lineRule="exact"/>
        <w:ind w:firstLine="640"/>
        <w:outlineLvl w:val="1"/>
        <w:rPr>
          <w:rStyle w:val="2Char"/>
        </w:rPr>
      </w:pPr>
      <w:bookmarkStart w:id="34" w:name="_Toc15377214"/>
      <w:bookmarkStart w:id="35" w:name="_Toc15396608"/>
      <w:r>
        <w:rPr>
          <w:rFonts w:ascii="黑体" w:eastAsia="黑体" w:hint="eastAsia"/>
          <w:sz w:val="32"/>
          <w:szCs w:val="32"/>
        </w:rPr>
        <w:t>六</w:t>
      </w:r>
      <w:r>
        <w:rPr>
          <w:rFonts w:ascii="黑体" w:eastAsia="黑体" w:hint="eastAsia"/>
          <w:b/>
          <w:sz w:val="32"/>
          <w:szCs w:val="32"/>
        </w:rPr>
        <w:t>、一</w:t>
      </w:r>
      <w:r>
        <w:rPr>
          <w:rStyle w:val="2Char"/>
          <w:rFonts w:ascii="黑体" w:eastAsia="黑体" w:hint="eastAsia"/>
          <w:b w:val="0"/>
        </w:rPr>
        <w:t>般公共预算财政拨款基本支出决算情况说明</w:t>
      </w:r>
      <w:bookmarkEnd w:id="34"/>
      <w:bookmarkEnd w:id="35"/>
      <w:r>
        <w:rPr>
          <w:rStyle w:val="2Char"/>
          <w:rFonts w:ascii="黑体" w:eastAsia="黑体"/>
          <w:b w:val="0"/>
        </w:rPr>
        <w:tab/>
      </w:r>
    </w:p>
    <w:p>
      <w:pPr>
        <w:spacing w:line="600" w:lineRule="exact"/>
        <w:ind w:firstLine="645"/>
        <w:rPr>
          <w:rFonts w:ascii="仿宋" w:eastAsia="仿宋"/>
          <w:sz w:val="32"/>
          <w:szCs w:val="32"/>
        </w:rPr>
      </w:pPr>
      <w:r>
        <w:rPr>
          <w:rFonts w:ascii="仿宋" w:eastAsia="仿宋"/>
          <w:sz w:val="32"/>
          <w:szCs w:val="32"/>
        </w:rPr>
        <w:t>20</w:t>
      </w:r>
      <w:r>
        <w:rPr>
          <w:rFonts w:ascii="仿宋" w:eastAsia="仿宋" w:hint="eastAsia"/>
          <w:sz w:val="32"/>
          <w:szCs w:val="32"/>
        </w:rPr>
        <w:t>22年一般公共预算财政拨款基本支出218.33万元，其中：</w:t>
      </w:r>
    </w:p>
    <w:p>
      <w:pPr>
        <w:spacing w:line="600" w:lineRule="exact"/>
        <w:ind w:firstLine="645"/>
        <w:rPr>
          <w:rFonts w:ascii="仿宋" w:eastAsia="仿宋"/>
          <w:sz w:val="32"/>
          <w:szCs w:val="32"/>
        </w:rPr>
      </w:pPr>
      <w:r>
        <w:rPr>
          <w:rFonts w:ascii="仿宋" w:eastAsia="仿宋" w:hint="eastAsia"/>
          <w:sz w:val="32"/>
          <w:szCs w:val="32"/>
        </w:rPr>
        <w:t>人员经费161.67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5"/>
        <w:rPr>
          <w:rFonts w:ascii="仿宋" w:eastAsia="仿宋"/>
          <w:sz w:val="32"/>
          <w:szCs w:val="32"/>
        </w:rPr>
      </w:pPr>
      <w:r>
        <w:rPr>
          <w:rFonts w:ascii="仿宋" w:eastAsia="仿宋" w:hint="eastAsia"/>
          <w:sz w:val="32"/>
          <w:szCs w:val="32"/>
        </w:rPr>
        <w:t>公用经费56.66万元，主要包括：办公费、印刷费、手续费、水费、电费、邮电费、物业管理费、差旅费、租赁费、会议费、培训费、委托业务费、工会经费、福利费、公务用车运行维护费、其他交通费、税金及附加费用、其他商品和服务支出等。</w:t>
      </w:r>
    </w:p>
    <w:p>
      <w:pPr>
        <w:spacing w:line="600" w:lineRule="exact"/>
        <w:ind w:firstLine="640"/>
        <w:outlineLvl w:val="1"/>
        <w:rPr>
          <w:rFonts w:ascii="黑体" w:eastAsia="黑体"/>
          <w:sz w:val="32"/>
          <w:szCs w:val="32"/>
        </w:rPr>
      </w:pPr>
      <w:bookmarkStart w:id="36" w:name="_Toc15396609"/>
      <w:bookmarkStart w:id="37" w:name="_Toc15377215"/>
    </w:p>
    <w:p>
      <w:pPr>
        <w:spacing w:line="600" w:lineRule="exact"/>
        <w:ind w:firstLine="640"/>
        <w:outlineLvl w:val="1"/>
        <w:rPr>
          <w:rStyle w:val="2Char"/>
          <w:rFonts w:ascii="黑体" w:eastAsia="黑体"/>
          <w:b w:val="0"/>
        </w:rPr>
      </w:pPr>
      <w:r>
        <w:rPr>
          <w:rFonts w:ascii="黑体" w:eastAsia="黑体" w:hint="eastAsia"/>
          <w:sz w:val="32"/>
          <w:szCs w:val="32"/>
        </w:rPr>
        <w:t>七、</w:t>
      </w:r>
      <w:r>
        <w:rPr>
          <w:rStyle w:val="2Char"/>
          <w:rFonts w:ascii="黑体" w:eastAsia="黑体" w:hint="eastAsia"/>
          <w:b w:val="0"/>
        </w:rPr>
        <w:t>财政拨款</w:t>
      </w:r>
      <w:r>
        <w:rPr>
          <w:rStyle w:val="2Char"/>
          <w:rFonts w:ascii="黑体" w:eastAsia="黑体" w:hint="eastAsia"/>
        </w:rPr>
        <w:t>“</w:t>
      </w:r>
      <w:r>
        <w:rPr>
          <w:rStyle w:val="2Char"/>
          <w:rFonts w:ascii="黑体" w:eastAsia="黑体" w:hint="eastAsia"/>
          <w:b w:val="0"/>
        </w:rPr>
        <w:t>三公”经费支出决算情况说明</w:t>
      </w:r>
      <w:bookmarkEnd w:id="36"/>
      <w:bookmarkEnd w:id="37"/>
    </w:p>
    <w:p>
      <w:pPr>
        <w:spacing w:line="600" w:lineRule="exact"/>
        <w:ind w:firstLine="640"/>
        <w:outlineLvl w:val="2"/>
        <w:rPr>
          <w:rFonts w:ascii="仿宋" w:eastAsia="仿宋"/>
          <w:b/>
          <w:sz w:val="32"/>
          <w:szCs w:val="32"/>
        </w:rPr>
      </w:pPr>
      <w:bookmarkStart w:id="38" w:name="_Toc15377216"/>
      <w:r>
        <w:rPr>
          <w:rFonts w:ascii="仿宋" w:eastAsia="仿宋" w:hint="eastAsia"/>
          <w:b/>
          <w:sz w:val="32"/>
          <w:szCs w:val="32"/>
        </w:rPr>
        <w:t>（一）“三公”经费财政拨款支出决算总体情况说明</w:t>
      </w:r>
      <w:bookmarkEnd w:id="38"/>
    </w:p>
    <w:p>
      <w:pPr>
        <w:spacing w:line="600" w:lineRule="exact"/>
        <w:ind w:firstLine="640"/>
        <w:rPr>
          <w:rFonts w:ascii="仿宋" w:eastAsia="仿宋"/>
          <w:b/>
          <w:sz w:val="32"/>
          <w:szCs w:val="32"/>
        </w:rPr>
      </w:pPr>
      <w:r>
        <w:rPr>
          <w:rFonts w:ascii="仿宋" w:eastAsia="仿宋"/>
          <w:sz w:val="32"/>
          <w:szCs w:val="32"/>
        </w:rPr>
        <w:t>20</w:t>
      </w:r>
      <w:r>
        <w:rPr>
          <w:rFonts w:ascii="仿宋" w:eastAsia="仿宋" w:hint="eastAsia"/>
          <w:sz w:val="32"/>
          <w:szCs w:val="32"/>
        </w:rPr>
        <w:t>22年“三公”经费财政拨款支出决算为6.29万元，完成预算100</w:t>
      </w:r>
      <w:r>
        <w:rPr>
          <w:rFonts w:ascii="仿宋" w:eastAsia="仿宋"/>
          <w:sz w:val="32"/>
          <w:szCs w:val="32"/>
        </w:rPr>
        <w:t>%</w:t>
      </w:r>
      <w:r>
        <w:rPr>
          <w:rFonts w:ascii="仿宋" w:eastAsia="仿宋" w:hint="eastAsia"/>
          <w:sz w:val="32"/>
          <w:szCs w:val="32"/>
        </w:rPr>
        <w:t>，较上年减少0.19万元，下降2.93%。</w:t>
      </w:r>
    </w:p>
    <w:p>
      <w:pPr>
        <w:spacing w:line="600" w:lineRule="exact"/>
        <w:ind w:firstLine="640"/>
        <w:outlineLvl w:val="2"/>
        <w:rPr>
          <w:rFonts w:ascii="仿宋" w:eastAsia="仿宋"/>
          <w:b/>
          <w:sz w:val="32"/>
          <w:szCs w:val="32"/>
        </w:rPr>
      </w:pPr>
      <w:bookmarkStart w:id="39" w:name="_Toc15377217"/>
      <w:r>
        <w:rPr>
          <w:rFonts w:ascii="仿宋" w:eastAsia="仿宋" w:hint="eastAsia"/>
          <w:b/>
          <w:sz w:val="32"/>
          <w:szCs w:val="32"/>
        </w:rPr>
        <w:t>（二）“三公”经费财政拨款支出决算具体情况说明</w:t>
      </w:r>
      <w:bookmarkEnd w:id="39"/>
    </w:p>
    <w:p>
      <w:pPr>
        <w:spacing w:line="600" w:lineRule="exact"/>
        <w:ind w:firstLine="640"/>
        <w:rPr>
          <w:rFonts w:ascii="仿宋" w:eastAsia="仿宋"/>
          <w:sz w:val="32"/>
          <w:szCs w:val="32"/>
        </w:rPr>
      </w:pPr>
      <w:r>
        <w:drawing>
          <wp:anchor distT="0" distB="0" distL="114300" distR="114300" simplePos="0" relativeHeight="30" behindDoc="0" locked="0" layoutInCell="1" hidden="0" allowOverlap="1">
            <wp:simplePos x="0" y="0"/>
            <wp:positionH relativeFrom="column">
              <wp:posOffset>487044</wp:posOffset>
            </wp:positionH>
            <wp:positionV relativeFrom="paragraph">
              <wp:posOffset>1623694</wp:posOffset>
            </wp:positionV>
            <wp:extent cx="4572000" cy="2743200"/>
            <wp:effectExtent l="0" t="0" r="0" b="0"/>
            <wp:wrapTopAndBottom/>
            <wp:docPr id="7" name="图表 3" descr="7b0a202020202263686172745265734964223a2022383733373732220a7d0a"/>
            <wp:cNvGraphicFramePr>
              <a:graphicFrameLocks noChangeAspect="0"/>
            </wp:cNvGraphicFramePr>
            <a:graphic>
              <a:graphicData uri="http://schemas.openxmlformats.org/drawingml/2006/chart">
                <c:chart xmlns:c="http://schemas.openxmlformats.org/drawingml/2006/chart" r:id="rId10"/>
              </a:graphicData>
            </a:graphic>
          </wp:anchor>
        </w:drawing>
      </w:r>
      <w:r>
        <w:rPr>
          <w:rFonts w:ascii="仿宋" w:eastAsia="仿宋"/>
          <w:sz w:val="32"/>
          <w:szCs w:val="32"/>
        </w:rPr>
        <w:t>20</w:t>
      </w:r>
      <w:r>
        <w:rPr>
          <w:rFonts w:ascii="仿宋" w:eastAsia="仿宋" w:hint="eastAsia"/>
          <w:sz w:val="32"/>
          <w:szCs w:val="32"/>
        </w:rPr>
        <w:t>22年“三公”经费财政拨款支出决算中，因公出国（境）费支出决算0万元，占0</w:t>
      </w:r>
      <w:r>
        <w:rPr>
          <w:rFonts w:ascii="仿宋" w:eastAsia="仿宋"/>
          <w:sz w:val="32"/>
          <w:szCs w:val="32"/>
        </w:rPr>
        <w:t>%</w:t>
      </w:r>
      <w:r>
        <w:rPr>
          <w:rFonts w:ascii="仿宋" w:eastAsia="仿宋" w:hint="eastAsia"/>
          <w:sz w:val="32"/>
          <w:szCs w:val="32"/>
        </w:rPr>
        <w:t>；公务用车购置及运行维护费支出决算6.29万元，占100</w:t>
      </w:r>
      <w:r>
        <w:rPr>
          <w:rFonts w:ascii="仿宋" w:eastAsia="仿宋"/>
          <w:sz w:val="32"/>
          <w:szCs w:val="32"/>
        </w:rPr>
        <w:t>%</w:t>
      </w:r>
      <w:r>
        <w:rPr>
          <w:rFonts w:ascii="仿宋" w:eastAsia="仿宋" w:hint="eastAsia"/>
          <w:sz w:val="32"/>
          <w:szCs w:val="32"/>
        </w:rPr>
        <w:t>；公务接待费支出决算0万元，占0</w:t>
      </w:r>
      <w:r>
        <w:rPr>
          <w:rFonts w:ascii="仿宋" w:eastAsia="仿宋"/>
          <w:sz w:val="32"/>
          <w:szCs w:val="32"/>
        </w:rPr>
        <w:t>%</w:t>
      </w:r>
      <w:r>
        <w:rPr>
          <w:rFonts w:ascii="仿宋" w:eastAsia="仿宋" w:hint="eastAsia"/>
          <w:sz w:val="32"/>
          <w:szCs w:val="32"/>
        </w:rPr>
        <w:t>。具体情况如下：</w:t>
      </w:r>
    </w:p>
    <w:p>
      <w:pPr>
        <w:spacing w:line="600" w:lineRule="exact"/>
        <w:ind w:firstLine="640"/>
        <w:rPr>
          <w:rFonts w:ascii="仿宋_GB2312" w:eastAsia="仿宋_GB2312"/>
          <w:b/>
          <w:sz w:val="32"/>
          <w:szCs w:val="32"/>
        </w:rPr>
      </w:pPr>
    </w:p>
    <w:p>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p>
    <w:p>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公务用车购置及运行维护费支出6.29</w:t>
      </w:r>
      <w:r>
        <w:rPr>
          <w:rFonts w:ascii="仿宋_GB2312" w:eastAsia="仿宋_GB2312" w:hint="eastAsia"/>
          <w:sz w:val="32"/>
          <w:szCs w:val="32"/>
        </w:rPr>
        <w:t>万元,</w:t>
      </w:r>
      <w:r>
        <w:rPr>
          <w:rStyle w:val="26"/>
          <w:rFonts w:ascii="仿宋" w:eastAsia="仿宋" w:hint="eastAsia"/>
          <w:b w:val="0"/>
          <w:bCs/>
          <w:sz w:val="32"/>
          <w:szCs w:val="32"/>
        </w:rPr>
        <w:t>完成预算100</w:t>
      </w:r>
      <w:r>
        <w:rPr>
          <w:rStyle w:val="26"/>
          <w:rFonts w:ascii="仿宋" w:eastAsia="仿宋"/>
          <w:b w:val="0"/>
          <w:bCs/>
          <w:sz w:val="32"/>
          <w:szCs w:val="32"/>
        </w:rPr>
        <w:t>%</w:t>
      </w:r>
      <w:r>
        <w:rPr>
          <w:rStyle w:val="26"/>
          <w:rFonts w:ascii="仿宋" w:eastAsia="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21年增加</w:t>
      </w:r>
      <w:r>
        <w:rPr>
          <w:rFonts w:ascii="仿宋_GB2312" w:eastAsia="仿宋_GB2312"/>
          <w:sz w:val="32"/>
          <w:szCs w:val="32"/>
        </w:rPr>
        <w:t>/</w:t>
      </w:r>
      <w:r>
        <w:rPr>
          <w:rFonts w:ascii="仿宋_GB2312" w:eastAsia="仿宋_GB2312" w:hint="eastAsia"/>
          <w:sz w:val="32"/>
          <w:szCs w:val="32"/>
        </w:rPr>
        <w:t>减少0.19万元，下降3.93</w:t>
      </w:r>
      <w:r>
        <w:rPr>
          <w:rFonts w:ascii="仿宋_GB2312" w:eastAsia="仿宋_GB2312"/>
          <w:sz w:val="32"/>
          <w:szCs w:val="32"/>
        </w:rPr>
        <w:t>%</w:t>
      </w:r>
      <w:r>
        <w:rPr>
          <w:rFonts w:ascii="仿宋_GB2312" w:eastAsia="仿宋_GB2312" w:hint="eastAsia"/>
          <w:sz w:val="32"/>
          <w:szCs w:val="32"/>
        </w:rPr>
        <w:t>。主要原因是</w:t>
      </w:r>
      <w:r>
        <w:rPr>
          <w:rFonts w:ascii="仿宋" w:eastAsia="仿宋" w:cs="仿宋" w:hint="eastAsia"/>
          <w:sz w:val="32"/>
          <w:szCs w:val="32"/>
        </w:rPr>
        <w:t>按要求减少行政支出</w:t>
      </w:r>
      <w:r>
        <w:rPr>
          <w:rFonts w:ascii="仿宋_GB2312" w:eastAsia="仿宋_GB2312" w:hint="eastAsia"/>
          <w:sz w:val="32"/>
          <w:szCs w:val="32"/>
        </w:rPr>
        <w:t>。</w:t>
      </w:r>
    </w:p>
    <w:p>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月底，单位共有公务用车4辆，其中：轿车2辆、商务车2辆。</w:t>
      </w:r>
    </w:p>
    <w:p>
      <w:pPr>
        <w:spacing w:line="600" w:lineRule="exact"/>
        <w:ind w:firstLine="640"/>
        <w:rPr>
          <w:rFonts w:ascii="仿宋" w:eastAsia="仿宋" w:cs="仿宋"/>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6.29万元。主要用于</w:t>
      </w:r>
      <w:r>
        <w:rPr>
          <w:rFonts w:ascii="仿宋" w:eastAsia="仿宋" w:cs="仿宋" w:hint="eastAsia"/>
          <w:sz w:val="32"/>
          <w:szCs w:val="32"/>
        </w:rPr>
        <w:t>招商引资、信访维稳、对外联络等所需的公务用车燃料费、维修费、过路过桥费、保险费等支出。</w:t>
      </w:r>
    </w:p>
    <w:p>
      <w:pPr>
        <w:spacing w:line="600" w:lineRule="exact"/>
        <w:ind w:firstLine="640"/>
        <w:rPr>
          <w:rFonts w:ascii="仿宋" w:eastAsia="仿宋" w:cs="仿宋"/>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b/>
          <w:sz w:val="32"/>
          <w:szCs w:val="32"/>
        </w:rPr>
        <w:t>0</w:t>
      </w:r>
      <w:r>
        <w:rPr>
          <w:rFonts w:ascii="仿宋_GB2312" w:eastAsia="仿宋_GB2312" w:hint="eastAsia"/>
          <w:b/>
          <w:sz w:val="32"/>
          <w:szCs w:val="32"/>
        </w:rPr>
        <w:t>万元。</w:t>
      </w:r>
      <w:r>
        <w:rPr>
          <w:rFonts w:ascii="仿宋" w:eastAsia="仿宋" w:cs="仿宋" w:hint="eastAsia"/>
          <w:sz w:val="32"/>
          <w:szCs w:val="32"/>
        </w:rPr>
        <w:t>其中：</w:t>
      </w:r>
    </w:p>
    <w:p>
      <w:pPr>
        <w:spacing w:line="600" w:lineRule="exact"/>
        <w:ind w:firstLine="640"/>
        <w:rPr>
          <w:rFonts w:ascii="仿宋" w:eastAsia="仿宋" w:cs="仿宋"/>
          <w:sz w:val="32"/>
          <w:szCs w:val="32"/>
        </w:rPr>
      </w:pPr>
      <w:r>
        <w:rPr>
          <w:rFonts w:ascii="仿宋" w:eastAsia="仿宋" w:cs="仿宋" w:hint="eastAsia"/>
          <w:sz w:val="32"/>
          <w:szCs w:val="32"/>
        </w:rPr>
        <w:t>国内公务接待支出０万元。国内公务接待０批次，０人次（不包括陪同人员），共计支出０万元。</w:t>
      </w:r>
    </w:p>
    <w:p>
      <w:pPr>
        <w:spacing w:line="600" w:lineRule="exact"/>
        <w:ind w:firstLine="640"/>
        <w:rPr>
          <w:rFonts w:ascii="仿宋" w:eastAsia="仿宋" w:cs="仿宋"/>
          <w:sz w:val="32"/>
          <w:szCs w:val="32"/>
        </w:rPr>
      </w:pPr>
      <w:r>
        <w:rPr>
          <w:rFonts w:ascii="仿宋" w:eastAsia="仿宋" w:cs="仿宋" w:hint="eastAsia"/>
          <w:sz w:val="32"/>
          <w:szCs w:val="32"/>
        </w:rPr>
        <w:t>外事接待支出０万元。外事接待０批次０人次（不包括陪同人员），共计支出０万元。</w:t>
      </w:r>
    </w:p>
    <w:p>
      <w:pPr>
        <w:spacing w:line="600" w:lineRule="exact"/>
        <w:ind w:firstLine="640"/>
        <w:outlineLvl w:val="1"/>
        <w:rPr>
          <w:rFonts w:ascii="黑体" w:eastAsia="黑体"/>
          <w:sz w:val="32"/>
          <w:szCs w:val="32"/>
        </w:rPr>
      </w:pPr>
      <w:bookmarkStart w:id="40" w:name="_Toc15377218"/>
      <w:bookmarkStart w:id="41" w:name="_Toc15396610"/>
    </w:p>
    <w:p>
      <w:pPr>
        <w:spacing w:line="600" w:lineRule="exact"/>
        <w:ind w:firstLine="640"/>
        <w:outlineLvl w:val="1"/>
        <w:rPr>
          <w:rStyle w:val="2Char"/>
          <w:rFonts w:ascii="黑体" w:eastAsia="黑体"/>
        </w:rPr>
      </w:pPr>
      <w:r>
        <w:rPr>
          <w:rFonts w:ascii="黑体" w:eastAsia="黑体" w:hint="eastAsia"/>
          <w:sz w:val="32"/>
          <w:szCs w:val="32"/>
        </w:rPr>
        <w:t>八、</w:t>
      </w:r>
      <w:r>
        <w:rPr>
          <w:rStyle w:val="2Char"/>
          <w:rFonts w:ascii="黑体" w:eastAsia="黑体" w:hint="eastAsia"/>
          <w:b w:val="0"/>
        </w:rPr>
        <w:t>政府性基金预算支出决算情况说明</w:t>
      </w:r>
      <w:bookmarkEnd w:id="40"/>
      <w:bookmarkEnd w:id="41"/>
    </w:p>
    <w:p>
      <w:pPr>
        <w:spacing w:line="600" w:lineRule="exact"/>
        <w:ind w:firstLine="640"/>
        <w:rPr>
          <w:rFonts w:ascii="仿宋" w:eastAsia="仿宋"/>
          <w:sz w:val="32"/>
          <w:szCs w:val="32"/>
        </w:rPr>
      </w:pPr>
      <w:r>
        <w:rPr>
          <w:rFonts w:ascii="仿宋" w:eastAsia="仿宋"/>
          <w:sz w:val="32"/>
          <w:szCs w:val="32"/>
        </w:rPr>
        <w:t>20</w:t>
      </w:r>
      <w:r>
        <w:rPr>
          <w:rFonts w:ascii="仿宋" w:eastAsia="仿宋" w:hint="eastAsia"/>
          <w:sz w:val="32"/>
          <w:szCs w:val="32"/>
        </w:rPr>
        <w:t>22年政府性基金预算财政拨款支出0万元。</w:t>
      </w:r>
    </w:p>
    <w:p>
      <w:pPr>
        <w:spacing w:line="600" w:lineRule="exact"/>
        <w:ind w:firstLine="640"/>
        <w:rPr>
          <w:rFonts w:ascii="仿宋" w:eastAsia="仿宋"/>
          <w:sz w:val="32"/>
          <w:szCs w:val="32"/>
        </w:rPr>
      </w:pPr>
    </w:p>
    <w:p>
      <w:pPr>
        <w:numPr>
          <w:ilvl w:val="0"/>
          <w:numId w:val="2"/>
        </w:numPr>
        <w:spacing w:line="600" w:lineRule="exact"/>
        <w:ind w:left="0" w:firstLine="640"/>
        <w:outlineLvl w:val="1"/>
        <w:rPr>
          <w:rStyle w:val="2Char"/>
          <w:rFonts w:ascii="黑体" w:eastAsia="黑体"/>
          <w:b w:val="0"/>
        </w:rPr>
      </w:pPr>
      <w:bookmarkStart w:id="42" w:name="_Toc15396611"/>
      <w:bookmarkStart w:id="43" w:name="_Toc15377219"/>
      <w:r>
        <w:rPr>
          <w:rStyle w:val="2Char"/>
          <w:rFonts w:ascii="黑体" w:eastAsia="黑体" w:hint="eastAsia"/>
          <w:b w:val="0"/>
        </w:rPr>
        <w:t>国有资本经营预算支出决算情况说明</w:t>
      </w:r>
      <w:bookmarkEnd w:id="42"/>
      <w:bookmarkEnd w:id="43"/>
    </w:p>
    <w:p>
      <w:pPr>
        <w:spacing w:line="600" w:lineRule="exact"/>
        <w:ind w:firstLine="640"/>
        <w:rPr>
          <w:rFonts w:ascii="仿宋" w:eastAsia="仿宋"/>
          <w:sz w:val="32"/>
          <w:szCs w:val="32"/>
        </w:rPr>
      </w:pPr>
      <w:r>
        <w:rPr>
          <w:rFonts w:ascii="仿宋" w:eastAsia="仿宋"/>
          <w:sz w:val="32"/>
          <w:szCs w:val="32"/>
        </w:rPr>
        <w:t>20</w:t>
      </w:r>
      <w:r>
        <w:rPr>
          <w:rFonts w:ascii="仿宋" w:eastAsia="仿宋" w:hint="eastAsia"/>
          <w:sz w:val="32"/>
          <w:szCs w:val="32"/>
        </w:rPr>
        <w:t>22年国有资本经营预算财政拨款支出0万元。</w:t>
      </w:r>
    </w:p>
    <w:p>
      <w:pPr>
        <w:spacing w:line="580" w:lineRule="exact"/>
        <w:jc w:val="center"/>
        <w:rPr>
          <w:rFonts w:ascii="方正小标宋简体" w:eastAsia="方正小标宋简体" w:cs="方正小标宋简体"/>
          <w:sz w:val="44"/>
          <w:szCs w:val="44"/>
        </w:rPr>
      </w:pPr>
    </w:p>
    <w:p>
      <w:pPr>
        <w:numPr>
          <w:ilvl w:val="0"/>
          <w:numId w:val="2"/>
        </w:numPr>
        <w:spacing w:line="600" w:lineRule="exact"/>
        <w:ind w:left="0" w:firstLine="640"/>
        <w:outlineLvl w:val="1"/>
        <w:rPr>
          <w:rStyle w:val="2Char"/>
          <w:rFonts w:ascii="黑体" w:eastAsia="黑体"/>
          <w:b w:val="0"/>
        </w:rPr>
      </w:pPr>
      <w:bookmarkStart w:id="44" w:name="_Toc15396612"/>
      <w:bookmarkStart w:id="45" w:name="_Toc15377221"/>
      <w:r>
        <w:rPr>
          <w:rStyle w:val="2Char"/>
          <w:rFonts w:ascii="黑体" w:eastAsia="黑体" w:hint="eastAsia"/>
          <w:b w:val="0"/>
        </w:rPr>
        <w:t>其他重要事项的情况说明</w:t>
      </w:r>
      <w:bookmarkEnd w:id="44"/>
      <w:bookmarkEnd w:id="45"/>
    </w:p>
    <w:p>
      <w:pPr>
        <w:spacing w:line="600" w:lineRule="exact"/>
        <w:ind w:firstLineChars="200" w:firstLine="640"/>
        <w:outlineLvl w:val="2"/>
        <w:rPr>
          <w:rFonts w:ascii="仿宋" w:eastAsia="仿宋"/>
          <w:sz w:val="32"/>
          <w:szCs w:val="32"/>
        </w:rPr>
      </w:pPr>
      <w:bookmarkStart w:id="46" w:name="_Toc15377222"/>
      <w:r>
        <w:rPr>
          <w:rFonts w:ascii="仿宋" w:eastAsia="仿宋" w:hint="eastAsia"/>
          <w:b/>
          <w:sz w:val="32"/>
          <w:szCs w:val="32"/>
        </w:rPr>
        <w:t>（一）机关运行经费支出情况</w:t>
      </w:r>
      <w:bookmarkEnd w:id="46"/>
    </w:p>
    <w:p>
      <w:pPr>
        <w:spacing w:line="600" w:lineRule="exact"/>
        <w:ind w:firstLineChars="200" w:firstLine="640"/>
        <w:rPr>
          <w:rFonts w:ascii="仿宋_GB2312" w:eastAsia="仿宋_GB2312"/>
          <w:sz w:val="32"/>
          <w:szCs w:val="32"/>
        </w:rPr>
      </w:pPr>
      <w:r>
        <w:rPr>
          <w:rFonts w:ascii="仿宋" w:eastAsia="仿宋"/>
          <w:sz w:val="32"/>
          <w:szCs w:val="32"/>
        </w:rPr>
        <w:t>20</w:t>
      </w:r>
      <w:r>
        <w:rPr>
          <w:rFonts w:ascii="仿宋" w:eastAsia="仿宋" w:hint="eastAsia"/>
          <w:sz w:val="32"/>
          <w:szCs w:val="32"/>
        </w:rPr>
        <w:t>22年，市政府驻北京联络处机关运行经费支出56.66万元，比</w:t>
      </w:r>
      <w:r>
        <w:rPr>
          <w:rFonts w:ascii="仿宋" w:eastAsia="仿宋"/>
          <w:sz w:val="32"/>
          <w:szCs w:val="32"/>
        </w:rPr>
        <w:t>20</w:t>
      </w:r>
      <w:r>
        <w:rPr>
          <w:rFonts w:ascii="仿宋" w:eastAsia="仿宋" w:hint="eastAsia"/>
          <w:sz w:val="32"/>
          <w:szCs w:val="32"/>
        </w:rPr>
        <w:t>21年增加29.2万元，增长106.34</w:t>
      </w:r>
      <w:r>
        <w:rPr>
          <w:rFonts w:ascii="仿宋" w:eastAsia="仿宋"/>
          <w:sz w:val="32"/>
          <w:szCs w:val="32"/>
        </w:rPr>
        <w:t>%</w:t>
      </w:r>
      <w:r>
        <w:rPr>
          <w:rFonts w:ascii="仿宋" w:eastAsia="仿宋" w:hint="eastAsia"/>
          <w:sz w:val="32"/>
          <w:szCs w:val="32"/>
        </w:rPr>
        <w:t>。主要原因是根据要求调整了公用经费科目。</w:t>
      </w:r>
    </w:p>
    <w:p>
      <w:pPr>
        <w:autoSpaceDE w:val="0"/>
        <w:autoSpaceDN w:val="0"/>
        <w:adjustRightInd w:val="0"/>
        <w:spacing w:line="600" w:lineRule="exact"/>
        <w:ind w:firstLineChars="200" w:firstLine="640"/>
        <w:jc w:val="left"/>
        <w:outlineLvl w:val="2"/>
        <w:rPr>
          <w:rFonts w:ascii="仿宋" w:eastAsia="仿宋"/>
          <w:b/>
          <w:sz w:val="32"/>
          <w:szCs w:val="32"/>
        </w:rPr>
      </w:pPr>
      <w:bookmarkStart w:id="47" w:name="_Toc15377223"/>
      <w:r>
        <w:rPr>
          <w:rFonts w:ascii="仿宋" w:eastAsia="仿宋" w:hint="eastAsia"/>
          <w:b/>
          <w:sz w:val="32"/>
          <w:szCs w:val="32"/>
        </w:rPr>
        <w:t>（二）政府采购支出情况</w:t>
      </w:r>
      <w:bookmarkEnd w:id="47"/>
    </w:p>
    <w:p>
      <w:pPr>
        <w:spacing w:line="600" w:lineRule="exact"/>
        <w:ind w:firstLineChars="200" w:firstLine="640"/>
        <w:rPr>
          <w:rFonts w:ascii="仿宋" w:eastAsia="仿宋"/>
          <w:sz w:val="32"/>
          <w:szCs w:val="32"/>
        </w:rPr>
      </w:pPr>
      <w:r>
        <w:rPr>
          <w:rFonts w:ascii="仿宋" w:eastAsia="仿宋"/>
          <w:sz w:val="32"/>
          <w:szCs w:val="32"/>
        </w:rPr>
        <w:t>20</w:t>
      </w:r>
      <w:r>
        <w:rPr>
          <w:rFonts w:ascii="仿宋" w:eastAsia="仿宋" w:hint="eastAsia"/>
          <w:sz w:val="32"/>
          <w:szCs w:val="32"/>
        </w:rPr>
        <w:t>22年，攀枝花市人民政府驻北京联络处政府采购支出总额0万元。</w:t>
      </w:r>
    </w:p>
    <w:p>
      <w:pPr>
        <w:autoSpaceDE w:val="0"/>
        <w:autoSpaceDN w:val="0"/>
        <w:adjustRightInd w:val="0"/>
        <w:spacing w:line="600" w:lineRule="exact"/>
        <w:ind w:firstLineChars="200" w:firstLine="640"/>
        <w:jc w:val="left"/>
        <w:outlineLvl w:val="2"/>
        <w:rPr>
          <w:rFonts w:ascii="仿宋" w:eastAsia="仿宋"/>
          <w:b/>
          <w:sz w:val="32"/>
          <w:szCs w:val="32"/>
        </w:rPr>
      </w:pPr>
      <w:bookmarkStart w:id="48" w:name="_Toc15377224"/>
      <w:r>
        <w:rPr>
          <w:rFonts w:ascii="仿宋" w:eastAsia="仿宋" w:hint="eastAsia"/>
          <w:b/>
          <w:sz w:val="32"/>
          <w:szCs w:val="32"/>
        </w:rPr>
        <w:t>（三）国有资产占有使用情况</w:t>
      </w:r>
      <w:bookmarkEnd w:id="48"/>
    </w:p>
    <w:p>
      <w:pPr>
        <w:spacing w:line="600" w:lineRule="exact"/>
        <w:ind w:firstLineChars="200" w:firstLine="640"/>
        <w:rPr>
          <w:rFonts w:ascii="仿宋" w:eastAsia="仿宋"/>
          <w:sz w:val="32"/>
          <w:szCs w:val="32"/>
        </w:rPr>
      </w:pPr>
      <w:r>
        <w:rPr>
          <w:rFonts w:ascii="仿宋" w:eastAsia="仿宋" w:hint="eastAsia"/>
          <w:sz w:val="32"/>
          <w:szCs w:val="32"/>
        </w:rPr>
        <w:t>截至</w:t>
      </w:r>
      <w:r>
        <w:rPr>
          <w:rFonts w:ascii="仿宋" w:eastAsia="仿宋"/>
          <w:sz w:val="32"/>
          <w:szCs w:val="32"/>
        </w:rPr>
        <w:t>20</w:t>
      </w:r>
      <w:r>
        <w:rPr>
          <w:rFonts w:ascii="仿宋" w:eastAsia="仿宋" w:hint="eastAsia"/>
          <w:sz w:val="32"/>
          <w:szCs w:val="32"/>
        </w:rPr>
        <w:t>22年</w:t>
      </w:r>
      <w:r>
        <w:rPr>
          <w:rFonts w:ascii="仿宋" w:eastAsia="仿宋"/>
          <w:sz w:val="32"/>
          <w:szCs w:val="32"/>
        </w:rPr>
        <w:t>12</w:t>
      </w:r>
      <w:r>
        <w:rPr>
          <w:rFonts w:ascii="仿宋" w:eastAsia="仿宋" w:hint="eastAsia"/>
          <w:sz w:val="32"/>
          <w:szCs w:val="32"/>
        </w:rPr>
        <w:t>月</w:t>
      </w:r>
      <w:r>
        <w:rPr>
          <w:rFonts w:ascii="仿宋" w:eastAsia="仿宋"/>
          <w:sz w:val="32"/>
          <w:szCs w:val="32"/>
        </w:rPr>
        <w:t>31</w:t>
      </w:r>
      <w:r>
        <w:rPr>
          <w:rFonts w:ascii="仿宋" w:eastAsia="仿宋" w:hint="eastAsia"/>
          <w:sz w:val="32"/>
          <w:szCs w:val="32"/>
        </w:rPr>
        <w:t>日，攀枝花市人民政府驻北京联络处共有车辆4辆，其中：其他用车4辆。其他用车主要是用于保障联络处正常业务开展和运行。单价50万元以上通用设备0台（套），单价100万元以上专用设备0台（套）。</w:t>
      </w:r>
    </w:p>
    <w:p>
      <w:pPr>
        <w:autoSpaceDE w:val="0"/>
        <w:autoSpaceDN w:val="0"/>
        <w:adjustRightInd w:val="0"/>
        <w:spacing w:line="600" w:lineRule="exact"/>
        <w:ind w:firstLineChars="200" w:firstLine="640"/>
        <w:jc w:val="left"/>
        <w:outlineLvl w:val="2"/>
        <w:rPr>
          <w:rFonts w:ascii="仿宋" w:eastAsia="仿宋"/>
          <w:b/>
          <w:sz w:val="32"/>
          <w:szCs w:val="32"/>
        </w:rPr>
      </w:pPr>
      <w:r>
        <w:rPr>
          <w:rFonts w:ascii="仿宋" w:eastAsia="仿宋" w:hint="eastAsia"/>
          <w:b/>
          <w:sz w:val="32"/>
          <w:szCs w:val="32"/>
        </w:rPr>
        <w:t>（四）预算绩效管理情况</w:t>
      </w:r>
    </w:p>
    <w:p>
      <w:pPr>
        <w:spacing w:line="600" w:lineRule="exact"/>
        <w:ind w:firstLineChars="200" w:firstLine="640"/>
        <w:rPr>
          <w:rFonts w:ascii="仿宋" w:eastAsia="仿宋"/>
          <w:sz w:val="32"/>
          <w:szCs w:val="32"/>
        </w:rPr>
      </w:pPr>
      <w:r>
        <w:rPr>
          <w:rFonts w:ascii="仿宋" w:eastAsia="仿宋" w:hint="eastAsia"/>
          <w:sz w:val="32"/>
          <w:szCs w:val="32"/>
        </w:rPr>
        <w:t>根据预算绩效管理要求，本部门在2022年度预算编制阶段，组织对业务运行费项目开展了预算事前绩效评估，对一个项目编制了绩效目标，预算执行过程中，选取一个项目开展绩效监控。</w:t>
      </w:r>
    </w:p>
    <w:p>
      <w:pPr>
        <w:spacing w:line="600" w:lineRule="exact"/>
        <w:ind w:firstLineChars="200" w:firstLine="640"/>
        <w:rPr>
          <w:rFonts w:ascii="仿宋_GB2312" w:eastAsia="仿宋_GB2312"/>
          <w:b/>
          <w:sz w:val="32"/>
          <w:szCs w:val="32"/>
        </w:rPr>
      </w:pPr>
      <w:r>
        <w:rPr>
          <w:rFonts w:ascii="仿宋" w:eastAsia="仿宋" w:hint="eastAsia"/>
          <w:sz w:val="32"/>
          <w:szCs w:val="32"/>
        </w:rPr>
        <w:t>组织对2022年度一般公共预算、政府性基金预算、国有资本经营预算、社会保险基金预算以及资本资产、债券资金等全面开展绩效自评，形成攀枝花市人民政府驻北京联络处2022年度部门整体（含部门预算项目）绩效自评报告、攀枝花市人民政府驻北京联络处2022年度专项预算项目绩效自评报告，其中，攀枝花市人民政府驻北京联络处部门整体（含部门预算项目）绩效自评得分为100分，绩效自评综述：2022年联络处严格按照相关规定和要求按时完成了部门预决算的编制、上报和绩效信息公开。在年度部门预算绩效目标执行过程中严格按规定完成了资金的申报和使用，进一步完善了资金的管理及内部控制，确保了资金的安全，基础数据信息和会计信息资料真实、完整、准确；攀枝花市人民政府驻北京联络处专项预算项目绩效自评得分为100分，绩效自评综述：</w:t>
      </w:r>
      <w:r>
        <w:rPr>
          <w:rFonts w:ascii="仿宋" w:eastAsia="仿宋"/>
          <w:sz w:val="32"/>
          <w:szCs w:val="32"/>
        </w:rPr>
        <w:t>2022</w:t>
      </w:r>
      <w:r>
        <w:rPr>
          <w:rFonts w:ascii="仿宋" w:eastAsia="仿宋" w:hint="eastAsia"/>
          <w:sz w:val="32"/>
          <w:szCs w:val="32"/>
        </w:rPr>
        <w:t>年，联络处坚持</w:t>
      </w:r>
      <w:r>
        <w:rPr>
          <w:rFonts w:ascii="仿宋" w:eastAsia="仿宋" w:hint="eastAsia"/>
          <w:sz w:val="32"/>
          <w:szCs w:val="32"/>
          <w:lang w:val="zh-CN"/>
        </w:rPr>
        <w:t>以党建为统领，</w:t>
      </w:r>
      <w:r>
        <w:rPr>
          <w:rFonts w:ascii="仿宋" w:eastAsia="仿宋" w:hint="eastAsia"/>
          <w:sz w:val="32"/>
          <w:szCs w:val="32"/>
        </w:rPr>
        <w:t>在完成新冠疫情常态化防控的同时，全面完成了全年工作任务，得到省级部门领导及市委市政府主要领导的肯定和表扬，先后获得</w:t>
      </w:r>
      <w:r>
        <w:rPr>
          <w:rFonts w:ascii="仿宋" w:eastAsia="仿宋"/>
          <w:sz w:val="32"/>
          <w:szCs w:val="32"/>
          <w:lang w:val="zh-CN"/>
        </w:rPr>
        <w:t>202</w:t>
      </w:r>
      <w:r>
        <w:rPr>
          <w:rFonts w:ascii="仿宋" w:eastAsia="仿宋" w:hint="eastAsia"/>
          <w:sz w:val="32"/>
          <w:szCs w:val="32"/>
        </w:rPr>
        <w:t>2</w:t>
      </w:r>
      <w:r>
        <w:rPr>
          <w:rFonts w:ascii="仿宋" w:eastAsia="仿宋" w:hint="eastAsia"/>
          <w:sz w:val="32"/>
          <w:szCs w:val="32"/>
          <w:lang w:val="zh-CN"/>
        </w:rPr>
        <w:t>年度党建目标考核优秀党支部、</w:t>
      </w:r>
      <w:r>
        <w:rPr>
          <w:rFonts w:ascii="仿宋" w:eastAsia="仿宋"/>
          <w:sz w:val="32"/>
          <w:szCs w:val="32"/>
        </w:rPr>
        <w:t>2022</w:t>
      </w:r>
      <w:r>
        <w:rPr>
          <w:rFonts w:ascii="仿宋" w:eastAsia="仿宋" w:hint="eastAsia"/>
          <w:sz w:val="32"/>
          <w:szCs w:val="32"/>
        </w:rPr>
        <w:t>年度</w:t>
      </w:r>
      <w:r>
        <w:rPr>
          <w:rFonts w:ascii="仿宋" w:eastAsia="仿宋" w:hint="eastAsia"/>
          <w:sz w:val="32"/>
          <w:szCs w:val="32"/>
          <w:lang w:val="zh-CN"/>
        </w:rPr>
        <w:t>信访工作先进集体等荣誉</w:t>
      </w:r>
      <w:r>
        <w:rPr>
          <w:rFonts w:ascii="仿宋" w:eastAsia="仿宋" w:hint="eastAsia"/>
          <w:sz w:val="32"/>
          <w:szCs w:val="32"/>
        </w:rPr>
        <w:t>，展示了攀枝花形象，得到了群众对联络处的认可，完成了年初计划：满意度≥95%。绩效自评报告详见附件四。</w:t>
      </w:r>
      <w:r>
        <w:rPr>
          <w:rFonts w:ascii="仿宋_GB2312" w:eastAsia="仿宋_GB2312"/>
          <w:b/>
          <w:sz w:val="32"/>
          <w:szCs w:val="32"/>
        </w:rPr>
        <w:br w:type="page"/>
      </w:r>
    </w:p>
    <w:p>
      <w:pPr>
        <w:numPr>
          <w:ilvl w:val="0"/>
          <w:numId w:val="3"/>
        </w:numPr>
        <w:spacing w:line="600" w:lineRule="exact"/>
        <w:ind w:left="0" w:firstLineChars="150" w:firstLine="660"/>
        <w:jc w:val="center"/>
        <w:outlineLvl w:val="0"/>
        <w:rPr>
          <w:rStyle w:val="1Char"/>
          <w:rFonts w:ascii="黑体" w:eastAsia="黑体"/>
          <w:b w:val="0"/>
        </w:rPr>
      </w:pPr>
      <w:bookmarkStart w:id="49" w:name="_Toc15396613"/>
      <w:bookmarkStart w:id="50" w:name="_Toc15377225"/>
      <w:r>
        <w:rPr>
          <w:rFonts w:ascii="黑体" w:eastAsia="黑体" w:hint="eastAsia"/>
          <w:sz w:val="44"/>
          <w:szCs w:val="44"/>
        </w:rPr>
        <w:t>名</w:t>
      </w:r>
      <w:r>
        <w:rPr>
          <w:rStyle w:val="1Char"/>
          <w:rFonts w:ascii="黑体" w:eastAsia="黑体" w:hint="eastAsia"/>
          <w:b w:val="0"/>
        </w:rPr>
        <w:t>词解释</w:t>
      </w:r>
      <w:bookmarkEnd w:id="49"/>
      <w:bookmarkEnd w:id="50"/>
    </w:p>
    <w:p>
      <w:pPr>
        <w:spacing w:line="600" w:lineRule="exact"/>
        <w:jc w:val="left"/>
        <w:rPr>
          <w:rFonts w:ascii="宋体"/>
          <w:b/>
          <w:sz w:val="44"/>
          <w:szCs w:val="44"/>
        </w:rPr>
      </w:pPr>
    </w:p>
    <w:p>
      <w:pPr>
        <w:pStyle w:val="34"/>
        <w:spacing w:line="560" w:lineRule="exact"/>
        <w:ind w:firstLineChars="200" w:firstLine="640"/>
        <w:rPr>
          <w:color w:val="auto"/>
          <w:sz w:val="32"/>
          <w:szCs w:val="32"/>
        </w:rPr>
      </w:pPr>
      <w:r>
        <w:rPr>
          <w:rFonts w:hint="eastAsia"/>
          <w:color w:val="auto"/>
          <w:sz w:val="32"/>
          <w:szCs w:val="32"/>
        </w:rPr>
        <w:t>1.财政拨款收入：指单位从同级财政部门取得的财政预算资金。</w:t>
      </w:r>
    </w:p>
    <w:p>
      <w:pPr>
        <w:pStyle w:val="34"/>
        <w:spacing w:line="560" w:lineRule="exact"/>
        <w:ind w:firstLineChars="200" w:firstLine="640"/>
        <w:rPr>
          <w:color w:val="auto"/>
          <w:sz w:val="32"/>
          <w:szCs w:val="32"/>
        </w:rPr>
      </w:pPr>
      <w:r>
        <w:rPr>
          <w:rFonts w:hint="eastAsia"/>
          <w:color w:val="auto"/>
          <w:sz w:val="32"/>
          <w:szCs w:val="32"/>
        </w:rPr>
        <w:t>2.事业收入：指事业单位开展专业业务活动及辅助活动取得的收入。</w:t>
      </w:r>
    </w:p>
    <w:p>
      <w:pPr>
        <w:pStyle w:val="34"/>
        <w:spacing w:line="560" w:lineRule="exact"/>
        <w:ind w:firstLineChars="200" w:firstLine="640"/>
        <w:rPr>
          <w:color w:val="auto"/>
          <w:sz w:val="32"/>
          <w:szCs w:val="32"/>
        </w:rPr>
      </w:pPr>
      <w:r>
        <w:rPr>
          <w:rFonts w:hint="eastAsia"/>
          <w:color w:val="auto"/>
          <w:sz w:val="32"/>
          <w:szCs w:val="32"/>
        </w:rPr>
        <w:t>3.经营收入：指事业单位在专业业务活动及其辅助活动之外开展非独立核算经营活动取得的收入。</w:t>
      </w:r>
    </w:p>
    <w:p>
      <w:pPr>
        <w:pStyle w:val="34"/>
        <w:spacing w:line="560" w:lineRule="exact"/>
        <w:ind w:firstLineChars="200" w:firstLine="640"/>
        <w:rPr>
          <w:color w:val="auto"/>
          <w:sz w:val="32"/>
          <w:szCs w:val="32"/>
        </w:rPr>
      </w:pPr>
      <w:r>
        <w:rPr>
          <w:rFonts w:hint="eastAsia"/>
          <w:color w:val="auto"/>
          <w:sz w:val="32"/>
          <w:szCs w:val="32"/>
        </w:rPr>
        <w:t xml:space="preserve">4.其他收入：指单位取得的除上述收入以外的各项收入。主要是银行利息收入等。 </w:t>
      </w:r>
    </w:p>
    <w:p>
      <w:pPr>
        <w:pStyle w:val="34"/>
        <w:spacing w:line="560" w:lineRule="exact"/>
        <w:ind w:firstLineChars="200" w:firstLine="640"/>
        <w:rPr>
          <w:color w:val="auto"/>
          <w:sz w:val="32"/>
          <w:szCs w:val="32"/>
        </w:rPr>
      </w:pPr>
      <w:r>
        <w:rPr>
          <w:rFonts w:hint="eastAsia"/>
          <w:color w:val="auto"/>
          <w:sz w:val="32"/>
          <w:szCs w:val="32"/>
        </w:rPr>
        <w:t xml:space="preserve">5.使用非财政拨款结余：指事业单位使用以前年度积累的非财政拨款结余弥补当年收支差额的金额。 </w:t>
      </w:r>
    </w:p>
    <w:p>
      <w:pPr>
        <w:pStyle w:val="34"/>
        <w:spacing w:line="560" w:lineRule="exact"/>
        <w:ind w:firstLineChars="200" w:firstLine="640"/>
        <w:rPr>
          <w:color w:val="auto"/>
          <w:sz w:val="32"/>
          <w:szCs w:val="32"/>
        </w:rPr>
      </w:pPr>
      <w:r>
        <w:rPr>
          <w:rFonts w:hint="eastAsia"/>
          <w:color w:val="auto"/>
          <w:sz w:val="32"/>
          <w:szCs w:val="32"/>
        </w:rPr>
        <w:t xml:space="preserve">6.年初结转和结余：指以前年度尚未完成、结转到本年按有关规定继续使用的资金。 </w:t>
      </w:r>
    </w:p>
    <w:p>
      <w:pPr>
        <w:pStyle w:val="34"/>
        <w:spacing w:line="560" w:lineRule="exact"/>
        <w:ind w:firstLineChars="200" w:firstLine="640"/>
        <w:rPr>
          <w:color w:val="auto"/>
          <w:sz w:val="32"/>
          <w:szCs w:val="32"/>
        </w:rPr>
      </w:pPr>
      <w:r>
        <w:rPr>
          <w:rFonts w:hint="eastAsia"/>
          <w:color w:val="auto"/>
          <w:sz w:val="32"/>
          <w:szCs w:val="32"/>
        </w:rPr>
        <w:t>7.结余分配：指事业单位按照会计制度规定缴纳的所得税、提取的专用结余以及转入非财政拨款结余的金额等。</w:t>
      </w:r>
    </w:p>
    <w:p>
      <w:pPr>
        <w:pStyle w:val="34"/>
        <w:spacing w:line="560" w:lineRule="exact"/>
        <w:ind w:firstLineChars="200" w:firstLine="640"/>
        <w:rPr>
          <w:color w:val="auto"/>
          <w:sz w:val="32"/>
          <w:szCs w:val="32"/>
        </w:rPr>
      </w:pPr>
      <w:r>
        <w:rPr>
          <w:rFonts w:hint="eastAsia"/>
          <w:color w:val="auto"/>
          <w:sz w:val="32"/>
          <w:szCs w:val="32"/>
        </w:rPr>
        <w:t>8、年末结转和结余：指单位按有关规定结转到下年或以后年度继续使用的资金。</w:t>
      </w:r>
    </w:p>
    <w:p>
      <w:pPr>
        <w:ind w:firstLineChars="200" w:firstLine="640"/>
        <w:rPr>
          <w:rFonts w:ascii="仿宋" w:eastAsia="仿宋" w:cs="仿宋"/>
          <w:color w:val="000000"/>
          <w:sz w:val="32"/>
          <w:szCs w:val="32"/>
        </w:rPr>
      </w:pPr>
      <w:r>
        <w:rPr>
          <w:rFonts w:ascii="仿宋" w:eastAsia="仿宋" w:cs="仿宋" w:hint="eastAsia"/>
          <w:color w:val="000000"/>
          <w:sz w:val="32"/>
          <w:szCs w:val="32"/>
        </w:rPr>
        <w:t>9.一般公共服务（类</w:t>
      </w:r>
      <w:r>
        <w:rPr>
          <w:rFonts w:ascii="仿宋" w:eastAsia="仿宋" w:cs="仿宋" w:hint="eastAsia"/>
          <w:b/>
          <w:color w:val="000000"/>
          <w:sz w:val="32"/>
          <w:szCs w:val="32"/>
        </w:rPr>
        <w:t>）</w:t>
      </w:r>
      <w:r>
        <w:rPr>
          <w:rStyle w:val="26"/>
          <w:rFonts w:ascii="仿宋" w:eastAsia="仿宋" w:cs="仿宋" w:hint="eastAsia"/>
          <w:b w:val="0"/>
          <w:sz w:val="32"/>
          <w:szCs w:val="32"/>
        </w:rPr>
        <w:t>政府办公厅（室）及相关机构事务</w:t>
      </w:r>
      <w:r>
        <w:rPr>
          <w:rStyle w:val="26"/>
          <w:rFonts w:ascii="仿宋" w:eastAsia="仿宋" w:cs="仿宋" w:hint="eastAsia"/>
          <w:b w:val="0"/>
          <w:color w:val="000000"/>
          <w:sz w:val="32"/>
          <w:szCs w:val="32"/>
        </w:rPr>
        <w:t>（款）行政运行（项）</w:t>
      </w:r>
      <w:r>
        <w:rPr>
          <w:rFonts w:ascii="仿宋" w:eastAsia="仿宋" w:cs="仿宋" w:hint="eastAsia"/>
          <w:b/>
          <w:color w:val="000000"/>
          <w:sz w:val="32"/>
          <w:szCs w:val="32"/>
        </w:rPr>
        <w:t>：</w:t>
      </w:r>
      <w:r>
        <w:rPr>
          <w:rFonts w:ascii="仿宋" w:eastAsia="仿宋" w:cs="仿宋" w:hint="eastAsia"/>
          <w:color w:val="000000"/>
          <w:sz w:val="32"/>
          <w:szCs w:val="32"/>
        </w:rPr>
        <w:t>指行政单位的基本支出。</w:t>
      </w:r>
    </w:p>
    <w:p>
      <w:pPr>
        <w:ind w:firstLineChars="200" w:firstLine="640"/>
        <w:rPr>
          <w:rFonts w:ascii="仿宋" w:eastAsia="仿宋" w:cs="仿宋"/>
          <w:color w:val="000000"/>
          <w:sz w:val="32"/>
          <w:szCs w:val="32"/>
        </w:rPr>
      </w:pPr>
      <w:r>
        <w:rPr>
          <w:rFonts w:ascii="仿宋" w:eastAsia="仿宋" w:cs="仿宋" w:hint="eastAsia"/>
          <w:color w:val="000000"/>
          <w:sz w:val="32"/>
          <w:szCs w:val="32"/>
        </w:rPr>
        <w:t>10.一般公共服务（类）政府办公厅（室）及相关机构事务（款）一般行政管理事务（项）:指行政单位未单独设置项级科目的其他项目支出。</w:t>
      </w:r>
    </w:p>
    <w:p>
      <w:pPr>
        <w:ind w:firstLineChars="200" w:firstLine="640"/>
        <w:rPr>
          <w:rFonts w:ascii="仿宋" w:eastAsia="仿宋" w:cs="仿宋"/>
          <w:color w:val="000000"/>
          <w:sz w:val="32"/>
          <w:szCs w:val="32"/>
        </w:rPr>
      </w:pPr>
      <w:r>
        <w:rPr>
          <w:rFonts w:ascii="仿宋" w:eastAsia="仿宋" w:cs="仿宋" w:hint="eastAsia"/>
          <w:color w:val="000000"/>
          <w:sz w:val="32"/>
          <w:szCs w:val="32"/>
        </w:rPr>
        <w:t>11.一般公共服务（类）政府办公厅（室）及相关机构事务（款）事业运行（项）:指事业单位基本支出。</w:t>
      </w:r>
    </w:p>
    <w:p>
      <w:pPr>
        <w:ind w:firstLineChars="200" w:firstLine="640"/>
        <w:rPr>
          <w:rFonts w:ascii="仿宋" w:eastAsia="仿宋" w:cs="仿宋"/>
          <w:color w:val="000000"/>
          <w:sz w:val="32"/>
          <w:szCs w:val="32"/>
        </w:rPr>
      </w:pPr>
      <w:r>
        <w:rPr>
          <w:rFonts w:ascii="仿宋" w:eastAsia="仿宋" w:cs="仿宋" w:hint="eastAsia"/>
          <w:color w:val="000000"/>
          <w:sz w:val="32"/>
          <w:szCs w:val="32"/>
        </w:rPr>
        <w:t>12.社会保障和就业（类）行政事业单位离退休（款）行政单位离退休（项）: 指行政事业单位开支的离退休支出。</w:t>
      </w:r>
    </w:p>
    <w:p>
      <w:pPr>
        <w:ind w:firstLineChars="200" w:firstLine="640"/>
        <w:rPr>
          <w:rFonts w:ascii="仿宋" w:eastAsia="仿宋" w:cs="仿宋"/>
          <w:color w:val="000000"/>
          <w:sz w:val="32"/>
          <w:szCs w:val="32"/>
        </w:rPr>
      </w:pPr>
      <w:r>
        <w:rPr>
          <w:rFonts w:ascii="仿宋" w:eastAsia="仿宋" w:cs="仿宋" w:hint="eastAsia"/>
          <w:color w:val="000000"/>
          <w:sz w:val="32"/>
          <w:szCs w:val="32"/>
        </w:rPr>
        <w:t>13.社会保障和就业（类）行政事业单位离退休（款）机关事业单位基本养老保险缴费支出（项）:指机关事业单位实施养老保险制度由单位缴纳的基本养老保险费支出。</w:t>
      </w:r>
    </w:p>
    <w:p>
      <w:pPr>
        <w:ind w:firstLineChars="200" w:firstLine="640"/>
        <w:rPr>
          <w:rFonts w:ascii="仿宋" w:eastAsia="仿宋" w:cs="仿宋"/>
          <w:color w:val="000000"/>
          <w:sz w:val="32"/>
          <w:szCs w:val="32"/>
        </w:rPr>
      </w:pPr>
      <w:r>
        <w:rPr>
          <w:rFonts w:ascii="仿宋" w:eastAsia="仿宋" w:cs="仿宋" w:hint="eastAsia"/>
          <w:color w:val="000000"/>
          <w:sz w:val="32"/>
          <w:szCs w:val="32"/>
        </w:rPr>
        <w:t>14.住房保障支出（类）住房改革支出（款）住房公积金（项）:指行政事业单位按相关规定及比例为职工缴纳的住房公积金。</w:t>
      </w:r>
    </w:p>
    <w:p>
      <w:pPr>
        <w:ind w:firstLineChars="200" w:firstLine="640"/>
        <w:rPr>
          <w:rFonts w:ascii="仿宋" w:eastAsia="仿宋" w:cs="仿宋"/>
          <w:color w:val="000000"/>
          <w:sz w:val="32"/>
          <w:szCs w:val="32"/>
        </w:rPr>
      </w:pPr>
      <w:r>
        <w:rPr>
          <w:rFonts w:ascii="仿宋" w:eastAsia="仿宋" w:cs="仿宋" w:hint="eastAsia"/>
          <w:color w:val="000000"/>
          <w:sz w:val="32"/>
          <w:szCs w:val="32"/>
        </w:rPr>
        <w:t>15.基本支出：指为保障机构正常运转、完成日常工作任务而发生的人员支出和公用支出。</w:t>
      </w:r>
    </w:p>
    <w:p>
      <w:pPr>
        <w:ind w:firstLineChars="200" w:firstLine="640"/>
        <w:rPr>
          <w:rFonts w:ascii="仿宋" w:eastAsia="仿宋" w:cs="仿宋"/>
          <w:color w:val="000000"/>
          <w:sz w:val="32"/>
          <w:szCs w:val="32"/>
        </w:rPr>
      </w:pPr>
      <w:r>
        <w:rPr>
          <w:rFonts w:ascii="仿宋" w:eastAsia="仿宋" w:cs="仿宋" w:hint="eastAsia"/>
          <w:color w:val="000000"/>
          <w:sz w:val="32"/>
          <w:szCs w:val="32"/>
        </w:rPr>
        <w:t xml:space="preserve">16.项目支出：指在基本支出之外为完成特定行政任务和事业发展目标所发生的支出。 </w:t>
      </w:r>
    </w:p>
    <w:p>
      <w:pPr>
        <w:ind w:firstLineChars="200" w:firstLine="640"/>
        <w:rPr>
          <w:rFonts w:ascii="仿宋" w:eastAsia="仿宋" w:cs="仿宋"/>
          <w:color w:val="000000"/>
          <w:sz w:val="32"/>
          <w:szCs w:val="32"/>
        </w:rPr>
      </w:pPr>
      <w:r>
        <w:rPr>
          <w:rFonts w:ascii="仿宋" w:eastAsia="仿宋" w:cs="仿宋" w:hint="eastAsia"/>
          <w:color w:val="000000"/>
          <w:sz w:val="32"/>
          <w:szCs w:val="32"/>
        </w:rPr>
        <w:t>17.经营支出：指事业单位在专业业务活动及其辅助活动之外开展非独立核算经营活动发生的支出。</w:t>
      </w:r>
    </w:p>
    <w:p>
      <w:pPr>
        <w:pStyle w:val="34"/>
        <w:spacing w:line="560" w:lineRule="exact"/>
        <w:ind w:firstLineChars="200" w:firstLine="640"/>
        <w:rPr>
          <w:sz w:val="32"/>
          <w:szCs w:val="32"/>
        </w:rPr>
      </w:pPr>
      <w:r>
        <w:rPr>
          <w:rFonts w:hint="eastAsia"/>
          <w:sz w:val="32"/>
          <w:szCs w:val="32"/>
        </w:rPr>
        <w:t>18.“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34"/>
        <w:spacing w:line="560" w:lineRule="exact"/>
        <w:ind w:firstLineChars="200" w:firstLine="640"/>
        <w:rPr>
          <w:sz w:val="32"/>
          <w:szCs w:val="32"/>
        </w:rPr>
      </w:pPr>
      <w:r>
        <w:rPr>
          <w:rFonts w:hint="eastAsia"/>
          <w:sz w:val="32"/>
          <w:szCs w:val="32"/>
        </w:rPr>
        <w:t>19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Chars="200" w:firstLine="640"/>
        <w:rPr>
          <w:rFonts w:ascii="仿宋" w:eastAsia="仿宋"/>
          <w:b/>
          <w:sz w:val="32"/>
          <w:szCs w:val="32"/>
        </w:rPr>
      </w:pPr>
    </w:p>
    <w:p>
      <w:pPr>
        <w:spacing w:line="600" w:lineRule="exact"/>
        <w:jc w:val="center"/>
        <w:outlineLvl w:val="0"/>
        <w:rPr>
          <w:rStyle w:val="1Char"/>
          <w:rFonts w:ascii="黑体" w:eastAsia="黑体"/>
          <w:b w:val="0"/>
        </w:rPr>
      </w:pPr>
      <w:bookmarkStart w:id="51" w:name="_Toc15377226"/>
      <w:r>
        <w:rPr>
          <w:rFonts w:ascii="宋体"/>
          <w:b/>
          <w:sz w:val="44"/>
          <w:szCs w:val="44"/>
        </w:rPr>
        <w:br w:type="page"/>
      </w:r>
      <w:bookmarkStart w:id="52" w:name="_Toc15396614"/>
      <w:r>
        <w:rPr>
          <w:rFonts w:ascii="黑体" w:eastAsia="黑体" w:hint="eastAsia"/>
          <w:sz w:val="44"/>
          <w:szCs w:val="44"/>
        </w:rPr>
        <w:t>第</w:t>
      </w:r>
      <w:r>
        <w:rPr>
          <w:rStyle w:val="1Char"/>
          <w:rFonts w:ascii="黑体" w:eastAsia="黑体" w:hint="eastAsia"/>
          <w:b w:val="0"/>
        </w:rPr>
        <w:t>四部分 附件</w:t>
      </w:r>
      <w:bookmarkEnd w:id="52"/>
    </w:p>
    <w:p>
      <w:pPr>
        <w:spacing w:line="572" w:lineRule="exact"/>
        <w:jc w:val="left"/>
        <w:outlineLvl w:val="0"/>
        <w:rPr>
          <w:rFonts w:ascii="方正小标宋简体" w:eastAsia="方正小标宋简体" w:cs="方正小标宋简体"/>
          <w:sz w:val="44"/>
          <w:szCs w:val="44"/>
        </w:rPr>
      </w:pPr>
      <w:r>
        <w:rPr>
          <w:rFonts w:ascii="黑体" w:eastAsia="黑体" w:cs="黑体" w:hint="eastAsia"/>
          <w:sz w:val="32"/>
          <w:szCs w:val="32"/>
        </w:rPr>
        <w:t>附件</w:t>
      </w:r>
    </w:p>
    <w:p>
      <w:pPr>
        <w:spacing w:line="560" w:lineRule="exact"/>
        <w:jc w:val="center"/>
        <w:rPr>
          <w:rFonts w:ascii="方正小标宋简体" w:eastAsia="方正小标宋简体"/>
          <w:b/>
          <w:sz w:val="38"/>
          <w:szCs w:val="38"/>
        </w:rPr>
      </w:pPr>
      <w:r>
        <w:rPr>
          <w:rFonts w:ascii="方正小标宋简体" w:eastAsia="方正小标宋简体" w:hint="eastAsia"/>
          <w:b/>
          <w:sz w:val="38"/>
          <w:szCs w:val="38"/>
        </w:rPr>
        <w:t>攀枝花市人民政府驻北京联络处</w:t>
      </w:r>
    </w:p>
    <w:p>
      <w:pPr>
        <w:spacing w:line="560" w:lineRule="exact"/>
        <w:jc w:val="center"/>
        <w:rPr>
          <w:rFonts w:eastAsia="方正小标宋_GBK"/>
          <w:b/>
          <w:bCs/>
          <w:sz w:val="38"/>
          <w:szCs w:val="38"/>
        </w:rPr>
      </w:pPr>
      <w:r>
        <w:rPr>
          <w:rFonts w:eastAsia="方正小标宋_GBK" w:hint="eastAsia"/>
          <w:b/>
          <w:bCs/>
          <w:sz w:val="38"/>
          <w:szCs w:val="38"/>
        </w:rPr>
        <w:t>2022年市级部门整体支出绩效评价报告</w:t>
      </w:r>
    </w:p>
    <w:p>
      <w:pPr>
        <w:spacing w:line="560" w:lineRule="exact"/>
        <w:ind w:firstLineChars="200" w:firstLine="760"/>
        <w:rPr>
          <w:rFonts w:eastAsia="方正小标宋_GBK"/>
          <w:b/>
          <w:bCs/>
          <w:sz w:val="38"/>
          <w:szCs w:val="38"/>
        </w:rPr>
      </w:pPr>
    </w:p>
    <w:p>
      <w:pPr>
        <w:widowControl/>
        <w:adjustRightInd w:val="0"/>
        <w:snapToGrid w:val="0"/>
        <w:spacing w:line="580" w:lineRule="exact"/>
        <w:ind w:firstLineChars="200" w:firstLine="640"/>
        <w:contextualSpacing/>
        <w:jc w:val="left"/>
        <w:rPr>
          <w:rFonts w:ascii="方正黑体_GBK" w:eastAsia="方正黑体_GBK" w:cs="方正黑体_GBK"/>
          <w:color w:val="000000"/>
          <w:kern w:val="0"/>
          <w:sz w:val="32"/>
          <w:szCs w:val="32"/>
          <w:shd w:val="clear" w:color="auto" w:fill="FFFFFF"/>
          <w:lang w:val="zh-CN"/>
        </w:rPr>
      </w:pPr>
      <w:r>
        <w:rPr>
          <w:rFonts w:ascii="方正黑体_GBK" w:eastAsia="方正黑体_GBK" w:cs="方正黑体_GBK" w:hint="eastAsia"/>
          <w:color w:val="000000"/>
          <w:kern w:val="0"/>
          <w:sz w:val="32"/>
          <w:szCs w:val="32"/>
          <w:shd w:val="clear" w:color="auto" w:fill="FFFFFF"/>
        </w:rPr>
        <w:t>一、</w:t>
      </w:r>
      <w:r>
        <w:rPr>
          <w:rFonts w:ascii="方正黑体_GBK" w:eastAsia="方正黑体_GBK" w:cs="方正黑体_GBK" w:hint="eastAsia"/>
          <w:color w:val="000000"/>
          <w:kern w:val="0"/>
          <w:sz w:val="32"/>
          <w:szCs w:val="32"/>
          <w:shd w:val="clear" w:color="auto" w:fill="FFFFFF"/>
          <w:lang w:val="zh-CN"/>
        </w:rPr>
        <w:t>部门（单位）概况</w:t>
      </w:r>
    </w:p>
    <w:p>
      <w:pPr>
        <w:pStyle w:val="15"/>
        <w:adjustRightInd w:val="0"/>
        <w:spacing w:beforeLines="0" w:before="30" w:line="560" w:lineRule="exact"/>
        <w:ind w:firstLineChars="208" w:firstLine="669"/>
        <w:rPr>
          <w:rFonts w:ascii="仿宋" w:eastAsia="仿宋"/>
          <w:kern w:val="2"/>
          <w:sz w:val="32"/>
          <w:szCs w:val="32"/>
        </w:rPr>
      </w:pPr>
      <w:r>
        <w:rPr>
          <w:rFonts w:ascii="方正楷体_GBK" w:eastAsia="方正楷体_GBK" w:cs="方正楷体_GBK" w:hint="eastAsia"/>
          <w:b/>
          <w:bCs/>
          <w:color w:val="000000"/>
          <w:sz w:val="32"/>
          <w:szCs w:val="32"/>
          <w:shd w:val="clear" w:color="auto" w:fill="FFFFFF"/>
          <w:lang w:val="zh-CN"/>
        </w:rPr>
        <w:t>（一）机构组成。</w:t>
      </w:r>
      <w:r>
        <w:rPr>
          <w:rFonts w:ascii="仿宋" w:eastAsia="仿宋" w:hint="eastAsia"/>
          <w:kern w:val="2"/>
          <w:sz w:val="32"/>
          <w:szCs w:val="32"/>
          <w:lang w:val="zh-CN"/>
        </w:rPr>
        <w:t>攀枝花市人民政府驻北京</w:t>
      </w:r>
      <w:r>
        <w:rPr>
          <w:rFonts w:ascii="仿宋" w:eastAsia="仿宋" w:hint="eastAsia"/>
          <w:kern w:val="2"/>
          <w:sz w:val="32"/>
          <w:szCs w:val="32"/>
        </w:rPr>
        <w:t>联络处内设综合科及联络科两个科室，下属财务不独立公益一类事业单位</w:t>
      </w:r>
      <w:r>
        <w:rPr>
          <w:rFonts w:ascii="仿宋" w:eastAsia="仿宋"/>
          <w:kern w:val="2"/>
          <w:sz w:val="32"/>
          <w:szCs w:val="32"/>
        </w:rPr>
        <w:t>1</w:t>
      </w:r>
      <w:r>
        <w:rPr>
          <w:rFonts w:ascii="仿宋" w:eastAsia="仿宋" w:hint="eastAsia"/>
          <w:kern w:val="2"/>
          <w:sz w:val="32"/>
          <w:szCs w:val="32"/>
        </w:rPr>
        <w:t>个。</w:t>
      </w:r>
    </w:p>
    <w:p>
      <w:pPr>
        <w:widowControl/>
        <w:adjustRightInd w:val="0"/>
        <w:snapToGrid w:val="0"/>
        <w:spacing w:line="580" w:lineRule="exact"/>
        <w:ind w:firstLineChars="200" w:firstLine="640"/>
        <w:contextualSpacing/>
        <w:jc w:val="left"/>
        <w:rPr>
          <w:rFonts w:ascii="方正楷体_GBK" w:eastAsia="方正楷体_GBK" w:cs="方正楷体_GBK"/>
          <w:b/>
          <w:bCs/>
          <w:color w:val="000000"/>
          <w:kern w:val="0"/>
          <w:sz w:val="32"/>
          <w:szCs w:val="32"/>
          <w:shd w:val="clear" w:color="auto" w:fill="FFFFFF"/>
          <w:lang w:val="zh-CN"/>
        </w:rPr>
      </w:pPr>
      <w:r>
        <w:rPr>
          <w:rFonts w:ascii="方正楷体_GBK" w:eastAsia="方正楷体_GBK" w:cs="方正楷体_GBK" w:hint="eastAsia"/>
          <w:b/>
          <w:bCs/>
          <w:color w:val="000000"/>
          <w:kern w:val="0"/>
          <w:sz w:val="32"/>
          <w:szCs w:val="32"/>
          <w:shd w:val="clear" w:color="auto" w:fill="FFFFFF"/>
          <w:lang w:val="zh-CN"/>
        </w:rPr>
        <w:t>（二）</w:t>
      </w:r>
      <w:r>
        <w:rPr>
          <w:rFonts w:ascii="楷体_GB2312" w:eastAsia="楷体_GB2312" w:cs="楷体_GB2312" w:hint="eastAsia"/>
          <w:b/>
          <w:bCs/>
          <w:kern w:val="0"/>
          <w:sz w:val="32"/>
          <w:szCs w:val="32"/>
          <w:shd w:val="clear" w:color="auto" w:fill="FFFFFF"/>
          <w:lang w:val="zh-CN"/>
        </w:rPr>
        <w:t>机构职能和人员概况。</w:t>
      </w:r>
    </w:p>
    <w:p>
      <w:pPr>
        <w:pStyle w:val="15"/>
        <w:adjustRightInd w:val="0"/>
        <w:spacing w:beforeLines="0" w:before="30" w:line="560" w:lineRule="exact"/>
        <w:ind w:firstLineChars="208" w:firstLine="669"/>
        <w:rPr>
          <w:rFonts w:ascii="仿宋" w:eastAsia="仿宋"/>
          <w:kern w:val="2"/>
          <w:sz w:val="32"/>
          <w:szCs w:val="32"/>
          <w:lang w:val="zh-CN"/>
        </w:rPr>
      </w:pPr>
      <w:r>
        <w:rPr>
          <w:rFonts w:ascii="仿宋" w:eastAsia="仿宋" w:hint="eastAsia"/>
          <w:kern w:val="2"/>
          <w:sz w:val="32"/>
          <w:szCs w:val="32"/>
          <w:lang w:val="zh-CN"/>
        </w:rPr>
        <w:t>根据《攀枝花市人民政府办公室　关于印发攀枝花市人民政府驻北京联络处主要职责内设机构和人员编制规定的通知》（攀办发﹝</w:t>
      </w:r>
      <w:r>
        <w:rPr>
          <w:rFonts w:ascii="仿宋" w:eastAsia="仿宋"/>
          <w:kern w:val="2"/>
          <w:sz w:val="32"/>
          <w:szCs w:val="32"/>
          <w:lang w:val="zh-CN"/>
        </w:rPr>
        <w:t>2011</w:t>
      </w:r>
      <w:r>
        <w:rPr>
          <w:rFonts w:ascii="仿宋" w:eastAsia="仿宋" w:hint="eastAsia"/>
          <w:kern w:val="2"/>
          <w:sz w:val="32"/>
          <w:szCs w:val="32"/>
          <w:lang w:val="zh-CN"/>
        </w:rPr>
        <w:t>﹞</w:t>
      </w:r>
      <w:r>
        <w:rPr>
          <w:rFonts w:ascii="仿宋" w:eastAsia="仿宋"/>
          <w:kern w:val="2"/>
          <w:sz w:val="32"/>
          <w:szCs w:val="32"/>
          <w:lang w:val="zh-CN"/>
        </w:rPr>
        <w:t>46</w:t>
      </w:r>
      <w:r>
        <w:rPr>
          <w:rFonts w:ascii="仿宋" w:eastAsia="仿宋" w:hint="eastAsia"/>
          <w:kern w:val="2"/>
          <w:sz w:val="32"/>
          <w:szCs w:val="32"/>
          <w:lang w:val="zh-CN"/>
        </w:rPr>
        <w:t>号），攀枝花市人民政府驻北京联络处主要职责为：</w:t>
      </w:r>
      <w:r>
        <w:rPr>
          <w:rFonts w:ascii="仿宋" w:eastAsia="仿宋"/>
          <w:kern w:val="2"/>
          <w:sz w:val="32"/>
          <w:szCs w:val="32"/>
        </w:rPr>
        <w:t>1、</w:t>
      </w:r>
      <w:r>
        <w:rPr>
          <w:rFonts w:ascii="仿宋" w:eastAsia="仿宋" w:hint="eastAsia"/>
          <w:kern w:val="2"/>
          <w:sz w:val="32"/>
          <w:szCs w:val="32"/>
          <w:lang w:val="zh-CN"/>
        </w:rPr>
        <w:t>负责与中央国家机关和相关驻京机构的联络。</w:t>
      </w:r>
      <w:r>
        <w:rPr>
          <w:rFonts w:ascii="仿宋" w:eastAsia="仿宋"/>
          <w:kern w:val="2"/>
          <w:sz w:val="32"/>
          <w:szCs w:val="32"/>
        </w:rPr>
        <w:t>2、</w:t>
      </w:r>
      <w:r>
        <w:rPr>
          <w:rFonts w:ascii="仿宋" w:eastAsia="仿宋" w:hint="eastAsia"/>
          <w:kern w:val="2"/>
          <w:sz w:val="32"/>
          <w:szCs w:val="32"/>
          <w:lang w:val="zh-CN"/>
        </w:rPr>
        <w:t>开展宣传、联络、协调、信息收集与传递工作，为市委、市政府决策提供参考。</w:t>
      </w:r>
      <w:r>
        <w:rPr>
          <w:rFonts w:ascii="仿宋" w:eastAsia="仿宋"/>
          <w:kern w:val="2"/>
          <w:sz w:val="32"/>
          <w:szCs w:val="32"/>
        </w:rPr>
        <w:t>3、</w:t>
      </w:r>
      <w:r>
        <w:rPr>
          <w:rFonts w:ascii="仿宋" w:eastAsia="仿宋" w:hint="eastAsia"/>
          <w:kern w:val="2"/>
          <w:sz w:val="32"/>
          <w:szCs w:val="32"/>
          <w:lang w:val="zh-CN"/>
        </w:rPr>
        <w:t>开展招商引资和区域间经济、技术、人才、文化交流与合作。</w:t>
      </w:r>
      <w:r>
        <w:rPr>
          <w:rFonts w:ascii="仿宋" w:eastAsia="仿宋"/>
          <w:kern w:val="2"/>
          <w:sz w:val="32"/>
          <w:szCs w:val="32"/>
        </w:rPr>
        <w:t>4、</w:t>
      </w:r>
      <w:r>
        <w:rPr>
          <w:rFonts w:ascii="仿宋" w:eastAsia="仿宋" w:hint="eastAsia"/>
          <w:kern w:val="2"/>
          <w:sz w:val="32"/>
          <w:szCs w:val="32"/>
          <w:lang w:val="zh-CN"/>
        </w:rPr>
        <w:t>承担有关接待工作，为市级部门、县（区）、企事业单位以及基层组织、社会组织和人民群众在京活动提供服务。</w:t>
      </w:r>
      <w:r>
        <w:rPr>
          <w:rFonts w:ascii="仿宋" w:eastAsia="仿宋"/>
          <w:kern w:val="2"/>
          <w:sz w:val="32"/>
          <w:szCs w:val="32"/>
        </w:rPr>
        <w:t>5、</w:t>
      </w:r>
      <w:r>
        <w:rPr>
          <w:rFonts w:ascii="仿宋" w:eastAsia="仿宋" w:hint="eastAsia"/>
          <w:kern w:val="2"/>
          <w:sz w:val="32"/>
          <w:szCs w:val="32"/>
          <w:lang w:val="zh-CN"/>
        </w:rPr>
        <w:t>协助做好我市在京流动党员教育管理服务工作，配合做好维护首都稳定的有关工作。</w:t>
      </w:r>
      <w:r>
        <w:rPr>
          <w:rFonts w:ascii="仿宋" w:eastAsia="仿宋"/>
          <w:kern w:val="2"/>
          <w:sz w:val="32"/>
          <w:szCs w:val="32"/>
        </w:rPr>
        <w:t>6、</w:t>
      </w:r>
      <w:r>
        <w:rPr>
          <w:rFonts w:ascii="仿宋" w:eastAsia="仿宋" w:hint="eastAsia"/>
          <w:kern w:val="2"/>
          <w:sz w:val="32"/>
          <w:szCs w:val="32"/>
          <w:lang w:val="zh-CN"/>
        </w:rPr>
        <w:t>负责对联络处的国有资产进行监督管理。</w:t>
      </w:r>
      <w:r>
        <w:rPr>
          <w:rFonts w:ascii="仿宋" w:eastAsia="仿宋"/>
          <w:kern w:val="2"/>
          <w:sz w:val="32"/>
          <w:szCs w:val="32"/>
        </w:rPr>
        <w:t>7、</w:t>
      </w:r>
      <w:r>
        <w:rPr>
          <w:rFonts w:ascii="仿宋" w:eastAsia="仿宋" w:hint="eastAsia"/>
          <w:kern w:val="2"/>
          <w:sz w:val="32"/>
          <w:szCs w:val="32"/>
          <w:lang w:val="zh-CN"/>
        </w:rPr>
        <w:t>承办市委、市政府和主管部门交办的其它工作。</w:t>
      </w:r>
    </w:p>
    <w:p>
      <w:pPr>
        <w:pStyle w:val="15"/>
        <w:adjustRightInd w:val="0"/>
        <w:spacing w:beforeLines="0" w:before="30" w:line="560" w:lineRule="exact"/>
        <w:ind w:firstLineChars="208" w:firstLine="669"/>
        <w:rPr>
          <w:rFonts w:ascii="仿宋" w:eastAsia="仿宋"/>
          <w:kern w:val="2"/>
          <w:sz w:val="32"/>
          <w:szCs w:val="32"/>
          <w:lang w:val="zh-CN"/>
        </w:rPr>
      </w:pPr>
      <w:r>
        <w:rPr>
          <w:rFonts w:ascii="仿宋" w:eastAsia="仿宋" w:hint="eastAsia"/>
          <w:kern w:val="2"/>
          <w:sz w:val="32"/>
          <w:szCs w:val="32"/>
          <w:lang w:val="zh-CN"/>
        </w:rPr>
        <w:t>联络处人员构成为：行政人员</w:t>
      </w:r>
      <w:r>
        <w:rPr>
          <w:rFonts w:ascii="仿宋" w:eastAsia="仿宋" w:hint="eastAsia"/>
          <w:kern w:val="2"/>
          <w:sz w:val="32"/>
          <w:szCs w:val="32"/>
        </w:rPr>
        <w:t>4</w:t>
      </w:r>
      <w:r>
        <w:rPr>
          <w:rFonts w:ascii="仿宋" w:eastAsia="仿宋" w:hint="eastAsia"/>
          <w:kern w:val="2"/>
          <w:sz w:val="32"/>
          <w:szCs w:val="32"/>
          <w:lang w:val="zh-CN"/>
        </w:rPr>
        <w:t>人，占编聘用1人，事业人员1人。</w:t>
      </w:r>
    </w:p>
    <w:p>
      <w:pPr>
        <w:widowControl/>
        <w:adjustRightInd w:val="0"/>
        <w:snapToGrid w:val="0"/>
        <w:spacing w:line="560" w:lineRule="exact"/>
        <w:ind w:firstLineChars="200" w:firstLine="640"/>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（三）年度主要工作任务。</w:t>
      </w:r>
    </w:p>
    <w:p>
      <w:pPr>
        <w:snapToGrid w:val="0"/>
        <w:spacing w:line="560" w:lineRule="exact"/>
        <w:ind w:firstLineChars="200" w:firstLine="640"/>
        <w:rPr>
          <w:rStyle w:val="54"/>
          <w:rFonts w:ascii="方正黑体_GBK" w:eastAsia="方正黑体_GBK" w:cs="方正黑体_GBK"/>
          <w:b/>
          <w:szCs w:val="32"/>
        </w:rPr>
      </w:pPr>
      <w:r>
        <w:rPr>
          <w:rStyle w:val="54"/>
          <w:rFonts w:ascii="方正楷体_GBK" w:eastAsia="方正楷体_GBK" w:cs="方正楷体_GBK" w:hint="eastAsia"/>
          <w:b/>
          <w:szCs w:val="32"/>
        </w:rPr>
        <w:t>1.牢记职责使命，主动服务全市高质量发展</w:t>
      </w:r>
    </w:p>
    <w:p>
      <w:pPr>
        <w:snapToGrid w:val="0"/>
        <w:spacing w:line="560" w:lineRule="exact"/>
        <w:ind w:firstLineChars="200" w:firstLine="640"/>
        <w:rPr>
          <w:rStyle w:val="54"/>
          <w:rFonts w:ascii="方正仿宋_GBK" w:eastAsia="方正仿宋_GBK"/>
          <w:szCs w:val="32"/>
        </w:rPr>
      </w:pPr>
      <w:r>
        <w:rPr>
          <w:rFonts w:ascii="仿宋" w:eastAsia="仿宋" w:hint="eastAsia"/>
          <w:b/>
          <w:bCs/>
          <w:sz w:val="32"/>
          <w:szCs w:val="32"/>
          <w:lang w:val="zh-CN"/>
        </w:rPr>
        <w:t>（</w:t>
      </w:r>
      <w:r>
        <w:rPr>
          <w:rFonts w:ascii="仿宋" w:eastAsia="仿宋" w:hint="eastAsia"/>
          <w:b/>
          <w:bCs/>
          <w:sz w:val="32"/>
          <w:szCs w:val="32"/>
        </w:rPr>
        <w:t>1</w:t>
      </w:r>
      <w:r>
        <w:rPr>
          <w:rFonts w:ascii="仿宋" w:eastAsia="仿宋" w:hint="eastAsia"/>
          <w:b/>
          <w:bCs/>
          <w:sz w:val="32"/>
          <w:szCs w:val="32"/>
          <w:lang w:val="zh-CN"/>
        </w:rPr>
        <w:t>）以项目为牵引，聚力攻坚求突破。</w:t>
      </w:r>
      <w:r>
        <w:rPr>
          <w:rFonts w:ascii="仿宋" w:eastAsia="仿宋" w:hint="eastAsia"/>
          <w:sz w:val="32"/>
          <w:szCs w:val="32"/>
          <w:lang w:val="zh-CN"/>
        </w:rPr>
        <w:t xml:space="preserve">聚焦市委市政府“项目攻坚突破年”，联络处第一时间组织攀枝花在京力量学习传达会议精神，开展了“我为项目攻坚年做什么”的大讨论活动；梳理找准国家、省上部署与全市推出的69个重大项目的结合点，标注出其中能与国家政策及时对接的项目，精准打响“攻坚战”。一是当好政务外联“首席联络官”。积极联系国家发改委能源局、农业司，水电水利规划研究总院沟通汇报我市“水资源配置工程+仁和抽水蓄能+新能源开发”三结合项目，“打造天府第二粮仓 安宁河流域水资源配置”工程项目；联系国家发改委社会司汇报我市中心医院申报“国家区域医疗中心”以及攀枝花大学附属医院申报“中西医结合旗舰医院”项目；联系国家财政部汇报化解政府隐形债务等工作，均得到积极回应和政策指导。二是当好双招双引“急先锋”。积极对接省驻京办经协处和我市相关部门，汇报推介我市年度重点招商项目，争取利用省驻京办事处平台拓宽招商渠道；主动报名参加省驻京办组织赴中国物流集团的招商推介活动，介绍了我市重点包装的“一带一路”国际农产品集散中心项目，并围绕该项目的招商方向“广撒网”，联系对接了中粮集团、鑫荣懋果业科技公司，第一时间将招商信息反馈推荐给市里牵头部门；围绕我市打造氢能产业示范城市和清洁能源产业基地目标，联系对接了行业领军企业--国电投氢能科技公司以及知名研究机构--国电投中央研究院，介绍了我市《2021-2030年氢能产业示范城市发展规划》及招商项目，陪同市政府主要领导、分管领导赴企业实地考察招商并做好后续跟进对接工作。三是当好京地协作“服务员”。按照市委宣传部要求，联系落实中央文明办汇报我市全国文明城市创建工作；帮助仁和区联系对接工信部钢铁处沟通汇报富邦提钒转炉项目推进情况，争取支持；围绕今年项目攻坚突破任务书，积极协调联系目标任务所对口的国家相关部委，在继续派干部到国家发改委、财政部挂职的基础上争取拓展了工信部、自然资源部、民政部、国家统计局、国家中医药管理局的挂职名额，及时为项目进展了解掌握信息、争取政策支持搭建起京地协作快速通道，以一隅之力助推我市项目攻坚取得突破。 </w:t>
      </w:r>
    </w:p>
    <w:p>
      <w:pPr>
        <w:snapToGrid w:val="0"/>
        <w:spacing w:line="560" w:lineRule="exact"/>
        <w:ind w:firstLineChars="200" w:firstLine="640"/>
        <w:rPr>
          <w:rFonts w:ascii="仿宋" w:eastAsia="仿宋"/>
          <w:sz w:val="32"/>
          <w:szCs w:val="32"/>
          <w:lang w:val="zh-CN"/>
        </w:rPr>
      </w:pPr>
      <w:r>
        <w:rPr>
          <w:rStyle w:val="54"/>
          <w:rFonts w:eastAsia="方正仿宋_GBK" w:hint="eastAsia"/>
          <w:b/>
          <w:bCs/>
          <w:szCs w:val="32"/>
        </w:rPr>
        <w:t>（2）</w:t>
      </w:r>
      <w:r>
        <w:rPr>
          <w:rFonts w:ascii="仿宋" w:eastAsia="仿宋" w:hint="eastAsia"/>
          <w:b/>
          <w:bCs/>
          <w:sz w:val="32"/>
          <w:szCs w:val="32"/>
          <w:lang w:val="zh-CN"/>
        </w:rPr>
        <w:t>以发展战略为方向，充分发挥“情报站”作用。</w:t>
      </w:r>
      <w:r>
        <w:rPr>
          <w:rFonts w:ascii="仿宋" w:eastAsia="仿宋" w:hint="eastAsia"/>
          <w:sz w:val="32"/>
          <w:szCs w:val="32"/>
          <w:lang w:val="zh-CN"/>
        </w:rPr>
        <w:t>利用在京区位优势，以前瞻性、准确性、及时性作为北京信息的核心价值，围绕市委、市政府年度主要工作方向，积极对接国家相关部委、第三方研究机构，及时捕捉相关政策信息并结合我市实际，拟写呈报信息专报12期，为市委、市政府前瞻部署、科学决策提供参考。专报每期都得到了主要领导的签批并要求印发县区和市级相关部门参考借鉴。</w:t>
      </w:r>
    </w:p>
    <w:p>
      <w:pPr>
        <w:snapToGrid w:val="0"/>
        <w:spacing w:line="560" w:lineRule="exact"/>
        <w:ind w:firstLineChars="200" w:firstLine="640"/>
        <w:rPr>
          <w:rFonts w:ascii="仿宋" w:eastAsia="仿宋"/>
          <w:sz w:val="32"/>
          <w:szCs w:val="32"/>
          <w:lang w:val="zh-CN"/>
        </w:rPr>
      </w:pPr>
      <w:r>
        <w:rPr>
          <w:rStyle w:val="54"/>
          <w:rFonts w:eastAsia="方正仿宋_GBK" w:hint="eastAsia"/>
          <w:b/>
          <w:bCs/>
          <w:szCs w:val="32"/>
        </w:rPr>
        <w:t>（3）</w:t>
      </w:r>
      <w:r>
        <w:rPr>
          <w:rFonts w:ascii="仿宋" w:eastAsia="仿宋" w:hint="eastAsia"/>
          <w:b/>
          <w:bCs/>
          <w:sz w:val="32"/>
          <w:szCs w:val="32"/>
          <w:lang w:val="zh-CN"/>
        </w:rPr>
        <w:t>以人民为中心，扎实做好驻京信访群众工作。</w:t>
      </w:r>
      <w:r>
        <w:rPr>
          <w:rFonts w:ascii="仿宋" w:eastAsia="仿宋" w:hint="eastAsia"/>
          <w:sz w:val="32"/>
          <w:szCs w:val="32"/>
          <w:lang w:val="zh-CN"/>
        </w:rPr>
        <w:t>坚持人民情怀。时刻牢记信访工作“三个重要性”定位、“两个充分体现”的政治要求，把信访群众作为服务对象，按照“找得到、管得住、服务好”的驻京信访工作原则，强化底线思维和风险意识，做到了上访群众心怀怨气而来、满带笑容而归。</w:t>
      </w:r>
      <w:r>
        <w:rPr>
          <w:rFonts w:ascii="仿宋" w:eastAsia="仿宋" w:hint="eastAsia"/>
          <w:b/>
          <w:bCs/>
          <w:sz w:val="32"/>
          <w:szCs w:val="32"/>
          <w:lang w:val="zh-CN"/>
        </w:rPr>
        <w:t>强化节点防控。</w:t>
      </w:r>
      <w:r>
        <w:rPr>
          <w:rFonts w:ascii="仿宋" w:eastAsia="仿宋" w:hint="eastAsia"/>
          <w:sz w:val="32"/>
          <w:szCs w:val="32"/>
          <w:lang w:val="zh-CN"/>
        </w:rPr>
        <w:t>扎实做好北京冬奥会、冬残奥会，全国“两会”、党的二十大等重要节点和敏感时段驻京信访安全保障工作，在重点人员、重点群体、重点领域、重点问题方面狠下功夫，提前谋划、精心组织、周密部署，实现了“两个零登记”、守住了“三个不发生”底线。</w:t>
      </w:r>
      <w:r>
        <w:rPr>
          <w:rFonts w:ascii="仿宋" w:eastAsia="仿宋" w:hint="eastAsia"/>
          <w:b/>
          <w:bCs/>
          <w:sz w:val="32"/>
          <w:szCs w:val="32"/>
          <w:lang w:val="zh-CN"/>
        </w:rPr>
        <w:t>推进依法治访。</w:t>
      </w:r>
      <w:r>
        <w:rPr>
          <w:rFonts w:ascii="仿宋" w:eastAsia="仿宋" w:hint="eastAsia"/>
          <w:sz w:val="32"/>
          <w:szCs w:val="32"/>
          <w:lang w:val="zh-CN"/>
        </w:rPr>
        <w:t xml:space="preserve">坚持法定职责必须为、法无授权不可为，确保开展信访工作于法有据、解决信访矛盾依法依规、来京群众信访依法有序；进一步强化了与来京信访人员的属地联动，坚持用法治思维、法治方式处理涉法涉诉信访问题，依法维护群众权益，逐步扭转了“信访不信法”的不良风气。截至目前，共成功劝返来京上访人员38批次39人次。 </w:t>
      </w:r>
    </w:p>
    <w:p>
      <w:pPr>
        <w:snapToGrid w:val="0"/>
        <w:spacing w:line="560" w:lineRule="exact"/>
        <w:ind w:firstLineChars="200" w:firstLine="640"/>
        <w:rPr>
          <w:rStyle w:val="54"/>
          <w:rFonts w:eastAsia="方正仿宋_GBK"/>
          <w:szCs w:val="32"/>
        </w:rPr>
      </w:pPr>
      <w:r>
        <w:rPr>
          <w:rStyle w:val="54"/>
          <w:rFonts w:eastAsia="方正仿宋_GBK" w:hint="eastAsia"/>
          <w:b/>
          <w:bCs/>
          <w:szCs w:val="32"/>
        </w:rPr>
        <w:t>（4）</w:t>
      </w:r>
      <w:r>
        <w:rPr>
          <w:rFonts w:ascii="仿宋" w:eastAsia="仿宋" w:hint="eastAsia"/>
          <w:b/>
          <w:bCs/>
          <w:sz w:val="32"/>
          <w:szCs w:val="32"/>
          <w:lang w:val="zh-CN"/>
        </w:rPr>
        <w:t>以纪律规矩为重点，切实提高服务保障水平。</w:t>
      </w:r>
      <w:r>
        <w:rPr>
          <w:rFonts w:ascii="仿宋" w:eastAsia="仿宋" w:hint="eastAsia"/>
          <w:sz w:val="32"/>
          <w:szCs w:val="32"/>
          <w:lang w:val="zh-CN"/>
        </w:rPr>
        <w:t>认真贯彻中央八项规定精神和省市“十项规定”及其实施细则，按照“安全规范、周到细致、节俭高效”的原则，严格执行政务接待相关规定，加强统筹协调、拓展服务范畴、强化服务保障、推进“零差错”管理，圆满完成了2022年全国“两会”、党的二十大期间我市代表、委员及省政府办公厅服务“两会”工作人员的会务保障工作；优质高效完成了省、市相关领导及部门到京开展政务工作、学习培训、双招双引等服务保障；走访看望曾经关心攀枝花建设的国家领导人后代以及老三线建设者；截至目前已完成服务保障任务300余人次，均做到了零差错、无失误。</w:t>
      </w:r>
    </w:p>
    <w:p>
      <w:pPr>
        <w:snapToGrid w:val="0"/>
        <w:spacing w:line="560" w:lineRule="exact"/>
        <w:ind w:firstLineChars="200" w:firstLine="640"/>
        <w:rPr>
          <w:rStyle w:val="54"/>
          <w:rFonts w:ascii="方正黑体_GBK" w:eastAsia="方正黑体_GBK" w:cs="方正黑体_GBK"/>
          <w:b/>
          <w:szCs w:val="32"/>
        </w:rPr>
      </w:pPr>
      <w:r>
        <w:rPr>
          <w:rStyle w:val="54"/>
          <w:rFonts w:ascii="方正楷体_GBK" w:eastAsia="方正楷体_GBK" w:cs="方正楷体_GBK" w:hint="eastAsia"/>
          <w:b/>
          <w:bCs/>
          <w:szCs w:val="32"/>
        </w:rPr>
        <w:t>2.保持清醒和坚定，全面落实新时代党的建设总要求</w:t>
      </w:r>
    </w:p>
    <w:p>
      <w:pPr>
        <w:snapToGrid w:val="0"/>
        <w:spacing w:line="560" w:lineRule="exact"/>
        <w:ind w:firstLineChars="200" w:firstLine="640"/>
        <w:rPr>
          <w:rFonts w:ascii="仿宋" w:eastAsia="仿宋"/>
          <w:sz w:val="32"/>
          <w:szCs w:val="32"/>
          <w:lang w:val="zh-CN"/>
        </w:rPr>
      </w:pPr>
      <w:r>
        <w:rPr>
          <w:rStyle w:val="54"/>
          <w:rFonts w:eastAsia="方正仿宋_GBK" w:hint="eastAsia"/>
          <w:b/>
          <w:bCs/>
          <w:szCs w:val="32"/>
        </w:rPr>
        <w:t>（1）</w:t>
      </w:r>
      <w:r>
        <w:rPr>
          <w:rFonts w:ascii="仿宋" w:eastAsia="仿宋" w:hint="eastAsia"/>
          <w:b/>
          <w:bCs/>
          <w:sz w:val="32"/>
          <w:szCs w:val="32"/>
          <w:lang w:val="zh-CN"/>
        </w:rPr>
        <w:t>压实全面从严治党主体责任。</w:t>
      </w:r>
      <w:r>
        <w:rPr>
          <w:rFonts w:ascii="仿宋" w:eastAsia="仿宋" w:hint="eastAsia"/>
          <w:sz w:val="32"/>
          <w:szCs w:val="32"/>
          <w:lang w:val="zh-CN"/>
        </w:rPr>
        <w:t>按照“一岗双责”要求，全面落实支部书记履行第一责任人职责、班子成员履行抓分管领域党建责任的工作任务，拟定工作清单、细化项目内容、明确责任主体、倒排时间节点，用抓业务工作的方法抓党建，确保了党建工作同业务工作同谋划、同部署、同推进、同考核。</w:t>
      </w:r>
    </w:p>
    <w:p>
      <w:pPr>
        <w:snapToGrid w:val="0"/>
        <w:spacing w:line="560" w:lineRule="exact"/>
        <w:ind w:firstLineChars="200" w:firstLine="640"/>
        <w:rPr>
          <w:rFonts w:ascii="仿宋" w:eastAsia="仿宋"/>
          <w:sz w:val="32"/>
          <w:szCs w:val="32"/>
          <w:lang w:val="zh-CN"/>
        </w:rPr>
      </w:pPr>
      <w:r>
        <w:rPr>
          <w:rFonts w:ascii="仿宋" w:eastAsia="仿宋" w:hint="eastAsia"/>
          <w:b/>
          <w:bCs/>
          <w:sz w:val="32"/>
          <w:szCs w:val="32"/>
          <w:lang w:val="zh-CN"/>
        </w:rPr>
        <w:t>（</w:t>
      </w:r>
      <w:r>
        <w:rPr>
          <w:rFonts w:ascii="仿宋" w:eastAsia="仿宋" w:hint="eastAsia"/>
          <w:b/>
          <w:bCs/>
          <w:sz w:val="32"/>
          <w:szCs w:val="32"/>
        </w:rPr>
        <w:t>2</w:t>
      </w:r>
      <w:r>
        <w:rPr>
          <w:rFonts w:ascii="仿宋" w:eastAsia="仿宋" w:hint="eastAsia"/>
          <w:b/>
          <w:bCs/>
          <w:sz w:val="32"/>
          <w:szCs w:val="32"/>
          <w:lang w:val="zh-CN"/>
        </w:rPr>
        <w:t>）扎实推进党支部建设。</w:t>
      </w:r>
      <w:r>
        <w:rPr>
          <w:rFonts w:ascii="仿宋" w:eastAsia="仿宋" w:hint="eastAsia"/>
          <w:sz w:val="32"/>
          <w:szCs w:val="32"/>
          <w:lang w:val="zh-CN"/>
        </w:rPr>
        <w:t>认真贯彻执行《中国共产党党和国家机关基层组织工作条例》，以提升组织力为重点，巩固提升党支部标准化规范化建设水平；严格“三会一课”、组织生活会、谈心谈话等制度，按要求认真开展“党内法规学习季”学习，组织全体党员观看电影《邓小平小道》、参观“奋进新时代”主题成就展、“领航强军向复兴-新时代国防和军队现代化建设”成就展；组织年轻党员参加“喜迎二十大·奋进新征程”青年大联学、线上聆听红色故事等活动；与西城区外联办联合开展“参观京报馆”主题党日活动，与街道社区开展结对共建，参加疫情防控社区志愿服务；制定年度意识形态工作要点及责任分工，抓细抓实联络处意识形态工作，从严规范管理干部职工日常言行，规范微信、QQ工作群管理，关注干部职工思想动态，及时有效加以引导，推动党管意识形态工作落地落实。</w:t>
      </w:r>
    </w:p>
    <w:p>
      <w:pPr>
        <w:snapToGrid w:val="0"/>
        <w:spacing w:line="560" w:lineRule="exact"/>
        <w:ind w:firstLineChars="200" w:firstLine="640"/>
        <w:rPr>
          <w:rFonts w:ascii="仿宋" w:eastAsia="仿宋"/>
          <w:sz w:val="32"/>
          <w:szCs w:val="32"/>
          <w:lang w:val="zh-CN"/>
        </w:rPr>
      </w:pPr>
      <w:r>
        <w:rPr>
          <w:rFonts w:ascii="仿宋" w:eastAsia="仿宋" w:hint="eastAsia"/>
          <w:b/>
          <w:bCs/>
          <w:sz w:val="32"/>
          <w:szCs w:val="32"/>
          <w:lang w:val="zh-CN"/>
        </w:rPr>
        <w:t>（</w:t>
      </w:r>
      <w:r>
        <w:rPr>
          <w:rFonts w:ascii="仿宋" w:eastAsia="仿宋" w:hint="eastAsia"/>
          <w:b/>
          <w:bCs/>
          <w:sz w:val="32"/>
          <w:szCs w:val="32"/>
        </w:rPr>
        <w:t>3</w:t>
      </w:r>
      <w:r>
        <w:rPr>
          <w:rFonts w:ascii="仿宋" w:eastAsia="仿宋" w:hint="eastAsia"/>
          <w:b/>
          <w:bCs/>
          <w:sz w:val="32"/>
          <w:szCs w:val="32"/>
          <w:lang w:val="zh-CN"/>
        </w:rPr>
        <w:t>）锻造高素质驻京干部队伍。</w:t>
      </w:r>
      <w:r>
        <w:rPr>
          <w:rFonts w:ascii="仿宋" w:eastAsia="仿宋" w:hint="eastAsia"/>
          <w:sz w:val="32"/>
          <w:szCs w:val="32"/>
          <w:lang w:val="zh-CN"/>
        </w:rPr>
        <w:t>坚持无特殊情况每周一工作例会前学习制度，加强政治引领和思想教育，坚持用习近平新时代中国特色社会主义思想教育人、用党的理想信念凝聚人、用社会主义核心价值观培育人、用中华民族伟大复兴历史使命激励人，锤炼忠诚干净担当的过硬品质和作风，把对党忠诚当作驻京干部第一位的要求、把心向阳光、干净担当作为驻京干部的基本底线和最鲜明的特质，努力打造一个让市委市政府放心、干部职工信赖、群众满意的坚强班子和一支政治上靠得住、工作上有本事、纪律上守规矩、作风上过得硬的驻京干部队伍。</w:t>
      </w:r>
    </w:p>
    <w:p>
      <w:pPr>
        <w:snapToGrid w:val="0"/>
        <w:spacing w:line="560" w:lineRule="exact"/>
        <w:ind w:firstLineChars="200" w:firstLine="640"/>
        <w:rPr>
          <w:rFonts w:ascii="仿宋" w:eastAsia="仿宋"/>
          <w:sz w:val="32"/>
          <w:szCs w:val="32"/>
          <w:lang w:val="zh-CN"/>
        </w:rPr>
      </w:pPr>
      <w:r>
        <w:rPr>
          <w:rFonts w:ascii="仿宋" w:eastAsia="仿宋" w:hint="eastAsia"/>
          <w:b/>
          <w:bCs/>
          <w:sz w:val="32"/>
          <w:szCs w:val="32"/>
          <w:lang w:val="zh-CN"/>
        </w:rPr>
        <w:t>（</w:t>
      </w:r>
      <w:r>
        <w:rPr>
          <w:rFonts w:ascii="仿宋" w:eastAsia="仿宋" w:hint="eastAsia"/>
          <w:b/>
          <w:bCs/>
          <w:sz w:val="32"/>
          <w:szCs w:val="32"/>
        </w:rPr>
        <w:t>4</w:t>
      </w:r>
      <w:r>
        <w:rPr>
          <w:rFonts w:ascii="仿宋" w:eastAsia="仿宋" w:hint="eastAsia"/>
          <w:b/>
          <w:bCs/>
          <w:sz w:val="32"/>
          <w:szCs w:val="32"/>
          <w:lang w:val="zh-CN"/>
        </w:rPr>
        <w:t>）持之以恒正风肃纪。</w:t>
      </w:r>
      <w:r>
        <w:rPr>
          <w:rFonts w:ascii="仿宋" w:eastAsia="仿宋" w:hint="eastAsia"/>
          <w:sz w:val="32"/>
          <w:szCs w:val="32"/>
          <w:lang w:val="zh-CN"/>
        </w:rPr>
        <w:t>学习贯彻十九届中央纪委六次全会、省纪委十一届六次全会、市纪委十一届二次全会精神，加强元旦春节、清明端午等重要节假日期间的廉政提醒，按要求开展年度“一报三刊”征订及《忏悔录》、《漫说“六大纪律”》等廉政资料的专题学习；按照市纪委监委、市财政局、市委组织部等部门要求及时开展借培训名义搞公款旅游问题排查整治、严肃财经纪律、违规发放津补贴、违规因私出国（境）、违规兼职及人事档案规范等专项排查整治工作并按时上报相关情况；开展年度党员领导干部廉政提醒知识测试2次；在醒目位置张贴举报电话，加强日常监督；力戒形式主义、官僚主义，坚决防止“四风”问题反弹回潮，持续推进精文减会、机关节能、垃圾分类等工作，着力提升工作质效；从治标入手，把治本寓于治标之中，让党员干部因敬畏而“不敢”，因制度而“不能”，因觉悟而“不想”。2022年，支部共召开5次党风廉政建设专题会。</w:t>
      </w:r>
    </w:p>
    <w:p>
      <w:pPr>
        <w:snapToGrid w:val="0"/>
        <w:spacing w:line="560" w:lineRule="exact"/>
        <w:ind w:firstLineChars="200" w:firstLine="640"/>
        <w:rPr>
          <w:rStyle w:val="54"/>
          <w:rFonts w:ascii="方正楷体_GBK" w:eastAsia="方正楷体_GBK" w:cs="方正楷体_GBK"/>
          <w:b/>
          <w:szCs w:val="32"/>
        </w:rPr>
      </w:pPr>
      <w:r>
        <w:rPr>
          <w:rStyle w:val="54"/>
          <w:rFonts w:ascii="方正楷体_GBK" w:eastAsia="方正楷体_GBK" w:cs="方正楷体_GBK" w:hint="eastAsia"/>
          <w:b/>
          <w:szCs w:val="32"/>
        </w:rPr>
        <w:t>3.坚持责任担当，打好常态化疫情防控攻坚战</w:t>
      </w:r>
    </w:p>
    <w:p>
      <w:pPr>
        <w:snapToGrid w:val="0"/>
        <w:spacing w:line="560" w:lineRule="exact"/>
        <w:ind w:firstLineChars="200" w:firstLine="640"/>
        <w:rPr>
          <w:rStyle w:val="54"/>
          <w:rFonts w:eastAsia="方正仿宋_GBK"/>
          <w:szCs w:val="32"/>
        </w:rPr>
      </w:pPr>
      <w:r>
        <w:rPr>
          <w:rStyle w:val="54"/>
          <w:rFonts w:ascii="方正仿宋_GBK" w:eastAsia="方正仿宋_GBK" w:hint="eastAsia"/>
          <w:szCs w:val="32"/>
        </w:rPr>
        <w:t>今年以来，北京市疫情防控形势异常严峻。按照北京市、西城区要求，从严压实单位和个人责任，制定了工作预案，完善了防疫档案，开展防疫知识宣传，坚持每日向省驻京办事处上报单位人员健康、离返京人员及人员隔离等信息。党的二十大期间，分别向北京市、西城区、国管局办管司及省驻京办报送我市在京人员情况，排查我市在京务工人员情况，建立动态台账，每日保持联系并上报；督促攀枝花大厦内客房及餐厅做好疫情防控“一米线”、体温监测、消杀消毒等日常工作；加强大厦消防、防汛、用气用电、供暖等安全管理，制定应急预案，落实安全责任人，定期开展联合安全大检查；落实公务车辆安全责任制，组织驾乘人员开展安全驾驶知识学习培训并与街道安委会签订全年安全责任书，层层落实责任，切实做到疫情要防住、经济要稳住、发展要安全</w:t>
      </w:r>
      <w:r>
        <w:rPr>
          <w:rStyle w:val="54"/>
          <w:rFonts w:eastAsia="方正仿宋_GBK" w:hint="eastAsia"/>
          <w:szCs w:val="32"/>
        </w:rPr>
        <w:t>。</w:t>
      </w:r>
    </w:p>
    <w:p>
      <w:pPr>
        <w:widowControl/>
        <w:adjustRightInd w:val="0"/>
        <w:snapToGrid w:val="0"/>
        <w:spacing w:line="560" w:lineRule="exact"/>
        <w:ind w:firstLineChars="200" w:firstLine="640"/>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（四）部门整体支出绩效目标。</w:t>
      </w:r>
    </w:p>
    <w:p>
      <w:pPr>
        <w:widowControl/>
        <w:adjustRightInd w:val="0"/>
        <w:snapToGrid w:val="0"/>
        <w:spacing w:line="580" w:lineRule="exact"/>
        <w:ind w:firstLineChars="200" w:firstLine="640"/>
        <w:contextualSpacing/>
        <w:jc w:val="left"/>
        <w:rPr>
          <w:rFonts w:ascii="方正黑体_GBK" w:eastAsia="方正黑体_GBK" w:cs="方正黑体_GBK"/>
          <w:color w:val="000000"/>
          <w:kern w:val="0"/>
          <w:sz w:val="32"/>
          <w:szCs w:val="32"/>
          <w:shd w:val="clear" w:color="auto" w:fill="FFFFFF"/>
        </w:rPr>
      </w:pPr>
      <w:r>
        <w:rPr>
          <w:rStyle w:val="54"/>
          <w:rFonts w:ascii="方正仿宋_GBK" w:eastAsia="方正仿宋_GBK" w:cs="Arial" w:hint="eastAsia"/>
          <w:szCs w:val="32"/>
        </w:rPr>
        <w:t xml:space="preserve">用于联络处正常人员支出，包括职工基本工资、津贴补贴、绩效工资、养老金等工资性支出；保证养老保险、职业年金、医疗保险、住房公积金等按期足额上缴；保证联络处日常工作正常开展，保证业务工作圆满完成。 </w:t>
      </w:r>
      <w:r>
        <w:rPr>
          <w:rFonts w:ascii="方正黑体_GBK" w:eastAsia="方正黑体_GBK" w:cs="方正黑体_GBK" w:hint="eastAsia"/>
          <w:color w:val="000000"/>
          <w:kern w:val="0"/>
          <w:sz w:val="32"/>
          <w:szCs w:val="32"/>
          <w:shd w:val="clear" w:color="auto" w:fill="FFFFFF"/>
        </w:rPr>
        <w:t xml:space="preserve">  </w:t>
      </w:r>
    </w:p>
    <w:p>
      <w:pPr>
        <w:widowControl/>
        <w:adjustRightInd w:val="0"/>
        <w:snapToGrid w:val="0"/>
        <w:spacing w:line="580" w:lineRule="exact"/>
        <w:ind w:firstLineChars="200" w:firstLine="640"/>
        <w:contextualSpacing/>
        <w:jc w:val="left"/>
        <w:rPr>
          <w:rFonts w:ascii="方正黑体_GBK" w:eastAsia="方正黑体_GBK" w:cs="方正黑体_GBK"/>
          <w:color w:val="000000"/>
          <w:kern w:val="0"/>
          <w:sz w:val="32"/>
          <w:szCs w:val="32"/>
          <w:shd w:val="clear" w:color="auto" w:fill="FFFFFF"/>
        </w:rPr>
      </w:pPr>
      <w:r>
        <w:rPr>
          <w:rFonts w:ascii="方正黑体_GBK" w:eastAsia="方正黑体_GBK" w:cs="方正黑体_GBK" w:hint="eastAsia"/>
          <w:color w:val="000000"/>
          <w:kern w:val="0"/>
          <w:sz w:val="32"/>
          <w:szCs w:val="32"/>
          <w:shd w:val="clear" w:color="auto" w:fill="FFFFFF"/>
        </w:rPr>
        <w:t>二、部门资金收支情况</w:t>
      </w:r>
    </w:p>
    <w:p>
      <w:pPr>
        <w:widowControl/>
        <w:adjustRightInd w:val="0"/>
        <w:snapToGrid w:val="0"/>
        <w:spacing w:line="560" w:lineRule="exact"/>
        <w:ind w:firstLineChars="200" w:firstLine="640"/>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（一）部门总体收支情况。</w:t>
      </w:r>
    </w:p>
    <w:p>
      <w:pPr>
        <w:widowControl/>
        <w:adjustRightInd w:val="0"/>
        <w:snapToGrid w:val="0"/>
        <w:spacing w:line="580" w:lineRule="exact"/>
        <w:ind w:firstLineChars="200" w:firstLine="640"/>
        <w:contextualSpacing/>
        <w:jc w:val="left"/>
        <w:rPr>
          <w:rFonts w:ascii="仿宋_GB2312" w:eastAsia="仿宋_GB2312" w:cs="仿宋_GB2312"/>
          <w:kern w:val="0"/>
          <w:sz w:val="32"/>
          <w:szCs w:val="32"/>
          <w:shd w:val="clear" w:color="auto" w:fill="FFFFFF"/>
          <w:lang w:val="zh-CN"/>
        </w:rPr>
      </w:pPr>
      <w:r>
        <w:rPr>
          <w:rFonts w:ascii="仿宋_GB2312" w:eastAsia="仿宋_GB2312" w:cs="仿宋_GB2312" w:hint="eastAsia"/>
          <w:kern w:val="0"/>
          <w:sz w:val="32"/>
          <w:szCs w:val="32"/>
          <w:shd w:val="clear" w:color="auto" w:fill="FFFFFF"/>
        </w:rPr>
        <w:t>1.</w:t>
      </w:r>
      <w:r>
        <w:rPr>
          <w:rFonts w:ascii="仿宋_GB2312" w:eastAsia="仿宋_GB2312" w:cs="仿宋_GB2312" w:hint="eastAsia"/>
          <w:kern w:val="0"/>
          <w:sz w:val="32"/>
          <w:szCs w:val="32"/>
          <w:shd w:val="clear" w:color="auto" w:fill="FFFFFF"/>
          <w:lang w:val="zh-CN"/>
        </w:rPr>
        <w:t>部门总体收入情况。</w:t>
      </w:r>
    </w:p>
    <w:p>
      <w:pPr>
        <w:pStyle w:val="29"/>
        <w:ind w:firstLineChars="200" w:firstLine="640"/>
        <w:rPr>
          <w:szCs w:val="32"/>
          <w:lang w:val="zh-CN"/>
        </w:rPr>
      </w:pPr>
      <w:r>
        <w:rPr>
          <w:rFonts w:eastAsia="仿宋_GB2312"/>
          <w:bCs/>
          <w:szCs w:val="32"/>
        </w:rPr>
        <w:t>20</w:t>
      </w:r>
      <w:r>
        <w:rPr>
          <w:rFonts w:eastAsia="仿宋_GB2312" w:hint="eastAsia"/>
          <w:bCs/>
          <w:szCs w:val="32"/>
        </w:rPr>
        <w:t>22</w:t>
      </w:r>
      <w:r>
        <w:rPr>
          <w:rFonts w:ascii="方正仿宋_GBK" w:eastAsia="方正仿宋_GBK" w:cs="方正仿宋_GBK" w:hint="eastAsia"/>
          <w:szCs w:val="32"/>
        </w:rPr>
        <w:t>年年初预算安排</w:t>
      </w:r>
      <w:r>
        <w:rPr>
          <w:rFonts w:eastAsia="仿宋_GB2312" w:hint="eastAsia"/>
          <w:bCs/>
          <w:szCs w:val="32"/>
        </w:rPr>
        <w:t>204.79</w:t>
      </w:r>
      <w:r>
        <w:rPr>
          <w:rFonts w:ascii="方正仿宋_GBK" w:eastAsia="方正仿宋_GBK" w:cs="方正仿宋_GBK" w:hint="eastAsia"/>
          <w:szCs w:val="32"/>
        </w:rPr>
        <w:t>万元，调整后一般公共财政预算拨款收入</w:t>
      </w:r>
      <w:r>
        <w:rPr>
          <w:rFonts w:eastAsia="方正仿宋_GBK" w:hint="eastAsia"/>
          <w:szCs w:val="32"/>
        </w:rPr>
        <w:t>223.7万</w:t>
      </w:r>
      <w:r>
        <w:rPr>
          <w:rFonts w:ascii="方正仿宋_GBK" w:eastAsia="方正仿宋_GBK" w:cs="方正仿宋_GBK" w:hint="eastAsia"/>
          <w:szCs w:val="32"/>
        </w:rPr>
        <w:t>元，其他收入</w:t>
      </w:r>
      <w:r>
        <w:rPr>
          <w:rFonts w:eastAsia="方正仿宋_GBK" w:hint="eastAsia"/>
          <w:szCs w:val="32"/>
        </w:rPr>
        <w:t>0.2</w:t>
      </w:r>
      <w:r>
        <w:rPr>
          <w:rFonts w:ascii="方正仿宋_GBK" w:eastAsia="方正仿宋_GBK" w:cs="方正仿宋_GBK" w:hint="eastAsia"/>
          <w:szCs w:val="32"/>
        </w:rPr>
        <w:t>万元。</w:t>
      </w:r>
    </w:p>
    <w:p>
      <w:pPr>
        <w:pStyle w:val="29"/>
        <w:ind w:firstLineChars="200" w:firstLine="640"/>
        <w:rPr>
          <w:rFonts w:ascii="仿宋_GB2312" w:eastAsia="仿宋_GB2312" w:cs="仿宋_GB2312"/>
          <w:kern w:val="0"/>
          <w:szCs w:val="32"/>
          <w:shd w:val="clear" w:color="auto" w:fill="FFFFFF"/>
          <w:lang w:val="zh-CN"/>
        </w:rPr>
      </w:pPr>
      <w:r>
        <w:rPr>
          <w:rFonts w:ascii="仿宋_GB2312" w:eastAsia="仿宋_GB2312" w:cs="仿宋_GB2312" w:hint="eastAsia"/>
          <w:kern w:val="0"/>
          <w:szCs w:val="32"/>
          <w:shd w:val="clear" w:color="auto" w:fill="FFFFFF"/>
        </w:rPr>
        <w:t>2.</w:t>
      </w:r>
      <w:r>
        <w:rPr>
          <w:rFonts w:ascii="仿宋_GB2312" w:eastAsia="仿宋_GB2312" w:cs="仿宋_GB2312" w:hint="eastAsia"/>
          <w:kern w:val="0"/>
          <w:szCs w:val="32"/>
          <w:shd w:val="clear" w:color="auto" w:fill="FFFFFF"/>
          <w:lang w:val="zh-CN"/>
        </w:rPr>
        <w:t>部门总体支出情况</w:t>
      </w:r>
    </w:p>
    <w:p>
      <w:pPr>
        <w:pStyle w:val="29"/>
        <w:ind w:firstLineChars="200" w:firstLine="640"/>
        <w:rPr>
          <w:rFonts w:eastAsia="仿宋_GB2312"/>
          <w:bCs/>
          <w:szCs w:val="32"/>
        </w:rPr>
      </w:pPr>
      <w:r>
        <w:rPr>
          <w:rFonts w:ascii="方正仿宋_GBK" w:eastAsia="方正仿宋_GBK" w:cs="方正仿宋_GBK" w:hint="eastAsia"/>
          <w:bCs/>
          <w:szCs w:val="32"/>
        </w:rPr>
        <w:t>全年决算支出数为</w:t>
      </w:r>
      <w:r>
        <w:rPr>
          <w:rFonts w:eastAsia="方正仿宋_GBK" w:hint="eastAsia"/>
          <w:szCs w:val="32"/>
        </w:rPr>
        <w:t>228.35万</w:t>
      </w:r>
      <w:r>
        <w:rPr>
          <w:rFonts w:ascii="方正仿宋_GBK" w:eastAsia="方正仿宋_GBK" w:cs="方正仿宋_GBK" w:hint="eastAsia"/>
          <w:bCs/>
          <w:szCs w:val="32"/>
        </w:rPr>
        <w:t>元，年末无结余资金。基本支出决算数</w:t>
      </w:r>
      <w:r>
        <w:rPr>
          <w:rFonts w:eastAsia="仿宋_GB2312" w:hint="eastAsia"/>
          <w:bCs/>
          <w:szCs w:val="32"/>
        </w:rPr>
        <w:t>218.35万</w:t>
      </w:r>
      <w:r>
        <w:rPr>
          <w:rFonts w:ascii="方正仿宋_GBK" w:eastAsia="方正仿宋_GBK" w:cs="方正仿宋_GBK" w:hint="eastAsia"/>
          <w:bCs/>
          <w:szCs w:val="32"/>
        </w:rPr>
        <w:t>元，占总支出的</w:t>
      </w:r>
      <w:r>
        <w:rPr>
          <w:rFonts w:eastAsia="仿宋_GB2312" w:hint="eastAsia"/>
          <w:bCs/>
          <w:szCs w:val="32"/>
        </w:rPr>
        <w:t>95.62</w:t>
      </w:r>
      <w:r>
        <w:rPr>
          <w:rFonts w:eastAsia="仿宋_GB2312"/>
          <w:bCs/>
          <w:szCs w:val="32"/>
        </w:rPr>
        <w:t>%</w:t>
      </w:r>
      <w:r>
        <w:rPr>
          <w:rFonts w:ascii="方正仿宋_GBK" w:eastAsia="方正仿宋_GBK" w:cs="方正仿宋_GBK" w:hint="eastAsia"/>
          <w:bCs/>
          <w:szCs w:val="32"/>
        </w:rPr>
        <w:t>；项目支出决算数</w:t>
      </w:r>
      <w:r>
        <w:rPr>
          <w:rFonts w:eastAsia="方正仿宋_GBK"/>
          <w:bCs/>
          <w:szCs w:val="32"/>
        </w:rPr>
        <w:t>10</w:t>
      </w:r>
      <w:r>
        <w:rPr>
          <w:rFonts w:ascii="方正仿宋_GBK" w:eastAsia="方正仿宋_GBK" w:cs="方正仿宋_GBK" w:hint="eastAsia"/>
          <w:bCs/>
          <w:szCs w:val="32"/>
        </w:rPr>
        <w:t>万元，占总支出的</w:t>
      </w:r>
      <w:r>
        <w:rPr>
          <w:rFonts w:eastAsia="仿宋_GB2312" w:hint="eastAsia"/>
          <w:bCs/>
          <w:szCs w:val="32"/>
        </w:rPr>
        <w:t>4.38</w:t>
      </w:r>
      <w:r>
        <w:rPr>
          <w:rFonts w:eastAsia="仿宋_GB2312"/>
          <w:bCs/>
          <w:szCs w:val="32"/>
        </w:rPr>
        <w:t>%</w:t>
      </w:r>
      <w:r>
        <w:rPr>
          <w:rFonts w:eastAsia="仿宋_GB2312" w:hint="eastAsia"/>
          <w:bCs/>
          <w:szCs w:val="32"/>
        </w:rPr>
        <w:t>。</w:t>
      </w:r>
    </w:p>
    <w:p>
      <w:pPr>
        <w:pStyle w:val="29"/>
        <w:ind w:firstLineChars="200" w:firstLine="640"/>
        <w:rPr>
          <w:rFonts w:ascii="仿宋_GB2312" w:eastAsia="仿宋_GB2312" w:cs="仿宋_GB2312"/>
          <w:kern w:val="0"/>
          <w:szCs w:val="32"/>
          <w:shd w:val="clear" w:color="auto" w:fill="FFFFFF"/>
        </w:rPr>
      </w:pPr>
      <w:r>
        <w:rPr>
          <w:rFonts w:ascii="仿宋_GB2312" w:eastAsia="仿宋_GB2312" w:cs="仿宋_GB2312" w:hint="eastAsia"/>
          <w:kern w:val="0"/>
          <w:szCs w:val="32"/>
          <w:shd w:val="clear" w:color="auto" w:fill="FFFFFF"/>
        </w:rPr>
        <w:t>3</w:t>
      </w:r>
      <w:r>
        <w:rPr>
          <w:rFonts w:ascii="仿宋_GB2312" w:eastAsia="仿宋_GB2312" w:cs="仿宋_GB2312"/>
          <w:kern w:val="0"/>
          <w:szCs w:val="32"/>
          <w:shd w:val="clear" w:color="auto" w:fill="FFFFFF"/>
        </w:rPr>
        <w:t>.部门总体结转结余情况</w:t>
      </w:r>
    </w:p>
    <w:p>
      <w:pPr>
        <w:pStyle w:val="29"/>
        <w:ind w:firstLineChars="200" w:firstLine="640"/>
        <w:rPr>
          <w:rFonts w:ascii="方正仿宋_GBK" w:eastAsia="方正仿宋_GBK" w:cs="方正仿宋_GBK"/>
          <w:szCs w:val="32"/>
        </w:rPr>
      </w:pPr>
      <w:r>
        <w:rPr>
          <w:rFonts w:eastAsia="仿宋_GB2312" w:hint="eastAsia"/>
          <w:bCs/>
          <w:szCs w:val="32"/>
        </w:rPr>
        <w:t>2022年</w:t>
      </w:r>
      <w:r>
        <w:rPr>
          <w:rFonts w:ascii="方正仿宋_GBK" w:eastAsia="方正仿宋_GBK" w:cs="方正仿宋_GBK" w:hint="eastAsia"/>
          <w:szCs w:val="32"/>
        </w:rPr>
        <w:t>年初财政拨款结转</w:t>
      </w:r>
      <w:r>
        <w:rPr>
          <w:rFonts w:eastAsia="方正仿宋_GBK"/>
          <w:szCs w:val="32"/>
        </w:rPr>
        <w:t>4.63</w:t>
      </w:r>
      <w:r>
        <w:rPr>
          <w:rFonts w:ascii="方正仿宋_GBK" w:eastAsia="方正仿宋_GBK" w:cs="方正仿宋_GBK" w:hint="eastAsia"/>
          <w:szCs w:val="32"/>
        </w:rPr>
        <w:t>万元。</w:t>
      </w:r>
    </w:p>
    <w:p>
      <w:pPr>
        <w:widowControl/>
        <w:adjustRightInd w:val="0"/>
        <w:snapToGrid w:val="0"/>
        <w:spacing w:line="560" w:lineRule="exact"/>
        <w:ind w:firstLineChars="200" w:firstLine="640"/>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（二）部门财政拨款收支情况。</w:t>
      </w:r>
    </w:p>
    <w:p>
      <w:pPr>
        <w:widowControl/>
        <w:adjustRightInd w:val="0"/>
        <w:snapToGrid w:val="0"/>
        <w:spacing w:line="560" w:lineRule="exact"/>
        <w:ind w:firstLineChars="200" w:firstLine="640"/>
        <w:contextualSpacing/>
        <w:jc w:val="left"/>
        <w:rPr>
          <w:rFonts w:ascii="仿宋_GB2312" w:eastAsia="仿宋_GB2312" w:cs="仿宋_GB2312"/>
          <w:kern w:val="0"/>
          <w:sz w:val="32"/>
          <w:szCs w:val="32"/>
          <w:shd w:val="clear" w:color="auto" w:fill="FFFFFF"/>
        </w:rPr>
      </w:pPr>
      <w:r>
        <w:rPr>
          <w:rFonts w:ascii="仿宋_GB2312" w:eastAsia="仿宋_GB2312" w:cs="仿宋_GB2312" w:hint="eastAsia"/>
          <w:kern w:val="0"/>
          <w:sz w:val="32"/>
          <w:szCs w:val="32"/>
          <w:shd w:val="clear" w:color="auto" w:fill="FFFFFF"/>
        </w:rPr>
        <w:t>1.部门财政拨款收入情况</w:t>
      </w:r>
    </w:p>
    <w:p>
      <w:pPr>
        <w:widowControl/>
        <w:adjustRightInd w:val="0"/>
        <w:snapToGrid w:val="0"/>
        <w:spacing w:line="560" w:lineRule="exact"/>
        <w:ind w:firstLineChars="200" w:firstLine="640"/>
        <w:contextualSpacing/>
        <w:jc w:val="left"/>
        <w:rPr>
          <w:rFonts w:ascii="仿宋_GB2312" w:eastAsia="仿宋_GB2312" w:cs="仿宋_GB2312"/>
          <w:kern w:val="0"/>
          <w:sz w:val="32"/>
          <w:szCs w:val="32"/>
          <w:shd w:val="clear" w:color="auto" w:fill="FFFFFF"/>
        </w:rPr>
      </w:pPr>
      <w:r>
        <w:rPr>
          <w:rFonts w:eastAsia="仿宋_GB2312"/>
          <w:bCs/>
          <w:sz w:val="32"/>
          <w:szCs w:val="32"/>
        </w:rPr>
        <w:t>20</w:t>
      </w:r>
      <w:r>
        <w:rPr>
          <w:rFonts w:eastAsia="仿宋_GB2312" w:hint="eastAsia"/>
          <w:bCs/>
          <w:sz w:val="32"/>
          <w:szCs w:val="32"/>
        </w:rPr>
        <w:t>22</w:t>
      </w:r>
      <w:r>
        <w:rPr>
          <w:rFonts w:ascii="方正仿宋_GBK" w:eastAsia="方正仿宋_GBK" w:cs="方正仿宋_GBK" w:hint="eastAsia"/>
          <w:sz w:val="32"/>
          <w:szCs w:val="32"/>
        </w:rPr>
        <w:t>年年初预算安排</w:t>
      </w:r>
      <w:r>
        <w:rPr>
          <w:rFonts w:eastAsia="仿宋_GB2312" w:hint="eastAsia"/>
          <w:bCs/>
          <w:sz w:val="32"/>
          <w:szCs w:val="32"/>
        </w:rPr>
        <w:t>204.79</w:t>
      </w:r>
      <w:r>
        <w:rPr>
          <w:rFonts w:ascii="方正仿宋_GBK" w:eastAsia="方正仿宋_GBK" w:cs="方正仿宋_GBK" w:hint="eastAsia"/>
          <w:sz w:val="32"/>
          <w:szCs w:val="32"/>
        </w:rPr>
        <w:t>万元，调整后一般公共财政预算拨款收入</w:t>
      </w:r>
      <w:r>
        <w:rPr>
          <w:rFonts w:eastAsia="方正仿宋_GBK" w:hint="eastAsia"/>
          <w:sz w:val="32"/>
          <w:szCs w:val="32"/>
        </w:rPr>
        <w:t>223.7万</w:t>
      </w:r>
      <w:r>
        <w:rPr>
          <w:rFonts w:ascii="方正仿宋_GBK" w:eastAsia="方正仿宋_GBK" w:cs="方正仿宋_GBK" w:hint="eastAsia"/>
          <w:sz w:val="32"/>
          <w:szCs w:val="32"/>
        </w:rPr>
        <w:t>元。</w:t>
      </w:r>
    </w:p>
    <w:p>
      <w:pPr>
        <w:widowControl/>
        <w:adjustRightInd w:val="0"/>
        <w:snapToGrid w:val="0"/>
        <w:spacing w:line="560" w:lineRule="exact"/>
        <w:ind w:firstLineChars="200" w:firstLine="640"/>
        <w:contextualSpacing/>
        <w:jc w:val="left"/>
        <w:rPr>
          <w:rFonts w:ascii="仿宋_GB2312" w:eastAsia="仿宋_GB2312" w:cs="仿宋_GB2312"/>
          <w:kern w:val="0"/>
          <w:sz w:val="32"/>
          <w:szCs w:val="32"/>
          <w:shd w:val="clear" w:color="auto" w:fill="FFFFFF"/>
        </w:rPr>
      </w:pPr>
      <w:r>
        <w:rPr>
          <w:rFonts w:ascii="仿宋_GB2312" w:eastAsia="仿宋_GB2312" w:cs="仿宋_GB2312" w:hint="eastAsia"/>
          <w:kern w:val="0"/>
          <w:sz w:val="32"/>
          <w:szCs w:val="32"/>
          <w:shd w:val="clear" w:color="auto" w:fill="FFFFFF"/>
        </w:rPr>
        <w:t>2.部门财政拨款支出情况</w:t>
      </w:r>
    </w:p>
    <w:p>
      <w:pPr>
        <w:pStyle w:val="29"/>
        <w:ind w:firstLineChars="200" w:firstLine="640"/>
      </w:pPr>
      <w:r>
        <w:rPr>
          <w:rFonts w:ascii="方正仿宋_GBK" w:eastAsia="方正仿宋_GBK" w:cs="方正仿宋_GBK" w:hint="eastAsia"/>
          <w:bCs/>
          <w:szCs w:val="32"/>
        </w:rPr>
        <w:t>全年决算支出数为</w:t>
      </w:r>
      <w:r>
        <w:rPr>
          <w:rFonts w:eastAsia="方正仿宋_GBK" w:hint="eastAsia"/>
          <w:szCs w:val="32"/>
        </w:rPr>
        <w:t>228.33万</w:t>
      </w:r>
      <w:r>
        <w:rPr>
          <w:rFonts w:ascii="方正仿宋_GBK" w:eastAsia="方正仿宋_GBK" w:cs="方正仿宋_GBK" w:hint="eastAsia"/>
          <w:bCs/>
          <w:szCs w:val="32"/>
        </w:rPr>
        <w:t>元，年末无结余资金。基本支出决算数</w:t>
      </w:r>
      <w:r>
        <w:rPr>
          <w:rFonts w:eastAsia="仿宋_GB2312" w:hint="eastAsia"/>
          <w:bCs/>
          <w:szCs w:val="32"/>
        </w:rPr>
        <w:t>218.33万</w:t>
      </w:r>
      <w:r>
        <w:rPr>
          <w:rFonts w:ascii="方正仿宋_GBK" w:eastAsia="方正仿宋_GBK" w:cs="方正仿宋_GBK" w:hint="eastAsia"/>
          <w:bCs/>
          <w:szCs w:val="32"/>
        </w:rPr>
        <w:t>元，占总支出的</w:t>
      </w:r>
      <w:r>
        <w:rPr>
          <w:rFonts w:eastAsia="仿宋_GB2312" w:hint="eastAsia"/>
          <w:bCs/>
          <w:szCs w:val="32"/>
        </w:rPr>
        <w:t>95.62</w:t>
      </w:r>
      <w:r>
        <w:rPr>
          <w:rFonts w:eastAsia="仿宋_GB2312"/>
          <w:bCs/>
          <w:szCs w:val="32"/>
        </w:rPr>
        <w:t>%</w:t>
      </w:r>
      <w:r>
        <w:rPr>
          <w:rFonts w:ascii="仿宋_GB2312" w:eastAsia="仿宋_GB2312" w:cs="仿宋_GB2312" w:hint="eastAsia"/>
          <w:bCs/>
          <w:szCs w:val="32"/>
        </w:rPr>
        <w:t>，</w:t>
      </w:r>
      <w:r>
        <w:rPr>
          <w:rFonts w:ascii="方正仿宋_GBK" w:eastAsia="方正仿宋_GBK" w:cs="方正仿宋_GBK" w:hint="eastAsia"/>
          <w:bCs/>
          <w:szCs w:val="32"/>
        </w:rPr>
        <w:t>其中人员经费</w:t>
      </w:r>
      <w:r>
        <w:rPr>
          <w:rFonts w:eastAsia="仿宋_GB2312" w:hint="eastAsia"/>
          <w:bCs/>
          <w:szCs w:val="32"/>
        </w:rPr>
        <w:t>161.67</w:t>
      </w:r>
      <w:r>
        <w:rPr>
          <w:rFonts w:ascii="方正仿宋_GBK" w:eastAsia="方正仿宋_GBK" w:cs="方正仿宋_GBK" w:hint="eastAsia"/>
          <w:bCs/>
          <w:szCs w:val="32"/>
        </w:rPr>
        <w:t>万元，日常公用经费支出</w:t>
      </w:r>
      <w:r>
        <w:rPr>
          <w:rFonts w:eastAsia="仿宋_GB2312" w:hint="eastAsia"/>
          <w:bCs/>
          <w:szCs w:val="32"/>
        </w:rPr>
        <w:t>56.66</w:t>
      </w:r>
      <w:r>
        <w:rPr>
          <w:rFonts w:ascii="方正仿宋_GBK" w:eastAsia="方正仿宋_GBK" w:cs="方正仿宋_GBK" w:hint="eastAsia"/>
          <w:bCs/>
          <w:szCs w:val="32"/>
        </w:rPr>
        <w:t>万元；项目支出决算数</w:t>
      </w:r>
      <w:r>
        <w:rPr>
          <w:rFonts w:eastAsia="方正仿宋_GBK"/>
          <w:bCs/>
          <w:szCs w:val="32"/>
        </w:rPr>
        <w:t>10</w:t>
      </w:r>
      <w:r>
        <w:rPr>
          <w:rFonts w:ascii="方正仿宋_GBK" w:eastAsia="方正仿宋_GBK" w:cs="方正仿宋_GBK" w:hint="eastAsia"/>
          <w:bCs/>
          <w:szCs w:val="32"/>
        </w:rPr>
        <w:t>万元，占总支出的</w:t>
      </w:r>
      <w:r>
        <w:rPr>
          <w:rFonts w:eastAsia="仿宋_GB2312" w:hint="eastAsia"/>
          <w:bCs/>
          <w:szCs w:val="32"/>
        </w:rPr>
        <w:t>4.38</w:t>
      </w:r>
      <w:r>
        <w:rPr>
          <w:rFonts w:eastAsia="仿宋_GB2312"/>
          <w:bCs/>
          <w:szCs w:val="32"/>
        </w:rPr>
        <w:t>%</w:t>
      </w:r>
      <w:r>
        <w:rPr>
          <w:rFonts w:eastAsia="仿宋_GB2312" w:hint="eastAsia"/>
          <w:bCs/>
          <w:szCs w:val="32"/>
        </w:rPr>
        <w:t>。</w:t>
      </w:r>
    </w:p>
    <w:p>
      <w:pPr>
        <w:widowControl/>
        <w:adjustRightInd w:val="0"/>
        <w:snapToGrid w:val="0"/>
        <w:spacing w:line="560" w:lineRule="exact"/>
        <w:ind w:firstLineChars="200" w:firstLine="640"/>
        <w:contextualSpacing/>
        <w:jc w:val="left"/>
        <w:rPr>
          <w:rFonts w:ascii="仿宋_GB2312" w:eastAsia="仿宋_GB2312" w:cs="仿宋_GB2312"/>
          <w:kern w:val="0"/>
          <w:sz w:val="32"/>
          <w:szCs w:val="32"/>
          <w:shd w:val="clear" w:color="auto" w:fill="FFFFFF"/>
        </w:rPr>
      </w:pPr>
      <w:r>
        <w:rPr>
          <w:rFonts w:ascii="仿宋_GB2312" w:eastAsia="仿宋_GB2312" w:cs="仿宋_GB2312" w:hint="eastAsia"/>
          <w:kern w:val="0"/>
          <w:sz w:val="32"/>
          <w:szCs w:val="32"/>
          <w:shd w:val="clear" w:color="auto" w:fill="FFFFFF"/>
        </w:rPr>
        <w:t>3.部门财政拨款结转结余情况</w:t>
      </w:r>
    </w:p>
    <w:p>
      <w:pPr>
        <w:pStyle w:val="29"/>
        <w:ind w:firstLineChars="200" w:firstLine="640"/>
        <w:rPr>
          <w:rFonts w:eastAsia="仿宋_GB2312"/>
        </w:rPr>
      </w:pPr>
      <w:r>
        <w:rPr>
          <w:rFonts w:eastAsia="仿宋_GB2312" w:hint="eastAsia"/>
          <w:bCs/>
          <w:szCs w:val="32"/>
        </w:rPr>
        <w:t>2022年</w:t>
      </w:r>
      <w:r>
        <w:rPr>
          <w:rFonts w:ascii="方正仿宋_GBK" w:eastAsia="方正仿宋_GBK" w:cs="方正仿宋_GBK" w:hint="eastAsia"/>
          <w:szCs w:val="32"/>
        </w:rPr>
        <w:t>年初财政拨款结转</w:t>
      </w:r>
      <w:r>
        <w:rPr>
          <w:rFonts w:eastAsia="方正仿宋_GBK"/>
          <w:szCs w:val="32"/>
        </w:rPr>
        <w:t>4.63</w:t>
      </w:r>
      <w:r>
        <w:rPr>
          <w:rFonts w:ascii="方正仿宋_GBK" w:eastAsia="方正仿宋_GBK" w:cs="方正仿宋_GBK" w:hint="eastAsia"/>
          <w:szCs w:val="32"/>
        </w:rPr>
        <w:t>万元。</w:t>
      </w:r>
    </w:p>
    <w:p>
      <w:pPr>
        <w:widowControl/>
        <w:adjustRightInd w:val="0"/>
        <w:snapToGrid w:val="0"/>
        <w:spacing w:line="580" w:lineRule="exact"/>
        <w:ind w:firstLineChars="200" w:firstLine="640"/>
        <w:contextualSpacing/>
        <w:jc w:val="left"/>
        <w:rPr>
          <w:rFonts w:ascii="方正黑体_GBK" w:eastAsia="方正黑体_GBK" w:cs="方正黑体_GBK"/>
          <w:color w:val="000000"/>
          <w:kern w:val="0"/>
          <w:sz w:val="32"/>
          <w:szCs w:val="32"/>
          <w:shd w:val="clear" w:color="auto" w:fill="FFFFFF"/>
        </w:rPr>
      </w:pPr>
      <w:r>
        <w:rPr>
          <w:rFonts w:ascii="方正黑体_GBK" w:eastAsia="方正黑体_GBK" w:cs="方正黑体_GBK" w:hint="eastAsia"/>
          <w:color w:val="000000"/>
          <w:kern w:val="0"/>
          <w:sz w:val="32"/>
          <w:szCs w:val="32"/>
          <w:shd w:val="clear" w:color="auto" w:fill="FFFFFF"/>
        </w:rPr>
        <w:t>三、部门整体绩效分析</w:t>
      </w:r>
    </w:p>
    <w:p>
      <w:pPr>
        <w:pStyle w:val="29"/>
        <w:ind w:firstLineChars="200" w:firstLine="640"/>
        <w:rPr>
          <w:rFonts w:ascii="楷体_GB2312" w:eastAsia="楷体_GB2312" w:cs="楷体_GB2312"/>
          <w:b/>
          <w:bCs/>
          <w:kern w:val="0"/>
          <w:szCs w:val="32"/>
          <w:shd w:val="clear" w:color="auto" w:fill="FFFFFF"/>
          <w:lang w:val="zh-CN"/>
        </w:rPr>
      </w:pPr>
      <w:r>
        <w:rPr>
          <w:rFonts w:ascii="楷体_GB2312" w:eastAsia="楷体_GB2312" w:cs="楷体_GB2312" w:hint="eastAsia"/>
          <w:b/>
          <w:bCs/>
          <w:kern w:val="0"/>
          <w:szCs w:val="32"/>
          <w:shd w:val="clear" w:color="auto" w:fill="FFFFFF"/>
          <w:lang w:val="zh-CN"/>
        </w:rPr>
        <w:t>（一）部门预算项目绩效分析。</w:t>
      </w:r>
    </w:p>
    <w:p>
      <w:pPr>
        <w:widowControl/>
        <w:adjustRightInd w:val="0"/>
        <w:snapToGrid w:val="0"/>
        <w:spacing w:line="560" w:lineRule="exact"/>
        <w:ind w:firstLineChars="200" w:firstLine="640"/>
        <w:contextualSpacing/>
        <w:jc w:val="left"/>
        <w:rPr>
          <w:rFonts w:ascii="仿宋_GB2312" w:eastAsia="仿宋_GB2312" w:cs="仿宋_GB2312"/>
          <w:kern w:val="0"/>
          <w:sz w:val="32"/>
          <w:szCs w:val="32"/>
          <w:shd w:val="clear" w:color="auto" w:fill="FFFFFF"/>
        </w:rPr>
      </w:pPr>
      <w:r>
        <w:rPr>
          <w:rFonts w:ascii="仿宋_GB2312" w:eastAsia="仿宋_GB2312" w:cs="仿宋_GB2312" w:hint="eastAsia"/>
          <w:kern w:val="0"/>
          <w:sz w:val="32"/>
          <w:szCs w:val="32"/>
          <w:shd w:val="clear" w:color="auto" w:fill="FFFFFF"/>
        </w:rPr>
        <w:t>1.人员类项目绩效分析</w:t>
      </w:r>
    </w:p>
    <w:p>
      <w:pPr>
        <w:widowControl/>
        <w:adjustRightInd w:val="0"/>
        <w:snapToGrid w:val="0"/>
        <w:spacing w:line="560" w:lineRule="exact"/>
        <w:ind w:firstLineChars="200" w:firstLine="640"/>
        <w:contextualSpacing/>
        <w:jc w:val="left"/>
        <w:rPr>
          <w:rFonts w:ascii="仿宋_GB2312" w:eastAsia="仿宋_GB2312" w:cs="仿宋_GB2312"/>
          <w:kern w:val="0"/>
          <w:sz w:val="32"/>
          <w:szCs w:val="32"/>
          <w:shd w:val="clear" w:color="auto" w:fill="FFFFFF"/>
        </w:rPr>
      </w:pPr>
      <w:r>
        <w:rPr>
          <w:rFonts w:ascii="仿宋_GB2312" w:eastAsia="仿宋_GB2312" w:cs="仿宋_GB2312" w:hint="eastAsia"/>
          <w:kern w:val="0"/>
          <w:sz w:val="32"/>
          <w:szCs w:val="32"/>
          <w:shd w:val="clear" w:color="auto" w:fill="FFFFFF"/>
          <w:lang w:val="zh-CN"/>
        </w:rPr>
        <w:t>部门绩效目标依据部门职能制定，人员类项目主要包括全面在编人员的基本工资、公务员的国家规定的津贴补贴、基础绩效奖励，事业人员绩效工资，退休人员房贴、生活补助、医疗费补助定期足额发放、在编人员五险一金定时足额扣缴。</w:t>
      </w:r>
      <w:r>
        <w:rPr>
          <w:rFonts w:ascii="仿宋_GB2312" w:eastAsia="仿宋_GB2312" w:cs="仿宋_GB2312" w:hint="eastAsia"/>
          <w:kern w:val="0"/>
          <w:sz w:val="32"/>
          <w:szCs w:val="32"/>
          <w:shd w:val="clear" w:color="auto" w:fill="FFFFFF"/>
        </w:rPr>
        <w:t>2022年人员经费预算安排161.67万元，年初人员经费预算安排147.04万元，年中追加部分主要原因为一是补发事业人员2020年度绩效奖；二是补发2021年10月至2022年12月基本工资调标部分；三是兑现退休人员2021年生活补助。以上支出按要求依规按月或按年定期发放，全面指出控制、执行进度、预算完成100%，年末无人员类资金结余和违规情况。</w:t>
      </w:r>
    </w:p>
    <w:p>
      <w:pPr>
        <w:widowControl/>
        <w:adjustRightInd w:val="0"/>
        <w:snapToGrid w:val="0"/>
        <w:spacing w:line="560" w:lineRule="exact"/>
        <w:ind w:firstLineChars="200" w:firstLine="640"/>
        <w:contextualSpacing/>
        <w:jc w:val="left"/>
        <w:rPr>
          <w:rFonts w:ascii="仿宋_GB2312" w:eastAsia="仿宋_GB2312" w:cs="仿宋_GB2312"/>
          <w:kern w:val="0"/>
          <w:sz w:val="32"/>
          <w:szCs w:val="32"/>
          <w:shd w:val="clear" w:color="auto" w:fill="FFFFFF"/>
        </w:rPr>
      </w:pPr>
      <w:r>
        <w:rPr>
          <w:rFonts w:ascii="仿宋_GB2312" w:eastAsia="仿宋_GB2312" w:cs="仿宋_GB2312" w:hint="eastAsia"/>
          <w:kern w:val="0"/>
          <w:sz w:val="32"/>
          <w:szCs w:val="32"/>
          <w:shd w:val="clear" w:color="auto" w:fill="FFFFFF"/>
        </w:rPr>
        <w:t>2.运转类项目绩效分析</w:t>
      </w:r>
    </w:p>
    <w:p>
      <w:pPr>
        <w:widowControl/>
        <w:adjustRightInd w:val="0"/>
        <w:snapToGrid w:val="0"/>
        <w:spacing w:line="560" w:lineRule="exact"/>
        <w:ind w:firstLineChars="200" w:firstLine="640"/>
        <w:contextualSpacing/>
        <w:jc w:val="left"/>
        <w:rPr>
          <w:rFonts w:ascii="仿宋_GB2312" w:eastAsia="仿宋_GB2312" w:cs="仿宋_GB2312"/>
          <w:kern w:val="0"/>
          <w:sz w:val="32"/>
          <w:szCs w:val="32"/>
          <w:shd w:val="clear" w:color="auto" w:fill="FFFFFF"/>
        </w:rPr>
      </w:pPr>
      <w:r>
        <w:rPr>
          <w:rFonts w:ascii="仿宋_GB2312" w:eastAsia="仿宋_GB2312" w:cs="仿宋_GB2312" w:hint="eastAsia"/>
          <w:kern w:val="0"/>
          <w:sz w:val="32"/>
          <w:szCs w:val="32"/>
          <w:shd w:val="clear" w:color="auto" w:fill="FFFFFF"/>
        </w:rPr>
        <w:t>运转类项目主要是维持单位基本运转的各类商品服务，包括办公费、水费、电费、邮电费、差旅费、“三公”经费等。2022年度日常公用经费支出56.66万元，年初预算数为57.07万元，因贯彻落实过紧日子要求，加强内部控制管理，严把公用经费使用关，严格控制预算执行，压减公务用车运行维护等各项公用经费支出的同时，延期支付维修费等有关费用。预算执行率为100%，预算全面完成，年末无运转类资金结余和违规情况。</w:t>
      </w:r>
    </w:p>
    <w:p>
      <w:pPr>
        <w:widowControl/>
        <w:adjustRightInd w:val="0"/>
        <w:snapToGrid w:val="0"/>
        <w:spacing w:line="560" w:lineRule="exact"/>
        <w:ind w:firstLineChars="200" w:firstLine="640"/>
        <w:contextualSpacing/>
        <w:jc w:val="left"/>
        <w:rPr>
          <w:rFonts w:ascii="仿宋_GB2312" w:eastAsia="仿宋_GB2312" w:cs="仿宋_GB2312"/>
          <w:kern w:val="0"/>
          <w:sz w:val="32"/>
          <w:szCs w:val="32"/>
          <w:shd w:val="clear" w:color="auto" w:fill="FFFFFF"/>
        </w:rPr>
      </w:pPr>
      <w:r>
        <w:rPr>
          <w:rFonts w:ascii="仿宋_GB2312" w:eastAsia="仿宋_GB2312" w:cs="仿宋_GB2312" w:hint="eastAsia"/>
          <w:kern w:val="0"/>
          <w:sz w:val="32"/>
          <w:szCs w:val="32"/>
          <w:shd w:val="clear" w:color="auto" w:fill="FFFFFF"/>
        </w:rPr>
        <w:t>3.特定目标类项目绩效分析</w:t>
      </w:r>
    </w:p>
    <w:p>
      <w:pPr>
        <w:pStyle w:val="29"/>
        <w:ind w:firstLineChars="200" w:firstLine="640"/>
        <w:rPr>
          <w:rFonts w:ascii="方正仿宋_GBK" w:eastAsia="方正仿宋_GBK" w:cs="方正仿宋_GBK"/>
          <w:szCs w:val="32"/>
        </w:rPr>
      </w:pPr>
      <w:r>
        <w:rPr>
          <w:rFonts w:eastAsia="方正楷体_GBK" w:hint="eastAsia"/>
          <w:szCs w:val="32"/>
        </w:rPr>
        <w:t>2022</w:t>
      </w:r>
      <w:r>
        <w:rPr>
          <w:rFonts w:ascii="方正仿宋_GBK" w:eastAsia="方正仿宋_GBK" w:cs="方正仿宋_GBK" w:hint="eastAsia"/>
          <w:szCs w:val="32"/>
        </w:rPr>
        <w:t>年追加项目资金</w:t>
      </w:r>
      <w:r>
        <w:rPr>
          <w:rFonts w:eastAsia="方正楷体_GBK" w:hint="eastAsia"/>
          <w:szCs w:val="32"/>
        </w:rPr>
        <w:t>10</w:t>
      </w:r>
      <w:r>
        <w:rPr>
          <w:rFonts w:ascii="方正仿宋_GBK" w:eastAsia="方正仿宋_GBK" w:cs="方正仿宋_GBK" w:hint="eastAsia"/>
          <w:szCs w:val="32"/>
        </w:rPr>
        <w:t>万元业务运行费，用于支付财政专线、办公网络租用等日常公用经费不足的补充，保障了全年工作正常运行和开展。预算全部完成，数量指标、质量指标、时效指标和成本指标等产出指标达到预期指标，无资金结余和违规记录。</w:t>
      </w:r>
    </w:p>
    <w:p>
      <w:pPr>
        <w:widowControl/>
        <w:adjustRightInd w:val="0"/>
        <w:snapToGrid w:val="0"/>
        <w:spacing w:line="560" w:lineRule="exact"/>
        <w:ind w:firstLineChars="200" w:firstLine="640"/>
        <w:contextualSpacing/>
        <w:jc w:val="left"/>
        <w:rPr>
          <w:rFonts w:ascii="楷体_GB2312" w:eastAsia="楷体_GB2312" w:cs="楷体_GB2312"/>
          <w:b/>
          <w:bCs/>
          <w:kern w:val="0"/>
          <w:sz w:val="32"/>
          <w:szCs w:val="32"/>
          <w:shd w:val="clear" w:color="auto" w:fill="FFFFFF"/>
          <w:lang w:val="zh-CN"/>
        </w:rPr>
      </w:pPr>
      <w:r>
        <w:rPr>
          <w:rFonts w:ascii="楷体_GB2312" w:eastAsia="楷体_GB2312" w:cs="楷体_GB2312" w:hint="eastAsia"/>
          <w:b/>
          <w:bCs/>
          <w:kern w:val="0"/>
          <w:sz w:val="32"/>
          <w:szCs w:val="32"/>
          <w:shd w:val="clear" w:color="auto" w:fill="FFFFFF"/>
          <w:lang w:val="zh-CN"/>
        </w:rPr>
        <w:t>（二）部门整体履职绩效分析。</w:t>
      </w:r>
    </w:p>
    <w:p>
      <w:pPr>
        <w:widowControl/>
        <w:adjustRightInd w:val="0"/>
        <w:snapToGrid w:val="0"/>
        <w:spacing w:line="580" w:lineRule="exact"/>
        <w:ind w:firstLineChars="200" w:firstLine="640"/>
        <w:contextualSpacing/>
        <w:jc w:val="left"/>
        <w:rPr>
          <w:rFonts w:eastAsia="方正仿宋_GBK"/>
          <w:sz w:val="32"/>
          <w:szCs w:val="32"/>
        </w:rPr>
      </w:pPr>
      <w:r>
        <w:rPr>
          <w:rFonts w:eastAsia="方正仿宋_GBK" w:hint="eastAsia"/>
          <w:sz w:val="32"/>
          <w:szCs w:val="32"/>
        </w:rPr>
        <w:t>2022年，联络处全面完成了预算执行任务。通过绩效指标的检测、分析和一年工作的分析、评估，联络处在部门整体履职绩效方面表现良好，但还需进一步加强预算编制、执行一体化的管理和监管，确保预算资金使用达到科学性和效益型的预期目标，不断提高履职绩效，提升综合能力水平。</w:t>
      </w:r>
    </w:p>
    <w:p>
      <w:pPr>
        <w:widowControl/>
        <w:adjustRightInd w:val="0"/>
        <w:snapToGrid w:val="0"/>
        <w:spacing w:line="580" w:lineRule="exact"/>
        <w:ind w:firstLineChars="200" w:firstLine="640"/>
        <w:contextualSpacing/>
        <w:jc w:val="left"/>
        <w:rPr>
          <w:rFonts w:ascii="方正楷体_GBK" w:eastAsia="方正楷体_GBK" w:cs="方正楷体_GBK"/>
          <w:b/>
          <w:bCs/>
          <w:color w:val="000000"/>
          <w:kern w:val="0"/>
          <w:sz w:val="32"/>
          <w:szCs w:val="32"/>
          <w:shd w:val="clear" w:color="auto" w:fill="FFFFFF"/>
          <w:lang w:val="zh-CN"/>
        </w:rPr>
      </w:pPr>
      <w:r>
        <w:rPr>
          <w:rFonts w:ascii="方正楷体_GBK" w:eastAsia="方正楷体_GBK" w:cs="方正楷体_GBK" w:hint="eastAsia"/>
          <w:b/>
          <w:bCs/>
          <w:color w:val="000000"/>
          <w:kern w:val="0"/>
          <w:sz w:val="32"/>
          <w:szCs w:val="32"/>
          <w:shd w:val="clear" w:color="auto" w:fill="FFFFFF"/>
          <w:lang w:val="zh-CN"/>
        </w:rPr>
        <w:t>（三）结果应用情况。</w:t>
      </w:r>
    </w:p>
    <w:p>
      <w:pPr>
        <w:widowControl/>
        <w:adjustRightInd w:val="0"/>
        <w:snapToGrid w:val="0"/>
        <w:spacing w:line="580" w:lineRule="exact"/>
        <w:ind w:firstLineChars="200" w:firstLine="640"/>
        <w:contextualSpacing/>
        <w:jc w:val="left"/>
        <w:rPr>
          <w:rFonts w:ascii="方正楷体_GBK" w:eastAsia="方正楷体_GBK" w:cs="方正楷体_GBK"/>
          <w:b/>
          <w:bCs/>
          <w:color w:val="000000"/>
          <w:kern w:val="0"/>
          <w:sz w:val="32"/>
          <w:szCs w:val="32"/>
          <w:shd w:val="clear" w:color="auto" w:fill="FFFFFF"/>
          <w:lang w:val="zh-CN"/>
        </w:rPr>
      </w:pPr>
      <w:r>
        <w:rPr>
          <w:rFonts w:eastAsia="方正仿宋_GBK"/>
          <w:sz w:val="32"/>
          <w:szCs w:val="32"/>
        </w:rPr>
        <w:t>2022</w:t>
      </w:r>
      <w:r>
        <w:rPr>
          <w:rFonts w:ascii="方正仿宋_GBK" w:eastAsia="方正仿宋_GBK" w:cs="方正仿宋_GBK" w:hint="eastAsia"/>
          <w:sz w:val="32"/>
          <w:szCs w:val="32"/>
        </w:rPr>
        <w:t>年，联络处牢固树立“过紧日子”的思想意识，大力发扬勤俭节约的优良作风，严格按照市财政局要求统一申报使用财政资金，强化经费的审批和日常监管，控制各项经费支出。</w:t>
      </w:r>
    </w:p>
    <w:p>
      <w:pPr>
        <w:widowControl/>
        <w:numPr>
          <w:ilvl w:val="0"/>
          <w:numId w:val="4"/>
        </w:numPr>
        <w:adjustRightInd w:val="0"/>
        <w:snapToGrid w:val="0"/>
        <w:spacing w:line="580" w:lineRule="exact"/>
        <w:ind w:left="0" w:firstLineChars="200" w:firstLine="640"/>
        <w:contextualSpacing/>
        <w:jc w:val="left"/>
        <w:rPr>
          <w:rFonts w:ascii="方正仿宋_GBK" w:eastAsia="方正仿宋_GBK" w:cs="方正仿宋_GBK"/>
          <w:color w:val="000000"/>
          <w:kern w:val="0"/>
          <w:sz w:val="32"/>
          <w:szCs w:val="32"/>
          <w:shd w:val="clear" w:color="auto" w:fill="FFFFFF"/>
          <w:lang w:val="zh-CN"/>
        </w:rPr>
      </w:pPr>
      <w:r>
        <w:rPr>
          <w:rFonts w:ascii="方正楷体_GBK" w:eastAsia="方正楷体_GBK" w:cs="方正楷体_GBK" w:hint="eastAsia"/>
          <w:b/>
          <w:bCs/>
          <w:color w:val="000000"/>
          <w:kern w:val="0"/>
          <w:sz w:val="32"/>
          <w:szCs w:val="32"/>
          <w:shd w:val="clear" w:color="auto" w:fill="FFFFFF"/>
          <w:lang w:val="zh-CN"/>
        </w:rPr>
        <w:t>自评质量。</w:t>
      </w:r>
      <w:r>
        <w:rPr>
          <w:rFonts w:ascii="方正仿宋_GBK" w:eastAsia="方正仿宋_GBK" w:cs="方正仿宋_GBK" w:hint="eastAsia"/>
          <w:color w:val="000000"/>
          <w:kern w:val="0"/>
          <w:sz w:val="32"/>
          <w:szCs w:val="32"/>
          <w:shd w:val="clear" w:color="auto" w:fill="FFFFFF"/>
          <w:lang w:val="zh-CN"/>
        </w:rPr>
        <w:t>一是基础管理工作细，领导高度重视，组织安排专人负责预算绩效管理工作，其他人员积极配合；二是绩效评估管理严，联络处严格按照市财政局要求在规定时间内完成绩效目标；三是绩效监控管理实，按要求编报绩效目标开展事中绩效运行监控；四是绩效信息公开，联络处严格按照市财政局相关科室要求对预决算及绩效信息进行公开，但因没有公共外网，故联络处没有自行公开部门绩效目标和部门绩效评估报告。</w:t>
      </w:r>
    </w:p>
    <w:p>
      <w:pPr>
        <w:widowControl/>
        <w:adjustRightInd w:val="0"/>
        <w:snapToGrid w:val="0"/>
        <w:spacing w:line="580" w:lineRule="exact"/>
        <w:ind w:firstLineChars="200" w:firstLine="640"/>
        <w:contextualSpacing/>
        <w:jc w:val="left"/>
        <w:rPr>
          <w:rFonts w:ascii="方正黑体_GBK" w:eastAsia="方正黑体_GBK" w:cs="方正黑体_GBK"/>
          <w:color w:val="000000"/>
          <w:kern w:val="0"/>
          <w:sz w:val="32"/>
          <w:szCs w:val="32"/>
          <w:shd w:val="clear" w:color="auto" w:fill="FFFFFF"/>
        </w:rPr>
      </w:pPr>
      <w:r>
        <w:rPr>
          <w:rFonts w:ascii="方正黑体_GBK" w:eastAsia="方正黑体_GBK" w:cs="方正黑体_GBK" w:hint="eastAsia"/>
          <w:color w:val="000000"/>
          <w:kern w:val="0"/>
          <w:sz w:val="32"/>
          <w:szCs w:val="32"/>
          <w:shd w:val="clear" w:color="auto" w:fill="FFFFFF"/>
        </w:rPr>
        <w:t>四、评价结论及建议</w:t>
      </w:r>
    </w:p>
    <w:p>
      <w:pPr>
        <w:widowControl/>
        <w:adjustRightInd w:val="0"/>
        <w:snapToGrid w:val="0"/>
        <w:spacing w:line="580" w:lineRule="exact"/>
        <w:ind w:firstLineChars="200" w:firstLine="640"/>
        <w:contextualSpacing/>
        <w:jc w:val="left"/>
        <w:rPr>
          <w:rFonts w:ascii="方正仿宋_GBK" w:eastAsia="方正仿宋_GBK" w:cs="方正仿宋_GBK"/>
          <w:sz w:val="32"/>
          <w:szCs w:val="32"/>
          <w:lang w:val="zh-CN"/>
        </w:rPr>
      </w:pPr>
      <w:r>
        <w:rPr>
          <w:rFonts w:ascii="方正楷体_GBK" w:eastAsia="方正楷体_GBK" w:cs="方正楷体_GBK" w:hint="eastAsia"/>
          <w:b/>
          <w:bCs/>
          <w:color w:val="000000"/>
          <w:kern w:val="0"/>
          <w:sz w:val="32"/>
          <w:szCs w:val="32"/>
          <w:shd w:val="clear" w:color="auto" w:fill="FFFFFF"/>
          <w:lang w:val="zh-CN"/>
        </w:rPr>
        <w:t>（一）评价结论。</w:t>
      </w:r>
      <w:r>
        <w:rPr>
          <w:rFonts w:eastAsia="仿宋_GB2312" w:hint="eastAsia"/>
          <w:sz w:val="32"/>
          <w:szCs w:val="32"/>
        </w:rPr>
        <w:t>2022</w:t>
      </w:r>
      <w:r>
        <w:rPr>
          <w:rFonts w:ascii="方正仿宋_GBK" w:eastAsia="方正仿宋_GBK" w:cs="方正仿宋_GBK" w:hint="eastAsia"/>
          <w:sz w:val="32"/>
          <w:szCs w:val="32"/>
        </w:rPr>
        <w:t>年联络处严格按照相关规定和要求按时完成了部门预决算的编制、上报和绩效信息公开。在年度部门预算绩效目标执行过程中严格按规定完成了资金的申报和使用，进一步完善了资金的管理及内部控制，确保了资金的安全，基础数据信息和会计信息资料真实、完整、准确。</w:t>
      </w:r>
    </w:p>
    <w:p>
      <w:pPr>
        <w:widowControl/>
        <w:adjustRightInd w:val="0"/>
        <w:snapToGrid w:val="0"/>
        <w:spacing w:line="580" w:lineRule="exact"/>
        <w:ind w:firstLineChars="200" w:firstLine="640"/>
        <w:contextualSpacing/>
        <w:rPr>
          <w:rFonts w:ascii="方正楷体_GBK" w:eastAsia="方正楷体_GBK" w:cs="方正楷体_GBK"/>
          <w:b/>
          <w:bCs/>
          <w:color w:val="000000"/>
          <w:kern w:val="0"/>
          <w:sz w:val="32"/>
          <w:szCs w:val="32"/>
          <w:shd w:val="clear" w:color="auto" w:fill="FFFFFF"/>
          <w:lang w:val="zh-CN"/>
        </w:rPr>
      </w:pPr>
      <w:r>
        <w:rPr>
          <w:rFonts w:ascii="方正楷体_GBK" w:eastAsia="方正楷体_GBK" w:cs="方正楷体_GBK" w:hint="eastAsia"/>
          <w:b/>
          <w:bCs/>
          <w:color w:val="000000"/>
          <w:kern w:val="0"/>
          <w:sz w:val="32"/>
          <w:szCs w:val="32"/>
          <w:shd w:val="clear" w:color="auto" w:fill="FFFFFF"/>
          <w:lang w:val="zh-CN"/>
        </w:rPr>
        <w:t>（二）存在问题。</w:t>
      </w:r>
      <w:r>
        <w:rPr>
          <w:rFonts w:ascii="方正仿宋_GBK" w:eastAsia="方正仿宋_GBK" w:cs="方正仿宋_GBK" w:hint="eastAsia"/>
          <w:sz w:val="32"/>
          <w:szCs w:val="32"/>
          <w:lang w:val="zh-CN"/>
        </w:rPr>
        <w:t>执行过程中因实际工作情况原因，一是因经费紧张出现先垫付后归垫的情况，二是出现因财政大幅减少项目经费的批复导致业务开展缺少经费的情况。</w:t>
      </w:r>
    </w:p>
    <w:p>
      <w:pPr>
        <w:widowControl/>
        <w:adjustRightInd w:val="0"/>
        <w:snapToGrid w:val="0"/>
        <w:spacing w:line="580" w:lineRule="exact"/>
        <w:ind w:firstLineChars="200" w:firstLine="640"/>
        <w:contextualSpacing/>
        <w:jc w:val="left"/>
        <w:rPr>
          <w:rFonts w:ascii="方正楷体_GBK" w:eastAsia="方正楷体_GBK" w:cs="方正楷体_GBK"/>
          <w:b/>
          <w:bCs/>
          <w:color w:val="000000"/>
          <w:kern w:val="0"/>
          <w:sz w:val="32"/>
          <w:szCs w:val="32"/>
          <w:shd w:val="clear" w:color="auto" w:fill="FFFFFF"/>
          <w:lang w:val="zh-CN"/>
        </w:rPr>
      </w:pPr>
      <w:r>
        <w:rPr>
          <w:rFonts w:ascii="方正楷体_GBK" w:eastAsia="方正楷体_GBK" w:cs="方正楷体_GBK" w:hint="eastAsia"/>
          <w:b/>
          <w:bCs/>
          <w:color w:val="000000"/>
          <w:kern w:val="0"/>
          <w:sz w:val="32"/>
          <w:szCs w:val="32"/>
          <w:shd w:val="clear" w:color="auto" w:fill="FFFFFF"/>
          <w:lang w:val="zh-CN"/>
        </w:rPr>
        <w:t>（三）改进建议。</w:t>
      </w:r>
    </w:p>
    <w:p>
      <w:pPr>
        <w:widowControl/>
        <w:adjustRightInd w:val="0"/>
        <w:snapToGrid w:val="0"/>
        <w:spacing w:line="580" w:lineRule="exact"/>
        <w:ind w:firstLineChars="200" w:firstLine="640"/>
        <w:contextualSpacing/>
        <w:jc w:val="left"/>
        <w:rPr>
          <w:rFonts w:ascii="方正楷体_GBK" w:eastAsia="方正楷体_GBK" w:cs="方正楷体_GBK"/>
          <w:b/>
          <w:bCs/>
          <w:color w:val="000000"/>
          <w:kern w:val="0"/>
          <w:sz w:val="32"/>
          <w:szCs w:val="32"/>
          <w:shd w:val="clear" w:color="auto" w:fill="FFFFFF"/>
          <w:lang w:val="zh-CN"/>
        </w:rPr>
      </w:pPr>
      <w:r>
        <w:rPr>
          <w:rFonts w:ascii="方正仿宋_GBK" w:eastAsia="方正仿宋_GBK" w:cs="方正仿宋_GBK" w:hint="eastAsia"/>
          <w:sz w:val="32"/>
          <w:szCs w:val="32"/>
          <w:lang w:val="zh-CN"/>
        </w:rPr>
        <w:t>下一步，联络处</w:t>
      </w:r>
      <w:r>
        <w:rPr>
          <w:rFonts w:ascii="方正仿宋_GBK" w:eastAsia="方正仿宋_GBK" w:cs="方正仿宋_GBK" w:hint="eastAsia"/>
          <w:sz w:val="32"/>
          <w:szCs w:val="32"/>
        </w:rPr>
        <w:t>将进一步细化预算编制工作，完善内部财务与资产管理，并加强与市财政局和市审计局等相关部门的汇报和沟通，强化相关人员的业务知识学习，严格科学预算执行，抓细抓实财政资金的绩效管理，以</w:t>
      </w:r>
      <w:r>
        <w:rPr>
          <w:rFonts w:ascii="方正仿宋_GBK" w:eastAsia="方正仿宋_GBK" w:cs="方正仿宋_GBK" w:hint="eastAsia"/>
          <w:color w:val="000000"/>
          <w:kern w:val="0"/>
          <w:sz w:val="32"/>
          <w:szCs w:val="32"/>
        </w:rPr>
        <w:t>达到预期指标。</w:t>
      </w:r>
    </w:p>
    <w:p>
      <w:pPr>
        <w:pStyle w:val="25"/>
        <w:spacing w:line="560" w:lineRule="exact"/>
        <w:ind w:leftChars="0" w:left="0"/>
        <w:rPr>
          <w:rFonts w:eastAsia="仿宋_GB2312" w:cs="仿宋_GB2312"/>
          <w:sz w:val="32"/>
          <w:lang w:val="zh-CN"/>
        </w:rPr>
      </w:pPr>
      <w:r>
        <w:rPr>
          <w:rFonts w:eastAsia="仿宋_GB2312" w:cs="仿宋_GB2312" w:hint="eastAsia"/>
          <w:sz w:val="32"/>
          <w:lang w:val="zh-CN"/>
        </w:rPr>
        <w:t>附表：</w:t>
      </w:r>
      <w:r>
        <w:rPr>
          <w:rFonts w:eastAsia="仿宋_GB2312" w:cs="仿宋_GB2312" w:hint="eastAsia"/>
          <w:sz w:val="32"/>
        </w:rPr>
        <w:t>部门预算项目支出绩效自评表（2022年度）见附件3</w:t>
      </w: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rFonts w:cs="宋体"/>
          <w:sz w:val="32"/>
          <w:szCs w:val="32"/>
          <w:shd w:val="clear" w:color="auto" w:fill="FFFFFF"/>
          <w:lang w:val="zh-CN"/>
        </w:rPr>
      </w:pPr>
    </w:p>
    <w:p>
      <w:pPr>
        <w:pStyle w:val="15"/>
        <w:spacing w:beforeLines="0" w:before="93"/>
        <w:rPr>
          <w:sz w:val="32"/>
          <w:szCs w:val="32"/>
        </w:rPr>
      </w:pPr>
      <w:r>
        <w:rPr>
          <w:rFonts w:cs="宋体" w:hint="eastAsia"/>
          <w:sz w:val="32"/>
          <w:szCs w:val="32"/>
          <w:shd w:val="clear" w:color="auto" w:fill="FFFFFF"/>
          <w:lang w:val="zh-CN"/>
        </w:rPr>
        <w:t>附件</w:t>
      </w:r>
      <w:r>
        <w:rPr>
          <w:rFonts w:cs="宋体" w:hint="eastAsia"/>
          <w:sz w:val="32"/>
          <w:szCs w:val="32"/>
          <w:shd w:val="clear" w:color="auto" w:fill="FFFFFF"/>
        </w:rPr>
        <w:t>2</w:t>
      </w:r>
    </w:p>
    <w:p>
      <w:pPr>
        <w:spacing w:line="560" w:lineRule="exact"/>
        <w:jc w:val="center"/>
        <w:rPr>
          <w:rFonts w:ascii="方正小标宋简体" w:eastAsia="方正小标宋简体"/>
          <w:b/>
          <w:sz w:val="38"/>
          <w:szCs w:val="38"/>
        </w:rPr>
      </w:pPr>
      <w:r>
        <w:rPr>
          <w:rFonts w:ascii="方正小标宋简体" w:eastAsia="方正小标宋简体" w:hint="eastAsia"/>
          <w:b/>
          <w:sz w:val="38"/>
          <w:szCs w:val="38"/>
        </w:rPr>
        <w:t>攀枝花市人民政府驻北京联络处</w:t>
      </w:r>
    </w:p>
    <w:p>
      <w:pPr>
        <w:spacing w:line="560" w:lineRule="exact"/>
        <w:jc w:val="center"/>
        <w:rPr>
          <w:rFonts w:eastAsia="方正小标宋_GBK"/>
          <w:b/>
          <w:bCs/>
          <w:sz w:val="38"/>
          <w:szCs w:val="38"/>
        </w:rPr>
      </w:pPr>
      <w:r>
        <w:rPr>
          <w:rFonts w:eastAsia="方正小标宋_GBK" w:hint="eastAsia"/>
          <w:b/>
          <w:bCs/>
          <w:sz w:val="38"/>
          <w:szCs w:val="38"/>
        </w:rPr>
        <w:t>2022年专项资金预算项目支出绩效自评报告</w:t>
      </w:r>
    </w:p>
    <w:p>
      <w:pPr>
        <w:widowControl/>
        <w:adjustRightInd w:val="0"/>
        <w:snapToGrid w:val="0"/>
        <w:spacing w:line="580" w:lineRule="exact"/>
        <w:ind w:firstLineChars="200" w:firstLine="660"/>
        <w:contextualSpacing/>
        <w:jc w:val="left"/>
        <w:rPr>
          <w:rFonts w:ascii="方正黑体_GBK" w:eastAsia="方正黑体_GBK" w:cs="方正黑体_GBK"/>
          <w:color w:val="000000"/>
          <w:kern w:val="0"/>
          <w:sz w:val="33"/>
          <w:szCs w:val="33"/>
          <w:shd w:val="clear" w:color="auto" w:fill="FFFFFF"/>
        </w:rPr>
      </w:pPr>
    </w:p>
    <w:p>
      <w:pPr>
        <w:adjustRightInd w:val="0"/>
        <w:snapToGrid w:val="0"/>
        <w:spacing w:line="578" w:lineRule="exact"/>
        <w:ind w:firstLine="720"/>
        <w:rPr>
          <w:rFonts w:ascii="黑体" w:eastAsia="黑体"/>
          <w:sz w:val="32"/>
          <w:szCs w:val="32"/>
          <w:lang w:val="zh-CN"/>
        </w:rPr>
      </w:pPr>
      <w:r>
        <w:rPr>
          <w:rFonts w:ascii="黑体" w:eastAsia="黑体" w:hint="eastAsia"/>
          <w:sz w:val="32"/>
          <w:szCs w:val="32"/>
        </w:rPr>
        <w:t>一、</w:t>
      </w:r>
      <w:r>
        <w:rPr>
          <w:rFonts w:ascii="黑体" w:eastAsia="黑体" w:hint="eastAsia"/>
          <w:sz w:val="32"/>
          <w:szCs w:val="32"/>
          <w:lang w:val="zh-CN"/>
        </w:rPr>
        <w:t>项目概况</w:t>
      </w:r>
    </w:p>
    <w:p>
      <w:pPr>
        <w:pStyle w:val="15"/>
        <w:adjustRightInd w:val="0"/>
        <w:spacing w:beforeLines="0" w:before="30" w:line="560" w:lineRule="exact"/>
        <w:ind w:firstLineChars="208" w:firstLine="669"/>
        <w:rPr>
          <w:rFonts w:ascii="楷体_GB2312" w:eastAsia="楷体_GB2312"/>
          <w:b/>
          <w:sz w:val="32"/>
          <w:szCs w:val="32"/>
          <w:lang w:val="zh-CN"/>
        </w:rPr>
      </w:pPr>
      <w:r>
        <w:rPr>
          <w:rFonts w:ascii="楷体_GB2312" w:eastAsia="楷体_GB2312" w:hint="eastAsia"/>
          <w:b/>
          <w:sz w:val="32"/>
          <w:szCs w:val="32"/>
          <w:lang w:val="zh-CN"/>
        </w:rPr>
        <w:t>（一）项目基本情况。</w:t>
      </w:r>
    </w:p>
    <w:p>
      <w:pPr>
        <w:pStyle w:val="15"/>
        <w:adjustRightInd w:val="0"/>
        <w:spacing w:beforeLines="0" w:before="30" w:line="560" w:lineRule="exact"/>
        <w:ind w:firstLineChars="208" w:firstLine="669"/>
        <w:rPr>
          <w:rFonts w:ascii="方正仿宋_GBK" w:eastAsia="方正仿宋_GBK" w:cs="方正仿宋_GBK"/>
          <w:bCs/>
          <w:sz w:val="33"/>
          <w:szCs w:val="33"/>
        </w:rPr>
      </w:pPr>
      <w:r>
        <w:rPr>
          <w:rFonts w:ascii="Times New Roman" w:hAnsi="Times New Roman"/>
          <w:sz w:val="32"/>
          <w:szCs w:val="32"/>
        </w:rPr>
        <w:t>1．项目主管部门（单位）在该项目管理中的职能。</w:t>
      </w:r>
      <w:r>
        <w:rPr>
          <w:rFonts w:ascii="Times New Roman" w:hAnsi="Times New Roman" w:hint="eastAsia"/>
          <w:sz w:val="32"/>
          <w:szCs w:val="32"/>
        </w:rPr>
        <w:t>项目主管单位为攀枝花市人民政府驻北京联络处。联络处职能为：</w:t>
      </w:r>
      <w:r>
        <w:rPr>
          <w:rFonts w:ascii="方正仿宋_GBK" w:eastAsia="方正仿宋_GBK" w:cs="方正仿宋_GBK" w:hint="eastAsia"/>
          <w:bCs/>
          <w:sz w:val="33"/>
          <w:szCs w:val="33"/>
        </w:rPr>
        <w:t>（一）负责与中央国家机关和相关驻京机构的联络。（二）开展宣传、联络、协调、信息收集与传递工作，为市委、市政府决策提供参考。（三）开展招商引资和区域间经济、技术、人才、文化交流与合作。（四）承担有关接待工作，为市级部门、县（区）、企事业单位以及基层组织、社会组织和人民群众在京活动提供服务。（五）协助做好我市在京流动党员教育管理服务工作，配合做好维护首都稳定的有关工作。（六）负责对联络处的国有资产进行监督管理。（七）承办市委、市政府和主管部门交办的其它工作。</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2．项目立项、资金申报的依据。</w:t>
      </w:r>
      <w:r>
        <w:rPr>
          <w:rFonts w:eastAsia="仿宋_GB2312" w:hint="eastAsia"/>
          <w:kern w:val="0"/>
          <w:sz w:val="32"/>
          <w:szCs w:val="32"/>
        </w:rPr>
        <w:t>项目为业务运行费，根据当年经费使用情况追加预算申报。</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3．资金管理办法制定情况，资金支持具体项目的条件、范围与支持方式概况。</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(1)资金管理办法：该项目资金纳入财政预算管理。</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(2)资金支持具体项目的条件、范围：该专项资金作为专项工作经费，属于财政拨款支出-项目经费支出范围。</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(3)资金支持方式：年底一次性申报用款计划，在财政审批后，采用财政拨付方式支付。</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4．资金分配的原则及考虑因素。</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资金分配的原则：维持联络处业务工作正常运行。</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考虑因素：网络费、委托业务费等经济部门分类科目。</w:t>
      </w:r>
    </w:p>
    <w:p>
      <w:pPr>
        <w:widowControl/>
        <w:adjustRightInd w:val="0"/>
        <w:snapToGrid w:val="0"/>
        <w:spacing w:line="580" w:lineRule="exact"/>
        <w:ind w:firstLineChars="200" w:firstLine="660"/>
        <w:contextualSpacing/>
        <w:jc w:val="left"/>
        <w:rPr>
          <w:rFonts w:ascii="方正楷体_GBK" w:eastAsia="方正楷体_GBK" w:cs="方正楷体_GBK"/>
          <w:b/>
          <w:bCs/>
          <w:color w:val="000000"/>
          <w:kern w:val="0"/>
          <w:sz w:val="33"/>
          <w:szCs w:val="33"/>
          <w:shd w:val="clear" w:color="auto" w:fill="FFFFFF"/>
        </w:rPr>
      </w:pPr>
      <w:r>
        <w:rPr>
          <w:rFonts w:ascii="方正楷体_GBK" w:eastAsia="方正楷体_GBK" w:cs="方正楷体_GBK" w:hint="eastAsia"/>
          <w:b/>
          <w:bCs/>
          <w:color w:val="000000"/>
          <w:kern w:val="0"/>
          <w:sz w:val="33"/>
          <w:szCs w:val="33"/>
          <w:shd w:val="clear" w:color="auto" w:fill="FFFFFF"/>
        </w:rPr>
        <w:t>（二）项目绩效目标。</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1．项目主要内容。</w:t>
      </w:r>
      <w:r>
        <w:rPr>
          <w:rFonts w:eastAsia="仿宋_GB2312" w:hint="eastAsia"/>
          <w:kern w:val="0"/>
          <w:sz w:val="32"/>
          <w:szCs w:val="32"/>
        </w:rPr>
        <w:t>保障联络处2022年业务工作正常运行。</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2．项目应实现的具体绩效目标。</w:t>
      </w:r>
      <w:r>
        <w:rPr>
          <w:rFonts w:eastAsia="仿宋_GB2312" w:hint="eastAsia"/>
          <w:kern w:val="0"/>
          <w:sz w:val="32"/>
          <w:szCs w:val="32"/>
        </w:rPr>
        <w:t>保障年度业务工作正常运行。</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3．</w:t>
      </w:r>
      <w:r>
        <w:rPr>
          <w:rFonts w:eastAsia="仿宋_GB2312" w:hint="eastAsia"/>
          <w:kern w:val="0"/>
          <w:sz w:val="32"/>
          <w:szCs w:val="32"/>
        </w:rPr>
        <w:t>申报内容与联络处日常实际相符，申报目标合理可行。</w:t>
      </w:r>
    </w:p>
    <w:p>
      <w:pPr>
        <w:widowControl/>
        <w:adjustRightInd w:val="0"/>
        <w:snapToGrid w:val="0"/>
        <w:spacing w:line="580" w:lineRule="exact"/>
        <w:ind w:firstLineChars="200" w:firstLine="660"/>
        <w:contextualSpacing/>
        <w:jc w:val="left"/>
        <w:rPr>
          <w:rFonts w:ascii="方正黑体_GBK" w:eastAsia="方正黑体_GBK" w:cs="方正黑体_GBK"/>
          <w:color w:val="000000"/>
          <w:kern w:val="0"/>
          <w:sz w:val="33"/>
          <w:szCs w:val="33"/>
          <w:shd w:val="clear" w:color="auto" w:fill="FFFFFF"/>
        </w:rPr>
      </w:pPr>
      <w:r>
        <w:rPr>
          <w:rFonts w:ascii="方正黑体_GBK" w:eastAsia="方正黑体_GBK" w:cs="方正黑体_GBK" w:hint="eastAsia"/>
          <w:color w:val="000000"/>
          <w:kern w:val="0"/>
          <w:sz w:val="33"/>
          <w:szCs w:val="33"/>
          <w:shd w:val="clear" w:color="auto" w:fill="FFFFFF"/>
        </w:rPr>
        <w:t>（三）项目自评步骤及方法。</w:t>
      </w:r>
    </w:p>
    <w:p>
      <w:pPr>
        <w:autoSpaceDE w:val="0"/>
        <w:autoSpaceDN w:val="0"/>
        <w:adjustRightInd w:val="0"/>
        <w:spacing w:line="560" w:lineRule="exact"/>
        <w:ind w:firstLineChars="200" w:firstLine="640"/>
        <w:rPr>
          <w:rFonts w:eastAsia="仿宋_GB2312"/>
          <w:kern w:val="0"/>
          <w:sz w:val="32"/>
          <w:szCs w:val="32"/>
        </w:rPr>
      </w:pPr>
      <w:r>
        <w:rPr>
          <w:rFonts w:eastAsia="仿宋_GB2312" w:hint="eastAsia"/>
          <w:kern w:val="0"/>
          <w:sz w:val="32"/>
          <w:szCs w:val="32"/>
        </w:rPr>
        <w:t>项目资金由联络处财务部门按财政局要求申报用款计划，市财政局按权限层层审核批复用款申请，到年底累计批复业务运行费10万元。</w:t>
      </w:r>
    </w:p>
    <w:p>
      <w:pPr>
        <w:adjustRightInd w:val="0"/>
        <w:snapToGrid w:val="0"/>
        <w:spacing w:line="578" w:lineRule="exact"/>
        <w:ind w:firstLine="720"/>
        <w:rPr>
          <w:rFonts w:ascii="黑体" w:eastAsia="黑体"/>
          <w:sz w:val="32"/>
          <w:szCs w:val="32"/>
        </w:rPr>
      </w:pPr>
      <w:r>
        <w:rPr>
          <w:rFonts w:ascii="黑体" w:eastAsia="黑体" w:hint="eastAsia"/>
          <w:sz w:val="32"/>
          <w:szCs w:val="32"/>
        </w:rPr>
        <w:t>二、项目资金申报及使用情况</w:t>
      </w:r>
    </w:p>
    <w:p>
      <w:pPr>
        <w:widowControl/>
        <w:adjustRightInd w:val="0"/>
        <w:snapToGrid w:val="0"/>
        <w:spacing w:line="580" w:lineRule="exact"/>
        <w:ind w:firstLineChars="200" w:firstLine="660"/>
        <w:contextualSpacing/>
        <w:jc w:val="left"/>
        <w:rPr>
          <w:rFonts w:ascii="方正楷体_GBK" w:eastAsia="方正楷体_GBK" w:cs="方正楷体_GBK"/>
          <w:b/>
          <w:bCs/>
          <w:color w:val="000000"/>
          <w:kern w:val="0"/>
          <w:sz w:val="33"/>
          <w:szCs w:val="33"/>
          <w:shd w:val="clear" w:color="auto" w:fill="FFFFFF"/>
        </w:rPr>
      </w:pPr>
      <w:r>
        <w:rPr>
          <w:rFonts w:ascii="方正楷体_GBK" w:eastAsia="方正楷体_GBK" w:cs="方正楷体_GBK" w:hint="eastAsia"/>
          <w:b/>
          <w:bCs/>
          <w:color w:val="000000"/>
          <w:kern w:val="0"/>
          <w:sz w:val="33"/>
          <w:szCs w:val="33"/>
          <w:shd w:val="clear" w:color="auto" w:fill="FFFFFF"/>
        </w:rPr>
        <w:t>（一）项目资金申报及批复情况。</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联络处掌握资金使用进度，按照使用情况进一步细化使用计划，并向市财政申报用款计划，经市财政审核批复后使用资金。</w:t>
      </w:r>
    </w:p>
    <w:p>
      <w:pPr>
        <w:autoSpaceDE w:val="0"/>
        <w:autoSpaceDN w:val="0"/>
        <w:adjustRightInd w:val="0"/>
        <w:spacing w:line="560" w:lineRule="exact"/>
        <w:ind w:firstLineChars="200" w:firstLine="660"/>
        <w:jc w:val="left"/>
        <w:rPr>
          <w:rFonts w:ascii="方正黑体_GBK" w:eastAsia="方正黑体_GBK" w:cs="方正黑体_GBK"/>
          <w:color w:val="000000"/>
          <w:kern w:val="0"/>
          <w:sz w:val="33"/>
          <w:szCs w:val="33"/>
          <w:shd w:val="clear" w:color="auto" w:fill="FFFFFF"/>
        </w:rPr>
      </w:pPr>
      <w:r>
        <w:rPr>
          <w:rFonts w:ascii="方正黑体_GBK" w:eastAsia="方正黑体_GBK" w:cs="方正黑体_GBK" w:hint="eastAsia"/>
          <w:color w:val="000000"/>
          <w:kern w:val="0"/>
          <w:sz w:val="33"/>
          <w:szCs w:val="33"/>
          <w:shd w:val="clear" w:color="auto" w:fill="FFFFFF"/>
        </w:rPr>
        <w:t>（二）资金计划、到位及使用情况。</w:t>
      </w:r>
    </w:p>
    <w:p>
      <w:pPr>
        <w:autoSpaceDE w:val="0"/>
        <w:autoSpaceDN w:val="0"/>
        <w:adjustRightInd w:val="0"/>
        <w:spacing w:line="560" w:lineRule="exact"/>
        <w:ind w:firstLineChars="200" w:firstLine="640"/>
        <w:jc w:val="left"/>
        <w:rPr>
          <w:rFonts w:eastAsia="仿宋_GB2312"/>
          <w:kern w:val="0"/>
          <w:sz w:val="32"/>
          <w:szCs w:val="32"/>
        </w:rPr>
      </w:pPr>
      <w:r>
        <w:rPr>
          <w:rFonts w:ascii="仿宋_GB2312" w:eastAsia="仿宋_GB2312" w:cs="仿宋_GB2312"/>
          <w:kern w:val="0"/>
          <w:sz w:val="32"/>
          <w:szCs w:val="32"/>
          <w:shd w:val="clear" w:color="auto" w:fill="FFFFFF"/>
          <w:lang w:val="zh-CN"/>
        </w:rPr>
        <w:t>1．</w:t>
      </w:r>
      <w:r>
        <w:rPr>
          <w:rFonts w:ascii="仿宋_GB2312" w:eastAsia="仿宋_GB2312" w:cs="仿宋_GB2312" w:hint="eastAsia"/>
          <w:kern w:val="0"/>
          <w:sz w:val="32"/>
          <w:szCs w:val="32"/>
          <w:shd w:val="clear" w:color="auto" w:fill="FFFFFF"/>
          <w:lang w:val="zh-CN"/>
        </w:rPr>
        <w:t>资金计划。联</w:t>
      </w:r>
      <w:r>
        <w:rPr>
          <w:rFonts w:eastAsia="仿宋_GB2312" w:hint="eastAsia"/>
          <w:kern w:val="0"/>
          <w:sz w:val="32"/>
          <w:szCs w:val="32"/>
        </w:rPr>
        <w:t>络处掌握资金使用进度，按照使用情况进一步细化使用计划，并向市财政申报用款计划，经市财政审核批复后使用资金。</w:t>
      </w:r>
    </w:p>
    <w:p>
      <w:pPr>
        <w:autoSpaceDE w:val="0"/>
        <w:autoSpaceDN w:val="0"/>
        <w:adjustRightInd w:val="0"/>
        <w:spacing w:line="560" w:lineRule="exact"/>
        <w:ind w:firstLineChars="200" w:firstLine="640"/>
        <w:jc w:val="left"/>
        <w:rPr>
          <w:rFonts w:ascii="仿宋_GB2312" w:eastAsia="仿宋_GB2312" w:cs="仿宋_GB2312"/>
          <w:kern w:val="0"/>
          <w:sz w:val="32"/>
          <w:szCs w:val="32"/>
          <w:shd w:val="clear" w:color="auto" w:fill="FFFFFF"/>
          <w:lang w:val="zh-CN"/>
        </w:rPr>
      </w:pPr>
      <w:r>
        <w:rPr>
          <w:rFonts w:ascii="仿宋_GB2312" w:eastAsia="仿宋_GB2312" w:cs="仿宋_GB2312"/>
          <w:kern w:val="0"/>
          <w:sz w:val="32"/>
          <w:szCs w:val="32"/>
          <w:shd w:val="clear" w:color="auto" w:fill="FFFFFF"/>
          <w:lang w:val="zh-CN"/>
        </w:rPr>
        <w:t>2．</w:t>
      </w:r>
      <w:r>
        <w:rPr>
          <w:rFonts w:ascii="仿宋_GB2312" w:eastAsia="仿宋_GB2312" w:cs="仿宋_GB2312" w:hint="eastAsia"/>
          <w:kern w:val="0"/>
          <w:sz w:val="32"/>
          <w:szCs w:val="32"/>
          <w:shd w:val="clear" w:color="auto" w:fill="FFFFFF"/>
          <w:lang w:val="zh-CN"/>
        </w:rPr>
        <w:t>资金到位。项目资金由财政划拨，到位及时，到位率100%。</w:t>
      </w:r>
    </w:p>
    <w:p>
      <w:pPr>
        <w:autoSpaceDE w:val="0"/>
        <w:autoSpaceDN w:val="0"/>
        <w:adjustRightInd w:val="0"/>
        <w:spacing w:line="560" w:lineRule="exact"/>
        <w:ind w:firstLineChars="200" w:firstLine="640"/>
        <w:jc w:val="left"/>
        <w:rPr>
          <w:rFonts w:eastAsia="仿宋_GB2312"/>
          <w:kern w:val="0"/>
          <w:sz w:val="32"/>
          <w:szCs w:val="32"/>
        </w:rPr>
      </w:pPr>
      <w:r>
        <w:rPr>
          <w:rFonts w:ascii="仿宋_GB2312" w:eastAsia="仿宋_GB2312" w:cs="仿宋_GB2312"/>
          <w:kern w:val="0"/>
          <w:sz w:val="32"/>
          <w:szCs w:val="32"/>
          <w:shd w:val="clear" w:color="auto" w:fill="FFFFFF"/>
          <w:lang w:val="zh-CN"/>
        </w:rPr>
        <w:t>3．</w:t>
      </w:r>
      <w:r>
        <w:rPr>
          <w:rFonts w:ascii="仿宋_GB2312" w:eastAsia="仿宋_GB2312" w:cs="仿宋_GB2312" w:hint="eastAsia"/>
          <w:kern w:val="0"/>
          <w:sz w:val="32"/>
          <w:szCs w:val="32"/>
          <w:shd w:val="clear" w:color="auto" w:fill="FFFFFF"/>
          <w:lang w:val="zh-CN"/>
        </w:rPr>
        <w:t>资金使用。使用项目资金需有经办人员签字的支出凭证，后面附实际发</w:t>
      </w:r>
      <w:r>
        <w:rPr>
          <w:rFonts w:eastAsia="仿宋_GB2312" w:hint="eastAsia"/>
          <w:kern w:val="0"/>
          <w:sz w:val="32"/>
          <w:szCs w:val="32"/>
        </w:rPr>
        <w:t>生的票据、附件，由会计和分管领导分别对其进行审核，经审核签字后由出纳通过银行对公支付，不允许使用现金支付。故项目资金使用安全、规范、有效。</w:t>
      </w:r>
    </w:p>
    <w:p>
      <w:pPr>
        <w:widowControl/>
        <w:adjustRightInd w:val="0"/>
        <w:snapToGrid w:val="0"/>
        <w:spacing w:line="580" w:lineRule="exact"/>
        <w:ind w:firstLineChars="200" w:firstLine="660"/>
        <w:contextualSpacing/>
        <w:jc w:val="left"/>
        <w:rPr>
          <w:rFonts w:ascii="方正黑体_GBK" w:eastAsia="方正黑体_GBK" w:cs="方正黑体_GBK"/>
          <w:color w:val="000000"/>
          <w:kern w:val="0"/>
          <w:sz w:val="33"/>
          <w:szCs w:val="33"/>
          <w:shd w:val="clear" w:color="auto" w:fill="FFFFFF"/>
        </w:rPr>
      </w:pPr>
      <w:r>
        <w:rPr>
          <w:rFonts w:ascii="方正黑体_GBK" w:eastAsia="方正黑体_GBK" w:cs="方正黑体_GBK" w:hint="eastAsia"/>
          <w:color w:val="000000"/>
          <w:kern w:val="0"/>
          <w:sz w:val="33"/>
          <w:szCs w:val="33"/>
          <w:shd w:val="clear" w:color="auto" w:fill="FFFFFF"/>
        </w:rPr>
        <w:t>（三）项目财务管理情况。</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联络处严格执行财政资金管理制度，按照监管程序加强项目管理、监管，专项经费严格按财政制度执行，单位财务管理制度健全，账务处理及时，会计核算规范。</w:t>
      </w:r>
    </w:p>
    <w:p>
      <w:pPr>
        <w:adjustRightInd w:val="0"/>
        <w:snapToGrid w:val="0"/>
        <w:spacing w:line="578" w:lineRule="exact"/>
        <w:ind w:firstLine="720"/>
        <w:rPr>
          <w:rFonts w:ascii="黑体" w:eastAsia="黑体"/>
          <w:sz w:val="32"/>
          <w:szCs w:val="32"/>
        </w:rPr>
      </w:pPr>
      <w:r>
        <w:rPr>
          <w:rFonts w:ascii="黑体" w:eastAsia="黑体" w:hint="eastAsia"/>
          <w:sz w:val="32"/>
          <w:szCs w:val="32"/>
        </w:rPr>
        <w:t>三、项目实施及管理情况</w:t>
      </w:r>
    </w:p>
    <w:p>
      <w:pPr>
        <w:widowControl/>
        <w:adjustRightInd w:val="0"/>
        <w:snapToGrid w:val="0"/>
        <w:spacing w:line="580" w:lineRule="exact"/>
        <w:ind w:firstLineChars="200" w:firstLine="660"/>
        <w:contextualSpacing/>
        <w:jc w:val="left"/>
        <w:rPr>
          <w:rFonts w:ascii="方正楷体_GBK" w:eastAsia="方正楷体_GBK" w:cs="方正楷体_GBK"/>
          <w:b/>
          <w:bCs/>
          <w:color w:val="000000"/>
          <w:kern w:val="0"/>
          <w:sz w:val="33"/>
          <w:szCs w:val="33"/>
          <w:shd w:val="clear" w:color="auto" w:fill="FFFFFF"/>
        </w:rPr>
      </w:pPr>
      <w:r>
        <w:rPr>
          <w:rFonts w:ascii="方正楷体_GBK" w:eastAsia="方正楷体_GBK" w:cs="方正楷体_GBK" w:hint="eastAsia"/>
          <w:b/>
          <w:bCs/>
          <w:color w:val="000000"/>
          <w:kern w:val="0"/>
          <w:sz w:val="33"/>
          <w:szCs w:val="33"/>
          <w:shd w:val="clear" w:color="auto" w:fill="FFFFFF"/>
        </w:rPr>
        <w:t>（一）项目组织架构及实施流程。</w:t>
      </w:r>
    </w:p>
    <w:p>
      <w:pPr>
        <w:pStyle w:val="29"/>
        <w:ind w:firstLineChars="200" w:firstLine="640"/>
        <w:rPr>
          <w:rFonts w:eastAsia="仿宋_GB2312"/>
          <w:kern w:val="0"/>
          <w:szCs w:val="32"/>
        </w:rPr>
      </w:pPr>
      <w:r>
        <w:rPr>
          <w:rFonts w:eastAsia="仿宋_GB2312" w:hint="eastAsia"/>
          <w:kern w:val="0"/>
          <w:szCs w:val="32"/>
        </w:rPr>
        <w:t>项目根据实际发生金额由联络处相关科室编制预算，经财政预算批复后按计划进行预算执行，年终做部门决算。</w:t>
      </w:r>
    </w:p>
    <w:p>
      <w:pPr>
        <w:autoSpaceDE w:val="0"/>
        <w:autoSpaceDN w:val="0"/>
        <w:adjustRightInd w:val="0"/>
        <w:spacing w:line="560" w:lineRule="exact"/>
        <w:ind w:firstLineChars="200" w:firstLine="660"/>
        <w:rPr>
          <w:rFonts w:ascii="方正黑体_GBK" w:eastAsia="方正黑体_GBK" w:cs="方正黑体_GBK"/>
          <w:color w:val="000000"/>
          <w:kern w:val="0"/>
          <w:sz w:val="33"/>
          <w:szCs w:val="33"/>
          <w:shd w:val="clear" w:color="auto" w:fill="FFFFFF"/>
        </w:rPr>
      </w:pPr>
      <w:r>
        <w:rPr>
          <w:rFonts w:ascii="方正楷体_GBK" w:eastAsia="方正楷体_GBK" w:cs="方正楷体_GBK" w:hint="eastAsia"/>
          <w:b/>
          <w:bCs/>
          <w:color w:val="000000"/>
          <w:kern w:val="0"/>
          <w:sz w:val="33"/>
          <w:szCs w:val="33"/>
          <w:shd w:val="clear" w:color="auto" w:fill="FFFFFF"/>
        </w:rPr>
        <w:t>（二）项目管理情况。</w:t>
      </w:r>
      <w:r>
        <w:rPr>
          <w:rFonts w:eastAsia="仿宋_GB2312" w:hint="eastAsia"/>
          <w:kern w:val="0"/>
          <w:sz w:val="32"/>
          <w:szCs w:val="32"/>
        </w:rPr>
        <w:t>项目严格执行预算、政府采购、支付结算、公示制度等法律法规及项目管理制度等相关规定。</w:t>
      </w:r>
    </w:p>
    <w:p>
      <w:pPr>
        <w:autoSpaceDE w:val="0"/>
        <w:autoSpaceDN w:val="0"/>
        <w:adjustRightInd w:val="0"/>
        <w:spacing w:line="560" w:lineRule="exact"/>
        <w:ind w:firstLineChars="200" w:firstLine="660"/>
        <w:jc w:val="left"/>
        <w:rPr>
          <w:rFonts w:eastAsia="仿宋_GB2312"/>
          <w:kern w:val="0"/>
          <w:sz w:val="32"/>
          <w:szCs w:val="32"/>
        </w:rPr>
      </w:pPr>
      <w:r>
        <w:rPr>
          <w:rFonts w:ascii="方正黑体_GBK" w:eastAsia="方正黑体_GBK" w:cs="方正黑体_GBK" w:hint="eastAsia"/>
          <w:color w:val="000000"/>
          <w:kern w:val="0"/>
          <w:sz w:val="33"/>
          <w:szCs w:val="33"/>
          <w:shd w:val="clear" w:color="auto" w:fill="FFFFFF"/>
        </w:rPr>
        <w:t>（三）项目监管情况。</w:t>
      </w:r>
      <w:r>
        <w:rPr>
          <w:rFonts w:eastAsia="仿宋_GB2312" w:hint="eastAsia"/>
          <w:kern w:val="0"/>
          <w:sz w:val="32"/>
          <w:szCs w:val="32"/>
        </w:rPr>
        <w:t>项目经费由联络处进行预算计划申请，行政政法科管理经济指标并二次审核，国库科进行计划二次审核至资金计划终审，由联络处做支付计划，支付中心二次审核支付资金，财政监督局适时监督检查执行情况，同时接受市审计局、市纪委监委驻市政府办纪检监察组等相关部门的监督。</w:t>
      </w:r>
    </w:p>
    <w:p>
      <w:pPr>
        <w:widowControl/>
        <w:adjustRightInd w:val="0"/>
        <w:snapToGrid w:val="0"/>
        <w:spacing w:line="580" w:lineRule="exact"/>
        <w:ind w:firstLineChars="200" w:firstLine="660"/>
        <w:contextualSpacing/>
        <w:jc w:val="left"/>
        <w:rPr>
          <w:rFonts w:ascii="方正黑体_GBK" w:eastAsia="方正黑体_GBK" w:cs="方正黑体_GBK"/>
          <w:color w:val="000000"/>
          <w:kern w:val="0"/>
          <w:sz w:val="33"/>
          <w:szCs w:val="33"/>
          <w:shd w:val="clear" w:color="auto" w:fill="FFFFFF"/>
        </w:rPr>
      </w:pPr>
      <w:r>
        <w:rPr>
          <w:rFonts w:ascii="方正黑体_GBK" w:eastAsia="方正黑体_GBK" w:cs="方正黑体_GBK" w:hint="eastAsia"/>
          <w:color w:val="000000"/>
          <w:kern w:val="0"/>
          <w:sz w:val="33"/>
          <w:szCs w:val="33"/>
          <w:shd w:val="clear" w:color="auto" w:fill="FFFFFF"/>
        </w:rPr>
        <w:t>四、项目绩效情况</w:t>
        <w:tab/>
      </w:r>
    </w:p>
    <w:p>
      <w:pPr>
        <w:widowControl/>
        <w:adjustRightInd w:val="0"/>
        <w:snapToGrid w:val="0"/>
        <w:spacing w:line="580" w:lineRule="exact"/>
        <w:ind w:firstLineChars="200" w:firstLine="660"/>
        <w:contextualSpacing/>
        <w:jc w:val="left"/>
        <w:rPr>
          <w:rFonts w:ascii="方正楷体_GBK" w:eastAsia="方正楷体_GBK" w:cs="方正楷体_GBK"/>
          <w:b/>
          <w:bCs/>
          <w:color w:val="000000"/>
          <w:kern w:val="0"/>
          <w:sz w:val="33"/>
          <w:szCs w:val="33"/>
          <w:shd w:val="clear" w:color="auto" w:fill="FFFFFF"/>
        </w:rPr>
      </w:pPr>
      <w:r>
        <w:rPr>
          <w:rFonts w:ascii="方正楷体_GBK" w:eastAsia="方正楷体_GBK" w:cs="方正楷体_GBK" w:hint="eastAsia"/>
          <w:b/>
          <w:bCs/>
          <w:color w:val="000000"/>
          <w:kern w:val="0"/>
          <w:sz w:val="33"/>
          <w:szCs w:val="33"/>
          <w:shd w:val="clear" w:color="auto" w:fill="FFFFFF"/>
        </w:rPr>
        <w:t>（一）项目完成情况。</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专项经费按照相关工作安排，按期按质按量开展了各项业务活动，无</w:t>
      </w:r>
      <w:r>
        <w:rPr>
          <w:rFonts w:ascii="仿宋_GB2312" w:eastAsia="仿宋_GB2312" w:cs="仿宋_GB2312" w:hint="eastAsia"/>
          <w:kern w:val="0"/>
          <w:sz w:val="32"/>
          <w:szCs w:val="32"/>
          <w:shd w:val="clear" w:color="auto" w:fill="FFFFFF"/>
          <w:lang w:val="zh-CN"/>
        </w:rPr>
        <w:t>资金结余情况和</w:t>
      </w:r>
      <w:r>
        <w:rPr>
          <w:rFonts w:eastAsia="仿宋_GB2312" w:hint="eastAsia"/>
          <w:kern w:val="0"/>
          <w:sz w:val="32"/>
          <w:szCs w:val="32"/>
        </w:rPr>
        <w:t>违规记录。</w:t>
      </w:r>
    </w:p>
    <w:p>
      <w:pPr>
        <w:widowControl/>
        <w:adjustRightInd w:val="0"/>
        <w:snapToGrid w:val="0"/>
        <w:spacing w:line="580" w:lineRule="exact"/>
        <w:ind w:firstLineChars="200" w:firstLine="660"/>
        <w:contextualSpacing/>
        <w:jc w:val="left"/>
        <w:rPr>
          <w:rFonts w:ascii="方正楷体_GBK" w:eastAsia="方正楷体_GBK" w:cs="方正楷体_GBK"/>
          <w:b/>
          <w:bCs/>
          <w:color w:val="000000"/>
          <w:kern w:val="0"/>
          <w:sz w:val="33"/>
          <w:szCs w:val="33"/>
          <w:shd w:val="clear" w:color="auto" w:fill="FFFFFF"/>
        </w:rPr>
      </w:pPr>
      <w:r>
        <w:rPr>
          <w:rFonts w:ascii="方正楷体_GBK" w:eastAsia="方正楷体_GBK" w:cs="方正楷体_GBK" w:hint="eastAsia"/>
          <w:b/>
          <w:bCs/>
          <w:color w:val="000000"/>
          <w:kern w:val="0"/>
          <w:sz w:val="33"/>
          <w:szCs w:val="33"/>
          <w:shd w:val="clear" w:color="auto" w:fill="FFFFFF"/>
        </w:rPr>
        <w:t>（二）项目效益情况。</w:t>
      </w:r>
    </w:p>
    <w:p>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业务运行项目支出为日常公用经费不足的补充，含财政专网及办公网络租用、劳务服务等费用，保障了2022年度联络处业务工作的正常运行。</w:t>
      </w:r>
    </w:p>
    <w:p>
      <w:pPr>
        <w:widowControl/>
        <w:adjustRightInd w:val="0"/>
        <w:snapToGrid w:val="0"/>
        <w:spacing w:line="580" w:lineRule="exact"/>
        <w:ind w:firstLineChars="200" w:firstLine="660"/>
        <w:contextualSpacing/>
        <w:jc w:val="left"/>
        <w:rPr>
          <w:rFonts w:ascii="方正黑体_GBK" w:eastAsia="方正黑体_GBK" w:cs="方正黑体_GBK"/>
          <w:color w:val="000000"/>
          <w:kern w:val="0"/>
          <w:sz w:val="33"/>
          <w:szCs w:val="33"/>
          <w:shd w:val="clear" w:color="auto" w:fill="FFFFFF"/>
        </w:rPr>
      </w:pPr>
      <w:r>
        <w:rPr>
          <w:rFonts w:ascii="方正黑体_GBK" w:eastAsia="方正黑体_GBK" w:cs="方正黑体_GBK" w:hint="eastAsia"/>
          <w:color w:val="000000"/>
          <w:kern w:val="0"/>
          <w:sz w:val="33"/>
          <w:szCs w:val="33"/>
          <w:shd w:val="clear" w:color="auto" w:fill="FFFFFF"/>
        </w:rPr>
        <w:t>五、评价结论及建议</w:t>
      </w:r>
    </w:p>
    <w:p>
      <w:pPr>
        <w:widowControl/>
        <w:adjustRightInd w:val="0"/>
        <w:snapToGrid w:val="0"/>
        <w:spacing w:line="580" w:lineRule="exact"/>
        <w:ind w:firstLineChars="200" w:firstLine="660"/>
        <w:contextualSpacing/>
        <w:jc w:val="left"/>
        <w:rPr>
          <w:rFonts w:ascii="方正黑体_GBK" w:eastAsia="方正黑体_GBK" w:cs="方正黑体_GBK"/>
          <w:color w:val="000000"/>
          <w:kern w:val="0"/>
          <w:sz w:val="33"/>
          <w:szCs w:val="33"/>
          <w:shd w:val="clear" w:color="auto" w:fill="FFFFFF"/>
        </w:rPr>
      </w:pPr>
      <w:r>
        <w:rPr>
          <w:rFonts w:ascii="方正黑体_GBK" w:eastAsia="方正黑体_GBK" w:cs="方正黑体_GBK" w:hint="eastAsia"/>
          <w:color w:val="000000"/>
          <w:kern w:val="0"/>
          <w:sz w:val="33"/>
          <w:szCs w:val="33"/>
          <w:shd w:val="clear" w:color="auto" w:fill="FFFFFF"/>
        </w:rPr>
        <w:t>（一）评价结论。</w:t>
      </w:r>
    </w:p>
    <w:p>
      <w:pPr>
        <w:widowControl/>
        <w:adjustRightInd w:val="0"/>
        <w:snapToGrid w:val="0"/>
        <w:spacing w:line="580" w:lineRule="exact"/>
        <w:ind w:firstLineChars="200" w:firstLine="660"/>
        <w:contextualSpacing/>
        <w:jc w:val="left"/>
        <w:rPr>
          <w:rFonts w:eastAsia="仿宋_GB2312"/>
          <w:kern w:val="0"/>
          <w:sz w:val="32"/>
          <w:szCs w:val="32"/>
        </w:rPr>
      </w:pPr>
      <w:r>
        <w:rPr>
          <w:rFonts w:eastAsia="方正仿宋_GBK"/>
          <w:color w:val="000000"/>
          <w:kern w:val="0"/>
          <w:sz w:val="33"/>
          <w:szCs w:val="33"/>
          <w:lang w:bidi="zh-CN"/>
        </w:rPr>
        <w:t>2022</w:t>
      </w:r>
      <w:r>
        <w:rPr>
          <w:rFonts w:ascii="方正仿宋_GBK" w:eastAsia="方正仿宋_GBK" w:cs="方正仿宋_GBK" w:hint="eastAsia"/>
          <w:color w:val="000000"/>
          <w:kern w:val="0"/>
          <w:sz w:val="33"/>
          <w:szCs w:val="33"/>
          <w:lang w:bidi="zh-CN"/>
        </w:rPr>
        <w:t>年，联络处坚持</w:t>
      </w:r>
      <w:r>
        <w:rPr>
          <w:rFonts w:ascii="方正仿宋_GBK" w:eastAsia="方正仿宋_GBK" w:cs="方正仿宋_GBK" w:hint="eastAsia"/>
          <w:color w:val="000000"/>
          <w:kern w:val="0"/>
          <w:sz w:val="33"/>
          <w:szCs w:val="33"/>
          <w:lang w:val="zh-CN" w:bidi="zh-CN"/>
        </w:rPr>
        <w:t>以党建为统领，</w:t>
      </w:r>
      <w:r>
        <w:rPr>
          <w:rFonts w:eastAsia="仿宋_GB2312" w:hint="eastAsia"/>
          <w:kern w:val="0"/>
          <w:sz w:val="32"/>
          <w:szCs w:val="32"/>
        </w:rPr>
        <w:t>在完成新冠疫情常态化防控的同时，全面完成了全年工作任务，得到省级部门领导及市委市政府主要领导的肯定和表扬，先后获得</w:t>
      </w:r>
      <w:r>
        <w:rPr>
          <w:rFonts w:eastAsia="方正仿宋_GBK"/>
          <w:color w:val="000000"/>
          <w:kern w:val="0"/>
          <w:sz w:val="33"/>
          <w:szCs w:val="33"/>
          <w:lang w:val="zh-CN" w:bidi="zh-CN"/>
        </w:rPr>
        <w:t>202</w:t>
      </w:r>
      <w:r>
        <w:rPr>
          <w:rFonts w:eastAsia="方正仿宋_GBK" w:hint="eastAsia"/>
          <w:color w:val="000000"/>
          <w:kern w:val="0"/>
          <w:sz w:val="33"/>
          <w:szCs w:val="33"/>
          <w:lang w:bidi="zh-CN"/>
        </w:rPr>
        <w:t>2</w:t>
      </w:r>
      <w:r>
        <w:rPr>
          <w:rFonts w:ascii="方正仿宋_GBK" w:eastAsia="方正仿宋_GBK" w:cs="方正仿宋_GBK" w:hint="eastAsia"/>
          <w:color w:val="000000"/>
          <w:kern w:val="0"/>
          <w:sz w:val="33"/>
          <w:szCs w:val="33"/>
          <w:lang w:val="zh-CN" w:bidi="zh-CN"/>
        </w:rPr>
        <w:t>年度党建目标考核优秀党支部、</w:t>
      </w:r>
      <w:r>
        <w:rPr>
          <w:rFonts w:eastAsia="方正仿宋_GBK"/>
          <w:color w:val="000000"/>
          <w:kern w:val="0"/>
          <w:sz w:val="33"/>
          <w:szCs w:val="33"/>
          <w:lang w:bidi="zh-CN"/>
        </w:rPr>
        <w:t>2022</w:t>
      </w:r>
      <w:r>
        <w:rPr>
          <w:rFonts w:ascii="方正仿宋_GBK" w:eastAsia="方正仿宋_GBK" w:cs="方正仿宋_GBK" w:hint="eastAsia"/>
          <w:color w:val="000000"/>
          <w:kern w:val="0"/>
          <w:sz w:val="33"/>
          <w:szCs w:val="33"/>
          <w:lang w:bidi="zh-CN"/>
        </w:rPr>
        <w:t>年度</w:t>
      </w:r>
      <w:r>
        <w:rPr>
          <w:rFonts w:ascii="方正仿宋_GBK" w:eastAsia="方正仿宋_GBK" w:cs="方正仿宋_GBK" w:hint="eastAsia"/>
          <w:color w:val="000000"/>
          <w:kern w:val="0"/>
          <w:sz w:val="33"/>
          <w:szCs w:val="33"/>
          <w:lang w:val="zh-CN" w:bidi="zh-CN"/>
        </w:rPr>
        <w:t>信访工作先进集体等荣誉</w:t>
      </w:r>
      <w:r>
        <w:rPr>
          <w:rFonts w:eastAsia="仿宋_GB2312" w:hint="eastAsia"/>
          <w:kern w:val="0"/>
          <w:sz w:val="32"/>
          <w:szCs w:val="32"/>
        </w:rPr>
        <w:t>，展示了攀枝花形象，得到了群众对联络处的认可，完成了年初计划：满意度≥95%。</w:t>
      </w:r>
    </w:p>
    <w:p>
      <w:pPr>
        <w:widowControl/>
        <w:adjustRightInd w:val="0"/>
        <w:snapToGrid w:val="0"/>
        <w:spacing w:line="580" w:lineRule="exact"/>
        <w:ind w:firstLineChars="200" w:firstLine="660"/>
        <w:contextualSpacing/>
        <w:jc w:val="left"/>
        <w:rPr>
          <w:rFonts w:ascii="方正黑体_GBK" w:eastAsia="方正黑体_GBK" w:cs="方正黑体_GBK"/>
          <w:color w:val="000000"/>
          <w:kern w:val="0"/>
          <w:sz w:val="33"/>
          <w:szCs w:val="33"/>
          <w:shd w:val="clear" w:color="auto" w:fill="FFFFFF"/>
        </w:rPr>
      </w:pPr>
      <w:r>
        <w:rPr>
          <w:rFonts w:ascii="方正黑体_GBK" w:eastAsia="方正黑体_GBK" w:cs="方正黑体_GBK" w:hint="eastAsia"/>
          <w:color w:val="000000"/>
          <w:kern w:val="0"/>
          <w:sz w:val="33"/>
          <w:szCs w:val="33"/>
          <w:shd w:val="clear" w:color="auto" w:fill="FFFFFF"/>
        </w:rPr>
        <w:t>（二）存在的问题。</w:t>
      </w:r>
    </w:p>
    <w:p>
      <w:pPr>
        <w:widowControl/>
        <w:adjustRightInd w:val="0"/>
        <w:snapToGrid w:val="0"/>
        <w:spacing w:line="580" w:lineRule="exact"/>
        <w:ind w:firstLineChars="200" w:firstLine="660"/>
        <w:contextualSpacing/>
        <w:jc w:val="left"/>
        <w:rPr>
          <w:rFonts w:ascii="方正黑体_GBK" w:eastAsia="方正黑体_GBK" w:cs="方正黑体_GBK"/>
          <w:color w:val="000000"/>
          <w:kern w:val="0"/>
          <w:sz w:val="33"/>
          <w:szCs w:val="33"/>
          <w:shd w:val="clear" w:color="auto" w:fill="FFFFFF"/>
        </w:rPr>
      </w:pPr>
      <w:r>
        <w:rPr>
          <w:rFonts w:ascii="方正仿宋_GBK" w:eastAsia="方正仿宋_GBK" w:cs="方正仿宋_GBK" w:hint="eastAsia"/>
          <w:sz w:val="33"/>
          <w:szCs w:val="33"/>
          <w:lang w:val="zh-CN"/>
        </w:rPr>
        <w:t>执行过程中因实际工作情况原因，出现因经费紧张先垫付后归垫的情况</w:t>
      </w:r>
      <w:r>
        <w:rPr>
          <w:rFonts w:ascii="方正黑体_GBK" w:eastAsia="方正黑体_GBK" w:cs="方正黑体_GBK" w:hint="eastAsia"/>
          <w:color w:val="000000"/>
          <w:kern w:val="0"/>
          <w:sz w:val="33"/>
          <w:szCs w:val="33"/>
          <w:shd w:val="clear" w:color="auto" w:fill="FFFFFF"/>
        </w:rPr>
        <w:t>。</w:t>
        <w:tab/>
      </w:r>
    </w:p>
    <w:p>
      <w:pPr>
        <w:widowControl/>
        <w:adjustRightInd w:val="0"/>
        <w:snapToGrid w:val="0"/>
        <w:spacing w:line="580" w:lineRule="exact"/>
        <w:ind w:firstLineChars="200" w:firstLine="660"/>
        <w:contextualSpacing/>
        <w:jc w:val="left"/>
        <w:rPr>
          <w:rFonts w:ascii="方正黑体_GBK" w:eastAsia="方正黑体_GBK" w:cs="方正黑体_GBK"/>
          <w:color w:val="000000"/>
          <w:kern w:val="0"/>
          <w:sz w:val="33"/>
          <w:szCs w:val="33"/>
          <w:shd w:val="clear" w:color="auto" w:fill="FFFFFF"/>
        </w:rPr>
      </w:pPr>
      <w:r>
        <w:rPr>
          <w:rFonts w:ascii="方正黑体_GBK" w:eastAsia="方正黑体_GBK" w:cs="方正黑体_GBK" w:hint="eastAsia"/>
          <w:color w:val="000000"/>
          <w:kern w:val="0"/>
          <w:sz w:val="33"/>
          <w:szCs w:val="33"/>
          <w:shd w:val="clear" w:color="auto" w:fill="FFFFFF"/>
        </w:rPr>
        <w:t>（三）相关建议。</w:t>
      </w:r>
    </w:p>
    <w:p>
      <w:pPr>
        <w:widowControl/>
        <w:adjustRightInd w:val="0"/>
        <w:snapToGrid w:val="0"/>
        <w:spacing w:line="580" w:lineRule="exact"/>
        <w:ind w:firstLineChars="200" w:firstLine="660"/>
        <w:contextualSpacing/>
        <w:jc w:val="left"/>
        <w:rPr>
          <w:rStyle w:val="1Char"/>
          <w:rFonts w:ascii="黑体" w:eastAsia="黑体"/>
          <w:b w:val="0"/>
        </w:rPr>
      </w:pPr>
      <w:r>
        <w:rPr>
          <w:rFonts w:ascii="方正仿宋_GBK" w:eastAsia="方正仿宋_GBK" w:cs="方正仿宋_GBK" w:hint="eastAsia"/>
          <w:sz w:val="33"/>
          <w:szCs w:val="33"/>
          <w:lang w:val="zh-CN"/>
        </w:rPr>
        <w:t>下一步，联络处</w:t>
      </w:r>
      <w:r>
        <w:rPr>
          <w:rFonts w:ascii="方正仿宋_GBK" w:eastAsia="方正仿宋_GBK" w:cs="方正仿宋_GBK" w:hint="eastAsia"/>
          <w:sz w:val="33"/>
          <w:szCs w:val="33"/>
        </w:rPr>
        <w:t>将进一步细化预算项目编制工作，并加强与市财政局等相关部门的汇报和沟通，强化相关人员的业务知识学习，严格科学预算执行，抓细抓实财政项目资金的绩效管理，以</w:t>
      </w:r>
      <w:r>
        <w:rPr>
          <w:rFonts w:ascii="方正仿宋_GBK" w:eastAsia="方正仿宋_GBK" w:cs="方正仿宋_GBK" w:hint="eastAsia"/>
          <w:color w:val="000000"/>
          <w:kern w:val="0"/>
          <w:sz w:val="33"/>
          <w:szCs w:val="33"/>
        </w:rPr>
        <w:t>达到预期指标。</w:t>
      </w:r>
    </w:p>
    <w:p>
      <w:pPr>
        <w:widowControl/>
        <w:jc w:val="left"/>
        <w:rPr>
          <w:rStyle w:val="1Char"/>
          <w:rFonts w:ascii="黑体" w:eastAsia="黑体"/>
          <w:b w:val="0"/>
        </w:rPr>
      </w:pPr>
      <w:r>
        <w:rPr>
          <w:rStyle w:val="1Char"/>
          <w:rFonts w:ascii="黑体" w:eastAsia="黑体"/>
          <w:b w:val="0"/>
        </w:rPr>
        <w:br w:type="page"/>
      </w:r>
    </w:p>
    <w:p>
      <w:pPr>
        <w:spacing w:line="600" w:lineRule="exact"/>
        <w:jc w:val="center"/>
        <w:outlineLvl w:val="0"/>
        <w:rPr>
          <w:rFonts w:ascii="仿宋" w:eastAsia="仿宋"/>
        </w:rPr>
      </w:pPr>
      <w:bookmarkStart w:id="53" w:name="_Toc15396618"/>
      <w:r>
        <w:rPr>
          <w:rFonts w:ascii="黑体" w:eastAsia="黑体" w:hint="eastAsia"/>
          <w:sz w:val="44"/>
          <w:szCs w:val="44"/>
        </w:rPr>
        <w:t>第</w:t>
      </w:r>
      <w:r>
        <w:rPr>
          <w:rStyle w:val="1Char"/>
          <w:rFonts w:ascii="黑体" w:eastAsia="黑体" w:hint="eastAsia"/>
          <w:b w:val="0"/>
        </w:rPr>
        <w:t>五部分 附表</w:t>
      </w:r>
      <w:bookmarkStart w:id="54" w:name="_Toc15396619"/>
      <w:bookmarkEnd w:id="51"/>
      <w:bookmarkEnd w:id="53"/>
    </w:p>
    <w:p>
      <w:pPr>
        <w:pStyle w:val="2"/>
        <w:rPr>
          <w:rFonts w:ascii="仿宋" w:eastAsia="仿宋"/>
        </w:rPr>
      </w:pPr>
      <w:r>
        <w:rPr>
          <w:rFonts w:ascii="仿宋" w:eastAsia="仿宋" w:hint="eastAsia"/>
          <w:b w:val="0"/>
        </w:rPr>
        <w:t>一、收</w:t>
      </w:r>
      <w:r>
        <w:rPr>
          <w:rStyle w:val="2Char"/>
          <w:rFonts w:ascii="仿宋" w:eastAsia="仿宋" w:hint="eastAsia"/>
        </w:rPr>
        <w:t>入支出决算总表</w:t>
      </w:r>
      <w:bookmarkEnd w:id="54"/>
    </w:p>
    <w:p>
      <w:pPr>
        <w:pStyle w:val="2"/>
        <w:rPr>
          <w:rFonts w:ascii="仿宋" w:eastAsia="仿宋"/>
        </w:rPr>
      </w:pPr>
      <w:bookmarkStart w:id="55" w:name="_Toc15396620"/>
      <w:r>
        <w:rPr>
          <w:rFonts w:ascii="仿宋" w:eastAsia="仿宋" w:hint="eastAsia"/>
          <w:b w:val="0"/>
        </w:rPr>
        <w:t>二、收</w:t>
      </w:r>
      <w:r>
        <w:rPr>
          <w:rStyle w:val="2Char"/>
          <w:rFonts w:ascii="仿宋" w:eastAsia="仿宋" w:hint="eastAsia"/>
        </w:rPr>
        <w:t>入决算表</w:t>
      </w:r>
      <w:bookmarkEnd w:id="55"/>
    </w:p>
    <w:p>
      <w:pPr>
        <w:pStyle w:val="2"/>
        <w:rPr>
          <w:rFonts w:ascii="仿宋" w:eastAsia="仿宋"/>
        </w:rPr>
      </w:pPr>
      <w:bookmarkStart w:id="56" w:name="_Toc15396621"/>
      <w:r>
        <w:rPr>
          <w:rStyle w:val="2Char"/>
          <w:rFonts w:ascii="仿宋" w:eastAsia="仿宋" w:hint="eastAsia"/>
        </w:rPr>
        <w:t>三、</w:t>
      </w:r>
      <w:r>
        <w:rPr>
          <w:rFonts w:ascii="仿宋" w:eastAsia="仿宋" w:hint="eastAsia"/>
          <w:b w:val="0"/>
        </w:rPr>
        <w:t>支</w:t>
      </w:r>
      <w:r>
        <w:rPr>
          <w:rStyle w:val="2Char"/>
          <w:rFonts w:ascii="仿宋" w:eastAsia="仿宋" w:hint="eastAsia"/>
        </w:rPr>
        <w:t>出决算表</w:t>
      </w:r>
      <w:bookmarkEnd w:id="56"/>
    </w:p>
    <w:p>
      <w:pPr>
        <w:pStyle w:val="2"/>
        <w:rPr>
          <w:rFonts w:ascii="仿宋" w:eastAsia="仿宋"/>
          <w:b w:val="0"/>
        </w:rPr>
      </w:pPr>
      <w:bookmarkStart w:id="57" w:name="_Toc15396622"/>
      <w:r>
        <w:rPr>
          <w:rStyle w:val="2Char"/>
          <w:rFonts w:ascii="仿宋" w:eastAsia="仿宋" w:hint="eastAsia"/>
        </w:rPr>
        <w:t>四、</w:t>
      </w:r>
      <w:r>
        <w:rPr>
          <w:rFonts w:ascii="仿宋" w:eastAsia="仿宋" w:hint="eastAsia"/>
          <w:b w:val="0"/>
        </w:rPr>
        <w:t>财</w:t>
      </w:r>
      <w:r>
        <w:rPr>
          <w:rStyle w:val="2Char"/>
          <w:rFonts w:ascii="仿宋" w:eastAsia="仿宋" w:hint="eastAsia"/>
        </w:rPr>
        <w:t>政拨款收入支出决算总表</w:t>
      </w:r>
      <w:bookmarkEnd w:id="57"/>
    </w:p>
    <w:p>
      <w:pPr>
        <w:pStyle w:val="2"/>
        <w:rPr>
          <w:rStyle w:val="2Char"/>
          <w:rFonts w:ascii="仿宋" w:eastAsia="仿宋"/>
        </w:rPr>
      </w:pPr>
      <w:bookmarkStart w:id="58" w:name="_Toc15396623"/>
      <w:r>
        <w:rPr>
          <w:rStyle w:val="2Char"/>
          <w:rFonts w:ascii="仿宋" w:eastAsia="仿宋" w:hint="eastAsia"/>
        </w:rPr>
        <w:t>五、</w:t>
      </w:r>
      <w:r>
        <w:rPr>
          <w:rFonts w:ascii="仿宋" w:eastAsia="仿宋" w:hint="eastAsia"/>
          <w:b w:val="0"/>
        </w:rPr>
        <w:t>财</w:t>
      </w:r>
      <w:r>
        <w:rPr>
          <w:rStyle w:val="2Char"/>
          <w:rFonts w:ascii="仿宋" w:eastAsia="仿宋" w:hint="eastAsia"/>
        </w:rPr>
        <w:t>政拨款支出决算明细表</w:t>
      </w:r>
      <w:bookmarkStart w:id="59" w:name="_Toc15396624"/>
      <w:bookmarkEnd w:id="58"/>
    </w:p>
    <w:p>
      <w:pPr>
        <w:pStyle w:val="2"/>
        <w:rPr>
          <w:rFonts w:ascii="仿宋" w:eastAsia="仿宋"/>
        </w:rPr>
      </w:pPr>
      <w:r>
        <w:rPr>
          <w:rStyle w:val="2Char"/>
          <w:rFonts w:ascii="仿宋" w:eastAsia="仿宋" w:hint="eastAsia"/>
        </w:rPr>
        <w:t>六、</w:t>
      </w:r>
      <w:r>
        <w:rPr>
          <w:rFonts w:ascii="仿宋" w:eastAsia="仿宋" w:hint="eastAsia"/>
          <w:b w:val="0"/>
        </w:rPr>
        <w:t>一</w:t>
      </w:r>
      <w:r>
        <w:rPr>
          <w:rStyle w:val="2Char"/>
          <w:rFonts w:ascii="仿宋" w:eastAsia="仿宋" w:hint="eastAsia"/>
        </w:rPr>
        <w:t>般公共预算财政拨款支出决算表</w:t>
      </w:r>
      <w:bookmarkEnd w:id="59"/>
    </w:p>
    <w:p>
      <w:pPr>
        <w:pStyle w:val="2"/>
        <w:rPr>
          <w:rFonts w:ascii="仿宋" w:eastAsia="仿宋"/>
        </w:rPr>
      </w:pPr>
      <w:bookmarkStart w:id="60" w:name="_Toc15396625"/>
      <w:r>
        <w:rPr>
          <w:rStyle w:val="2Char"/>
          <w:rFonts w:ascii="仿宋" w:eastAsia="仿宋" w:hint="eastAsia"/>
        </w:rPr>
        <w:t>七、</w:t>
      </w:r>
      <w:r>
        <w:rPr>
          <w:rFonts w:ascii="仿宋" w:eastAsia="仿宋" w:hint="eastAsia"/>
          <w:b w:val="0"/>
        </w:rPr>
        <w:t>一</w:t>
      </w:r>
      <w:r>
        <w:rPr>
          <w:rStyle w:val="2Char"/>
          <w:rFonts w:ascii="仿宋" w:eastAsia="仿宋" w:hint="eastAsia"/>
        </w:rPr>
        <w:t>般公共预算财政拨款支出决算明细表</w:t>
      </w:r>
      <w:bookmarkEnd w:id="60"/>
    </w:p>
    <w:p>
      <w:pPr>
        <w:pStyle w:val="2"/>
        <w:rPr>
          <w:rFonts w:ascii="仿宋" w:eastAsia="仿宋"/>
        </w:rPr>
      </w:pPr>
      <w:bookmarkStart w:id="61" w:name="_Toc15396626"/>
      <w:r>
        <w:rPr>
          <w:rStyle w:val="2Char"/>
          <w:rFonts w:ascii="仿宋" w:eastAsia="仿宋" w:hint="eastAsia"/>
        </w:rPr>
        <w:t>八、</w:t>
      </w:r>
      <w:r>
        <w:rPr>
          <w:rFonts w:ascii="仿宋" w:eastAsia="仿宋" w:hint="eastAsia"/>
          <w:b w:val="0"/>
        </w:rPr>
        <w:t>一</w:t>
      </w:r>
      <w:r>
        <w:rPr>
          <w:rStyle w:val="2Char"/>
          <w:rFonts w:ascii="仿宋" w:eastAsia="仿宋" w:hint="eastAsia"/>
        </w:rPr>
        <w:t>般公共预算财政拨款基本支出决算表</w:t>
      </w:r>
      <w:bookmarkEnd w:id="61"/>
    </w:p>
    <w:p>
      <w:pPr>
        <w:pStyle w:val="2"/>
        <w:rPr>
          <w:rFonts w:ascii="仿宋" w:eastAsia="仿宋"/>
        </w:rPr>
      </w:pPr>
      <w:bookmarkStart w:id="62" w:name="_Toc15396627"/>
      <w:r>
        <w:rPr>
          <w:rStyle w:val="2Char"/>
          <w:rFonts w:ascii="仿宋" w:eastAsia="仿宋" w:hint="eastAsia"/>
        </w:rPr>
        <w:t>九、</w:t>
      </w:r>
      <w:r>
        <w:rPr>
          <w:rFonts w:ascii="仿宋" w:eastAsia="仿宋" w:hint="eastAsia"/>
          <w:b w:val="0"/>
        </w:rPr>
        <w:t>一</w:t>
      </w:r>
      <w:r>
        <w:rPr>
          <w:rStyle w:val="2Char"/>
          <w:rFonts w:ascii="仿宋" w:eastAsia="仿宋" w:hint="eastAsia"/>
        </w:rPr>
        <w:t>般公共预算财政拨款项目支出决算表</w:t>
      </w:r>
      <w:bookmarkEnd w:id="62"/>
    </w:p>
    <w:p>
      <w:pPr>
        <w:pStyle w:val="2"/>
        <w:rPr>
          <w:rFonts w:ascii="仿宋" w:eastAsia="仿宋"/>
        </w:rPr>
      </w:pPr>
      <w:bookmarkStart w:id="63" w:name="_Toc15396628"/>
      <w:r>
        <w:rPr>
          <w:rStyle w:val="2Char"/>
          <w:rFonts w:ascii="仿宋" w:eastAsia="仿宋" w:hint="eastAsia"/>
        </w:rPr>
        <w:t>十、</w:t>
      </w:r>
      <w:bookmarkEnd w:id="63"/>
      <w:r>
        <w:rPr>
          <w:rFonts w:ascii="仿宋" w:eastAsia="仿宋" w:hint="eastAsia"/>
          <w:b w:val="0"/>
        </w:rPr>
        <w:t>政</w:t>
      </w:r>
      <w:r>
        <w:rPr>
          <w:rStyle w:val="2Char"/>
          <w:rFonts w:ascii="仿宋" w:eastAsia="仿宋" w:hint="eastAsia"/>
        </w:rPr>
        <w:t>府性基金预算财政拨款收入支出决算表</w:t>
      </w:r>
    </w:p>
    <w:p>
      <w:pPr>
        <w:pStyle w:val="2"/>
        <w:rPr>
          <w:rFonts w:ascii="仿宋" w:eastAsia="仿宋"/>
        </w:rPr>
      </w:pPr>
      <w:bookmarkStart w:id="64" w:name="_Toc15396629"/>
      <w:r>
        <w:rPr>
          <w:rStyle w:val="2Char"/>
          <w:rFonts w:ascii="仿宋" w:eastAsia="仿宋" w:hint="eastAsia"/>
        </w:rPr>
        <w:t>十一、</w:t>
      </w:r>
      <w:bookmarkEnd w:id="64"/>
      <w:r>
        <w:rPr>
          <w:rFonts w:ascii="仿宋" w:eastAsia="仿宋" w:hint="eastAsia"/>
          <w:b w:val="0"/>
        </w:rPr>
        <w:t>国</w:t>
      </w:r>
      <w:r>
        <w:rPr>
          <w:rStyle w:val="2Char"/>
          <w:rFonts w:ascii="仿宋" w:eastAsia="仿宋" w:hint="eastAsia"/>
        </w:rPr>
        <w:t>有资本经营预算财政拨款收入支出决算表</w:t>
      </w:r>
    </w:p>
    <w:p>
      <w:pPr>
        <w:pStyle w:val="2"/>
        <w:rPr>
          <w:rFonts w:ascii="仿宋" w:eastAsia="仿宋"/>
        </w:rPr>
      </w:pPr>
      <w:bookmarkStart w:id="65" w:name="_Toc15396630"/>
      <w:r>
        <w:rPr>
          <w:rStyle w:val="2Char"/>
          <w:rFonts w:ascii="仿宋" w:eastAsia="仿宋" w:hint="eastAsia"/>
        </w:rPr>
        <w:t>十二、</w:t>
      </w:r>
      <w:bookmarkEnd w:id="65"/>
      <w:r>
        <w:rPr>
          <w:rStyle w:val="2Char"/>
          <w:rFonts w:ascii="仿宋" w:eastAsia="仿宋" w:hint="eastAsia"/>
        </w:rPr>
        <w:t>国有资本经营预算财政拨款支出决算表</w:t>
      </w:r>
    </w:p>
    <w:p>
      <w:pPr>
        <w:pStyle w:val="2"/>
        <w:rPr>
          <w:rFonts w:eastAsia="仿宋"/>
        </w:rPr>
      </w:pPr>
      <w:bookmarkStart w:id="66" w:name="_Toc15396631"/>
      <w:r>
        <w:rPr>
          <w:rStyle w:val="2Char"/>
          <w:rFonts w:ascii="仿宋" w:eastAsia="仿宋" w:hint="eastAsia"/>
        </w:rPr>
        <w:t>十三、</w:t>
      </w:r>
      <w:bookmarkEnd w:id="66"/>
      <w:r>
        <w:rPr>
          <w:rStyle w:val="2Char"/>
          <w:rFonts w:ascii="仿宋" w:eastAsia="仿宋" w:hint="eastAsia"/>
        </w:rPr>
        <w:t>财政拨款“三公”经费支出决算表</w:t>
      </w:r>
    </w:p>
    <w:sectPr>
      <w:headerReference w:type="default" r:id="rId2"/>
      <w:footerReference w:type="default" r:id="rId3"/>
      <w:pgSz w:w="11906" w:h="16838"/>
      <w:pgMar w:top="1440" w:right="1800" w:bottom="1440" w:left="1800" w:header="851" w:footer="992" w:gutter="0"/>
      <w:pgNumType w:start="1"/>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altName w:val="Arial Unicode MS"/>
    <w:panose1 w:val="00000000000000000000"/>
    <w:charset w:val="86"/>
    <w:family w:val="script"/>
    <w:pitch w:val="variable"/>
    <w:sig w:usb0="00000000" w:usb1="080E0000" w:usb2="0000001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variable"/>
    <w:sig w:usb0="800002BF" w:usb1="38CF7CFA" w:usb2="00000016" w:usb3="00000000" w:csb0="00040001" w:csb1="00000000"/>
  </w:font>
  <w:font w:name="宋体">
    <w:altName w:val="方正兰亭黑_GBK"/>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modern"/>
    <w:pitch w:val="variable"/>
    <w:sig w:usb0="00000001" w:usb1="080E0000" w:usb2="00000010" w:usb3="00000000" w:csb0="00040000" w:csb1="00000000"/>
  </w:font>
  <w:font w:name="方正小标宋_GBK">
    <w:altName w:val="Arial Unicode MS"/>
    <w:panose1 w:val="00000000000000000000"/>
    <w:charset w:val="86"/>
    <w:family w:val="script"/>
    <w:pitch w:val="variable"/>
    <w:sig w:usb0="00000000" w:usb1="080E0000" w:usb2="00000010" w:usb3="00000000" w:csb0="00040000" w:csb1="00000000"/>
  </w:font>
  <w:font w:name="方正黑体_GBK">
    <w:altName w:val="Arial Unicode MS"/>
    <w:panose1 w:val="00000000000000000000"/>
    <w:charset w:val="86"/>
    <w:family w:val="script"/>
    <w:pitch w:val="variable"/>
    <w:sig w:usb0="00000000" w:usb1="080E0000" w:usb2="00000010" w:usb3="00000000" w:csb0="00040000" w:csb1="00000000"/>
  </w:font>
  <w:font w:name="方正楷体_GBK">
    <w:altName w:val="Arial Unicode MS"/>
    <w:panose1 w:val="00000000000000000000"/>
    <w:charset w:val="86"/>
    <w:family w:val="script"/>
    <w:pitch w:val="variable"/>
    <w:sig w:usb0="00000000" w:usb1="080E0000" w:usb2="00000010" w:usb3="00000000" w:csb0="00040000" w:csb1="00000000"/>
  </w:font>
  <w:font w:name="楷体_GB2312">
    <w:altName w:val="楷体"/>
    <w:panose1 w:val="00000000000000000000"/>
    <w:charset w:val="86"/>
    <w:family w:val="auto"/>
    <w:pitch w:val="variable"/>
    <w:sig w:usb0="00000001" w:usb1="080E0000" w:usb2="00000000" w:usb3="00000000" w:csb0="00040000" w:csb1="00000000"/>
  </w:font>
  <w:font w:name="方正仿宋_GBK">
    <w:altName w:val="Arial Unicode MS"/>
    <w:panose1 w:val="00000000000000000000"/>
    <w:charset w:val="86"/>
    <w:family w:val="script"/>
    <w:pitch w:val="variable"/>
    <w:sig w:usb0="00000000"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Cambria">
    <w:altName w:val="DejaVu Sans"/>
    <w:panose1 w:val="02040503050406030204"/>
    <w:charset w:val="00"/>
    <w:family w:val="roman"/>
    <w:pitch w:val="variable"/>
    <w:sig w:usb0="E00002FF" w:usb1="400004FF" w:usb2="00000000" w:usb3="00000000" w:csb0="0000019F" w:csb1="00000000"/>
  </w:font>
  <w:font w:name="Calibri">
    <w:altName w:val="DejaVu Sans"/>
    <w:panose1 w:val="020F0502020204030204"/>
    <w:charset w:val="00"/>
    <w:family w:val="swiss"/>
    <w:pitch w:val="variable"/>
    <w:sig w:usb0="E10002FF" w:usb1="4000ACFF" w:usb2="00000009" w:usb3="00000000" w:csb0="0000019F" w:csb1="00000000"/>
  </w:font>
  <w:font w:name="??">
    <w:altName w:val="DejaVu Sans"/>
    <w:panose1 w:val="00000000000000000000"/>
    <w:charset w:val="00"/>
    <w:family w:val="roman"/>
    <w:pitch w:val="variable"/>
  </w:font>
  <w:font w:name="等线">
    <w:altName w:val="方正兰亭黑_GBK"/>
    <w:panose1 w:val="00000000000000000000"/>
    <w:charset w:val="86"/>
    <w:family w:val="auto"/>
    <w:pitch w:val="variable"/>
    <w:sig w:usb0="00000000" w:usb1="38CF7CFA" w:usb2="00000016" w:usb3="00000000" w:csb0="0004000F" w:csb1="00000000"/>
  </w:font>
  <w:font w:name="Courier New">
    <w:altName w:val="DejaVu Sans"/>
    <w:panose1 w:val="02070309020205020404"/>
    <w:charset w:val="00"/>
    <w:family w:val="modern"/>
    <w:pitch w:val="variable"/>
    <w:sig w:usb0="E0002AFF" w:usb1="C0007843" w:usb2="00000009" w:usb3="00000000" w:csb0="000001FF" w:csb1="00000000"/>
  </w:font>
  <w:font w:name="微软雅黑">
    <w:altName w:val="方正兰亭黑_GBK"/>
    <w:panose1 w:val="020B0503020204020204"/>
    <w:charset w:val="86"/>
    <w:family w:val="swiss"/>
    <w:pitch w:val="variable"/>
    <w:sig w:usb0="80000287" w:usb1="280F3C52" w:usb2="00000016" w:usb3="00000000" w:csb0="0004001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sdt>
    <w:sdtPr>
      <w:id w:val="-1091061854"/>
    </w:sdtPr>
    <w:sdtContent>
      <w:p>
        <w:pPr>
          <w:pStyle w:val="21"/>
          <w:tabs>
            <w:tab w:val="center" w:pos="4153"/>
            <w:tab w:val="right" w:pos="8306"/>
          </w:tabs>
          <w:jc w:val="center"/>
        </w:pPr>
        <w:r>
          <w:fldChar w:fldCharType="begin"/>
        </w:r>
        <w:r>
          <w:instrText>PAGE   \* MERGEFORMAT</w:instrText>
        </w:r>
        <w:r>
          <w:fldChar w:fldCharType="separate"/>
        </w:r>
        <w:r>
          <w:rPr>
            <w:lang w:val="zh-CN"/>
          </w:rPr>
          <w:t>21</w:t>
        </w:r>
        <w:r>
          <w:fldChar w:fldCharType="end"/>
        </w:r>
      </w:p>
    </w:sdtContent>
  </w:sdt>
  <w:p>
    <w:pPr>
      <w:pStyle w:val="21"/>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22"/>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1272550B"/>
    <w:multiLevelType w:val="multilevel"/>
    <w:tmpl w:val="1272550B"/>
    <w:lvl w:ilvl="0">
      <w:start w:val="1"/>
      <w:numFmt w:val="japaneseCounting"/>
      <w:lvlRestart w:val="0"/>
      <w:lvlText w:val="%1、"/>
      <w:lvlJc w:val="left"/>
      <w:pPr>
        <w:tabs>
          <w:tab w:val="num" w:pos="0"/>
        </w:tabs>
        <w:ind w:left="1360" w:hanging="720"/>
      </w:pPr>
      <w:rPr>
        <w:rFonts w:hint="default"/>
        <w:b w:val="0"/>
      </w:rPr>
    </w:lvl>
    <w:lvl w:ilvl="1">
      <w:start w:val="1"/>
      <w:numFmt w:val="lowerLetter"/>
      <w:lvlText w:val="%2)"/>
      <w:lvlJc w:val="left"/>
      <w:pPr>
        <w:tabs>
          <w:tab w:val="num" w:pos="0"/>
        </w:tabs>
        <w:ind w:left="1480" w:hanging="420"/>
      </w:pPr>
    </w:lvl>
    <w:lvl w:ilvl="2">
      <w:start w:val="1"/>
      <w:numFmt w:val="lowerRoman"/>
      <w:lvlText w:val="%3."/>
      <w:lvlJc w:val="right"/>
      <w:pPr>
        <w:tabs>
          <w:tab w:val="num" w:pos="0"/>
        </w:tabs>
        <w:ind w:left="1900" w:hanging="420"/>
      </w:pPr>
    </w:lvl>
    <w:lvl w:ilvl="3">
      <w:start w:val="1"/>
      <w:numFmt w:val="decimal"/>
      <w:lvlText w:val="%4."/>
      <w:lvlJc w:val="left"/>
      <w:pPr>
        <w:tabs>
          <w:tab w:val="num" w:pos="0"/>
        </w:tabs>
        <w:ind w:left="2320" w:hanging="420"/>
      </w:pPr>
    </w:lvl>
    <w:lvl w:ilvl="4">
      <w:start w:val="1"/>
      <w:numFmt w:val="lowerLetter"/>
      <w:lvlText w:val="%5)"/>
      <w:lvlJc w:val="left"/>
      <w:pPr>
        <w:tabs>
          <w:tab w:val="num" w:pos="0"/>
        </w:tabs>
        <w:ind w:left="2740" w:hanging="420"/>
      </w:pPr>
    </w:lvl>
    <w:lvl w:ilvl="5">
      <w:start w:val="1"/>
      <w:numFmt w:val="lowerRoman"/>
      <w:lvlText w:val="%6."/>
      <w:lvlJc w:val="right"/>
      <w:pPr>
        <w:tabs>
          <w:tab w:val="num" w:pos="0"/>
        </w:tabs>
        <w:ind w:left="3160" w:hanging="420"/>
      </w:pPr>
    </w:lvl>
    <w:lvl w:ilvl="6">
      <w:start w:val="1"/>
      <w:numFmt w:val="decimal"/>
      <w:lvlText w:val="%7."/>
      <w:lvlJc w:val="left"/>
      <w:pPr>
        <w:tabs>
          <w:tab w:val="num" w:pos="0"/>
        </w:tabs>
        <w:ind w:left="3580" w:hanging="420"/>
      </w:pPr>
    </w:lvl>
    <w:lvl w:ilvl="7">
      <w:start w:val="1"/>
      <w:numFmt w:val="lowerLetter"/>
      <w:lvlText w:val="%8)"/>
      <w:lvlJc w:val="left"/>
      <w:pPr>
        <w:tabs>
          <w:tab w:val="num" w:pos="0"/>
        </w:tabs>
        <w:ind w:left="4000" w:hanging="420"/>
      </w:pPr>
    </w:lvl>
    <w:lvl w:ilvl="8">
      <w:start w:val="1"/>
      <w:numFmt w:val="lowerRoman"/>
      <w:lvlText w:val="%9."/>
      <w:lvlJc w:val="right"/>
      <w:pPr>
        <w:tabs>
          <w:tab w:val="num" w:pos="0"/>
        </w:tabs>
        <w:ind w:left="4420" w:hanging="420"/>
      </w:pPr>
    </w:lvl>
  </w:abstractNum>
  <w:abstractNum w:abstractNumId="1">
    <w:nsid w:val="CF652CEC"/>
    <w:multiLevelType w:val="singleLevel"/>
    <w:tmpl w:val="CF652CEC"/>
    <w:lvl w:ilvl="0">
      <w:start w:val="9"/>
      <w:numFmt w:val="chineseCounting"/>
      <w:lvlRestart w:val="0"/>
      <w:suff w:val="nothing"/>
      <w:lvlText w:val="%1、"/>
      <w:lvlJc w:val="left"/>
      <w:pPr>
        <w:tabs>
          <w:tab w:val="num" w:pos="0"/>
        </w:tabs>
        <w:ind w:left="0" w:hanging="0"/>
      </w:pPr>
      <w:rPr>
        <w:rFonts w:hint="eastAsia"/>
      </w:rPr>
    </w:lvl>
  </w:abstractNum>
  <w:abstractNum w:abstractNumId="2">
    <w:nsid w:val="E2FA047D"/>
    <w:multiLevelType w:val="singleLevel"/>
    <w:tmpl w:val="E2FA047D"/>
    <w:lvl w:ilvl="0">
      <w:start w:val="3"/>
      <w:numFmt w:val="chineseCounting"/>
      <w:lvlRestart w:val="0"/>
      <w:suff w:val="space"/>
      <w:lvlText w:val="第%1部分"/>
      <w:lvlJc w:val="left"/>
      <w:pPr>
        <w:tabs>
          <w:tab w:val="num" w:pos="0"/>
        </w:tabs>
        <w:ind w:left="0" w:hanging="0"/>
      </w:pPr>
      <w:rPr>
        <w:rFonts w:hint="eastAsia"/>
      </w:rPr>
    </w:lvl>
  </w:abstractNum>
  <w:abstractNum w:abstractNumId="3">
    <w:nsid w:val="3E794925"/>
    <w:multiLevelType w:val="singleLevel"/>
    <w:tmpl w:val="3E794925"/>
    <w:lvl w:ilvl="0">
      <w:start w:val="3"/>
      <w:numFmt w:val="chineseCounting"/>
      <w:lvlRestart w:val="0"/>
      <w:suff w:val="nothing"/>
      <w:lvlText w:val="（%1）"/>
      <w:lvlJc w:val="left"/>
      <w:pPr>
        <w:tabs>
          <w:tab w:val="num" w:pos="0"/>
        </w:tabs>
        <w:ind w:left="0" w:hanging="0"/>
      </w:pPr>
      <w:rPr>
        <w:rFonts w:ascii="方正楷体_GBK" w:hAnsi="方正楷体_GBK" w:eastAsia="方正楷体_GBK" w:cs="方正楷体_GBK" w:hint="eastAsia"/>
        <w:b/>
        <w:bCs/>
      </w:r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5"/>
  </w:compat>
  <w:docVars>
    <w:docVar w:name="commondata" w:val="eyJoZGlkIjoiNDE4MTAwNjY4NmQ1ODlkNDQ1Zjk4YzliYjdmM2E3MjM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link w:val="1Char"/>
    <w:pPr>
      <w:keepNext/>
      <w:keepLines/>
      <w:widowControl w:val="0"/>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eastAsia="宋体" w:cs="Times New Roman" w:hAnsi="Cambria"/>
      <w:b/>
      <w:bCs/>
      <w:sz w:val="32"/>
      <w:szCs w:val="32"/>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basedOn w:val="0"/>
    <w:pPr>
      <w:spacing w:beforeLines="30" w:before="30"/>
    </w:pPr>
    <w:rPr>
      <w:rFonts w:ascii="仿宋_GB2312" w:eastAsia="仿宋_GB2312"/>
      <w:kern w:val="0"/>
      <w:sz w:val="30"/>
    </w:rPr>
  </w:style>
  <w:style w:type="paragraph" w:styleId="16">
    <w:name w:val="Salutation"/>
    <w:basedOn w:val="0"/>
    <w:next w:val="0"/>
    <w:rPr>
      <w:rFonts w:ascii="Calibri" w:hAnsi="Calibri"/>
    </w:rPr>
  </w:style>
  <w:style w:type="paragraph" w:styleId="17">
    <w:name w:val="Body Text Indent"/>
    <w:basedOn w:val="0"/>
    <w:pPr>
      <w:spacing w:after="120"/>
      <w:ind w:leftChars="200" w:left="200"/>
    </w:pPr>
    <w:rPr>
      <w:rFonts w:ascii="仿宋_GB2312" w:hAnsi="仿宋_GB2312"/>
      <w:szCs w:val="32"/>
    </w:rPr>
  </w:style>
  <w:style w:type="paragraph" w:styleId="18">
    <w:name w:val="toc 3"/>
    <w:basedOn w:val="0"/>
    <w:next w:val="0"/>
    <w:pPr>
      <w:tabs>
        <w:tab w:val="right" w:leader="dot" w:pos="8296"/>
      </w:tabs>
      <w:ind w:leftChars="400" w:left="400"/>
    </w:pPr>
  </w:style>
  <w:style w:type="paragraph" w:styleId="19">
    <w:name w:val="Plain Text"/>
    <w:basedOn w:val="0"/>
    <w:rPr>
      <w:rFonts w:ascii="宋体"/>
    </w:rPr>
  </w:style>
  <w:style w:type="paragraph" w:styleId="20">
    <w:name w:val="Balloon Text"/>
    <w:basedOn w:val="0"/>
    <w:rPr>
      <w:sz w:val="18"/>
      <w:szCs w:val="18"/>
    </w:rPr>
  </w:style>
  <w:style w:type="paragraph" w:styleId="21">
    <w:name w:val="footer"/>
    <w:basedOn w:val="0"/>
    <w:pPr>
      <w:tabs>
        <w:tab w:val="center" w:pos="4153"/>
        <w:tab w:val="right" w:pos="8306"/>
      </w:tabs>
      <w:snapToGrid w:val="0"/>
      <w:jc w:val="left"/>
    </w:pPr>
    <w:rPr>
      <w:rFonts w:ascii="Calibri" w:hAnsi="Calibri"/>
      <w:kern w:val="0"/>
      <w:sz w:val="18"/>
      <w:szCs w:val="18"/>
    </w:rPr>
  </w:style>
  <w:style w:type="paragraph" w:styleId="22">
    <w:name w:val="header"/>
    <w:basedOn w:val="0"/>
    <w:pPr>
      <w:pBdr>
        <w:bottom w:val="single" w:sz="6" w:space="1" w:color="auto"/>
      </w:pBdr>
      <w:tabs>
        <w:tab w:val="center" w:pos="4153"/>
        <w:tab w:val="right" w:pos="8306"/>
      </w:tabs>
      <w:snapToGrid w:val="0"/>
      <w:jc w:val="center"/>
    </w:pPr>
    <w:rPr>
      <w:rFonts w:ascii="Calibri" w:hAnsi="Calibri"/>
      <w:kern w:val="0"/>
      <w:sz w:val="18"/>
      <w:szCs w:val="18"/>
    </w:rPr>
  </w:style>
  <w:style w:type="paragraph" w:styleId="23">
    <w:name w:val="toc 1"/>
    <w:basedOn w:val="0"/>
    <w:next w:val="0"/>
    <w:pPr>
      <w:tabs>
        <w:tab w:val="right" w:leader="dot" w:pos="8296"/>
      </w:tabs>
      <w:spacing w:before="93"/>
      <w:jc w:val="center"/>
    </w:pPr>
    <w:rPr>
      <w:rFonts w:ascii="仿宋" w:eastAsia="仿宋"/>
      <w:sz w:val="28"/>
      <w:szCs w:val="28"/>
    </w:rPr>
  </w:style>
  <w:style w:type="paragraph" w:styleId="24">
    <w:name w:val="toc 2"/>
    <w:basedOn w:val="0"/>
    <w:next w:val="0"/>
    <w:pPr>
      <w:tabs>
        <w:tab w:val="right" w:leader="dot" w:pos="8296"/>
      </w:tabs>
      <w:ind w:leftChars="200" w:left="200"/>
    </w:pPr>
  </w:style>
  <w:style w:type="paragraph" w:styleId="25">
    <w:name w:val="Body Text First Indent 2"/>
    <w:basedOn w:val="17"/>
    <w:pPr>
      <w:ind w:firstLineChars="200" w:firstLine="200"/>
    </w:pPr>
  </w:style>
  <w:style w:type="character" w:styleId="26">
    <w:name w:val="Strong"/>
    <w:basedOn w:val="10"/>
    <w:rPr>
      <w:b/>
    </w:rPr>
  </w:style>
  <w:style w:type="character" w:styleId="27">
    <w:name w:val="FollowedHyperlink"/>
    <w:basedOn w:val="10"/>
    <w:rPr>
      <w:color w:val="954F72"/>
      <w:u w:val="single"/>
    </w:rPr>
  </w:style>
  <w:style w:type="character" w:styleId="28">
    <w:name w:val="Hyperlink"/>
    <w:basedOn w:val="10"/>
    <w:rPr>
      <w:color w:val="0000FF"/>
      <w:u w:val="single"/>
    </w:rPr>
  </w:style>
  <w:style w:type="paragraph" w:customStyle="1" w:styleId="29">
    <w:name w:val="BodyText"/>
    <w:basedOn w:val="0"/>
    <w:pPr>
      <w:widowControl/>
      <w:textAlignment w:val="baseline"/>
    </w:pPr>
    <w:rPr>
      <w:sz w:val="32"/>
    </w:rPr>
  </w:style>
  <w:style w:type="paragraph" w:customStyle="1" w:styleId="30">
    <w:name w:val="标题 5（有编号）（绿盟科技）"/>
    <w:next w:val="0"/>
    <w:pPr>
      <w:keepNext/>
      <w:keepLines/>
      <w:widowControl w:val="0"/>
      <w:spacing w:before="280" w:after="156" w:line="377" w:lineRule="auto"/>
      <w:outlineLvl w:val="4"/>
    </w:pPr>
    <w:rPr>
      <w:rFonts w:ascii="Arial" w:eastAsia="黑体" w:cs="Times New Roman" w:hAnsi="Arial"/>
      <w:b/>
      <w:kern w:val="2"/>
      <w:sz w:val="24"/>
      <w:szCs w:val="28"/>
      <w:lang w:val="en-US" w:eastAsia="zh-CN" w:bidi="ar-SA"/>
    </w:rPr>
  </w:style>
  <w:style w:type="character" w:customStyle="1" w:styleId="31">
    <w:name w:val="Header Char"/>
    <w:basedOn w:val="10"/>
    <w:rPr>
      <w:rFonts w:ascii="Times New Roman" w:hAnsi="Times New Roman"/>
      <w:sz w:val="18"/>
      <w:szCs w:val="18"/>
    </w:rPr>
  </w:style>
  <w:style w:type="character" w:customStyle="1" w:styleId="32">
    <w:name w:val="Footer Char"/>
    <w:basedOn w:val="10"/>
    <w:rPr>
      <w:rFonts w:ascii="Times New Roman" w:hAnsi="Times New Roman"/>
      <w:sz w:val="18"/>
      <w:szCs w:val="18"/>
    </w:rPr>
  </w:style>
  <w:style w:type="character" w:customStyle="1" w:styleId="33">
    <w:name w:val="Body Text Char"/>
    <w:basedOn w:val="10"/>
    <w:rPr>
      <w:rFonts w:ascii="Times New Roman" w:hAnsi="Times New Roman"/>
      <w:szCs w:val="24"/>
    </w:rPr>
  </w:style>
  <w:style w:type="paragraph" w:customStyle="1" w:styleId="34">
    <w:name w:val="Default"/>
    <w:pPr>
      <w:widowControl w:val="0"/>
      <w:autoSpaceDE w:val="0"/>
      <w:autoSpaceDN w:val="0"/>
      <w:adjustRightInd w:val="0"/>
    </w:pPr>
    <w:rPr>
      <w:rFonts w:ascii="仿宋" w:eastAsia="仿宋" w:cs="仿宋"/>
      <w:color w:val="000000"/>
      <w:sz w:val="24"/>
      <w:szCs w:val="24"/>
      <w:lang w:val="en-US" w:eastAsia="zh-CN" w:bidi="ar-SA"/>
    </w:rPr>
  </w:style>
  <w:style w:type="paragraph" w:styleId="35">
    <w:name w:val="List Paragraph"/>
    <w:basedOn w:val="0"/>
    <w:pPr>
      <w:ind w:firstLineChars="200" w:firstLine="200"/>
    </w:pPr>
  </w:style>
  <w:style w:type="paragraph" w:customStyle="1" w:styleId="36">
    <w:name w:val="TOC 标题1"/>
    <w:basedOn w:val="1"/>
    <w:next w:val="0"/>
    <w:pPr>
      <w:keepNext/>
      <w:keepLines/>
      <w:widowControl/>
      <w:spacing w:before="480" w:after="0" w:line="276" w:lineRule="auto"/>
      <w:jc w:val="left"/>
      <w:outlineLvl w:val="9"/>
    </w:pPr>
    <w:rPr>
      <w:rFonts w:ascii="Cambria" w:eastAsia="宋体" w:cs="Times New Roman" w:hAnsi="Cambria"/>
      <w:color w:val="365F91"/>
      <w:kern w:val="0"/>
      <w:sz w:val="28"/>
      <w:szCs w:val="28"/>
    </w:rPr>
  </w:style>
  <w:style w:type="paragraph" w:customStyle="1" w:styleId="37">
    <w:name w:val="TOC 标题2"/>
    <w:basedOn w:val="1"/>
    <w:next w:val="0"/>
    <w:pPr>
      <w:keepNext/>
      <w:keepLines/>
      <w:widowControl/>
      <w:spacing w:before="480" w:after="0" w:line="276" w:lineRule="auto"/>
      <w:jc w:val="left"/>
      <w:outlineLvl w:val="9"/>
    </w:pPr>
    <w:rPr>
      <w:rFonts w:ascii="Cambria" w:eastAsia="宋体" w:cs="Times New Roman" w:hAnsi="Cambria"/>
      <w:color w:val="365F91"/>
      <w:kern w:val="0"/>
      <w:sz w:val="28"/>
      <w:szCs w:val="28"/>
    </w:rPr>
  </w:style>
  <w:style w:type="paragraph" w:customStyle="1" w:styleId="38">
    <w:name w:val="四号正文"/>
    <w:basedOn w:val="0"/>
    <w:pPr>
      <w:spacing w:line="360" w:lineRule="auto"/>
    </w:pPr>
    <w:rPr>
      <w:rFonts w:ascii="??" w:hAnsi="??"/>
      <w:color w:val="000000"/>
      <w:kern w:val="0"/>
      <w:sz w:val="28"/>
      <w:szCs w:val="21"/>
      <w:lang w:val="zh-CN"/>
    </w:rPr>
  </w:style>
  <w:style w:type="paragraph" w:customStyle="1" w:styleId="39">
    <w:name w:val="TOC 标题3"/>
    <w:basedOn w:val="1"/>
    <w:next w:val="0"/>
    <w:pPr>
      <w:keepNext/>
      <w:keepLines/>
      <w:widowControl/>
      <w:spacing w:before="240" w:after="0" w:line="259" w:lineRule="auto"/>
      <w:jc w:val="left"/>
      <w:outlineLvl w:val="9"/>
    </w:pPr>
    <w:rPr>
      <w:rFonts w:ascii="Cambria" w:eastAsia="宋体" w:cs="Times New Roman" w:hAnsi="Cambria"/>
      <w:b w:val="0"/>
      <w:bCs w:val="0"/>
      <w:color w:val="365F91"/>
      <w:kern w:val="0"/>
      <w:sz w:val="32"/>
      <w:szCs w:val="32"/>
    </w:rPr>
  </w:style>
  <w:style w:type="paragraph" w:customStyle="1" w:styleId="40">
    <w:name w:val="msonormal"/>
    <w:basedOn w:val="0"/>
    <w:pPr>
      <w:widowControl/>
      <w:spacing w:before="100" w:beforeAutospacing="1" w:after="100" w:afterAutospacing="1"/>
      <w:jc w:val="left"/>
    </w:pPr>
    <w:rPr>
      <w:rFonts w:ascii="宋体" w:cs="宋体"/>
      <w:kern w:val="0"/>
      <w:sz w:val="24"/>
    </w:rPr>
  </w:style>
  <w:style w:type="paragraph" w:customStyle="1" w:styleId="41">
    <w:name w:val="font5"/>
    <w:basedOn w:val="0"/>
    <w:pPr>
      <w:widowControl/>
      <w:spacing w:before="100" w:beforeAutospacing="1" w:after="100" w:afterAutospacing="1"/>
      <w:jc w:val="left"/>
    </w:pPr>
    <w:rPr>
      <w:rFonts w:ascii="等线" w:eastAsia="等线" w:cs="宋体"/>
      <w:kern w:val="0"/>
      <w:sz w:val="18"/>
      <w:szCs w:val="18"/>
    </w:rPr>
  </w:style>
  <w:style w:type="paragraph" w:customStyle="1" w:styleId="42">
    <w:name w:val="xl63"/>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cs="宋体"/>
      <w:color w:val="000000"/>
      <w:kern w:val="0"/>
      <w:sz w:val="18"/>
      <w:szCs w:val="18"/>
    </w:rPr>
  </w:style>
  <w:style w:type="paragraph" w:customStyle="1" w:styleId="43">
    <w:name w:val="xl64"/>
    <w:basedOn w:val="0"/>
    <w:pPr>
      <w:widowControl/>
      <w:spacing w:before="100" w:beforeAutospacing="1" w:after="100" w:afterAutospacing="1"/>
      <w:jc w:val="left"/>
    </w:pPr>
    <w:rPr>
      <w:rFonts w:ascii="Courier New" w:cs="Courier New" w:hAnsi="Courier New"/>
      <w:color w:val="000000"/>
      <w:kern w:val="0"/>
      <w:sz w:val="18"/>
      <w:szCs w:val="18"/>
    </w:rPr>
  </w:style>
  <w:style w:type="paragraph" w:customStyle="1" w:styleId="44">
    <w:name w:val="xl65"/>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cs="宋体"/>
      <w:color w:val="000000"/>
      <w:kern w:val="0"/>
      <w:sz w:val="18"/>
      <w:szCs w:val="18"/>
    </w:rPr>
  </w:style>
  <w:style w:type="paragraph" w:customStyle="1" w:styleId="45">
    <w:name w:val="xl66"/>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cs="宋体"/>
      <w:color w:val="000000"/>
      <w:kern w:val="0"/>
      <w:sz w:val="18"/>
      <w:szCs w:val="18"/>
    </w:rPr>
  </w:style>
  <w:style w:type="paragraph" w:customStyle="1" w:styleId="46">
    <w:name w:val="xl67"/>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cs="宋体"/>
      <w:color w:val="000000"/>
      <w:kern w:val="0"/>
      <w:sz w:val="18"/>
      <w:szCs w:val="18"/>
    </w:rPr>
  </w:style>
  <w:style w:type="paragraph" w:customStyle="1" w:styleId="47">
    <w:name w:val="xl68"/>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cs="宋体"/>
      <w:i/>
      <w:iCs/>
      <w:color w:val="000000"/>
      <w:kern w:val="0"/>
      <w:sz w:val="16"/>
      <w:szCs w:val="16"/>
    </w:rPr>
  </w:style>
  <w:style w:type="paragraph" w:customStyle="1" w:styleId="48">
    <w:name w:val="xl69"/>
    <w:basedOn w:val="0"/>
    <w:pPr>
      <w:widowControl/>
      <w:spacing w:before="100" w:beforeAutospacing="1" w:after="100" w:afterAutospacing="1"/>
      <w:jc w:val="left"/>
    </w:pPr>
    <w:rPr>
      <w:rFonts w:ascii="宋体" w:cs="宋体"/>
      <w:kern w:val="0"/>
      <w:sz w:val="18"/>
      <w:szCs w:val="18"/>
    </w:rPr>
  </w:style>
  <w:style w:type="paragraph" w:customStyle="1" w:styleId="49">
    <w:name w:val="xl70"/>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cs="宋体"/>
      <w:b/>
      <w:bCs/>
      <w:color w:val="000000"/>
      <w:kern w:val="0"/>
      <w:sz w:val="30"/>
      <w:szCs w:val="30"/>
    </w:rPr>
  </w:style>
  <w:style w:type="paragraph" w:customStyle="1" w:styleId="50">
    <w:name w:val="xl71"/>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cs="Courier New" w:hAnsi="Courier New"/>
      <w:color w:val="000000"/>
      <w:kern w:val="0"/>
      <w:sz w:val="18"/>
      <w:szCs w:val="18"/>
    </w:rPr>
  </w:style>
  <w:style w:type="paragraph" w:customStyle="1" w:styleId="51">
    <w:name w:val="xl72"/>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cs="Courier New" w:hAnsi="Courier New"/>
      <w:color w:val="000000"/>
      <w:kern w:val="0"/>
      <w:sz w:val="18"/>
      <w:szCs w:val="18"/>
    </w:rPr>
  </w:style>
  <w:style w:type="paragraph" w:customStyle="1" w:styleId="52">
    <w:name w:val="xl73"/>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cs="Courier New" w:hAnsi="Courier New"/>
      <w:i/>
      <w:iCs/>
      <w:color w:val="000000"/>
      <w:kern w:val="0"/>
      <w:sz w:val="18"/>
      <w:szCs w:val="18"/>
    </w:rPr>
  </w:style>
  <w:style w:type="paragraph" w:customStyle="1" w:styleId="53">
    <w:name w:val="xl74"/>
    <w:basedOn w:val="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cs="宋体"/>
      <w:i/>
      <w:iCs/>
      <w:color w:val="000000"/>
      <w:kern w:val="0"/>
      <w:sz w:val="16"/>
      <w:szCs w:val="16"/>
    </w:rPr>
  </w:style>
  <w:style w:type="character" w:customStyle="1" w:styleId="54">
    <w:name w:val="NormalCharacter"/>
    <w:rPr>
      <w:rFonts w:eastAsia="仿宋_GB2312"/>
      <w:kern w:val="2"/>
      <w:sz w:val="32"/>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chart" Target="charts/chart1.xml"/><Relationship Id="rId5" Type="http://schemas.openxmlformats.org/officeDocument/2006/relationships/chart" Target="charts/chart2.xml"/><Relationship Id="rId6" Type="http://schemas.openxmlformats.org/officeDocument/2006/relationships/chart" Target="charts/chart3.xml"/><Relationship Id="rId7" Type="http://schemas.openxmlformats.org/officeDocument/2006/relationships/chart" Target="charts/chart4.xml"/><Relationship Id="rId8" Type="http://schemas.openxmlformats.org/officeDocument/2006/relationships/chart" Target="charts/chart5.xml"/><Relationship Id="rId9" Type="http://schemas.openxmlformats.org/officeDocument/2006/relationships/chart" Target="charts/chart6.xml"/><Relationship Id="rId10" Type="http://schemas.openxmlformats.org/officeDocument/2006/relationships/chart" Target="charts/chart7.xml"/><Relationship Id="rId11" Type="http://schemas.openxmlformats.org/officeDocument/2006/relationships/styles" Target="styles.xml"/><Relationship Id="rId12" Type="http://schemas.openxmlformats.org/officeDocument/2006/relationships/numbering" Target="numbering.xml"/><Relationship Id="rId13"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char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char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char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char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char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char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char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方正兰亭黑_GBK"/>
                <a:ea typeface="方正兰亭黑_GBK"/>
                <a:cs typeface="Lucida Sans"/>
              </a:defRPr>
            </a:pPr>
            <a:r>
              <a:rPr lang="zh-CN" sz="1400" b="0" i="0" u="none" strike="noStrike" baseline="0">
                <a:solidFill>
                  <a:srgbClr val="595959"/>
                </a:solidFill>
                <a:latin typeface="方正兰亭黑_GBK"/>
                <a:ea typeface="方正兰亭黑_GBK"/>
                <a:cs typeface="Lucida Sans"/>
              </a:rPr>
              <a:t>图</a:t>
            </a:r>
            <a:r>
              <a:rPr lang="zh-CN" sz="1400" b="0" i="0" u="none" strike="noStrike" baseline="0">
                <a:solidFill>
                  <a:srgbClr val="595959"/>
                </a:solidFill>
                <a:latin typeface="方正兰亭黑_GBK"/>
                <a:ea typeface="方正兰亭黑_GBK"/>
                <a:cs typeface="Lucida Sans"/>
              </a:rPr>
              <a:t>1</a:t>
            </a:r>
            <a:r>
              <a:rPr lang="zh-CN" sz="1400" b="0" i="0" u="none" strike="noStrike" baseline="0">
                <a:solidFill>
                  <a:srgbClr val="595959"/>
                </a:solidFill>
                <a:latin typeface="方正兰亭黑_GBK"/>
                <a:ea typeface="方正兰亭黑_GBK"/>
                <a:cs typeface="Lucida Sans"/>
              </a:rPr>
              <a:t>：收、支决算总计变动情况图</a:t>
            </a:r>
          </a:p>
        </c:rich>
      </c:tx>
      <c:layout/>
      <c:overlay val="0"/>
      <c:spPr>
        <a:noFill/>
        <a:ln>
          <a:noFill/>
        </a:ln>
      </c:spPr>
    </c:title>
    <c:autoTitleDeleted val="1"/>
    <c:plotArea>
      <c:layout/>
      <c:barChart>
        <c:barDir val="col"/>
        <c:grouping val="clustered"/>
        <c:varyColors val="0"/>
        <c:ser>
          <c:idx val="0"/>
          <c:order val="0"/>
          <c:spPr>
            <a:solidFill>
              <a:srgbClr val="4F81BD"/>
            </a:solidFill>
            <a:ln>
              <a:noFill/>
            </a:ln>
          </c:spPr>
          <c:invertIfNegative val="0"/>
          <c:dLbls>
            <c:showLegendKey val="0"/>
            <c:showVal val="0"/>
            <c:showCatName val="0"/>
            <c:showSerName val="0"/>
            <c:showPercent val="0"/>
            <c:showBubbleSize val="0"/>
            <c:showLeaderLines val="0"/>
          </c:dLbls>
          <c:cat>
            <c:strLit>
              <c:ptCount val="2"/>
              <c:pt idx="0">
                <c:v>2021年收支总额</c:v>
              </c:pt>
              <c:pt idx="1">
                <c:v>2022年收支总额</c:v>
              </c:pt>
            </c:strLit>
          </c:cat>
          <c:val>
            <c:numRef>
              <c:f/>
              <c:numCache>
                <c:formatCode>General</c:formatCode>
                <c:ptCount val="2"/>
                <c:pt idx="0">
                  <c:v>294.75</c:v>
                </c:pt>
                <c:pt idx="1">
                  <c:v>228.35</c:v>
                </c:pt>
              </c:numCache>
            </c:numRef>
          </c:val>
        </c:ser>
        <c:overlap val="-27"/>
        <c:gapWidth val="219"/>
        <c:axId val="0"/>
        <c:axId val="1"/>
      </c:barChart>
      <c:catAx>
        <c:axId val="0"/>
        <c:scaling>
          <c:orientation val="minMax"/>
        </c:scaling>
        <c:delete val="0"/>
        <c:axPos val="b"/>
        <c:numFmt formatCode="General" sourceLinked="0"/>
        <c:majorTickMark val="none"/>
        <c:minorTickMark val="none"/>
        <c:tickLblPos val="nextTo"/>
        <c:spPr>
          <a:ln w="6350">
            <a:solidFill>
              <a:srgbClr val="D9D9D9"/>
            </a:solidFill>
            <a:prstDash val="solid"/>
          </a:ln>
        </c:spPr>
        <c:txPr>
          <a:bodyPr/>
          <a:lstStyle/>
          <a:p>
            <a:pPr>
              <a:defRPr sz="900" b="0" i="0" u="none" strike="noStrike" baseline="0">
                <a:solidFill>
                  <a:srgbClr val="595959"/>
                </a:solidFill>
                <a:latin typeface="方正兰亭黑_GBK"/>
                <a:ea typeface="方正兰亭黑_GBK"/>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D9D9D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crossesAt val="1.0"/>
        <c:crossBetween val="between"/>
        <c:crossAx val="0"/>
      </c:valAx>
      <c:spPr>
        <a:noFill/>
        <a:ln>
          <a:noFill/>
        </a:ln>
      </c:spPr>
    </c:plotArea>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方正兰亭黑_GBK"/>
                <a:ea typeface="方正兰亭黑_GBK"/>
                <a:cs typeface="Lucida Sans"/>
              </a:defRPr>
            </a:pPr>
            <a:r>
              <a:rPr lang="zh-CN" sz="1400" b="0" i="0" u="none" strike="noStrike" baseline="0">
                <a:solidFill>
                  <a:srgbClr val="595959"/>
                </a:solidFill>
                <a:latin typeface="方正兰亭黑_GBK"/>
                <a:ea typeface="方正兰亭黑_GBK"/>
                <a:cs typeface="Lucida Sans"/>
              </a:rPr>
              <a:t>图</a:t>
            </a:r>
            <a:r>
              <a:rPr lang="zh-CN" sz="1400" b="0" i="0" u="none" strike="noStrike" baseline="0">
                <a:solidFill>
                  <a:srgbClr val="595959"/>
                </a:solidFill>
                <a:latin typeface="方正兰亭黑_GBK"/>
                <a:ea typeface="方正兰亭黑_GBK"/>
                <a:cs typeface="Lucida Sans"/>
              </a:rPr>
              <a:t>2</a:t>
            </a:r>
            <a:r>
              <a:rPr lang="zh-CN" sz="1400" b="0" i="0" u="none" strike="noStrike" baseline="0">
                <a:solidFill>
                  <a:srgbClr val="595959"/>
                </a:solidFill>
                <a:latin typeface="方正兰亭黑_GBK"/>
                <a:ea typeface="方正兰亭黑_GBK"/>
                <a:cs typeface="Lucida Sans"/>
              </a:rPr>
              <a:t>：收入决算结构图</a:t>
            </a:r>
          </a:p>
        </c:rich>
      </c:tx>
      <c:layout/>
      <c:overlay val="0"/>
      <c:spPr>
        <a:noFill/>
        <a:ln>
          <a:noFill/>
        </a:ln>
      </c:spPr>
    </c:title>
    <c:autoTitleDeleted val="1"/>
    <c:plotArea>
      <c:layout/>
      <c:pieChart>
        <c:varyColors val="1"/>
        <c:ser>
          <c:idx val="0"/>
          <c:order val="0"/>
          <c:spPr>
            <a:solidFill>
              <a:srgbClr val="4F81BD"/>
            </a:solidFill>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Pt>
            <c:idx val="2"/>
            <c:bubble3D val="0"/>
            <c:spPr>
              <a:solidFill>
                <a:srgbClr val="9BBB59"/>
              </a:solidFill>
              <a:ln w="19050">
                <a:solidFill>
                  <a:srgbClr val="FFFFFF"/>
                </a:solidFill>
                <a:prstDash val="solid"/>
              </a:ln>
            </c:spPr>
          </c:dPt>
          <c:dPt>
            <c:idx val="3"/>
            <c:bubble3D val="0"/>
            <c:spPr>
              <a:solidFill>
                <a:srgbClr val="8064A2"/>
              </a:solidFill>
              <a:ln w="19050">
                <a:solidFill>
                  <a:srgbClr val="FFFFFF"/>
                </a:solidFill>
                <a:prstDash val="solid"/>
              </a:ln>
            </c:spPr>
          </c:dPt>
          <c:dPt>
            <c:idx val="4"/>
            <c:bubble3D val="0"/>
            <c:spPr>
              <a:solidFill>
                <a:srgbClr val="4BACC6"/>
              </a:solidFill>
              <a:ln w="19050">
                <a:solidFill>
                  <a:srgbClr val="FFFFFF"/>
                </a:solidFill>
                <a:prstDash val="solid"/>
              </a:ln>
            </c:spPr>
          </c:dPt>
          <c:dPt>
            <c:idx val="5"/>
            <c:bubble3D val="0"/>
            <c:spPr>
              <a:solidFill>
                <a:srgbClr val="F79646"/>
              </a:solidFill>
              <a:ln w="19050">
                <a:solidFill>
                  <a:srgbClr val="FFFFFF"/>
                </a:solidFill>
                <a:prstDash val="solid"/>
              </a:ln>
            </c:spPr>
          </c:dPt>
          <c:dPt>
            <c:idx val="6"/>
            <c:bubble3D val="0"/>
            <c:spPr>
              <a:solidFill>
                <a:srgbClr val="2C4D75"/>
              </a:solidFill>
              <a:ln w="19050">
                <a:solidFill>
                  <a:srgbClr val="FFFFFF"/>
                </a:solidFill>
                <a:prstDash val="solid"/>
              </a:ln>
            </c:spPr>
          </c:dPt>
          <c:dPt>
            <c:idx val="7"/>
            <c:bubble3D val="0"/>
            <c:spPr>
              <a:solidFill>
                <a:srgbClr val="772C2A"/>
              </a:solidFill>
              <a:ln w="19050">
                <a:solidFill>
                  <a:srgbClr val="FFFFFF"/>
                </a:solidFill>
                <a:prstDash val="solid"/>
              </a:ln>
            </c:spPr>
          </c:dPt>
          <c:dPt>
            <c:idx val="8"/>
            <c:bubble3D val="0"/>
            <c:spPr>
              <a:solidFill>
                <a:srgbClr val="5F7530"/>
              </a:solidFill>
              <a:ln w="19050">
                <a:solidFill>
                  <a:srgbClr val="FFFFFF"/>
                </a:solidFill>
                <a:prstDash val="solid"/>
              </a:ln>
            </c:spPr>
          </c:dPt>
          <c:dLbls>
            <c:showLegendKey val="0"/>
            <c:showVal val="0"/>
            <c:showCatName val="0"/>
            <c:showSerName val="0"/>
            <c:showPercent val="0"/>
            <c:showBubbleSize val="0"/>
            <c:showLeaderLines val="0"/>
          </c:dLbls>
          <c:cat>
            <c:strLit>
              <c:ptCount val="9"/>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pt idx="8">
                <c:v>年初结转和结余</c:v>
              </c:pt>
            </c:strLit>
          </c:cat>
          <c:val>
            <c:numRef>
              <c:f/>
              <c:numCache>
                <c:formatCode>General</c:formatCode>
                <c:ptCount val="9"/>
                <c:pt idx="0">
                  <c:v>223.7</c:v>
                </c:pt>
                <c:pt idx="1">
                  <c:v>0.0</c:v>
                </c:pt>
                <c:pt idx="2">
                  <c:v>0.0</c:v>
                </c:pt>
                <c:pt idx="3">
                  <c:v>0.0</c:v>
                </c:pt>
                <c:pt idx="4">
                  <c:v>0.0</c:v>
                </c:pt>
                <c:pt idx="5">
                  <c:v>0.0</c:v>
                </c:pt>
                <c:pt idx="6">
                  <c:v>0.0</c:v>
                </c:pt>
                <c:pt idx="7">
                  <c:v>0.02</c:v>
                </c:pt>
                <c:pt idx="8">
                  <c:v>4.63</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方正兰亭黑_GBK"/>
                <a:ea typeface="方正兰亭黑_GBK"/>
                <a:cs typeface="Lucida Sans"/>
              </a:defRPr>
            </a:pPr>
            <a:r>
              <a:rPr lang="zh-CN" sz="1400" b="0" i="0" u="none" strike="noStrike" baseline="0">
                <a:solidFill>
                  <a:srgbClr val="595959"/>
                </a:solidFill>
                <a:latin typeface="方正兰亭黑_GBK"/>
                <a:ea typeface="方正兰亭黑_GBK"/>
                <a:cs typeface="Lucida Sans"/>
              </a:rPr>
              <a:t>图</a:t>
            </a:r>
            <a:r>
              <a:rPr lang="zh-CN" sz="1400" b="0" i="0" u="none" strike="noStrike" baseline="0">
                <a:solidFill>
                  <a:srgbClr val="595959"/>
                </a:solidFill>
                <a:latin typeface="方正兰亭黑_GBK"/>
                <a:ea typeface="方正兰亭黑_GBK"/>
                <a:cs typeface="Lucida Sans"/>
              </a:rPr>
              <a:t>3</a:t>
            </a:r>
            <a:r>
              <a:rPr lang="zh-CN" sz="1400" b="0" i="0" u="none" strike="noStrike" baseline="0">
                <a:solidFill>
                  <a:srgbClr val="595959"/>
                </a:solidFill>
                <a:latin typeface="方正兰亭黑_GBK"/>
                <a:ea typeface="方正兰亭黑_GBK"/>
                <a:cs typeface="Lucida Sans"/>
              </a:rPr>
              <a:t>：支出决算结构图</a:t>
            </a:r>
          </a:p>
        </c:rich>
      </c:tx>
      <c:layout/>
      <c:overlay val="0"/>
      <c:spPr>
        <a:noFill/>
        <a:ln>
          <a:noFill/>
        </a:ln>
      </c:spPr>
    </c:title>
    <c:autoTitleDeleted val="1"/>
    <c:plotArea>
      <c:layout/>
      <c:pieChart>
        <c:varyColors val="1"/>
        <c:ser>
          <c:idx val="0"/>
          <c:order val="0"/>
          <c:spPr>
            <a:solidFill>
              <a:srgbClr val="4F81BD"/>
            </a:solidFill>
          </c:spPr>
          <c:dPt>
            <c:idx val="0"/>
            <c:bubble3D val="0"/>
            <c:spPr>
              <a:solidFill>
                <a:srgbClr val="4F81BD"/>
              </a:solidFill>
              <a:ln w="19050">
                <a:solidFill>
                  <a:srgbClr val="FFFFFF"/>
                </a:solidFill>
                <a:prstDash val="solid"/>
              </a:ln>
            </c:spPr>
          </c:dPt>
          <c:dPt>
            <c:idx val="1"/>
            <c:bubble3D val="0"/>
            <c:spPr>
              <a:solidFill>
                <a:srgbClr val="C0504D"/>
              </a:solidFill>
              <a:ln w="19050">
                <a:solidFill>
                  <a:srgbClr val="FFFFFF"/>
                </a:solidFill>
                <a:prstDash val="solid"/>
              </a:ln>
            </c:spPr>
          </c:dPt>
          <c:dPt>
            <c:idx val="2"/>
            <c:bubble3D val="0"/>
            <c:spPr>
              <a:solidFill>
                <a:srgbClr val="9BBB59"/>
              </a:solidFill>
              <a:ln w="19050">
                <a:solidFill>
                  <a:srgbClr val="FFFFFF"/>
                </a:solidFill>
                <a:prstDash val="solid"/>
              </a:ln>
            </c:spPr>
          </c:dPt>
          <c:dPt>
            <c:idx val="3"/>
            <c:bubble3D val="0"/>
            <c:spPr>
              <a:solidFill>
                <a:srgbClr val="8064A2"/>
              </a:solidFill>
              <a:ln w="19050">
                <a:solidFill>
                  <a:srgbClr val="FFFFFF"/>
                </a:solidFill>
                <a:prstDash val="solid"/>
              </a:ln>
            </c:spPr>
          </c:dPt>
          <c:dPt>
            <c:idx val="4"/>
            <c:bubble3D val="0"/>
            <c:spPr>
              <a:solidFill>
                <a:srgbClr val="4BACC6"/>
              </a:solidFill>
              <a:ln w="19050">
                <a:solidFill>
                  <a:srgbClr val="FFFFFF"/>
                </a:solidFill>
                <a:prstDash val="solid"/>
              </a:ln>
            </c:spPr>
          </c:dPt>
          <c:dLbls>
            <c:showLegendKey val="0"/>
            <c:showVal val="0"/>
            <c:showCatName val="0"/>
            <c:showSerName val="0"/>
            <c:showPercent val="0"/>
            <c:showBubbleSize val="0"/>
            <c:showLeaderLines val="0"/>
          </c:dLbls>
          <c:cat>
            <c:strLit>
              <c:ptCount val="5"/>
              <c:pt idx="0">
                <c:v>基本支出</c:v>
              </c:pt>
              <c:pt idx="1">
                <c:v>项目支出</c:v>
              </c:pt>
              <c:pt idx="2">
                <c:v>上缴上级支出</c:v>
              </c:pt>
              <c:pt idx="3">
                <c:v>经营支出</c:v>
              </c:pt>
              <c:pt idx="4">
                <c:v>对附属单位补助支出</c:v>
              </c:pt>
            </c:strLit>
          </c:cat>
          <c:val>
            <c:numRef>
              <c:f/>
              <c:numCache>
                <c:formatCode>General</c:formatCode>
                <c:ptCount val="5"/>
                <c:pt idx="0">
                  <c:v>218.35</c:v>
                </c:pt>
                <c:pt idx="1">
                  <c:v>10.0</c:v>
                </c:pt>
                <c:pt idx="2">
                  <c:v>0.0</c:v>
                </c:pt>
                <c:pt idx="3">
                  <c:v>0.0</c:v>
                </c:pt>
                <c:pt idx="4">
                  <c:v>0.0</c:v>
                </c:pt>
              </c:numCache>
            </c:numRef>
          </c:val>
        </c:ser>
        <c:firstSliceAng val="0"/>
      </c:pieChart>
      <c:spPr>
        <a:noFill/>
        <a:ln>
          <a:noFill/>
        </a:ln>
      </c:spPr>
    </c:plotArea>
    <c:legend>
      <c:legendPos val="b"/>
      <c:layout/>
      <c:overlay val="0"/>
      <c:spPr>
        <a:noFill/>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方正兰亭黑_GBK"/>
                <a:ea typeface="方正兰亭黑_GBK"/>
                <a:cs typeface="Lucida Sans"/>
              </a:defRPr>
            </a:pPr>
            <a:r>
              <a:rPr lang="zh-CN" sz="1400" b="0" i="0" u="none" strike="noStrike" baseline="0">
                <a:solidFill>
                  <a:srgbClr val="595959"/>
                </a:solidFill>
                <a:latin typeface="方正兰亭黑_GBK"/>
                <a:ea typeface="方正兰亭黑_GBK"/>
                <a:cs typeface="Lucida Sans"/>
              </a:rPr>
              <a:t>图</a:t>
            </a:r>
            <a:r>
              <a:rPr lang="zh-CN" sz="1400" b="0" i="0" u="none" strike="noStrike" baseline="0">
                <a:solidFill>
                  <a:srgbClr val="595959"/>
                </a:solidFill>
                <a:latin typeface="方正兰亭黑_GBK"/>
                <a:ea typeface="方正兰亭黑_GBK"/>
                <a:cs typeface="Lucida Sans"/>
              </a:rPr>
              <a:t>4</a:t>
            </a:r>
            <a:r>
              <a:rPr lang="zh-CN" sz="1400" b="0" i="0" u="none" strike="noStrike" baseline="0">
                <a:solidFill>
                  <a:srgbClr val="595959"/>
                </a:solidFill>
                <a:latin typeface="方正兰亭黑_GBK"/>
                <a:ea typeface="方正兰亭黑_GBK"/>
                <a:cs typeface="Lucida Sans"/>
              </a:rPr>
              <a:t>：财政拨款收、支决算总计变动情况</a:t>
            </a:r>
          </a:p>
        </c:rich>
      </c:tx>
      <c:layout/>
      <c:overlay val="0"/>
      <c:spPr>
        <a:noFill/>
        <a:ln>
          <a:noFill/>
        </a:ln>
      </c:spPr>
    </c:title>
    <c:autoTitleDeleted val="1"/>
    <c:plotArea>
      <c:layout/>
      <c:barChart>
        <c:barDir val="col"/>
        <c:grouping val="clustered"/>
        <c:varyColors val="0"/>
        <c:ser>
          <c:idx val="0"/>
          <c:order val="0"/>
          <c:spPr>
            <a:solidFill>
              <a:srgbClr val="4F81BD"/>
            </a:solidFill>
            <a:ln>
              <a:noFill/>
            </a:ln>
          </c:spPr>
          <c:invertIfNegative val="0"/>
          <c:dLbls>
            <c:showLegendKey val="0"/>
            <c:showVal val="0"/>
            <c:showCatName val="0"/>
            <c:showSerName val="0"/>
            <c:showPercent val="0"/>
            <c:showBubbleSize val="0"/>
            <c:showLeaderLines val="0"/>
          </c:dLbls>
          <c:cat>
            <c:strLit>
              <c:ptCount val="2"/>
              <c:pt idx="0">
                <c:v>2021年度财政拨款收支总额</c:v>
              </c:pt>
              <c:pt idx="1">
                <c:v>2022年度财政拨款收支总额</c:v>
              </c:pt>
            </c:strLit>
          </c:cat>
          <c:val>
            <c:numRef>
              <c:f/>
              <c:numCache>
                <c:formatCode>General</c:formatCode>
                <c:ptCount val="2"/>
                <c:pt idx="0">
                  <c:v>294.61</c:v>
                </c:pt>
                <c:pt idx="1">
                  <c:v>223.7</c:v>
                </c:pt>
              </c:numCache>
            </c:numRef>
          </c:val>
        </c:ser>
        <c:overlap val="-27"/>
        <c:gapWidth val="219"/>
        <c:axId val="0"/>
        <c:axId val="1"/>
      </c:barChart>
      <c:catAx>
        <c:axId val="0"/>
        <c:scaling>
          <c:orientation val="minMax"/>
        </c:scaling>
        <c:delete val="0"/>
        <c:axPos val="b"/>
        <c:numFmt formatCode="General" sourceLinked="0"/>
        <c:majorTickMark val="none"/>
        <c:minorTickMark val="none"/>
        <c:tickLblPos val="nextTo"/>
        <c:spPr>
          <a:ln w="6350">
            <a:solidFill>
              <a:srgbClr val="D9D9D9"/>
            </a:solidFill>
            <a:prstDash val="solid"/>
          </a:ln>
        </c:spPr>
        <c:txPr>
          <a:bodyPr/>
          <a:lstStyle/>
          <a:p>
            <a:pPr>
              <a:defRPr sz="900" b="0" i="0" u="none" strike="noStrike" baseline="0">
                <a:solidFill>
                  <a:srgbClr val="595959"/>
                </a:solidFill>
                <a:latin typeface="方正兰亭黑_GBK"/>
                <a:ea typeface="方正兰亭黑_GBK"/>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D9D9D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crossesAt val="1.0"/>
        <c:crossBetween val="between"/>
        <c:crossAx val="0"/>
      </c:valAx>
      <c:spPr>
        <a:noFill/>
        <a:ln>
          <a:noFill/>
        </a:ln>
      </c:spPr>
    </c:plotArea>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方正兰亭黑_GBK"/>
                <a:ea typeface="方正兰亭黑_GBK"/>
                <a:cs typeface="Lucida Sans"/>
              </a:defRPr>
            </a:pPr>
            <a:r>
              <a:rPr lang="zh-CN" sz="1200" b="0" i="0" u="none" strike="noStrike" baseline="0">
                <a:solidFill>
                  <a:srgbClr val="595959"/>
                </a:solidFill>
                <a:latin typeface="方正兰亭黑_GBK"/>
                <a:ea typeface="方正兰亭黑_GBK"/>
                <a:cs typeface="Lucida Sans"/>
              </a:rPr>
              <a:t>图</a:t>
            </a:r>
            <a:r>
              <a:rPr lang="zh-CN" sz="1200" b="0" i="0" u="none" strike="noStrike" baseline="0">
                <a:solidFill>
                  <a:srgbClr val="595959"/>
                </a:solidFill>
                <a:latin typeface="方正兰亭黑_GBK"/>
                <a:ea typeface="方正兰亭黑_GBK"/>
                <a:cs typeface="Lucida Sans"/>
              </a:rPr>
              <a:t>5</a:t>
            </a:r>
            <a:r>
              <a:rPr lang="zh-CN" sz="1200" b="0" i="0" u="none" strike="noStrike" baseline="0">
                <a:solidFill>
                  <a:srgbClr val="595959"/>
                </a:solidFill>
                <a:latin typeface="方正兰亭黑_GBK"/>
                <a:ea typeface="方正兰亭黑_GBK"/>
                <a:cs typeface="Lucida Sans"/>
              </a:rPr>
              <a:t>：一般公共预算财政拨款支出决算变动情况</a:t>
            </a:r>
          </a:p>
        </c:rich>
      </c:tx>
      <c:layout>
        <c:manualLayout>
          <c:xMode val="edge"/>
          <c:yMode val="edge"/>
          <c:x val="0.13166666"/>
          <c:y val="0.041666668"/>
        </c:manualLayout>
      </c:layout>
      <c:overlay val="0"/>
      <c:spPr>
        <a:noFill/>
        <a:ln>
          <a:noFill/>
        </a:ln>
      </c:spPr>
    </c:title>
    <c:autoTitleDeleted val="1"/>
    <c:plotArea>
      <c:layout>
        <c:manualLayout>
          <c:layoutTarget val="inner"/>
          <c:xMode val="edge"/>
          <c:yMode val="edge"/>
          <c:x val="0.07891742"/>
          <c:y val="0.20427927"/>
          <c:w val="0.89471203"/>
          <c:h val="0.7295946"/>
        </c:manualLayout>
      </c:layout>
      <c:barChart>
        <c:barDir val="col"/>
        <c:grouping val="clustered"/>
        <c:varyColors val="0"/>
        <c:ser>
          <c:idx val="0"/>
          <c:order val="0"/>
          <c:spPr>
            <a:solidFill>
              <a:srgbClr val="4F81BD"/>
            </a:solidFill>
            <a:ln>
              <a:noFill/>
            </a:ln>
          </c:spPr>
          <c:invertIfNegative val="0"/>
          <c:dLbls>
            <c:showLegendKey val="0"/>
            <c:showVal val="0"/>
            <c:showCatName val="0"/>
            <c:showSerName val="0"/>
            <c:showPercent val="0"/>
            <c:showBubbleSize val="0"/>
            <c:showLeaderLines val="0"/>
          </c:dLbls>
          <c:cat>
            <c:strLit>
              <c:ptCount val="2"/>
              <c:pt idx="0">
                <c:v>2021年度一般公共预算财政拨款支出额</c:v>
              </c:pt>
              <c:pt idx="1">
                <c:v>2022年度一般公共预算财政拨款支出额</c:v>
              </c:pt>
            </c:strLit>
          </c:cat>
          <c:val>
            <c:numRef>
              <c:f/>
              <c:numCache>
                <c:formatCode>General</c:formatCode>
                <c:ptCount val="2"/>
                <c:pt idx="0">
                  <c:v>268.46</c:v>
                </c:pt>
                <c:pt idx="1">
                  <c:v>228.33</c:v>
                </c:pt>
              </c:numCache>
            </c:numRef>
          </c:val>
        </c:ser>
        <c:overlap val="-27"/>
        <c:gapWidth val="219"/>
        <c:axId val="0"/>
        <c:axId val="1"/>
      </c:barChart>
      <c:catAx>
        <c:axId val="0"/>
        <c:scaling>
          <c:orientation val="minMax"/>
        </c:scaling>
        <c:delete val="0"/>
        <c:axPos val="b"/>
        <c:numFmt formatCode="General" sourceLinked="0"/>
        <c:majorTickMark val="none"/>
        <c:minorTickMark val="none"/>
        <c:tickLblPos val="nextTo"/>
        <c:spPr>
          <a:ln w="6350">
            <a:solidFill>
              <a:srgbClr val="D9D9D9"/>
            </a:solidFill>
            <a:prstDash val="solid"/>
          </a:ln>
        </c:spPr>
        <c:txPr>
          <a:bodyPr/>
          <a:lstStyle/>
          <a:p>
            <a:pPr>
              <a:defRPr sz="900" b="0" i="0" u="none" strike="noStrike" baseline="0">
                <a:solidFill>
                  <a:srgbClr val="595959"/>
                </a:solidFill>
                <a:latin typeface="方正兰亭黑_GBK"/>
                <a:ea typeface="方正兰亭黑_GBK"/>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D9D9D9"/>
              </a:solidFill>
              <a:prstDash val="solid"/>
            </a:ln>
          </c:spPr>
        </c:majorGridlines>
        <c:numFmt formatCode="General" sourceLinked="1"/>
        <c:majorTickMark val="none"/>
        <c:minorTickMark val="none"/>
        <c:tickLblPos val="nextTo"/>
        <c:spPr>
          <a:ln>
            <a:noFill/>
          </a:ln>
        </c:spPr>
        <c:txPr>
          <a:bodyPr/>
          <a:lstStyle/>
          <a:p>
            <a:pPr>
              <a:defRPr sz="900" b="0" i="0" u="none" strike="noStrike" baseline="0">
                <a:solidFill>
                  <a:srgbClr val="595959"/>
                </a:solidFill>
                <a:latin typeface="方正兰亭黑_GBK"/>
                <a:ea typeface="方正兰亭黑_GBK"/>
                <a:cs typeface="Lucida Sans"/>
              </a:defRPr>
            </a:pPr>
            <a:endParaRPr lang="zh-CN"/>
          </a:p>
        </c:txPr>
        <c:crossesAt val="1.0"/>
        <c:crossBetween val="between"/>
        <c:crossAx val="0"/>
      </c:valAx>
      <c:spPr>
        <a:noFill/>
        <a:ln>
          <a:noFill/>
        </a:ln>
      </c:spPr>
    </c:plotArea>
    <c:plotVisOnly val="1"/>
    <c:dispBlanksAs val="gap"/>
    <c:showDLblsOverMax val="0"/>
  </c:chart>
  <c:spPr>
    <a:solidFill>
      <a:srgbClr val="FFFFFF"/>
    </a:solidFill>
    <a:ln w="6350">
      <a:solidFill>
        <a:srgbClr val="D9D9D9"/>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4F81BD"/>
            </a:solidFill>
          </c:spPr>
          <c:dPt>
            <c:idx val="0"/>
            <c:bubble3D val="0"/>
            <c:spPr>
              <a:solidFill>
                <a:srgbClr val="39608E"/>
              </a:solidFill>
            </c:spPr>
          </c:dPt>
          <c:dPt>
            <c:idx val="1"/>
            <c:bubble3D val="0"/>
            <c:spPr>
              <a:solidFill>
                <a:srgbClr val="903A38"/>
              </a:solidFill>
            </c:spPr>
          </c:dPt>
          <c:dPt>
            <c:idx val="2"/>
            <c:bubble3D val="0"/>
            <c:spPr>
              <a:solidFill>
                <a:srgbClr val="748C41"/>
              </a:solidFill>
            </c:spPr>
          </c:dPt>
          <c:dPt>
            <c:idx val="3"/>
            <c:bubble3D val="0"/>
            <c:spPr>
              <a:solidFill>
                <a:srgbClr val="5F4979"/>
              </a:solidFill>
            </c:spPr>
          </c:dPt>
          <c:dPt>
            <c:idx val="4"/>
            <c:bubble3D val="0"/>
            <c:spPr>
              <a:solidFill>
                <a:srgbClr val="368195"/>
              </a:solidFill>
            </c:spPr>
          </c:dPt>
          <c:dPt>
            <c:idx val="5"/>
            <c:bubble3D val="0"/>
            <c:spPr>
              <a:solidFill>
                <a:srgbClr val="BA7032"/>
              </a:solidFill>
            </c:spPr>
          </c:dPt>
          <c:dPt>
            <c:idx val="6"/>
            <c:bubble3D val="0"/>
            <c:spPr>
              <a:solidFill>
                <a:srgbClr val="4572A7"/>
              </a:solidFill>
            </c:spPr>
          </c:dPt>
          <c:dPt>
            <c:idx val="7"/>
            <c:bubble3D val="0"/>
            <c:spPr>
              <a:solidFill>
                <a:srgbClr val="AA4643"/>
              </a:solidFill>
            </c:spPr>
          </c:dPt>
          <c:dPt>
            <c:idx val="8"/>
            <c:bubble3D val="0"/>
            <c:spPr>
              <a:solidFill>
                <a:srgbClr val="89A54E"/>
              </a:solidFill>
            </c:spPr>
          </c:dPt>
          <c:dPt>
            <c:idx val="9"/>
            <c:bubble3D val="0"/>
            <c:spPr>
              <a:solidFill>
                <a:srgbClr val="71588F"/>
              </a:solidFill>
            </c:spPr>
          </c:dPt>
          <c:dPt>
            <c:idx val="10"/>
            <c:bubble3D val="0"/>
            <c:spPr>
              <a:solidFill>
                <a:srgbClr val="4198AF"/>
              </a:solidFill>
            </c:spPr>
          </c:dPt>
          <c:dPt>
            <c:idx val="11"/>
            <c:bubble3D val="0"/>
            <c:spPr>
              <a:solidFill>
                <a:srgbClr val="DB843D"/>
              </a:solidFill>
            </c:spPr>
          </c:dPt>
          <c:dPt>
            <c:idx val="12"/>
            <c:bubble3D val="0"/>
            <c:spPr>
              <a:solidFill>
                <a:srgbClr val="4F81BD"/>
              </a:solidFill>
            </c:spPr>
          </c:dPt>
          <c:dPt>
            <c:idx val="13"/>
            <c:bubble3D val="0"/>
            <c:spPr>
              <a:solidFill>
                <a:srgbClr val="C0504D"/>
              </a:solidFill>
            </c:spPr>
          </c:dPt>
          <c:dPt>
            <c:idx val="14"/>
            <c:bubble3D val="0"/>
            <c:spPr>
              <a:solidFill>
                <a:srgbClr val="9BBB59"/>
              </a:solidFill>
            </c:spPr>
          </c:dPt>
          <c:dPt>
            <c:idx val="15"/>
            <c:bubble3D val="0"/>
            <c:spPr>
              <a:solidFill>
                <a:srgbClr val="8064A2"/>
              </a:solidFill>
            </c:spPr>
          </c:dPt>
          <c:dPt>
            <c:idx val="16"/>
            <c:bubble3D val="0"/>
            <c:spPr>
              <a:solidFill>
                <a:srgbClr val="4BACC6"/>
              </a:solidFill>
            </c:spPr>
          </c:dPt>
          <c:dPt>
            <c:idx val="17"/>
            <c:bubble3D val="0"/>
            <c:spPr>
              <a:solidFill>
                <a:srgbClr val="F79646"/>
              </a:solidFill>
            </c:spPr>
          </c:dPt>
          <c:dPt>
            <c:idx val="18"/>
            <c:bubble3D val="0"/>
            <c:spPr>
              <a:solidFill>
                <a:srgbClr val="93A9CF"/>
              </a:solidFill>
            </c:spPr>
          </c:dPt>
          <c:dPt>
            <c:idx val="19"/>
            <c:bubble3D val="0"/>
            <c:spPr>
              <a:solidFill>
                <a:srgbClr val="D19392"/>
              </a:solidFill>
            </c:spPr>
          </c:dPt>
          <c:dPt>
            <c:idx val="20"/>
            <c:bubble3D val="0"/>
            <c:spPr>
              <a:solidFill>
                <a:srgbClr val="B9CD96"/>
              </a:solidFill>
            </c:spPr>
          </c:dPt>
          <c:dPt>
            <c:idx val="21"/>
            <c:bubble3D val="0"/>
            <c:spPr>
              <a:solidFill>
                <a:srgbClr val="A99BBD"/>
              </a:solidFill>
            </c:spPr>
          </c:dPt>
          <c:dPt>
            <c:idx val="22"/>
            <c:bubble3D val="0"/>
            <c:spPr>
              <a:solidFill>
                <a:srgbClr val="91C3D5"/>
              </a:solidFill>
            </c:spPr>
          </c:dPt>
          <c:dPt>
            <c:idx val="23"/>
            <c:bubble3D val="0"/>
            <c:spPr>
              <a:solidFill>
                <a:srgbClr val="F9B590"/>
              </a:solidFill>
            </c:spPr>
          </c:dPt>
          <c:dPt>
            <c:idx val="24"/>
            <c:bubble3D val="0"/>
            <c:spPr>
              <a:solidFill>
                <a:srgbClr val="BCC8DF"/>
              </a:solidFill>
            </c:spPr>
          </c:dPt>
          <c:dPt>
            <c:idx val="25"/>
            <c:bubble3D val="0"/>
            <c:spPr>
              <a:solidFill>
                <a:srgbClr val="E0BCBC"/>
              </a:solidFill>
            </c:spPr>
          </c:dPt>
          <c:dLbls>
            <c:showLegendKey val="0"/>
            <c:showVal val="0"/>
            <c:showCatName val="0"/>
            <c:showSerName val="0"/>
            <c:showPercent val="0"/>
            <c:showBubbleSize val="0"/>
            <c:showLeaderLines val="0"/>
          </c:dLbls>
          <c:cat>
            <c:strLit>
              <c:ptCount val="26"/>
              <c:pt idx="0">
                <c:v>一般公共服务支出</c:v>
              </c:pt>
              <c:pt idx="1">
                <c:v>外交支出</c:v>
              </c:pt>
              <c:pt idx="2">
                <c:v>国防支出</c:v>
              </c:pt>
              <c:pt idx="3">
                <c:v>公共安全支出</c:v>
              </c:pt>
              <c:pt idx="4">
                <c:v>教育支出</c:v>
              </c:pt>
              <c:pt idx="5">
                <c:v>科学技术支出</c:v>
              </c:pt>
              <c:pt idx="6">
                <c:v>文化旅游体育与传媒支出</c:v>
              </c:pt>
              <c:pt idx="7">
                <c:v>社会保障和就业支出</c:v>
              </c:pt>
              <c:pt idx="8">
                <c:v>卫生健康支出</c:v>
              </c:pt>
              <c:pt idx="9">
                <c:v>节能环保支出</c:v>
              </c:pt>
              <c:pt idx="10">
                <c:v>城乡社区支出</c:v>
              </c:pt>
              <c:pt idx="11">
                <c:v>农林水支出</c:v>
              </c:pt>
              <c:pt idx="12">
                <c:v>交通运输支出</c:v>
              </c:pt>
              <c:pt idx="13">
                <c:v>资源勘探工业信息等支出</c:v>
              </c:pt>
              <c:pt idx="14">
                <c:v>商业服务业等支出</c:v>
              </c:pt>
              <c:pt idx="15">
                <c:v>金融支出</c:v>
              </c:pt>
              <c:pt idx="16">
                <c:v>援助其他地区支出</c:v>
              </c:pt>
              <c:pt idx="17">
                <c:v>自然资源海洋气象等支出</c:v>
              </c:pt>
              <c:pt idx="18">
                <c:v>住房保障支出</c:v>
              </c:pt>
              <c:pt idx="19">
                <c:v>粮油物资储备支出</c:v>
              </c:pt>
              <c:pt idx="20">
                <c:v>国有资本经营预算支出</c:v>
              </c:pt>
              <c:pt idx="21">
                <c:v>灾害防治及应急管理支出</c:v>
              </c:pt>
              <c:pt idx="22">
                <c:v>其他支出</c:v>
              </c:pt>
              <c:pt idx="23">
                <c:v>债务还本支出</c:v>
              </c:pt>
              <c:pt idx="24">
                <c:v>债务付息支出</c:v>
              </c:pt>
              <c:pt idx="25">
                <c:v>抗疫特别国债安排的支出</c:v>
              </c:pt>
            </c:strLit>
          </c:cat>
          <c:val>
            <c:numRef>
              <c:f/>
              <c:numCache>
                <c:formatCode>General</c:formatCode>
                <c:ptCount val="26"/>
                <c:pt idx="0">
                  <c:v>193.99</c:v>
                </c:pt>
                <c:pt idx="1">
                  <c:v>0.0</c:v>
                </c:pt>
                <c:pt idx="2">
                  <c:v>0.0</c:v>
                </c:pt>
                <c:pt idx="3">
                  <c:v>0.0</c:v>
                </c:pt>
                <c:pt idx="4">
                  <c:v>0.0</c:v>
                </c:pt>
                <c:pt idx="5">
                  <c:v>0.0</c:v>
                </c:pt>
                <c:pt idx="6">
                  <c:v>0.0</c:v>
                </c:pt>
                <c:pt idx="7">
                  <c:v>20.05</c:v>
                </c:pt>
                <c:pt idx="8">
                  <c:v>0.0</c:v>
                </c:pt>
                <c:pt idx="9">
                  <c:v>0.0</c:v>
                </c:pt>
                <c:pt idx="10">
                  <c:v>0.0</c:v>
                </c:pt>
                <c:pt idx="11">
                  <c:v>0.0</c:v>
                </c:pt>
                <c:pt idx="12">
                  <c:v>0.0</c:v>
                </c:pt>
                <c:pt idx="13">
                  <c:v>0.0</c:v>
                </c:pt>
                <c:pt idx="14">
                  <c:v>0.0</c:v>
                </c:pt>
                <c:pt idx="15">
                  <c:v>0.0</c:v>
                </c:pt>
                <c:pt idx="16">
                  <c:v>0.0</c:v>
                </c:pt>
                <c:pt idx="17">
                  <c:v>0.0</c:v>
                </c:pt>
                <c:pt idx="18">
                  <c:v>14.3</c:v>
                </c:pt>
                <c:pt idx="19">
                  <c:v>0.0</c:v>
                </c:pt>
                <c:pt idx="20">
                  <c:v>0.0</c:v>
                </c:pt>
                <c:pt idx="21">
                  <c:v>0.0</c:v>
                </c:pt>
                <c:pt idx="22">
                  <c:v>0.0</c:v>
                </c:pt>
                <c:pt idx="23">
                  <c:v>0.0</c:v>
                </c:pt>
                <c:pt idx="24">
                  <c:v>0.0</c:v>
                </c:pt>
                <c:pt idx="25">
                  <c:v>0.0</c:v>
                </c:pt>
              </c:numCache>
            </c:numRef>
          </c:val>
        </c:ser>
        <c:firstSliceAng val="0"/>
      </c:pieChart>
      <c:spPr>
        <a:noFill/>
      </c:spPr>
    </c:plotArea>
    <c:legend>
      <c:legendPos val="b"/>
      <c:layout/>
      <c:overlay val="0"/>
      <c:spPr>
        <a:noFill/>
        <a:ln>
          <a:noFill/>
        </a:ln>
      </c:spPr>
      <c:txPr>
        <a:bodyPr/>
        <a:lstStyle/>
        <a:p>
          <a:pPr>
            <a:defRPr sz="1000" b="0" i="0" u="none" strike="noStrike" baseline="0">
              <a:solidFill>
                <a:srgbClr val="000000"/>
              </a:solidFill>
              <a:latin typeface="方正兰亭黑_GBK"/>
              <a:ea typeface="方正兰亭黑_GBK"/>
              <a:cs typeface="Lucida Sans"/>
            </a:defRPr>
          </a:pPr>
          <a:endParaRPr lang="zh-CN"/>
        </a:p>
      </c:txPr>
    </c:legend>
    <c:plotVisOnly val="1"/>
    <c:dispBlanksAs val="gap"/>
    <c:showDLblsOverMax val="0"/>
  </c:chart>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方正兰亭黑_GBK"/>
                <a:ea typeface="方正兰亭黑_GBK"/>
                <a:cs typeface="Lucida Sans"/>
              </a:defRPr>
            </a:pPr>
            <a:r>
              <a:rPr lang="zh-CN" sz="1400" b="0" i="0" u="none" strike="noStrike" baseline="0">
                <a:solidFill>
                  <a:srgbClr val="404040"/>
                </a:solidFill>
                <a:latin typeface="方正兰亭黑_GBK"/>
                <a:ea typeface="方正兰亭黑_GBK"/>
                <a:cs typeface="Lucida Sans"/>
              </a:rPr>
              <a:t>图</a:t>
            </a:r>
            <a:r>
              <a:rPr lang="zh-CN" sz="1400" b="0" i="0" u="none" strike="noStrike" baseline="0">
                <a:solidFill>
                  <a:srgbClr val="404040"/>
                </a:solidFill>
                <a:latin typeface="方正兰亭黑_GBK"/>
                <a:ea typeface="方正兰亭黑_GBK"/>
                <a:cs typeface="Lucida Sans"/>
              </a:rPr>
              <a:t>7</a:t>
            </a:r>
            <a:r>
              <a:rPr lang="zh-CN" sz="1400" b="0" i="0" u="none" strike="noStrike" baseline="0">
                <a:solidFill>
                  <a:srgbClr val="404040"/>
                </a:solidFill>
                <a:latin typeface="方正兰亭黑_GBK"/>
                <a:ea typeface="方正兰亭黑_GBK"/>
                <a:cs typeface="Lucida Sans"/>
              </a:rPr>
              <a:t>：“三公”经费财政拨款支出结构</a:t>
            </a:r>
          </a:p>
        </c:rich>
      </c:tx>
      <c:layout/>
      <c:overlay val="0"/>
      <c:spPr>
        <a:noFill/>
        <a:ln>
          <a:noFill/>
        </a:ln>
      </c:spPr>
    </c:title>
    <c:autoTitleDeleted val="1"/>
    <c:plotArea>
      <c:layout/>
      <c:pieChart>
        <c:varyColors val="1"/>
        <c:ser>
          <c:idx val="0"/>
          <c:order val="0"/>
          <c:spPr>
            <a:solidFill>
              <a:srgbClr val="4F81BD"/>
            </a:solidFill>
          </c:spPr>
          <c:dPt>
            <c:idx val="0"/>
            <c:bubble3D val="0"/>
            <c:spPr>
              <a:solidFill>
                <a:srgbClr val="646464"/>
              </a:solidFill>
              <a:ln>
                <a:noFill/>
              </a:ln>
              <a:effectLst>
                <a:outerShdw dist="35921" dir="2700000" algn="br">
                  <a:srgbClr val="000000"/>
                </a:outerShdw>
              </a:effectLst>
            </c:spPr>
          </c:dPt>
          <c:dPt>
            <c:idx val="1"/>
            <c:bubble3D val="0"/>
            <c:spPr>
              <a:solidFill>
                <a:srgbClr val="5B9BD5"/>
              </a:solidFill>
              <a:ln>
                <a:noFill/>
              </a:ln>
              <a:effectLst>
                <a:outerShdw dist="35921" dir="2700000" algn="br">
                  <a:srgbClr val="000000"/>
                </a:outerShdw>
              </a:effectLst>
            </c:spPr>
          </c:dPt>
          <c:dPt>
            <c:idx val="2"/>
            <c:bubble3D val="0"/>
            <c:spPr>
              <a:solidFill>
                <a:srgbClr val="B8B8B8"/>
              </a:solidFill>
              <a:ln>
                <a:noFill/>
              </a:ln>
              <a:effectLst>
                <a:outerShdw dist="35921" dir="2700000" algn="br">
                  <a:srgbClr val="000000"/>
                </a:outerShdw>
              </a:effectLst>
            </c:spPr>
          </c:dPt>
          <c:dLbls>
            <c:showLegendKey val="0"/>
            <c:showVal val="0"/>
            <c:showCatName val="0"/>
            <c:showSerName val="0"/>
            <c:showPercent val="0"/>
            <c:showBubbleSize val="0"/>
            <c:showLeaderLines val="0"/>
          </c:dLbls>
          <c:cat>
            <c:strLit>
              <c:ptCount val="3"/>
              <c:pt idx="0">
                <c:v>因公出国（境）费</c:v>
              </c:pt>
              <c:pt idx="1">
                <c:v>公务用车购置及运行维护费</c:v>
              </c:pt>
              <c:pt idx="2">
                <c:v>公务接待费</c:v>
              </c:pt>
            </c:strLit>
          </c:cat>
          <c:val>
            <c:numRef>
              <c:f/>
              <c:numCache>
                <c:formatCode>General</c:formatCode>
                <c:ptCount val="3"/>
                <c:pt idx="0">
                  <c:v>0.0</c:v>
                </c:pt>
                <c:pt idx="1">
                  <c:v>6.29</c:v>
                </c:pt>
                <c:pt idx="2">
                  <c:v>0.0</c:v>
                </c:pt>
              </c:numCache>
            </c:numRef>
          </c:val>
        </c:ser>
        <c:firstSliceAng val="0"/>
      </c:pieChart>
      <c:spPr>
        <a:noFill/>
        <a:ln>
          <a:noFill/>
        </a:ln>
      </c:spPr>
    </c:plotArea>
    <c:legend>
      <c:legendPos val="r"/>
      <c:layout/>
      <c:overlay val="0"/>
      <c:spPr>
        <a:solidFill>
          <a:srgbClr val="F2F2F2">
            <a:alpha val="39000"/>
          </a:srgbClr>
        </a:solidFill>
        <a:ln>
          <a:noFill/>
        </a:ln>
      </c:spPr>
      <c:txPr>
        <a:bodyPr/>
        <a:lstStyle/>
        <a:p>
          <a:pPr>
            <a:defRPr sz="900" b="0" i="0" u="none" strike="noStrike" baseline="0">
              <a:solidFill>
                <a:srgbClr val="404040"/>
              </a:solidFill>
              <a:latin typeface="方正兰亭黑_GBK"/>
              <a:ea typeface="方正兰亭黑_GBK"/>
              <a:cs typeface="Lucida Sans"/>
            </a:defRPr>
          </a:pPr>
          <a:endParaRPr lang="zh-CN"/>
        </a:p>
      </c:txPr>
    </c:legend>
    <c:plotVisOnly val="1"/>
    <c:dispBlanksAs val="gap"/>
    <c:showDLblsOverMax val="0"/>
  </c:chart>
  <c:spPr>
    <a:solidFill>
      <a:srgbClr val="FFFFFF"/>
    </a:solidFill>
    <a:ln w="6350">
      <a:solidFill>
        <a:srgbClr val="BFBFBF"/>
      </a:solidFill>
      <a:prstDash val="solid"/>
    </a:ln>
  </c:spPr>
  <c:txPr>
    <a:bodyPr/>
    <a:lstStyle/>
    <a:p>
      <a:pPr>
        <a:defRPr sz="1000" b="0" i="0" u="none" strike="noStrike" baseline="0">
          <a:solidFill>
            <a:srgbClr val="000000"/>
          </a:solidFill>
          <a:latin typeface="方正兰亭黑_GBK"/>
          <a:ea typeface="方正兰亭黑_GBK"/>
          <a:cs typeface="Lucida Sans"/>
        </a:defRPr>
      </a:pPr>
      <a:endParaRPr lang="zh-CN"/>
    </a:p>
  </c:txPr>
  <c:printSettings>
    <c:headerFooter/>
    <c:pageMargins b="0.75" l="0.7" r="0.7" t="0.75" header="0.3" footer="0.3"/>
    <c:pageSetup/>
  </c:printSettings>
  <c:externalData r:id="rId1">
    <c:autoUpdate val="0"/>
  </c:externalData>
</c:chartSpace>
</file>

<file path=docProps/app.xml><?xml version="1.0" encoding="utf-8"?>
<Properties xmlns="http://schemas.openxmlformats.org/officeDocument/2006/extended-properties">
  <Template>Normal.eit</Template>
  <TotalTime>344</TotalTime>
  <Application>Yozo_Office27021597764231179</Application>
  <Pages>1</Pages>
  <Words>4</Words>
  <Characters>4</Characters>
  <Lines>1</Lines>
  <Paragraphs>0</Paragraphs>
  <CharactersWithSpaces>4</CharactersWithSpaces>
  <Company>四川省财政厅</Company>
</Properties>
</file>

<file path=docProps/core.xml><?xml version="1.0" encoding="utf-8"?>
<cp:coreProperties xmlns:cp="http://schemas.openxmlformats.org/package/2006/metadata/core-properties" xmlns:dc="http://purl.org/dc/elements/1.1/" xmlns:dcterms="http://purl.org/dc/terms/" xmlns:xsi="http://www.w3.org/2001/XMLSchema-instance">
  <dc:title>四川省***</dc:title>
  <dc:creator>曹颖</dc:creator>
  <cp:lastModifiedBy>user</cp:lastModifiedBy>
  <cp:revision>2</cp:revision>
  <cp:lastPrinted>2023-07-31T02:35:00Z</cp:lastPrinted>
  <dcterms:created xsi:type="dcterms:W3CDTF">2023-11-28T07:10:00Z</dcterms:created>
  <dcterms:modified xsi:type="dcterms:W3CDTF">2024-06-14T03:16:06Z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2052-11.1.0.14309</vt:lpwstr>
  </property>
  <property fmtid="{D5CDD505-2E9C-101B-9397-08002B2CF9AE}" pid="3" name="ICV">
    <vt:lpwstr>4C2B46A76A28496CB55B36C9E56446A5_12</vt:lpwstr>
  </property>
</Properties>
</file>