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简体"/>
          <w:sz w:val="44"/>
          <w:szCs w:val="44"/>
        </w:rPr>
      </w:pPr>
      <w:bookmarkStart w:id="0" w:name="_GoBack"/>
      <w:r>
        <w:rPr>
          <w:rFonts w:hint="eastAsia" w:eastAsia="方正小标宋简体"/>
          <w:sz w:val="44"/>
          <w:szCs w:val="44"/>
        </w:rPr>
        <w:t>攀枝花市人民政府办公室</w:t>
      </w:r>
    </w:p>
    <w:p>
      <w:pPr>
        <w:spacing w:line="600" w:lineRule="exact"/>
        <w:jc w:val="center"/>
        <w:rPr>
          <w:rFonts w:eastAsia="方正小标宋简体"/>
          <w:sz w:val="44"/>
          <w:szCs w:val="44"/>
          <w:u w:val="single"/>
        </w:rPr>
      </w:pPr>
      <w:r>
        <w:rPr>
          <w:rFonts w:eastAsia="方正小标宋简体"/>
          <w:sz w:val="44"/>
          <w:szCs w:val="44"/>
        </w:rPr>
        <w:t>201</w:t>
      </w:r>
      <w:r>
        <w:rPr>
          <w:rFonts w:hint="eastAsia" w:eastAsia="方正小标宋简体"/>
          <w:sz w:val="44"/>
          <w:szCs w:val="44"/>
        </w:rPr>
        <w:t>9</w:t>
      </w:r>
      <w:r>
        <w:rPr>
          <w:rFonts w:eastAsia="方正小标宋简体"/>
          <w:sz w:val="44"/>
          <w:szCs w:val="44"/>
        </w:rPr>
        <w:t>年部门预算编制说明</w:t>
      </w:r>
    </w:p>
    <w:bookmarkEnd w:id="0"/>
    <w:p>
      <w:pPr>
        <w:pStyle w:val="2"/>
        <w:adjustRightInd w:val="0"/>
        <w:spacing w:before="130" w:line="600" w:lineRule="exact"/>
        <w:rPr>
          <w:rFonts w:ascii="Times New Roman" w:eastAsia="宋体"/>
          <w:b/>
          <w:sz w:val="32"/>
        </w:rPr>
      </w:pPr>
      <w:r>
        <w:rPr>
          <w:rFonts w:ascii="Times New Roman" w:eastAsia="宋体"/>
          <w:b/>
          <w:sz w:val="32"/>
        </w:rPr>
        <w:t xml:space="preserve">    </w:t>
      </w:r>
    </w:p>
    <w:p>
      <w:pPr>
        <w:spacing w:line="600" w:lineRule="exact"/>
        <w:ind w:firstLine="640" w:firstLineChars="200"/>
        <w:rPr>
          <w:rFonts w:eastAsia="黑体"/>
        </w:rPr>
      </w:pPr>
      <w:r>
        <w:rPr>
          <w:rFonts w:eastAsia="黑体"/>
        </w:rPr>
        <w:t>一、基本职能及主要工作</w:t>
      </w:r>
    </w:p>
    <w:p>
      <w:pPr>
        <w:spacing w:line="600" w:lineRule="exact"/>
        <w:ind w:firstLine="642" w:firstLineChars="200"/>
        <w:rPr>
          <w:rFonts w:eastAsia="楷体_GB2312"/>
          <w:b/>
        </w:rPr>
      </w:pPr>
      <w:r>
        <w:rPr>
          <w:rFonts w:eastAsia="楷体_GB2312"/>
          <w:b/>
        </w:rPr>
        <w:t>（一）</w:t>
      </w:r>
      <w:r>
        <w:rPr>
          <w:rFonts w:hint="eastAsia" w:eastAsia="楷体_GB2312"/>
          <w:b/>
        </w:rPr>
        <w:t>市政府办公室</w:t>
      </w:r>
      <w:r>
        <w:rPr>
          <w:rFonts w:eastAsia="楷体_GB2312"/>
          <w:b/>
        </w:rPr>
        <w:t>职能简介。</w:t>
      </w:r>
    </w:p>
    <w:p>
      <w:pPr>
        <w:spacing w:line="600" w:lineRule="exact"/>
        <w:ind w:firstLine="640" w:firstLineChars="200"/>
        <w:rPr>
          <w:rFonts w:ascii="仿宋_GB2312"/>
        </w:rPr>
      </w:pPr>
      <w:r>
        <w:rPr>
          <w:rFonts w:hint="eastAsia" w:ascii="仿宋_GB2312"/>
        </w:rPr>
        <w:t>1.协助市政府领导同志组织起草或审核以市政府、市政府办公室名义发布的公文。办理省政府、省政府办公厅及省直部门发送市政府的文电。指导全市行政机关公文处理工作。</w:t>
      </w:r>
    </w:p>
    <w:p>
      <w:pPr>
        <w:spacing w:line="600" w:lineRule="exact"/>
        <w:ind w:firstLine="640" w:firstLineChars="200"/>
        <w:rPr>
          <w:rFonts w:ascii="仿宋_GB2312"/>
        </w:rPr>
      </w:pPr>
      <w:r>
        <w:rPr>
          <w:rFonts w:hint="eastAsia" w:ascii="仿宋_GB2312"/>
        </w:rPr>
        <w:t>2.研究市政府部门和县（区）人民政府请示市政府的事项，提出审核意见，报市政府领导同志审批。</w:t>
      </w:r>
    </w:p>
    <w:p>
      <w:pPr>
        <w:spacing w:line="600" w:lineRule="exact"/>
        <w:ind w:firstLine="640" w:firstLineChars="200"/>
        <w:rPr>
          <w:rFonts w:ascii="仿宋_GB2312"/>
        </w:rPr>
      </w:pPr>
      <w:r>
        <w:rPr>
          <w:rFonts w:hint="eastAsia" w:ascii="仿宋_GB2312"/>
        </w:rPr>
        <w:t>3.负责市政府会议的准备工作，协助市政府领导同志组织实施会议决定事项。</w:t>
      </w:r>
    </w:p>
    <w:p>
      <w:pPr>
        <w:spacing w:line="600" w:lineRule="exact"/>
        <w:ind w:firstLine="640" w:firstLineChars="200"/>
        <w:rPr>
          <w:rFonts w:ascii="仿宋_GB2312"/>
        </w:rPr>
      </w:pPr>
      <w:r>
        <w:rPr>
          <w:rFonts w:hint="eastAsia" w:ascii="仿宋_GB2312"/>
        </w:rPr>
        <w:t>4.督促检查市政府部门和县（区）人民政府对市政府决定事项及市政府领导同志指示的贯彻落实情况，及时向市政府领导同志报告。</w:t>
      </w:r>
    </w:p>
    <w:p>
      <w:pPr>
        <w:spacing w:line="600" w:lineRule="exact"/>
        <w:ind w:firstLine="640" w:firstLineChars="200"/>
        <w:rPr>
          <w:rFonts w:ascii="仿宋_GB2312"/>
        </w:rPr>
      </w:pPr>
      <w:r>
        <w:rPr>
          <w:rFonts w:hint="eastAsia" w:ascii="仿宋_GB2312"/>
        </w:rPr>
        <w:t>5.根据市政府领导同志的指示，对市政府部门间争议问题提出处理意见和建议，报市政府领导同志决定。</w:t>
      </w:r>
    </w:p>
    <w:p>
      <w:pPr>
        <w:spacing w:line="600" w:lineRule="exact"/>
        <w:ind w:firstLine="640" w:firstLineChars="200"/>
        <w:rPr>
          <w:rFonts w:ascii="仿宋_GB2312"/>
        </w:rPr>
      </w:pPr>
      <w:r>
        <w:rPr>
          <w:rFonts w:hint="eastAsia" w:ascii="仿宋_GB2312"/>
        </w:rPr>
        <w:t>6.负责市政府值班工作，指导市政府部门和县（区）人民政府值班工作，及时报告重要情况。</w:t>
      </w:r>
    </w:p>
    <w:p>
      <w:pPr>
        <w:spacing w:line="600" w:lineRule="exact"/>
        <w:ind w:firstLine="640" w:firstLineChars="200"/>
        <w:rPr>
          <w:rFonts w:ascii="仿宋_GB2312"/>
        </w:rPr>
      </w:pPr>
      <w:r>
        <w:rPr>
          <w:rFonts w:hint="eastAsia" w:ascii="仿宋_GB2312"/>
        </w:rPr>
        <w:t>7.指导、监督全市政府信息公开工作和机关行政效能建设工作，指导、监督全市政府系统电子政务工作和政府网站建设。</w:t>
      </w:r>
    </w:p>
    <w:p>
      <w:pPr>
        <w:spacing w:line="600" w:lineRule="exact"/>
        <w:ind w:firstLine="640" w:firstLineChars="200"/>
        <w:rPr>
          <w:rFonts w:ascii="仿宋_GB2312"/>
        </w:rPr>
      </w:pPr>
      <w:r>
        <w:rPr>
          <w:rFonts w:hint="eastAsia" w:ascii="仿宋_GB2312"/>
        </w:rPr>
        <w:t>8.围绕市政府中心工作和市政府领导同志的指示，组织专题调查研究，及时反映情况，提出政策性建议。</w:t>
      </w:r>
    </w:p>
    <w:p>
      <w:pPr>
        <w:spacing w:line="600" w:lineRule="exact"/>
        <w:ind w:firstLine="640" w:firstLineChars="200"/>
        <w:rPr>
          <w:rFonts w:ascii="仿宋_GB2312"/>
        </w:rPr>
      </w:pPr>
      <w:r>
        <w:rPr>
          <w:rFonts w:hint="eastAsia" w:ascii="仿宋_GB2312"/>
        </w:rPr>
        <w:t>9.指导全市应急管理工作，协助市政府领导同志做好需由市政府组织处理的突发事件的应急处置工作，指导全市抗灾救灾工作。</w:t>
      </w:r>
    </w:p>
    <w:p>
      <w:pPr>
        <w:spacing w:line="600" w:lineRule="exact"/>
        <w:ind w:firstLine="640" w:firstLineChars="200"/>
        <w:rPr>
          <w:rFonts w:ascii="仿宋_GB2312"/>
        </w:rPr>
      </w:pPr>
      <w:r>
        <w:rPr>
          <w:rFonts w:hint="eastAsia" w:ascii="仿宋_GB2312"/>
        </w:rPr>
        <w:t>10.贯彻执行国家口岸工作方针、政策和规定，指导全市口岸管理工作。</w:t>
      </w:r>
    </w:p>
    <w:p>
      <w:pPr>
        <w:spacing w:line="600" w:lineRule="exact"/>
        <w:ind w:firstLine="640" w:firstLineChars="200"/>
        <w:rPr>
          <w:rFonts w:ascii="仿宋_GB2312"/>
        </w:rPr>
      </w:pPr>
      <w:r>
        <w:rPr>
          <w:rFonts w:hint="eastAsia" w:ascii="仿宋_GB2312"/>
        </w:rPr>
        <w:t>11.贯彻执行党和国家的外事、侨务方针政策、法律、法规以及市委、市政府关于外事、侨务工作的决策部署，统筹管理全市外事侨务工作。</w:t>
      </w:r>
    </w:p>
    <w:p>
      <w:pPr>
        <w:spacing w:line="600" w:lineRule="exact"/>
        <w:ind w:firstLine="640" w:firstLineChars="200"/>
        <w:rPr>
          <w:rFonts w:ascii="仿宋_GB2312"/>
        </w:rPr>
      </w:pPr>
      <w:r>
        <w:rPr>
          <w:rFonts w:hint="eastAsia" w:ascii="仿宋_GB2312"/>
        </w:rPr>
        <w:t>12.督促落实市政府金融工作部署，负责地方金融机构和金融中介机构的行业管理和服务，维护地方金融秩序。</w:t>
      </w:r>
    </w:p>
    <w:p>
      <w:pPr>
        <w:spacing w:line="600" w:lineRule="exact"/>
        <w:ind w:firstLine="640" w:firstLineChars="200"/>
        <w:rPr>
          <w:rFonts w:ascii="仿宋_GB2312"/>
        </w:rPr>
      </w:pPr>
      <w:r>
        <w:rPr>
          <w:rFonts w:hint="eastAsia" w:ascii="仿宋_GB2312"/>
        </w:rPr>
        <w:t>13.贯彻执行国家、省对外开放方针、政策和规定，督促落实市政府投资促进决策部署，推进全市对外开放、招商引资、经济合作工作。</w:t>
      </w:r>
    </w:p>
    <w:p>
      <w:pPr>
        <w:spacing w:line="600" w:lineRule="exact"/>
        <w:ind w:firstLine="640" w:firstLineChars="200"/>
        <w:rPr>
          <w:rFonts w:ascii="仿宋_GB2312"/>
        </w:rPr>
      </w:pPr>
      <w:r>
        <w:rPr>
          <w:rFonts w:hint="eastAsia" w:ascii="仿宋_GB2312"/>
        </w:rPr>
        <w:t>14.负责市政府法制工作，负责全市依法行政工作的组织协调和监督指导，负责市政府规范性文件的合法性审查和制定工作，依法开展行政执法监督工作，做好行政复议、行政应诉工作。</w:t>
      </w:r>
    </w:p>
    <w:p>
      <w:pPr>
        <w:spacing w:line="600" w:lineRule="exact"/>
        <w:ind w:firstLine="640" w:firstLineChars="200"/>
        <w:rPr>
          <w:rFonts w:ascii="仿宋_GB2312"/>
        </w:rPr>
      </w:pPr>
      <w:r>
        <w:rPr>
          <w:rFonts w:hint="eastAsia" w:ascii="仿宋_GB2312"/>
        </w:rPr>
        <w:t>15.负责市政府驻外机构的管理工作。</w:t>
      </w:r>
    </w:p>
    <w:p>
      <w:pPr>
        <w:spacing w:line="600" w:lineRule="exact"/>
        <w:ind w:firstLine="640" w:firstLineChars="200"/>
        <w:rPr>
          <w:rFonts w:ascii="仿宋_GB2312"/>
        </w:rPr>
      </w:pPr>
      <w:r>
        <w:rPr>
          <w:rFonts w:hint="eastAsia" w:ascii="仿宋_GB2312"/>
        </w:rPr>
        <w:t>16.承办市政府和市政府领导同志交办的其他事项。</w:t>
      </w:r>
    </w:p>
    <w:p>
      <w:pPr>
        <w:pStyle w:val="2"/>
        <w:adjustRightInd w:val="0"/>
        <w:spacing w:before="130" w:line="600" w:lineRule="exact"/>
        <w:ind w:firstLine="629" w:firstLineChars="196"/>
        <w:rPr>
          <w:rFonts w:eastAsia="楷体_GB2312"/>
          <w:b/>
          <w:sz w:val="32"/>
        </w:rPr>
      </w:pPr>
      <w:r>
        <w:rPr>
          <w:rFonts w:eastAsia="楷体_GB2312"/>
          <w:b/>
          <w:sz w:val="32"/>
        </w:rPr>
        <w:t>（二）</w:t>
      </w:r>
      <w:r>
        <w:rPr>
          <w:rFonts w:hint="eastAsia" w:eastAsia="楷体_GB2312"/>
          <w:b/>
          <w:sz w:val="32"/>
        </w:rPr>
        <w:t>市政府办公室</w:t>
      </w:r>
      <w:r>
        <w:rPr>
          <w:rFonts w:eastAsia="楷体_GB2312"/>
          <w:b/>
          <w:sz w:val="32"/>
        </w:rPr>
        <w:t>201</w:t>
      </w:r>
      <w:r>
        <w:rPr>
          <w:rFonts w:hint="eastAsia" w:eastAsia="楷体_GB2312"/>
          <w:b/>
          <w:sz w:val="32"/>
        </w:rPr>
        <w:t>9</w:t>
      </w:r>
      <w:r>
        <w:rPr>
          <w:rFonts w:eastAsia="楷体_GB2312"/>
          <w:b/>
          <w:sz w:val="32"/>
        </w:rPr>
        <w:t>年重点工作。</w:t>
      </w:r>
    </w:p>
    <w:p>
      <w:pPr>
        <w:spacing w:line="600" w:lineRule="exact"/>
        <w:ind w:firstLine="640" w:firstLineChars="200"/>
        <w:rPr>
          <w:rFonts w:ascii="仿宋_GB2312"/>
        </w:rPr>
      </w:pPr>
      <w:r>
        <w:rPr>
          <w:rFonts w:hint="eastAsia" w:ascii="仿宋_GB2312"/>
        </w:rPr>
        <w:t>1</w:t>
      </w:r>
      <w:r>
        <w:rPr>
          <w:rFonts w:ascii="仿宋_GB2312"/>
        </w:rPr>
        <w:t>、</w:t>
      </w:r>
      <w:r>
        <w:rPr>
          <w:rFonts w:hint="eastAsia" w:ascii="仿宋_GB2312"/>
        </w:rPr>
        <w:t>提升“三办”质效，切实发挥运转中枢作用</w:t>
      </w:r>
    </w:p>
    <w:p>
      <w:pPr>
        <w:spacing w:line="600" w:lineRule="exact"/>
        <w:ind w:firstLine="640" w:firstLineChars="200"/>
        <w:rPr>
          <w:rFonts w:ascii="仿宋_GB2312"/>
        </w:rPr>
      </w:pPr>
      <w:r>
        <w:rPr>
          <w:rFonts w:hint="eastAsia" w:ascii="仿宋_GB2312"/>
        </w:rPr>
        <w:t>（1）“洋、土”结合、多措并举，提升公文办理质量。</w:t>
      </w:r>
    </w:p>
    <w:p>
      <w:pPr>
        <w:spacing w:line="600" w:lineRule="exact"/>
        <w:ind w:firstLine="640" w:firstLineChars="200"/>
        <w:rPr>
          <w:rFonts w:ascii="仿宋_GB2312"/>
        </w:rPr>
      </w:pPr>
      <w:r>
        <w:rPr>
          <w:rFonts w:hint="eastAsia" w:ascii="仿宋_GB2312"/>
        </w:rPr>
        <w:t>一是既聘请党委、政府办公室“土专家”系统诠释公文写作，用典型案例具体讲解公文写法；又走出去拜“洋专家”为师，积极组织参加省级公文专题培训班，不断提升全市公文整体水平。二是</w:t>
      </w:r>
      <w:r>
        <w:rPr>
          <w:rFonts w:ascii="仿宋_GB2312"/>
        </w:rPr>
        <w:t>借助</w:t>
      </w:r>
      <w:r>
        <w:rPr>
          <w:rFonts w:hint="eastAsia" w:ascii="仿宋_GB2312"/>
        </w:rPr>
        <w:t>办公室论坛平台，</w:t>
      </w:r>
      <w:r>
        <w:rPr>
          <w:rFonts w:ascii="仿宋_GB2312"/>
        </w:rPr>
        <w:t>推进公文讲评机制，择选典型公文案例，组织</w:t>
      </w:r>
      <w:r>
        <w:rPr>
          <w:rFonts w:hint="eastAsia" w:ascii="仿宋_GB2312"/>
        </w:rPr>
        <w:t>秘书科室</w:t>
      </w:r>
      <w:r>
        <w:rPr>
          <w:rFonts w:ascii="仿宋_GB2312"/>
        </w:rPr>
        <w:t>干部领学讲解，针对性解决公文中突出问题，</w:t>
      </w:r>
      <w:r>
        <w:rPr>
          <w:rFonts w:hint="eastAsia" w:ascii="仿宋_GB2312"/>
        </w:rPr>
        <w:t>形成“</w:t>
      </w:r>
      <w:r>
        <w:rPr>
          <w:rFonts w:ascii="仿宋_GB2312"/>
        </w:rPr>
        <w:t>人人学公文、人人抓公文</w:t>
      </w:r>
      <w:r>
        <w:rPr>
          <w:rFonts w:hint="eastAsia" w:ascii="仿宋_GB2312"/>
        </w:rPr>
        <w:t>”</w:t>
      </w:r>
      <w:r>
        <w:rPr>
          <w:rFonts w:ascii="仿宋_GB2312"/>
        </w:rPr>
        <w:t>局面。</w:t>
      </w:r>
      <w:r>
        <w:rPr>
          <w:rFonts w:hint="eastAsia" w:ascii="仿宋_GB2312"/>
        </w:rPr>
        <w:t>三是采取定期跟班学习等方式，抓公文具体实践培训。有计划地抽调县（区）、市级部门、大企业的优秀干部到秘书科室、信息室、研究室顶岗学习公文写作，提升各部门公文整体水平。四是建机制、压责任，严格考核通报。</w:t>
      </w:r>
      <w:r>
        <w:rPr>
          <w:rFonts w:ascii="仿宋_GB2312"/>
        </w:rPr>
        <w:t>建立分级负责责任体系</w:t>
      </w:r>
      <w:r>
        <w:rPr>
          <w:rFonts w:hint="eastAsia" w:ascii="仿宋_GB2312"/>
        </w:rPr>
        <w:t>，</w:t>
      </w:r>
      <w:r>
        <w:rPr>
          <w:rFonts w:ascii="仿宋_GB2312"/>
        </w:rPr>
        <w:t>坚持“一级对一级负责”，每一节点责任人必须严格把关，对不符合要求的公文，严格执行“退修制度”。</w:t>
      </w:r>
      <w:r>
        <w:rPr>
          <w:rFonts w:hint="eastAsia" w:ascii="仿宋_GB2312"/>
        </w:rPr>
        <w:t>严格执行</w:t>
      </w:r>
      <w:r>
        <w:rPr>
          <w:rFonts w:ascii="仿宋_GB2312"/>
        </w:rPr>
        <w:t>《报送市政府公文质量测评考核办法》《关于进一步提高公文运转效率的通知》</w:t>
      </w:r>
      <w:r>
        <w:rPr>
          <w:rFonts w:hint="eastAsia" w:ascii="仿宋_GB2312"/>
        </w:rPr>
        <w:t>《公文审核把关职责及办理时限细则》</w:t>
      </w:r>
      <w:r>
        <w:rPr>
          <w:rFonts w:ascii="仿宋_GB2312"/>
        </w:rPr>
        <w:t>，对报送市政府的公文进行质量测评，每季度通报质量较差公文，并将通报结果</w:t>
      </w:r>
      <w:r>
        <w:rPr>
          <w:rFonts w:hint="eastAsia" w:ascii="仿宋_GB2312"/>
        </w:rPr>
        <w:t>运用于</w:t>
      </w:r>
      <w:r>
        <w:rPr>
          <w:rFonts w:ascii="仿宋_GB2312"/>
        </w:rPr>
        <w:t>年度目标考核。</w:t>
      </w:r>
    </w:p>
    <w:p>
      <w:pPr>
        <w:spacing w:line="600" w:lineRule="exact"/>
        <w:ind w:firstLine="640" w:firstLineChars="200"/>
        <w:rPr>
          <w:rFonts w:ascii="仿宋_GB2312"/>
        </w:rPr>
      </w:pPr>
      <w:r>
        <w:rPr>
          <w:rFonts w:hint="eastAsia" w:ascii="仿宋_GB2312"/>
        </w:rPr>
        <w:t>（2）强化统筹协调，规范</w:t>
      </w:r>
      <w:r>
        <w:rPr>
          <w:rFonts w:ascii="仿宋_GB2312"/>
        </w:rPr>
        <w:t>会务办理</w:t>
      </w:r>
      <w:r>
        <w:rPr>
          <w:rFonts w:hint="eastAsia" w:ascii="仿宋_GB2312"/>
        </w:rPr>
        <w:t>流程。</w:t>
      </w:r>
    </w:p>
    <w:p>
      <w:pPr>
        <w:spacing w:line="600" w:lineRule="exact"/>
        <w:ind w:firstLine="640" w:firstLineChars="200"/>
        <w:rPr>
          <w:rFonts w:ascii="仿宋_GB2312"/>
        </w:rPr>
      </w:pPr>
      <w:r>
        <w:rPr>
          <w:rFonts w:hint="eastAsia" w:ascii="仿宋_GB2312"/>
        </w:rPr>
        <w:t>一是加强提前谋划。坚持年初对全市性大会进行谋划、每月对重点会议进行梳理、每周对“拟召开会议”进行更新，为会议方案、领导讲话等材料准备留足时间。精细会</w:t>
      </w:r>
      <w:r>
        <w:rPr>
          <w:rFonts w:ascii="仿宋_GB2312"/>
        </w:rPr>
        <w:t>场布置</w:t>
      </w:r>
      <w:r>
        <w:rPr>
          <w:rFonts w:hint="eastAsia" w:ascii="仿宋_GB2312"/>
        </w:rPr>
        <w:t>，强化</w:t>
      </w:r>
      <w:r>
        <w:rPr>
          <w:rFonts w:ascii="仿宋_GB2312"/>
        </w:rPr>
        <w:t>会场照应</w:t>
      </w:r>
      <w:r>
        <w:rPr>
          <w:rFonts w:hint="eastAsia" w:ascii="仿宋_GB2312"/>
        </w:rPr>
        <w:t>，</w:t>
      </w:r>
      <w:r>
        <w:rPr>
          <w:rFonts w:ascii="仿宋_GB2312"/>
        </w:rPr>
        <w:t>做到会前充分准备、会中积极服务、会后及时总结</w:t>
      </w:r>
      <w:r>
        <w:rPr>
          <w:rFonts w:hint="eastAsia" w:ascii="仿宋_GB2312"/>
        </w:rPr>
        <w:t>，</w:t>
      </w:r>
      <w:r>
        <w:rPr>
          <w:rFonts w:ascii="仿宋_GB2312"/>
        </w:rPr>
        <w:t>进一步提高</w:t>
      </w:r>
      <w:r>
        <w:rPr>
          <w:rFonts w:hint="eastAsia" w:ascii="仿宋_GB2312"/>
        </w:rPr>
        <w:t>办会</w:t>
      </w:r>
      <w:r>
        <w:rPr>
          <w:rFonts w:ascii="仿宋_GB2312"/>
        </w:rPr>
        <w:t>质量和效率</w:t>
      </w:r>
      <w:r>
        <w:rPr>
          <w:rFonts w:hint="eastAsia" w:ascii="仿宋_GB2312"/>
        </w:rPr>
        <w:t>。二是严格规范标准。继续规范完善</w:t>
      </w:r>
      <w:r>
        <w:rPr>
          <w:rFonts w:ascii="仿宋_GB2312"/>
        </w:rPr>
        <w:t>会务样板</w:t>
      </w:r>
      <w:r>
        <w:rPr>
          <w:rFonts w:hint="eastAsia" w:ascii="仿宋_GB2312"/>
        </w:rPr>
        <w:t>，</w:t>
      </w:r>
      <w:r>
        <w:rPr>
          <w:rFonts w:ascii="仿宋_GB2312"/>
        </w:rPr>
        <w:t>抓好“会务辅政”业务能力建设，统一制定市政府会议报审格式，统一会议文件材料编排要求</w:t>
      </w:r>
      <w:r>
        <w:rPr>
          <w:rFonts w:hint="eastAsia" w:ascii="仿宋_GB2312"/>
        </w:rPr>
        <w:t>，进一步规范市政府大小会议办会模式</w:t>
      </w:r>
      <w:r>
        <w:rPr>
          <w:rFonts w:ascii="仿宋_GB2312"/>
        </w:rPr>
        <w:t>。</w:t>
      </w:r>
      <w:r>
        <w:rPr>
          <w:rFonts w:hint="eastAsia" w:ascii="仿宋_GB2312"/>
        </w:rPr>
        <w:t>三是加强统筹协调。及时了解掌握省级和市委重要会议安排，</w:t>
      </w:r>
      <w:r>
        <w:rPr>
          <w:rFonts w:ascii="仿宋_GB2312"/>
        </w:rPr>
        <w:t>每周</w:t>
      </w:r>
      <w:r>
        <w:rPr>
          <w:rFonts w:hint="eastAsia" w:ascii="仿宋_GB2312"/>
        </w:rPr>
        <w:t>统计编印</w:t>
      </w:r>
      <w:r>
        <w:rPr>
          <w:rFonts w:ascii="仿宋_GB2312"/>
        </w:rPr>
        <w:t>21个市</w:t>
      </w:r>
      <w:r>
        <w:rPr>
          <w:rFonts w:hint="eastAsia" w:ascii="仿宋_GB2312"/>
        </w:rPr>
        <w:t>州</w:t>
      </w:r>
      <w:r>
        <w:rPr>
          <w:rFonts w:ascii="仿宋_GB2312"/>
        </w:rPr>
        <w:t>政府主要部门和县（区）主要负责同志的一周重点工作推进情况和下周工作安排</w:t>
      </w:r>
      <w:r>
        <w:rPr>
          <w:rFonts w:hint="eastAsia" w:ascii="仿宋_GB2312"/>
        </w:rPr>
        <w:t>，为召开贯彻落实会议、专题会议、协调领导参会等提供决策参考。</w:t>
      </w:r>
    </w:p>
    <w:p>
      <w:pPr>
        <w:spacing w:line="600" w:lineRule="exact"/>
        <w:ind w:firstLine="640" w:firstLineChars="200"/>
        <w:rPr>
          <w:rFonts w:ascii="仿宋_GB2312"/>
        </w:rPr>
      </w:pPr>
      <w:r>
        <w:rPr>
          <w:rFonts w:hint="eastAsia" w:ascii="仿宋_GB2312"/>
        </w:rPr>
        <w:t>（3）加强协调保障，提升事务办理质效。</w:t>
      </w:r>
    </w:p>
    <w:p>
      <w:pPr>
        <w:spacing w:line="600" w:lineRule="exact"/>
        <w:ind w:firstLine="640" w:firstLineChars="200"/>
        <w:rPr>
          <w:rFonts w:ascii="仿宋_GB2312"/>
        </w:rPr>
      </w:pPr>
      <w:r>
        <w:rPr>
          <w:rFonts w:hint="eastAsia" w:ascii="仿宋_GB2312"/>
        </w:rPr>
        <w:t>一是严格按标准、规定做好公务用车、公务接待、公务调研等综合协调保障工作，保证市领导和办公室干部公务需求。二是靠前站位，慎密对接，统筹做好市政府与市委、市人大常委会、市政协及市级部门和县（区）的沟通衔接，密切市政府与省政府办公厅及有关市州的工作联系，扎实细致深入做好联系上下、沟通左右、承接前后协调服务工作，确保政府运转顺畅高效。三是</w:t>
      </w:r>
      <w:r>
        <w:rPr>
          <w:rFonts w:ascii="仿宋_GB2312"/>
        </w:rPr>
        <w:t>强化督办，确保工作落到实处。</w:t>
      </w:r>
      <w:r>
        <w:rPr>
          <w:rFonts w:hint="eastAsia" w:ascii="仿宋_GB2312"/>
        </w:rPr>
        <w:t>加强对领导批示件、重点事项的督办，确保领导</w:t>
      </w:r>
      <w:r>
        <w:rPr>
          <w:rFonts w:ascii="仿宋_GB2312"/>
        </w:rPr>
        <w:t>交办事项件件有回音、事事有着落。</w:t>
      </w:r>
      <w:r>
        <w:rPr>
          <w:rFonts w:hint="eastAsia" w:ascii="仿宋_GB2312"/>
        </w:rPr>
        <w:t>四是做好文明城市创建中政府办公室牵头推进的工作。</w:t>
      </w:r>
    </w:p>
    <w:p>
      <w:pPr>
        <w:spacing w:line="600" w:lineRule="exact"/>
        <w:ind w:firstLine="640" w:firstLineChars="200"/>
        <w:rPr>
          <w:rFonts w:ascii="仿宋_GB2312"/>
        </w:rPr>
      </w:pPr>
      <w:r>
        <w:rPr>
          <w:rFonts w:hint="eastAsia" w:ascii="仿宋_GB2312"/>
        </w:rPr>
        <w:t>2、加强调研和信息服务，切实发挥参谋助手作用</w:t>
      </w:r>
    </w:p>
    <w:p>
      <w:pPr>
        <w:spacing w:line="600" w:lineRule="exact"/>
        <w:ind w:firstLine="640" w:firstLineChars="200"/>
        <w:rPr>
          <w:rFonts w:ascii="仿宋_GB2312"/>
        </w:rPr>
      </w:pPr>
      <w:r>
        <w:rPr>
          <w:rFonts w:ascii="仿宋_GB2312"/>
        </w:rPr>
        <w:t>（</w:t>
      </w:r>
      <w:r>
        <w:rPr>
          <w:rFonts w:hint="eastAsia" w:ascii="仿宋_GB2312"/>
        </w:rPr>
        <w:t>1</w:t>
      </w:r>
      <w:r>
        <w:rPr>
          <w:rFonts w:ascii="仿宋_GB2312"/>
        </w:rPr>
        <w:t>）</w:t>
      </w:r>
      <w:r>
        <w:rPr>
          <w:rFonts w:hint="eastAsia" w:ascii="仿宋_GB2312"/>
        </w:rPr>
        <w:t>聚集重点难点，深入调查研究</w:t>
      </w:r>
      <w:r>
        <w:rPr>
          <w:rFonts w:ascii="仿宋_GB2312"/>
        </w:rPr>
        <w:t>。</w:t>
      </w:r>
    </w:p>
    <w:p>
      <w:pPr>
        <w:spacing w:line="600" w:lineRule="exact"/>
        <w:ind w:firstLine="640" w:firstLineChars="200"/>
        <w:rPr>
          <w:rFonts w:ascii="仿宋_GB2312"/>
        </w:rPr>
      </w:pPr>
      <w:r>
        <w:rPr>
          <w:rFonts w:hint="eastAsia" w:ascii="仿宋_GB2312"/>
        </w:rPr>
        <w:t>围绕“一二三五”工作总思路，</w:t>
      </w:r>
      <w:r>
        <w:rPr>
          <w:rFonts w:ascii="仿宋_GB2312"/>
        </w:rPr>
        <w:t>紧扣市委、市政府的工作重点、领导关注的焦点、群众关心的热点，立足破解发展难题，潜心入微研究</w:t>
      </w:r>
      <w:r>
        <w:rPr>
          <w:rFonts w:hint="eastAsia" w:ascii="仿宋_GB2312"/>
        </w:rPr>
        <w:t>，</w:t>
      </w:r>
      <w:r>
        <w:rPr>
          <w:rFonts w:ascii="仿宋_GB2312"/>
        </w:rPr>
        <w:t>深入细致调查，提出抓得准、用得上、操作性强的新举措、新办法、新观点，真正把基层经验总结出来，把工作推进情况反馈上来，把解决问题办法梳理出来，为领导决策提供有力参考。</w:t>
      </w:r>
    </w:p>
    <w:p>
      <w:pPr>
        <w:spacing w:line="600" w:lineRule="exact"/>
        <w:ind w:firstLine="640" w:firstLineChars="200"/>
        <w:rPr>
          <w:rFonts w:ascii="仿宋_GB2312"/>
        </w:rPr>
      </w:pPr>
      <w:r>
        <w:rPr>
          <w:rFonts w:hint="eastAsia" w:ascii="仿宋_GB2312"/>
        </w:rPr>
        <w:t>（2）强化信息服务，打好科学决策基础。</w:t>
      </w:r>
    </w:p>
    <w:p>
      <w:pPr>
        <w:spacing w:line="600" w:lineRule="exact"/>
        <w:ind w:firstLine="640" w:firstLineChars="200"/>
        <w:rPr>
          <w:rFonts w:ascii="仿宋_GB2312"/>
        </w:rPr>
      </w:pPr>
      <w:r>
        <w:rPr>
          <w:rFonts w:hint="eastAsia" w:ascii="仿宋_GB2312"/>
        </w:rPr>
        <w:t>加强</w:t>
      </w:r>
      <w:r>
        <w:rPr>
          <w:rFonts w:ascii="仿宋_GB2312"/>
        </w:rPr>
        <w:t>信息报送工作，</w:t>
      </w:r>
      <w:r>
        <w:rPr>
          <w:rFonts w:hint="eastAsia" w:ascii="仿宋_GB2312"/>
        </w:rPr>
        <w:t>注重与上级信息部门的沟通、协调，</w:t>
      </w:r>
      <w:r>
        <w:rPr>
          <w:rFonts w:ascii="仿宋_GB2312"/>
        </w:rPr>
        <w:t>深挖社会“关注点”，抓住工作“闪亮点”，突出经济“增长点”，做到反映问题快、采编撰写快、上报信息快，为领导提供准确详实的第一手材料</w:t>
      </w:r>
      <w:r>
        <w:rPr>
          <w:rFonts w:hint="eastAsia" w:ascii="仿宋_GB2312"/>
        </w:rPr>
        <w:t>。高度重视</w:t>
      </w:r>
      <w:r>
        <w:rPr>
          <w:rFonts w:ascii="仿宋_GB2312"/>
        </w:rPr>
        <w:t>上级机关信息约稿，</w:t>
      </w:r>
      <w:r>
        <w:rPr>
          <w:rFonts w:hint="eastAsia" w:ascii="仿宋_GB2312"/>
        </w:rPr>
        <w:t>保质保量，</w:t>
      </w:r>
      <w:r>
        <w:rPr>
          <w:rFonts w:ascii="仿宋_GB2312"/>
        </w:rPr>
        <w:t>争取更多更好的信息被上级机关采用。</w:t>
      </w:r>
    </w:p>
    <w:p>
      <w:pPr>
        <w:spacing w:line="600" w:lineRule="exact"/>
        <w:ind w:firstLine="640" w:firstLineChars="200"/>
        <w:rPr>
          <w:rFonts w:ascii="仿宋_GB2312"/>
        </w:rPr>
      </w:pPr>
      <w:r>
        <w:rPr>
          <w:rFonts w:hint="eastAsia" w:ascii="仿宋_GB2312"/>
        </w:rPr>
        <w:t>3、党建引领，不断加强机关内部建设</w:t>
      </w:r>
    </w:p>
    <w:p>
      <w:pPr>
        <w:spacing w:line="600" w:lineRule="exact"/>
        <w:ind w:firstLine="640" w:firstLineChars="200"/>
        <w:rPr>
          <w:rFonts w:ascii="仿宋_GB2312"/>
        </w:rPr>
      </w:pPr>
      <w:r>
        <w:rPr>
          <w:rFonts w:hint="eastAsia" w:ascii="仿宋_GB2312"/>
        </w:rPr>
        <w:t>（1）加强党建工作。重点以打造、创建机关党建品牌为抓手，认真做好党建、党风廉政建设等工作。</w:t>
      </w:r>
    </w:p>
    <w:p>
      <w:pPr>
        <w:spacing w:line="600" w:lineRule="exact"/>
        <w:ind w:firstLine="640" w:firstLineChars="200"/>
        <w:rPr>
          <w:rFonts w:ascii="仿宋_GB2312"/>
        </w:rPr>
      </w:pPr>
      <w:r>
        <w:rPr>
          <w:rFonts w:hint="eastAsia" w:ascii="仿宋_GB2312"/>
        </w:rPr>
        <w:t>（2）加强干部队伍建设。一是重点以加强政治理论、提升业务能力为抓手，通过举办培训会、办公室论坛、参加学习培训等方式，不断提高干部队伍素质能力。二是配合做好涉及市政府办公室的机构改革相关工作。</w:t>
      </w:r>
    </w:p>
    <w:p>
      <w:pPr>
        <w:spacing w:line="600" w:lineRule="exact"/>
        <w:ind w:firstLine="640" w:firstLineChars="200"/>
        <w:rPr>
          <w:rFonts w:ascii="仿宋_GB2312"/>
        </w:rPr>
      </w:pPr>
      <w:r>
        <w:rPr>
          <w:rFonts w:hint="eastAsia" w:ascii="仿宋_GB2312"/>
        </w:rPr>
        <w:t>（3）继续做好精准扶贫工作。重点以协调项目、资金为抓手，继续牵头做好两个贫困村脱贫后的巩固提升工作。</w:t>
      </w:r>
    </w:p>
    <w:p>
      <w:pPr>
        <w:spacing w:line="600" w:lineRule="exact"/>
        <w:ind w:firstLine="640" w:firstLineChars="200"/>
        <w:rPr>
          <w:rFonts w:ascii="仿宋_GB2312"/>
        </w:rPr>
      </w:pPr>
      <w:r>
        <w:rPr>
          <w:rFonts w:hint="eastAsia" w:ascii="仿宋_GB2312"/>
        </w:rPr>
        <w:t>（4）其他方面工作。加强文电会务办理、“放管服”改革、政府信息公开和网站建设、应急管理、督查调研、电子政务等工作，争取在全省排名升位。</w:t>
      </w:r>
    </w:p>
    <w:p>
      <w:pPr>
        <w:spacing w:line="600" w:lineRule="exact"/>
        <w:ind w:firstLine="640" w:firstLineChars="200"/>
        <w:rPr>
          <w:rFonts w:eastAsia="黑体"/>
        </w:rPr>
      </w:pPr>
      <w:r>
        <w:rPr>
          <w:rFonts w:eastAsia="黑体"/>
        </w:rPr>
        <w:t>二、单位构成情况</w:t>
      </w:r>
    </w:p>
    <w:p>
      <w:pPr>
        <w:spacing w:line="600" w:lineRule="exact"/>
        <w:ind w:firstLine="640" w:firstLineChars="200"/>
        <w:rPr>
          <w:rFonts w:ascii="仿宋_GB2312"/>
        </w:rPr>
      </w:pPr>
      <w:r>
        <w:rPr>
          <w:rFonts w:hint="eastAsia"/>
        </w:rPr>
        <w:t>市</w:t>
      </w:r>
      <w:r>
        <w:rPr>
          <w:rFonts w:hint="default"/>
          <w:lang w:val="en"/>
        </w:rPr>
        <w:t>政府办公室</w:t>
      </w:r>
      <w:r>
        <w:t>下属非独立核算单位</w:t>
      </w:r>
      <w:r>
        <w:rPr>
          <w:rFonts w:hint="eastAsia"/>
        </w:rPr>
        <w:t>1</w:t>
      </w:r>
      <w:r>
        <w:t>个，其中行政单位</w:t>
      </w:r>
      <w:r>
        <w:rPr>
          <w:rFonts w:hint="eastAsia"/>
        </w:rPr>
        <w:t>1</w:t>
      </w:r>
      <w:r>
        <w:t>个，参照公务员法管理的事业单位</w:t>
      </w:r>
      <w:r>
        <w:rPr>
          <w:rFonts w:hint="eastAsia"/>
        </w:rPr>
        <w:t>0</w:t>
      </w:r>
      <w:r>
        <w:t>个，其他事业单位</w:t>
      </w:r>
      <w:r>
        <w:rPr>
          <w:rFonts w:hint="eastAsia"/>
        </w:rPr>
        <w:t>0</w:t>
      </w:r>
      <w:r>
        <w:t>个。主要包括：</w:t>
      </w:r>
      <w:r>
        <w:rPr>
          <w:rFonts w:hint="eastAsia" w:ascii="仿宋_GB2312"/>
        </w:rPr>
        <w:t>攀枝花市人民政府法制办公室</w:t>
      </w:r>
      <w:r>
        <w:t>。</w:t>
      </w:r>
      <w:r>
        <w:rPr>
          <w:rFonts w:hint="eastAsia" w:ascii="仿宋_GB2312"/>
        </w:rPr>
        <w:t>攀枝花市人民政府办公室2019年预算包括攀枝花市人民政府办公室（含原昆明办事处、原上海办、原深圳办）和攀枝花市人民政府法制办公室。攀枝花市人民政府法制办公室虽是独立的行政单位，但不是单独的预算单位，与攀枝花市人民政府办公室属同一预算单位，原昆明办事处、原上海办、原深圳办三个机构已撤销，由攀枝花市人民政府办公室代管。</w:t>
      </w:r>
    </w:p>
    <w:p>
      <w:pPr>
        <w:spacing w:line="600" w:lineRule="exact"/>
        <w:ind w:firstLine="640" w:firstLineChars="200"/>
        <w:rPr>
          <w:rFonts w:eastAsia="黑体"/>
        </w:rPr>
      </w:pPr>
      <w:r>
        <w:rPr>
          <w:rFonts w:eastAsia="黑体"/>
        </w:rPr>
        <w:t>三、收支预算情况说明</w:t>
      </w:r>
    </w:p>
    <w:p>
      <w:pPr>
        <w:spacing w:line="600" w:lineRule="exact"/>
        <w:ind w:firstLine="640" w:firstLineChars="200"/>
      </w:pPr>
      <w:r>
        <w:t>按照综合预算的原则，</w:t>
      </w:r>
      <w:r>
        <w:rPr>
          <w:rFonts w:hint="eastAsia"/>
        </w:rPr>
        <w:t>市政府办公室</w:t>
      </w:r>
      <w:r>
        <w:t>所有收入和支出均纳入部门预算管理。收入包括：一般公共预算拨款收入</w:t>
      </w:r>
      <w:r>
        <w:rPr>
          <w:rFonts w:hint="eastAsia"/>
        </w:rPr>
        <w:t>3555.60万元</w:t>
      </w:r>
      <w:r>
        <w:t>；支出包括：一般公共服务支出</w:t>
      </w:r>
      <w:r>
        <w:rPr>
          <w:rFonts w:hint="eastAsia"/>
        </w:rPr>
        <w:t>2852.25万元</w:t>
      </w:r>
      <w:r>
        <w:t>、</w:t>
      </w:r>
      <w:r>
        <w:rPr>
          <w:rFonts w:hint="eastAsia"/>
        </w:rPr>
        <w:t>社会保障和就业支出501.50万元、住房保障支出201.85万元</w:t>
      </w:r>
      <w:r>
        <w:t>。</w:t>
      </w:r>
      <w:r>
        <w:rPr>
          <w:rFonts w:hint="eastAsia"/>
        </w:rPr>
        <w:t>市政府办公室</w:t>
      </w:r>
      <w:r>
        <w:t>201</w:t>
      </w:r>
      <w:r>
        <w:rPr>
          <w:rFonts w:hint="eastAsia"/>
        </w:rPr>
        <w:t>9</w:t>
      </w:r>
      <w:r>
        <w:t>年收支总预算</w:t>
      </w:r>
      <w:r>
        <w:rPr>
          <w:rFonts w:hint="eastAsia"/>
        </w:rPr>
        <w:t>3555.60</w:t>
      </w:r>
      <w:r>
        <w:t>万元。</w:t>
      </w:r>
    </w:p>
    <w:p>
      <w:pPr>
        <w:spacing w:line="600" w:lineRule="exact"/>
        <w:ind w:firstLine="642" w:firstLineChars="200"/>
        <w:rPr>
          <w:rFonts w:eastAsia="楷体_GB2312"/>
          <w:b/>
        </w:rPr>
      </w:pPr>
      <w:r>
        <w:rPr>
          <w:rFonts w:eastAsia="楷体_GB2312"/>
          <w:b/>
        </w:rPr>
        <w:t>（一）收入预算情况</w:t>
      </w:r>
    </w:p>
    <w:p>
      <w:pPr>
        <w:spacing w:line="600" w:lineRule="exact"/>
        <w:ind w:firstLine="640" w:firstLineChars="200"/>
      </w:pPr>
      <w:r>
        <w:rPr>
          <w:rFonts w:hint="eastAsia"/>
        </w:rPr>
        <w:t>市政府办公室</w:t>
      </w:r>
      <w:r>
        <w:t>201</w:t>
      </w:r>
      <w:r>
        <w:rPr>
          <w:rFonts w:hint="eastAsia"/>
        </w:rPr>
        <w:t>9</w:t>
      </w:r>
      <w:r>
        <w:t>年收入预算</w:t>
      </w:r>
      <w:r>
        <w:rPr>
          <w:rFonts w:hint="eastAsia"/>
        </w:rPr>
        <w:t>3555.60</w:t>
      </w:r>
      <w:r>
        <w:t>万元，其中：上年结转</w:t>
      </w:r>
      <w:r>
        <w:rPr>
          <w:rFonts w:hint="eastAsia"/>
        </w:rPr>
        <w:t>0</w:t>
      </w:r>
      <w:r>
        <w:t>万元；一般公共预算拨款收入</w:t>
      </w:r>
      <w:r>
        <w:rPr>
          <w:rFonts w:hint="eastAsia"/>
        </w:rPr>
        <w:t>3555.60</w:t>
      </w:r>
      <w:r>
        <w:t>万元，占</w:t>
      </w:r>
      <w:r>
        <w:rPr>
          <w:rFonts w:hint="eastAsia"/>
        </w:rPr>
        <w:t>100</w:t>
      </w:r>
      <w:r>
        <w:t>%。</w:t>
      </w:r>
      <w:r>
        <w:rPr>
          <w:rFonts w:hint="eastAsia"/>
        </w:rPr>
        <w:t>2019年收入预算比2018年收入预算3262.34万元，增加293.26万元，增长8%。</w:t>
      </w:r>
    </w:p>
    <w:p>
      <w:pPr>
        <w:spacing w:line="600" w:lineRule="exact"/>
        <w:ind w:firstLine="642" w:firstLineChars="200"/>
        <w:rPr>
          <w:rFonts w:eastAsia="楷体_GB2312"/>
          <w:b/>
        </w:rPr>
      </w:pPr>
      <w:r>
        <w:rPr>
          <w:rFonts w:eastAsia="楷体_GB2312"/>
          <w:b/>
        </w:rPr>
        <w:t>（二）支出预算情况</w:t>
      </w:r>
    </w:p>
    <w:p>
      <w:pPr>
        <w:spacing w:line="600" w:lineRule="exact"/>
        <w:ind w:firstLine="640" w:firstLineChars="200"/>
        <w:rPr>
          <w:u w:val="single"/>
        </w:rPr>
      </w:pPr>
      <w:r>
        <w:rPr>
          <w:rFonts w:hint="eastAsia"/>
        </w:rPr>
        <w:t>市政府办公室</w:t>
      </w:r>
      <w:r>
        <w:t>201</w:t>
      </w:r>
      <w:r>
        <w:rPr>
          <w:rFonts w:hint="eastAsia"/>
        </w:rPr>
        <w:t>9</w:t>
      </w:r>
      <w:r>
        <w:t>年支出预算</w:t>
      </w:r>
      <w:r>
        <w:rPr>
          <w:rFonts w:hint="eastAsia"/>
        </w:rPr>
        <w:t>3555.60</w:t>
      </w:r>
      <w:r>
        <w:t>万元，其中：基本支出</w:t>
      </w:r>
      <w:r>
        <w:rPr>
          <w:rFonts w:hint="eastAsia"/>
        </w:rPr>
        <w:t>3100.48</w:t>
      </w:r>
      <w:r>
        <w:t>万元，占</w:t>
      </w:r>
      <w:r>
        <w:rPr>
          <w:rFonts w:hint="eastAsia"/>
        </w:rPr>
        <w:t>87</w:t>
      </w:r>
      <w:r>
        <w:t>%；项目支出</w:t>
      </w:r>
      <w:r>
        <w:rPr>
          <w:rFonts w:hint="eastAsia"/>
        </w:rPr>
        <w:t>455.12</w:t>
      </w:r>
      <w:r>
        <w:t>万元，占</w:t>
      </w:r>
      <w:r>
        <w:rPr>
          <w:rFonts w:hint="eastAsia"/>
        </w:rPr>
        <w:t>13</w:t>
      </w:r>
      <w:r>
        <w:t>%</w:t>
      </w:r>
      <w:r>
        <w:rPr>
          <w:rFonts w:hint="eastAsia"/>
        </w:rPr>
        <w:t>。2019年支出预算比2018年支出预算3262.34万元，增加293.26万元，增长8%。</w:t>
      </w:r>
    </w:p>
    <w:p>
      <w:pPr>
        <w:spacing w:line="600" w:lineRule="exact"/>
        <w:ind w:firstLine="640" w:firstLineChars="200"/>
        <w:rPr>
          <w:rFonts w:eastAsia="黑体"/>
        </w:rPr>
      </w:pPr>
      <w:r>
        <w:rPr>
          <w:rFonts w:eastAsia="黑体"/>
        </w:rPr>
        <w:t>四、财政拨款收支预算情况说明</w:t>
      </w:r>
    </w:p>
    <w:p>
      <w:pPr>
        <w:spacing w:line="600" w:lineRule="exact"/>
        <w:ind w:firstLine="640" w:firstLineChars="200"/>
      </w:pPr>
      <w:r>
        <w:rPr>
          <w:rFonts w:hint="eastAsia"/>
        </w:rPr>
        <w:t>市政府办公室</w:t>
      </w:r>
      <w:r>
        <w:t>201</w:t>
      </w:r>
      <w:r>
        <w:rPr>
          <w:rFonts w:hint="eastAsia"/>
        </w:rPr>
        <w:t>9</w:t>
      </w:r>
      <w:r>
        <w:t>年财政拨款收支总预算</w:t>
      </w:r>
      <w:r>
        <w:rPr>
          <w:rFonts w:hint="eastAsia"/>
        </w:rPr>
        <w:t>3555.60</w:t>
      </w:r>
      <w:r>
        <w:t>万元。收入包括：本年一般公共预算拨款收入</w:t>
      </w:r>
      <w:r>
        <w:rPr>
          <w:rFonts w:hint="eastAsia"/>
        </w:rPr>
        <w:t>3555.60</w:t>
      </w:r>
      <w:r>
        <w:t>万元；支出包括：一般公共服务支出</w:t>
      </w:r>
      <w:r>
        <w:rPr>
          <w:rFonts w:hint="eastAsia"/>
        </w:rPr>
        <w:t>2852.25万元</w:t>
      </w:r>
      <w:r>
        <w:t>、</w:t>
      </w:r>
      <w:r>
        <w:rPr>
          <w:rFonts w:hint="eastAsia"/>
        </w:rPr>
        <w:t>社会保障和就业支出501.50万元、住房保障支出201.85万元</w:t>
      </w:r>
      <w:r>
        <w:t>。</w:t>
      </w:r>
    </w:p>
    <w:p>
      <w:pPr>
        <w:spacing w:line="600" w:lineRule="exact"/>
        <w:ind w:firstLine="640" w:firstLineChars="200"/>
        <w:rPr>
          <w:rFonts w:eastAsia="黑体"/>
        </w:rPr>
      </w:pPr>
      <w:r>
        <w:rPr>
          <w:rFonts w:eastAsia="黑体"/>
        </w:rPr>
        <w:t>五、一般公共预算当年拨款情况说明</w:t>
      </w:r>
    </w:p>
    <w:p>
      <w:pPr>
        <w:spacing w:line="600" w:lineRule="exact"/>
        <w:ind w:firstLine="642" w:firstLineChars="200"/>
        <w:rPr>
          <w:rFonts w:eastAsia="楷体_GB2312"/>
          <w:b/>
        </w:rPr>
      </w:pPr>
      <w:r>
        <w:rPr>
          <w:rFonts w:eastAsia="楷体_GB2312"/>
          <w:b/>
        </w:rPr>
        <w:t>（一）一般公共预算当年拨款规模变化情况</w:t>
      </w:r>
    </w:p>
    <w:p>
      <w:pPr>
        <w:spacing w:line="600" w:lineRule="exact"/>
        <w:ind w:firstLine="640" w:firstLineChars="200"/>
      </w:pPr>
      <w:r>
        <w:rPr>
          <w:rFonts w:hint="eastAsia"/>
        </w:rPr>
        <w:t>市政府办公室</w:t>
      </w:r>
      <w:r>
        <w:t>201</w:t>
      </w:r>
      <w:r>
        <w:rPr>
          <w:rFonts w:hint="eastAsia"/>
        </w:rPr>
        <w:t>9</w:t>
      </w:r>
      <w:r>
        <w:t>年一般公共预算当年拨款</w:t>
      </w:r>
      <w:r>
        <w:rPr>
          <w:rFonts w:hint="eastAsia"/>
        </w:rPr>
        <w:t>3555.60</w:t>
      </w:r>
      <w:r>
        <w:t>万元，比201</w:t>
      </w:r>
      <w:r>
        <w:rPr>
          <w:rFonts w:hint="eastAsia"/>
        </w:rPr>
        <w:t>8</w:t>
      </w:r>
      <w:r>
        <w:t>年预算数</w:t>
      </w:r>
      <w:r>
        <w:rPr>
          <w:rFonts w:hint="eastAsia"/>
        </w:rPr>
        <w:t>增加293.26</w:t>
      </w:r>
      <w:r>
        <w:t>万元，主要是</w:t>
      </w:r>
      <w:r>
        <w:rPr>
          <w:rFonts w:hint="eastAsia"/>
        </w:rPr>
        <w:t>增加了人员经费</w:t>
      </w:r>
      <w:r>
        <w:t>。</w:t>
      </w:r>
    </w:p>
    <w:p>
      <w:pPr>
        <w:spacing w:line="600" w:lineRule="exact"/>
        <w:ind w:firstLine="642" w:firstLineChars="200"/>
        <w:rPr>
          <w:rFonts w:eastAsia="楷体_GB2312"/>
          <w:b/>
        </w:rPr>
      </w:pPr>
      <w:r>
        <w:rPr>
          <w:rFonts w:eastAsia="楷体_GB2312"/>
          <w:b/>
        </w:rPr>
        <w:t>（二）一般公共预算当年拨款结构情况</w:t>
      </w:r>
    </w:p>
    <w:p>
      <w:pPr>
        <w:spacing w:line="600" w:lineRule="exact"/>
        <w:ind w:firstLine="640" w:firstLineChars="200"/>
      </w:pPr>
      <w:r>
        <w:t>一般公共服务支出</w:t>
      </w:r>
      <w:r>
        <w:rPr>
          <w:rFonts w:hint="eastAsia"/>
        </w:rPr>
        <w:t>2852.25</w:t>
      </w:r>
      <w:r>
        <w:t>万元，占</w:t>
      </w:r>
      <w:r>
        <w:rPr>
          <w:rFonts w:hint="eastAsia"/>
        </w:rPr>
        <w:t>80</w:t>
      </w:r>
      <w:r>
        <w:t>%；</w:t>
      </w:r>
      <w:r>
        <w:rPr>
          <w:rFonts w:hint="eastAsia"/>
        </w:rPr>
        <w:t>社会保障和就业支出501.50万元，</w:t>
      </w:r>
      <w:r>
        <w:t>占</w:t>
      </w:r>
      <w:r>
        <w:rPr>
          <w:rFonts w:hint="eastAsia"/>
        </w:rPr>
        <w:t>14</w:t>
      </w:r>
      <w:r>
        <w:t>%；</w:t>
      </w:r>
      <w:r>
        <w:rPr>
          <w:rFonts w:hint="eastAsia"/>
        </w:rPr>
        <w:t>住房保障支出201.85万元，</w:t>
      </w:r>
      <w:r>
        <w:t>占</w:t>
      </w:r>
      <w:r>
        <w:rPr>
          <w:rFonts w:hint="eastAsia"/>
        </w:rPr>
        <w:t>6</w:t>
      </w:r>
      <w:r>
        <w:t>%。</w:t>
      </w:r>
    </w:p>
    <w:p>
      <w:pPr>
        <w:spacing w:line="600" w:lineRule="exact"/>
        <w:ind w:firstLine="642" w:firstLineChars="200"/>
        <w:rPr>
          <w:rFonts w:eastAsia="楷体_GB2312"/>
          <w:b/>
        </w:rPr>
      </w:pPr>
      <w:r>
        <w:rPr>
          <w:rFonts w:eastAsia="楷体_GB2312"/>
          <w:b/>
        </w:rPr>
        <w:t>（三）一般公共预算当年拨款具体使用情况</w:t>
      </w:r>
    </w:p>
    <w:p>
      <w:pPr>
        <w:spacing w:line="600" w:lineRule="exact"/>
        <w:ind w:firstLine="640" w:firstLineChars="200"/>
      </w:pPr>
      <w:r>
        <w:t>1.一般公共服务</w:t>
      </w:r>
      <w:r>
        <w:rPr>
          <w:rFonts w:hint="eastAsia"/>
        </w:rPr>
        <w:t>支出</w:t>
      </w:r>
      <w:r>
        <w:t>（类）</w:t>
      </w:r>
      <w:r>
        <w:rPr>
          <w:rFonts w:hint="eastAsia"/>
        </w:rPr>
        <w:t>政府办公厅（室）及相关机构事务</w:t>
      </w:r>
      <w:r>
        <w:t>（款）行政运行（项）201</w:t>
      </w:r>
      <w:r>
        <w:rPr>
          <w:rFonts w:hint="eastAsia"/>
        </w:rPr>
        <w:t>9</w:t>
      </w:r>
      <w:r>
        <w:t>年预算数为</w:t>
      </w:r>
      <w:r>
        <w:rPr>
          <w:rFonts w:hint="eastAsia"/>
        </w:rPr>
        <w:t>2397.13</w:t>
      </w:r>
      <w:r>
        <w:t>万元，主要用于：</w:t>
      </w:r>
      <w:r>
        <w:rPr>
          <w:rFonts w:hint="eastAsia"/>
        </w:rPr>
        <w:t>政府办</w:t>
      </w:r>
      <w:r>
        <w:rPr>
          <w:rFonts w:hint="eastAsia" w:ascii="仿宋_GB2312"/>
        </w:rPr>
        <w:t>及下属单位</w:t>
      </w:r>
      <w:r>
        <w:rPr>
          <w:rFonts w:hint="eastAsia" w:ascii="仿宋_GB2312"/>
          <w:color w:val="000000"/>
        </w:rPr>
        <w:t>基本工资、津贴补贴、</w:t>
      </w:r>
      <w:r>
        <w:t>水费、电费、日常培训费、办公费、工会</w:t>
      </w:r>
      <w:r>
        <w:rPr>
          <w:rFonts w:hint="eastAsia"/>
        </w:rPr>
        <w:t>经</w:t>
      </w:r>
      <w:r>
        <w:t>费、福利费等日常开支</w:t>
      </w:r>
      <w:r>
        <w:rPr>
          <w:rFonts w:hint="eastAsia"/>
        </w:rPr>
        <w:t>。</w:t>
      </w:r>
    </w:p>
    <w:p>
      <w:pPr>
        <w:spacing w:line="580" w:lineRule="exact"/>
        <w:ind w:firstLine="640" w:firstLineChars="200"/>
      </w:pPr>
      <w:r>
        <w:t>2.一般公共服务</w:t>
      </w:r>
      <w:r>
        <w:rPr>
          <w:rFonts w:hint="eastAsia"/>
        </w:rPr>
        <w:t>支出</w:t>
      </w:r>
      <w:r>
        <w:t>（类）</w:t>
      </w:r>
      <w:r>
        <w:rPr>
          <w:rFonts w:hint="eastAsia"/>
        </w:rPr>
        <w:t>政府办公厅（室）及相关机构事务</w:t>
      </w:r>
      <w:r>
        <w:t>（款）一般行政管理事务（项）201</w:t>
      </w:r>
      <w:r>
        <w:rPr>
          <w:rFonts w:hint="eastAsia"/>
        </w:rPr>
        <w:t>9</w:t>
      </w:r>
      <w:r>
        <w:t>年预算数为</w:t>
      </w:r>
      <w:r>
        <w:rPr>
          <w:rFonts w:hint="eastAsia"/>
        </w:rPr>
        <w:t>451.12</w:t>
      </w:r>
      <w:r>
        <w:t>万元，主要用于：</w:t>
      </w:r>
      <w:r>
        <w:rPr>
          <w:rFonts w:hint="eastAsia"/>
        </w:rPr>
        <w:t>政府办</w:t>
      </w:r>
      <w:r>
        <w:rPr>
          <w:rFonts w:hint="eastAsia" w:ascii="仿宋_GB2312"/>
        </w:rPr>
        <w:t>及下属单位信息公开、招商引资、</w:t>
      </w:r>
      <w:r>
        <w:rPr>
          <w:rFonts w:hint="eastAsia"/>
        </w:rPr>
        <w:t>公报印刷、政务调研、</w:t>
      </w:r>
      <w:r>
        <w:t>应急处突</w:t>
      </w:r>
      <w:r>
        <w:rPr>
          <w:rFonts w:hint="eastAsia"/>
        </w:rPr>
        <w:t>、行政调解、</w:t>
      </w:r>
      <w:r>
        <w:rPr>
          <w:rFonts w:hint="eastAsia" w:ascii="仿宋_GB2312"/>
        </w:rPr>
        <w:t>行政执法监督、</w:t>
      </w:r>
      <w:r>
        <w:rPr>
          <w:rFonts w:hint="eastAsia"/>
        </w:rPr>
        <w:t>安保等工作开展。</w:t>
      </w:r>
    </w:p>
    <w:p>
      <w:pPr>
        <w:spacing w:line="600" w:lineRule="exact"/>
        <w:ind w:firstLine="640" w:firstLineChars="200"/>
      </w:pPr>
      <w:r>
        <w:t>3. 一般公共服务</w:t>
      </w:r>
      <w:r>
        <w:rPr>
          <w:rFonts w:hint="eastAsia"/>
        </w:rPr>
        <w:t>支出</w:t>
      </w:r>
      <w:r>
        <w:t>（类）</w:t>
      </w:r>
      <w:r>
        <w:rPr>
          <w:rFonts w:hint="eastAsia"/>
        </w:rPr>
        <w:t>组织事务</w:t>
      </w:r>
      <w:r>
        <w:t>（款）</w:t>
      </w:r>
      <w:r>
        <w:rPr>
          <w:rFonts w:hint="eastAsia"/>
        </w:rPr>
        <w:t>其他组织事务支出</w:t>
      </w:r>
      <w:r>
        <w:t>（项）201</w:t>
      </w:r>
      <w:r>
        <w:rPr>
          <w:rFonts w:hint="eastAsia"/>
        </w:rPr>
        <w:t>9</w:t>
      </w:r>
      <w:r>
        <w:t>年预算数为</w:t>
      </w:r>
      <w:r>
        <w:rPr>
          <w:rFonts w:hint="eastAsia"/>
        </w:rPr>
        <w:t>4</w:t>
      </w:r>
      <w:r>
        <w:t>万元，主要用于：</w:t>
      </w:r>
      <w:r>
        <w:rPr>
          <w:rFonts w:hint="eastAsia"/>
        </w:rPr>
        <w:t>援藏援彝干部人才补助经费。</w:t>
      </w:r>
    </w:p>
    <w:p>
      <w:pPr>
        <w:spacing w:line="600" w:lineRule="exact"/>
        <w:ind w:firstLine="640" w:firstLineChars="200"/>
      </w:pPr>
      <w:r>
        <w:rPr>
          <w:rFonts w:hint="eastAsia"/>
        </w:rPr>
        <w:t>4.社会保障和就业支出</w:t>
      </w:r>
      <w:r>
        <w:t>（类）</w:t>
      </w:r>
      <w:r>
        <w:rPr>
          <w:rFonts w:hint="eastAsia"/>
        </w:rPr>
        <w:t>行政事业单位离退休</w:t>
      </w:r>
      <w:r>
        <w:t>（款）</w:t>
      </w:r>
      <w:r>
        <w:rPr>
          <w:rFonts w:hint="eastAsia"/>
        </w:rPr>
        <w:t>未归口管理的行政单位离退休</w:t>
      </w:r>
      <w:r>
        <w:t>（项）201</w:t>
      </w:r>
      <w:r>
        <w:rPr>
          <w:rFonts w:hint="eastAsia"/>
        </w:rPr>
        <w:t>9</w:t>
      </w:r>
      <w:r>
        <w:t>年预算数为</w:t>
      </w:r>
      <w:r>
        <w:rPr>
          <w:rFonts w:hint="eastAsia"/>
        </w:rPr>
        <w:t>315.35</w:t>
      </w:r>
      <w:r>
        <w:t>万元，主要用于：</w:t>
      </w:r>
      <w:r>
        <w:rPr>
          <w:rFonts w:hint="eastAsia"/>
        </w:rPr>
        <w:t>政府办</w:t>
      </w:r>
      <w:r>
        <w:rPr>
          <w:rFonts w:hint="eastAsia" w:ascii="仿宋_GB2312"/>
        </w:rPr>
        <w:t>及下属单位离退休人员离休费及生活补贴支出。</w:t>
      </w:r>
    </w:p>
    <w:p>
      <w:pPr>
        <w:spacing w:line="600" w:lineRule="exact"/>
        <w:ind w:firstLine="640" w:firstLineChars="200"/>
      </w:pPr>
      <w:r>
        <w:rPr>
          <w:rFonts w:hint="eastAsia"/>
        </w:rPr>
        <w:t>5</w:t>
      </w:r>
      <w:r>
        <w:t>.</w:t>
      </w:r>
      <w:r>
        <w:rPr>
          <w:rFonts w:hint="eastAsia"/>
        </w:rPr>
        <w:t>社会保障和就业支出</w:t>
      </w:r>
      <w:r>
        <w:t>（类）</w:t>
      </w:r>
      <w:r>
        <w:rPr>
          <w:rFonts w:hint="eastAsia"/>
        </w:rPr>
        <w:t>行政事业单位离退休</w:t>
      </w:r>
      <w:r>
        <w:t>（款）</w:t>
      </w:r>
      <w:r>
        <w:rPr>
          <w:rFonts w:hint="eastAsia"/>
        </w:rPr>
        <w:t>机关事业单位基本养老保险缴费支出</w:t>
      </w:r>
      <w:r>
        <w:t>（项）201</w:t>
      </w:r>
      <w:r>
        <w:rPr>
          <w:rFonts w:hint="eastAsia"/>
        </w:rPr>
        <w:t>9</w:t>
      </w:r>
      <w:r>
        <w:t>年预算数为</w:t>
      </w:r>
      <w:r>
        <w:rPr>
          <w:rFonts w:hint="eastAsia"/>
        </w:rPr>
        <w:t>186.15</w:t>
      </w:r>
      <w:r>
        <w:t>万元，主要用于：</w:t>
      </w:r>
      <w:r>
        <w:rPr>
          <w:rFonts w:hint="eastAsia"/>
        </w:rPr>
        <w:t>政府办</w:t>
      </w:r>
      <w:r>
        <w:rPr>
          <w:rFonts w:hint="eastAsia" w:ascii="仿宋_GB2312"/>
        </w:rPr>
        <w:t>及下属单位按照规定标准缴纳的基本养老保险费。</w:t>
      </w:r>
    </w:p>
    <w:p>
      <w:pPr>
        <w:spacing w:line="600" w:lineRule="exact"/>
        <w:ind w:firstLine="640" w:firstLineChars="200"/>
        <w:rPr>
          <w:rFonts w:ascii="仿宋_GB2312"/>
        </w:rPr>
      </w:pPr>
      <w:r>
        <w:rPr>
          <w:rFonts w:hint="eastAsia"/>
        </w:rPr>
        <w:t>6</w:t>
      </w:r>
      <w:r>
        <w:t>.</w:t>
      </w:r>
      <w:r>
        <w:rPr>
          <w:rFonts w:hint="eastAsia"/>
        </w:rPr>
        <w:t>住房保障支出</w:t>
      </w:r>
      <w:r>
        <w:t>（类）</w:t>
      </w:r>
      <w:r>
        <w:rPr>
          <w:rFonts w:hint="eastAsia"/>
        </w:rPr>
        <w:t>住房改革支出</w:t>
      </w:r>
      <w:r>
        <w:t>（款）</w:t>
      </w:r>
      <w:r>
        <w:rPr>
          <w:rFonts w:hint="eastAsia"/>
        </w:rPr>
        <w:t>住房公积金</w:t>
      </w:r>
      <w:r>
        <w:t>（项）201</w:t>
      </w:r>
      <w:r>
        <w:rPr>
          <w:rFonts w:hint="eastAsia"/>
        </w:rPr>
        <w:t>9</w:t>
      </w:r>
      <w:r>
        <w:t>年预算数为</w:t>
      </w:r>
      <w:r>
        <w:rPr>
          <w:rFonts w:hint="eastAsia"/>
        </w:rPr>
        <w:t>201.85</w:t>
      </w:r>
      <w:r>
        <w:t>万元，主要用于：</w:t>
      </w:r>
      <w:r>
        <w:rPr>
          <w:rFonts w:hint="eastAsia"/>
        </w:rPr>
        <w:t>政府办</w:t>
      </w:r>
      <w:r>
        <w:rPr>
          <w:rFonts w:hint="eastAsia" w:ascii="仿宋_GB2312"/>
        </w:rPr>
        <w:t>及下属单位按照规定标准为职工缴纳住房公积金支出。</w:t>
      </w:r>
    </w:p>
    <w:p>
      <w:pPr>
        <w:spacing w:line="600" w:lineRule="exact"/>
        <w:ind w:firstLine="640" w:firstLineChars="200"/>
        <w:rPr>
          <w:rFonts w:eastAsia="黑体"/>
        </w:rPr>
      </w:pPr>
      <w:r>
        <w:rPr>
          <w:rFonts w:eastAsia="黑体"/>
        </w:rPr>
        <w:t>六、一般公共预算基本支出情况说明</w:t>
      </w:r>
    </w:p>
    <w:p>
      <w:pPr>
        <w:spacing w:line="600" w:lineRule="exact"/>
        <w:ind w:firstLine="640" w:firstLineChars="200"/>
      </w:pPr>
      <w:r>
        <w:rPr>
          <w:rFonts w:hint="eastAsia"/>
        </w:rPr>
        <w:t>市政府办公室</w:t>
      </w:r>
      <w:r>
        <w:t>201</w:t>
      </w:r>
      <w:r>
        <w:rPr>
          <w:rFonts w:hint="eastAsia"/>
        </w:rPr>
        <w:t>8</w:t>
      </w:r>
      <w:r>
        <w:t>年一般公共预算基本支出</w:t>
      </w:r>
      <w:r>
        <w:rPr>
          <w:rFonts w:hint="eastAsia"/>
        </w:rPr>
        <w:t>3100.48</w:t>
      </w:r>
      <w:r>
        <w:t>万元，其中：</w:t>
      </w:r>
    </w:p>
    <w:p>
      <w:pPr>
        <w:spacing w:line="600" w:lineRule="exact"/>
        <w:ind w:firstLine="640" w:firstLineChars="200"/>
        <w:rPr>
          <w:u w:val="single"/>
        </w:rPr>
      </w:pPr>
      <w:r>
        <w:t>人员经费</w:t>
      </w:r>
      <w:r>
        <w:rPr>
          <w:rFonts w:hint="eastAsia"/>
        </w:rPr>
        <w:t>2553.27</w:t>
      </w:r>
      <w:r>
        <w:t>万元，主要包括：基本工资、津贴补贴、奖金、社会保险缴费</w:t>
      </w:r>
      <w:r>
        <w:rPr>
          <w:rFonts w:hint="eastAsia"/>
        </w:rPr>
        <w:t>、离退休人员经费、住房公积金等。</w:t>
      </w:r>
    </w:p>
    <w:p>
      <w:pPr>
        <w:spacing w:line="600" w:lineRule="exact"/>
        <w:ind w:firstLine="640" w:firstLineChars="200"/>
        <w:rPr>
          <w:u w:val="single"/>
        </w:rPr>
      </w:pPr>
      <w:r>
        <w:t>公用经费</w:t>
      </w:r>
      <w:r>
        <w:rPr>
          <w:rFonts w:hint="eastAsia"/>
        </w:rPr>
        <w:t>547.21</w:t>
      </w:r>
      <w:r>
        <w:t>万元，主要包括：办公费、印刷费、咨询费、手续费</w:t>
      </w:r>
      <w:r>
        <w:rPr>
          <w:rFonts w:hint="eastAsia"/>
        </w:rPr>
        <w:t>、水费、电费、邮电费、差旅费、工会经费、党建经费、离退休人员公用经费、离退休人员福利费等</w:t>
      </w:r>
      <w:r>
        <w:t>。</w:t>
      </w:r>
    </w:p>
    <w:p>
      <w:pPr>
        <w:spacing w:line="600" w:lineRule="exact"/>
        <w:ind w:firstLine="640" w:firstLineChars="200"/>
        <w:rPr>
          <w:rFonts w:eastAsia="黑体"/>
        </w:rPr>
      </w:pPr>
      <w:r>
        <w:rPr>
          <w:rFonts w:eastAsia="黑体"/>
        </w:rPr>
        <w:t>七、“三公”经费财政拨款预算安排情况说明</w:t>
      </w:r>
    </w:p>
    <w:p>
      <w:pPr>
        <w:spacing w:line="600" w:lineRule="exact"/>
        <w:ind w:firstLine="640" w:firstLineChars="200"/>
      </w:pPr>
      <w:r>
        <w:rPr>
          <w:rFonts w:hint="eastAsia"/>
        </w:rPr>
        <w:t>市政府办公室</w:t>
      </w:r>
      <w:r>
        <w:t>201</w:t>
      </w:r>
      <w:r>
        <w:rPr>
          <w:rFonts w:hint="eastAsia"/>
        </w:rPr>
        <w:t>9</w:t>
      </w:r>
      <w:r>
        <w:t>年“三公”经费财政拨款预算数</w:t>
      </w:r>
      <w:r>
        <w:rPr>
          <w:rFonts w:hint="eastAsia"/>
        </w:rPr>
        <w:t>67.14万元</w:t>
      </w:r>
      <w:r>
        <w:t>，其中：因公出国（境）经费</w:t>
      </w:r>
      <w:r>
        <w:rPr>
          <w:rFonts w:hint="eastAsia"/>
        </w:rPr>
        <w:t>0</w:t>
      </w:r>
      <w:r>
        <w:t>元，公务接待费</w:t>
      </w:r>
      <w:r>
        <w:rPr>
          <w:rFonts w:hint="eastAsia"/>
        </w:rPr>
        <w:t>8.64</w:t>
      </w:r>
      <w:r>
        <w:t>万元，公务用车购置及运行维护费</w:t>
      </w:r>
      <w:r>
        <w:rPr>
          <w:rFonts w:hint="eastAsia"/>
        </w:rPr>
        <w:t>58.50</w:t>
      </w:r>
      <w:r>
        <w:t>万元。</w:t>
      </w:r>
    </w:p>
    <w:p>
      <w:pPr>
        <w:spacing w:line="600" w:lineRule="exact"/>
        <w:ind w:firstLine="640"/>
      </w:pPr>
      <w:r>
        <w:rPr>
          <w:rFonts w:eastAsia="楷体_GB2312"/>
          <w:b/>
        </w:rPr>
        <w:t>（一）因公出国（境）经费</w:t>
      </w:r>
      <w:r>
        <w:rPr>
          <w:rFonts w:hint="eastAsia" w:eastAsia="楷体_GB2312"/>
          <w:b/>
        </w:rPr>
        <w:t>与</w:t>
      </w:r>
      <w:r>
        <w:rPr>
          <w:rFonts w:eastAsia="楷体_GB2312"/>
          <w:b/>
        </w:rPr>
        <w:t>201</w:t>
      </w:r>
      <w:r>
        <w:rPr>
          <w:rFonts w:hint="eastAsia" w:eastAsia="楷体_GB2312"/>
          <w:b/>
        </w:rPr>
        <w:t>8</w:t>
      </w:r>
      <w:r>
        <w:rPr>
          <w:rFonts w:eastAsia="楷体_GB2312"/>
          <w:b/>
        </w:rPr>
        <w:t>年预算</w:t>
      </w:r>
      <w:r>
        <w:rPr>
          <w:rFonts w:hint="eastAsia" w:eastAsia="楷体_GB2312"/>
          <w:b/>
        </w:rPr>
        <w:t>持平</w:t>
      </w:r>
      <w:r>
        <w:rPr>
          <w:rFonts w:eastAsia="楷体_GB2312"/>
          <w:b/>
        </w:rPr>
        <w:t>。</w:t>
      </w:r>
      <w:r>
        <w:t>主要原因是</w:t>
      </w:r>
      <w:r>
        <w:rPr>
          <w:rFonts w:hint="eastAsia"/>
        </w:rPr>
        <w:t>年初预算没有</w:t>
      </w:r>
      <w:r>
        <w:t>因公出国（境）经费。</w:t>
      </w:r>
    </w:p>
    <w:p>
      <w:pPr>
        <w:spacing w:line="600" w:lineRule="exact"/>
        <w:ind w:firstLine="640"/>
        <w:rPr>
          <w:rFonts w:eastAsia="黑体"/>
          <w:b/>
        </w:rPr>
      </w:pPr>
      <w:r>
        <w:rPr>
          <w:rFonts w:eastAsia="楷体_GB2312"/>
          <w:b/>
        </w:rPr>
        <w:t>（二）公务接待费</w:t>
      </w:r>
      <w:r>
        <w:rPr>
          <w:rFonts w:hint="eastAsia" w:eastAsia="楷体_GB2312"/>
          <w:b/>
        </w:rPr>
        <w:t>与</w:t>
      </w:r>
      <w:r>
        <w:rPr>
          <w:rFonts w:eastAsia="楷体_GB2312"/>
          <w:b/>
        </w:rPr>
        <w:t>201</w:t>
      </w:r>
      <w:r>
        <w:rPr>
          <w:rFonts w:hint="eastAsia" w:eastAsia="楷体_GB2312"/>
          <w:b/>
        </w:rPr>
        <w:t>8</w:t>
      </w:r>
      <w:r>
        <w:rPr>
          <w:rFonts w:eastAsia="楷体_GB2312"/>
          <w:b/>
        </w:rPr>
        <w:t>年预算</w:t>
      </w:r>
      <w:r>
        <w:rPr>
          <w:rFonts w:hint="eastAsia" w:eastAsia="楷体_GB2312"/>
          <w:b/>
        </w:rPr>
        <w:t>持平</w:t>
      </w:r>
      <w:r>
        <w:rPr>
          <w:rFonts w:eastAsia="楷体_GB2312"/>
          <w:b/>
        </w:rPr>
        <w:t>。</w:t>
      </w:r>
      <w:r>
        <w:t>主要原因是</w:t>
      </w:r>
      <w:r>
        <w:rPr>
          <w:rFonts w:hint="eastAsia"/>
        </w:rPr>
        <w:t>控制减少公务接待工作</w:t>
      </w:r>
      <w:r>
        <w:t>。</w:t>
      </w:r>
    </w:p>
    <w:p>
      <w:pPr>
        <w:spacing w:line="600" w:lineRule="exact"/>
        <w:ind w:firstLine="640"/>
      </w:pPr>
      <w:r>
        <w:t>201</w:t>
      </w:r>
      <w:r>
        <w:rPr>
          <w:rFonts w:hint="eastAsia"/>
        </w:rPr>
        <w:t>9</w:t>
      </w:r>
      <w:r>
        <w:t>年公务接待费计划用于执行公务、考察调研、检查指导等公务活动开支。</w:t>
      </w:r>
    </w:p>
    <w:p>
      <w:pPr>
        <w:spacing w:line="600" w:lineRule="exact"/>
        <w:ind w:firstLine="640"/>
        <w:rPr>
          <w:rFonts w:eastAsia="黑体"/>
          <w:b/>
        </w:rPr>
      </w:pPr>
      <w:r>
        <w:rPr>
          <w:rFonts w:eastAsia="楷体_GB2312"/>
          <w:b/>
        </w:rPr>
        <w:t>（三）公务用车购置及运行维护费较201</w:t>
      </w:r>
      <w:r>
        <w:rPr>
          <w:rFonts w:hint="eastAsia" w:eastAsia="楷体_GB2312"/>
          <w:b/>
        </w:rPr>
        <w:t>8</w:t>
      </w:r>
      <w:r>
        <w:rPr>
          <w:rFonts w:eastAsia="楷体_GB2312"/>
          <w:b/>
        </w:rPr>
        <w:t>年预算</w:t>
      </w:r>
      <w:r>
        <w:rPr>
          <w:rFonts w:hint="eastAsia" w:eastAsia="楷体_GB2312"/>
          <w:b/>
        </w:rPr>
        <w:t>增长</w:t>
      </w:r>
      <w:r>
        <w:rPr>
          <w:rFonts w:hint="eastAsia"/>
          <w:b/>
        </w:rPr>
        <w:t>51</w:t>
      </w:r>
      <w:r>
        <w:rPr>
          <w:rFonts w:eastAsia="楷体_GB2312"/>
          <w:b/>
        </w:rPr>
        <w:t>%。</w:t>
      </w:r>
      <w:r>
        <w:t>主要原因是</w:t>
      </w:r>
      <w:r>
        <w:rPr>
          <w:rFonts w:hint="eastAsia"/>
        </w:rPr>
        <w:t>更新购置公务用车，运行维护费增加</w:t>
      </w:r>
      <w:r>
        <w:t>。</w:t>
      </w:r>
    </w:p>
    <w:p>
      <w:pPr>
        <w:spacing w:line="600" w:lineRule="exact"/>
        <w:ind w:firstLine="640"/>
      </w:pPr>
      <w:r>
        <w:t>单位现有公务用车</w:t>
      </w:r>
      <w:r>
        <w:rPr>
          <w:rFonts w:hint="eastAsia"/>
        </w:rPr>
        <w:t>16</w:t>
      </w:r>
      <w:r>
        <w:t>辆，其中：轿车（含7座以下商务车、城市越野车）</w:t>
      </w:r>
      <w:r>
        <w:rPr>
          <w:rFonts w:hint="eastAsia"/>
        </w:rPr>
        <w:t>4</w:t>
      </w:r>
      <w:r>
        <w:t>辆，7座以上19座（含19座）以下客车</w:t>
      </w:r>
      <w:r>
        <w:rPr>
          <w:rFonts w:hint="eastAsia"/>
        </w:rPr>
        <w:t>0</w:t>
      </w:r>
      <w:r>
        <w:t>辆，越野车</w:t>
      </w:r>
      <w:r>
        <w:rPr>
          <w:rFonts w:hint="eastAsia"/>
        </w:rPr>
        <w:t>11</w:t>
      </w:r>
      <w:r>
        <w:t>辆，货车及19座以上客车</w:t>
      </w:r>
      <w:r>
        <w:rPr>
          <w:rFonts w:hint="eastAsia"/>
        </w:rPr>
        <w:t>1</w:t>
      </w:r>
      <w:r>
        <w:t>辆，摩托车</w:t>
      </w:r>
      <w:r>
        <w:rPr>
          <w:rFonts w:hint="eastAsia"/>
        </w:rPr>
        <w:t>0</w:t>
      </w:r>
      <w:r>
        <w:t>辆。</w:t>
      </w:r>
    </w:p>
    <w:p>
      <w:pPr>
        <w:spacing w:line="600" w:lineRule="exact"/>
        <w:ind w:firstLine="640"/>
      </w:pPr>
      <w:r>
        <w:t>201</w:t>
      </w:r>
      <w:r>
        <w:rPr>
          <w:rFonts w:hint="eastAsia"/>
        </w:rPr>
        <w:t>9</w:t>
      </w:r>
      <w:r>
        <w:t>年安排公务用车购置费</w:t>
      </w:r>
      <w:r>
        <w:rPr>
          <w:rFonts w:hint="eastAsia"/>
        </w:rPr>
        <w:t>0</w:t>
      </w:r>
      <w:r>
        <w:t>万元，购置公务用车</w:t>
      </w:r>
      <w:r>
        <w:rPr>
          <w:rFonts w:hint="eastAsia"/>
        </w:rPr>
        <w:t>0</w:t>
      </w:r>
      <w:r>
        <w:t>辆。</w:t>
      </w:r>
    </w:p>
    <w:p>
      <w:pPr>
        <w:spacing w:line="600" w:lineRule="exact"/>
        <w:ind w:firstLine="640" w:firstLineChars="200"/>
        <w:rPr>
          <w:rFonts w:ascii="仿宋_GB2312"/>
          <w:color w:val="000000"/>
        </w:rPr>
      </w:pPr>
      <w:r>
        <w:t>201</w:t>
      </w:r>
      <w:r>
        <w:rPr>
          <w:rFonts w:hint="eastAsia"/>
        </w:rPr>
        <w:t>9</w:t>
      </w:r>
      <w:r>
        <w:t>年安排公务用车运行维护费</w:t>
      </w:r>
      <w:r>
        <w:rPr>
          <w:rFonts w:hint="eastAsia"/>
        </w:rPr>
        <w:t>58.50</w:t>
      </w:r>
      <w:r>
        <w:t>万元，用于</w:t>
      </w:r>
      <w:r>
        <w:rPr>
          <w:rFonts w:hint="eastAsia"/>
        </w:rPr>
        <w:t>16</w:t>
      </w:r>
      <w:r>
        <w:t>辆公务用车</w:t>
      </w:r>
      <w:r>
        <w:rPr>
          <w:rFonts w:hint="eastAsia"/>
        </w:rPr>
        <w:t>燃油、维修、车辆通行</w:t>
      </w:r>
      <w:r>
        <w:t>等方面支出，主要</w:t>
      </w:r>
      <w:r>
        <w:rPr>
          <w:rFonts w:hint="eastAsia" w:ascii="仿宋_GB2312"/>
          <w:color w:val="000000"/>
        </w:rPr>
        <w:t>保障</w:t>
      </w:r>
      <w:r>
        <w:t>政府办</w:t>
      </w:r>
      <w:r>
        <w:rPr>
          <w:rFonts w:hint="eastAsia"/>
        </w:rPr>
        <w:t>及下属单位</w:t>
      </w:r>
      <w:r>
        <w:t>机关日常工作运转及到基层指导调研、督促检查、脱贫攻坚</w:t>
      </w:r>
      <w:r>
        <w:rPr>
          <w:rFonts w:hint="eastAsia"/>
        </w:rPr>
        <w:t>、</w:t>
      </w:r>
      <w:r>
        <w:t>应急处突等相关工作的开展</w:t>
      </w:r>
      <w:r>
        <w:rPr>
          <w:rFonts w:hint="eastAsia" w:ascii="仿宋_GB2312"/>
          <w:color w:val="000000"/>
        </w:rPr>
        <w:t>。</w:t>
      </w:r>
    </w:p>
    <w:p>
      <w:pPr>
        <w:spacing w:line="600" w:lineRule="exact"/>
        <w:ind w:firstLine="640" w:firstLineChars="200"/>
        <w:rPr>
          <w:rFonts w:eastAsia="黑体"/>
        </w:rPr>
      </w:pPr>
      <w:r>
        <w:rPr>
          <w:rFonts w:eastAsia="黑体"/>
        </w:rPr>
        <w:t>八、政府性基金预算支出情况说明</w:t>
      </w:r>
    </w:p>
    <w:p>
      <w:pPr>
        <w:spacing w:line="600" w:lineRule="exact"/>
        <w:ind w:firstLine="640" w:firstLineChars="200"/>
      </w:pPr>
      <w:r>
        <w:rPr>
          <w:rFonts w:hint="eastAsia"/>
        </w:rPr>
        <w:t>市政府办公室</w:t>
      </w:r>
      <w:r>
        <w:t>201</w:t>
      </w:r>
      <w:r>
        <w:rPr>
          <w:rFonts w:hint="eastAsia"/>
        </w:rPr>
        <w:t>9</w:t>
      </w:r>
      <w:r>
        <w:t>年没有使用政府性基金预算拨款安排的支出。</w:t>
      </w:r>
    </w:p>
    <w:p>
      <w:pPr>
        <w:spacing w:line="600" w:lineRule="exact"/>
        <w:ind w:firstLine="640" w:firstLineChars="200"/>
        <w:rPr>
          <w:rFonts w:eastAsia="黑体"/>
        </w:rPr>
      </w:pPr>
      <w:r>
        <w:rPr>
          <w:rFonts w:eastAsia="黑体"/>
        </w:rPr>
        <w:t>九、其他重要事项的情况说明</w:t>
      </w:r>
    </w:p>
    <w:p>
      <w:pPr>
        <w:spacing w:line="600" w:lineRule="exact"/>
        <w:ind w:firstLine="642" w:firstLineChars="200"/>
        <w:rPr>
          <w:rFonts w:eastAsia="楷体_GB2312"/>
          <w:b/>
        </w:rPr>
      </w:pPr>
      <w:r>
        <w:rPr>
          <w:rFonts w:eastAsia="楷体_GB2312"/>
          <w:b/>
        </w:rPr>
        <w:t>（一）</w:t>
      </w:r>
      <w:r>
        <w:rPr>
          <w:rFonts w:hint="eastAsia" w:eastAsia="楷体_GB2312"/>
          <w:b/>
          <w:lang w:val="en-US" w:eastAsia="zh-CN"/>
        </w:rPr>
        <w:t>机关</w:t>
      </w:r>
      <w:r>
        <w:rPr>
          <w:rFonts w:eastAsia="楷体_GB2312"/>
          <w:b/>
        </w:rPr>
        <w:t>运行经费</w:t>
      </w:r>
    </w:p>
    <w:p>
      <w:pPr>
        <w:spacing w:line="600" w:lineRule="exact"/>
        <w:ind w:firstLine="640" w:firstLineChars="200"/>
        <w:rPr>
          <w:rFonts w:eastAsia="楷体_GB2312"/>
          <w:b/>
        </w:rPr>
      </w:pPr>
      <w:r>
        <w:t>201</w:t>
      </w:r>
      <w:r>
        <w:rPr>
          <w:rFonts w:hint="eastAsia"/>
        </w:rPr>
        <w:t>9</w:t>
      </w:r>
      <w:r>
        <w:t>年，</w:t>
      </w:r>
      <w:r>
        <w:rPr>
          <w:rFonts w:hint="eastAsia"/>
        </w:rPr>
        <w:t>市政府办公室以及</w:t>
      </w:r>
      <w:r>
        <w:t>下属</w:t>
      </w:r>
      <w:r>
        <w:rPr>
          <w:rFonts w:hint="eastAsia"/>
        </w:rPr>
        <w:t>攀枝花市人民政府法制办公室1</w:t>
      </w:r>
      <w:r>
        <w:t>家行政单位</w:t>
      </w:r>
      <w:r>
        <w:rPr>
          <w:rFonts w:hint="eastAsia"/>
        </w:rPr>
        <w:t>的</w:t>
      </w:r>
      <w:r>
        <w:t>机关运行经费财政拨款预算为</w:t>
      </w:r>
      <w:r>
        <w:rPr>
          <w:rFonts w:hint="eastAsia"/>
        </w:rPr>
        <w:t>505.70</w:t>
      </w:r>
      <w:r>
        <w:t>万元，比201</w:t>
      </w:r>
      <w:r>
        <w:rPr>
          <w:rFonts w:hint="eastAsia"/>
        </w:rPr>
        <w:t>8</w:t>
      </w:r>
      <w:r>
        <w:t>年预算</w:t>
      </w:r>
      <w:r>
        <w:rPr>
          <w:rFonts w:hint="eastAsia"/>
        </w:rPr>
        <w:t>减少1.1</w:t>
      </w:r>
      <w:r>
        <w:t>万元，</w:t>
      </w:r>
      <w:r>
        <w:rPr>
          <w:rFonts w:hint="eastAsia"/>
        </w:rPr>
        <w:t>减少0.2</w:t>
      </w:r>
      <w:r>
        <w:t>%。</w:t>
      </w:r>
    </w:p>
    <w:p>
      <w:pPr>
        <w:spacing w:line="600" w:lineRule="exact"/>
        <w:ind w:firstLine="642" w:firstLineChars="200"/>
        <w:rPr>
          <w:rFonts w:eastAsia="楷体_GB2312"/>
          <w:b/>
        </w:rPr>
      </w:pPr>
      <w:r>
        <w:rPr>
          <w:rFonts w:eastAsia="楷体_GB2312"/>
          <w:b/>
        </w:rPr>
        <w:t>（二）国有资产占有使用情况</w:t>
      </w:r>
    </w:p>
    <w:p>
      <w:pPr>
        <w:spacing w:line="600" w:lineRule="exact"/>
        <w:ind w:firstLine="640" w:firstLineChars="200"/>
      </w:pPr>
      <w:r>
        <w:t>截至201</w:t>
      </w:r>
      <w:r>
        <w:rPr>
          <w:rFonts w:hint="eastAsia"/>
        </w:rPr>
        <w:t>8</w:t>
      </w:r>
      <w:r>
        <w:t>年底，</w:t>
      </w:r>
      <w:r>
        <w:rPr>
          <w:rFonts w:hint="eastAsia"/>
        </w:rPr>
        <w:t>市政府办公室及</w:t>
      </w:r>
      <w:r>
        <w:t>所属的非独立核算单位共有车辆</w:t>
      </w:r>
      <w:r>
        <w:rPr>
          <w:rFonts w:hint="eastAsia"/>
        </w:rPr>
        <w:t>16</w:t>
      </w:r>
      <w:r>
        <w:t>辆，其中，执法执勤用车</w:t>
      </w:r>
      <w:r>
        <w:rPr>
          <w:rFonts w:hint="eastAsia"/>
        </w:rPr>
        <w:t>0</w:t>
      </w:r>
      <w:r>
        <w:t>辆。单位价值200万元以上大型设备</w:t>
      </w:r>
      <w:r>
        <w:rPr>
          <w:rFonts w:hint="eastAsia"/>
        </w:rPr>
        <w:t>0</w:t>
      </w:r>
      <w:r>
        <w:t>台。</w:t>
      </w:r>
    </w:p>
    <w:p>
      <w:pPr>
        <w:spacing w:line="600" w:lineRule="exact"/>
        <w:ind w:firstLine="642" w:firstLineChars="200"/>
        <w:rPr>
          <w:rFonts w:eastAsia="楷体_GB2312"/>
          <w:b/>
        </w:rPr>
      </w:pPr>
      <w:r>
        <w:rPr>
          <w:rFonts w:eastAsia="楷体_GB2312"/>
          <w:b/>
        </w:rPr>
        <w:t>（三）绩效目标设置情况</w:t>
      </w:r>
    </w:p>
    <w:p>
      <w:pPr>
        <w:spacing w:line="600" w:lineRule="exact"/>
        <w:ind w:firstLine="640" w:firstLineChars="200"/>
      </w:pPr>
      <w:r>
        <w:t>201</w:t>
      </w:r>
      <w:r>
        <w:rPr>
          <w:rFonts w:hint="eastAsia"/>
        </w:rPr>
        <w:t>9</w:t>
      </w:r>
      <w:r>
        <w:t>年</w:t>
      </w:r>
      <w:r>
        <w:rPr>
          <w:rFonts w:hint="eastAsia"/>
        </w:rPr>
        <w:t>市政府办公室</w:t>
      </w:r>
      <w:r>
        <w:t>通用项目和专用项目均按要求实行绩效目标管理，涉及一般公共预算当年拨款</w:t>
      </w:r>
      <w:r>
        <w:rPr>
          <w:rFonts w:hint="eastAsia"/>
        </w:rPr>
        <w:t>455.12</w:t>
      </w:r>
      <w:r>
        <w:t>万元。</w:t>
      </w:r>
    </w:p>
    <w:p>
      <w:pPr>
        <w:spacing w:line="600" w:lineRule="exact"/>
        <w:ind w:firstLine="640" w:firstLineChars="200"/>
        <w:rPr>
          <w:rFonts w:ascii="仿宋_GB2312"/>
        </w:rPr>
      </w:pPr>
      <w:r>
        <w:rPr>
          <w:rFonts w:eastAsia="黑体"/>
        </w:rPr>
        <w:t>十、名词解释</w:t>
      </w:r>
      <w:r>
        <w:rPr>
          <w:rFonts w:eastAsia="黑体"/>
        </w:rPr>
        <w:br w:type="textWrapping"/>
      </w:r>
      <w:r>
        <w:t>　　</w:t>
      </w:r>
      <w:r>
        <w:rPr>
          <w:rFonts w:hint="eastAsia" w:ascii="仿宋_GB2312"/>
        </w:rPr>
        <w:t>1.一般公共预算拨款收入：指市级财政当年拨付的资金。</w:t>
      </w:r>
    </w:p>
    <w:p>
      <w:pPr>
        <w:spacing w:line="600" w:lineRule="exact"/>
        <w:ind w:firstLine="640" w:firstLineChars="200"/>
      </w:pPr>
      <w:r>
        <w:rPr>
          <w:rFonts w:hint="eastAsia" w:ascii="仿宋_GB2312"/>
        </w:rPr>
        <w:t>2.</w:t>
      </w:r>
      <w:r>
        <w:t>一般公共服务（类）政府办公厅〔室〕及相关机构事务（款）行政运行（项）：</w:t>
      </w:r>
      <w:r>
        <w:rPr>
          <w:rFonts w:hint="eastAsia"/>
        </w:rPr>
        <w:t>反映行政单位（包括实行公务员管理的事业单位）的基本支出</w:t>
      </w:r>
      <w:r>
        <w:t>。</w:t>
      </w:r>
      <w:r>
        <w:br w:type="textWrapping"/>
      </w:r>
      <w:r>
        <w:t>　　</w:t>
      </w:r>
      <w:r>
        <w:rPr>
          <w:rFonts w:hint="eastAsia"/>
        </w:rPr>
        <w:t>3.</w:t>
      </w:r>
      <w:r>
        <w:t>一般公共服务（类）政府办公厅〔室〕及相关机构事务（款）一般行政管理事务（项）：</w:t>
      </w:r>
      <w:r>
        <w:rPr>
          <w:rFonts w:hint="eastAsia"/>
        </w:rPr>
        <w:t>反映行政单位（包括实行公务员管理的事业单位）未单独设置项级科目的其他项目支出</w:t>
      </w:r>
      <w:r>
        <w:t>。</w:t>
      </w:r>
      <w:r>
        <w:br w:type="textWrapping"/>
      </w:r>
      <w:r>
        <w:t>　　</w:t>
      </w:r>
      <w:r>
        <w:rPr>
          <w:rFonts w:hint="eastAsia"/>
        </w:rPr>
        <w:t>4.</w:t>
      </w:r>
      <w:r>
        <w:t>一般公共服务（类）</w:t>
      </w:r>
      <w:r>
        <w:rPr>
          <w:rFonts w:hint="eastAsia"/>
        </w:rPr>
        <w:t>组织</w:t>
      </w:r>
      <w:r>
        <w:t>事务（款）其他</w:t>
      </w:r>
      <w:r>
        <w:rPr>
          <w:rFonts w:hint="eastAsia"/>
        </w:rPr>
        <w:t>组织</w:t>
      </w:r>
      <w:r>
        <w:t>事务支出（项）：</w:t>
      </w:r>
      <w:r>
        <w:rPr>
          <w:rFonts w:hint="eastAsia"/>
        </w:rPr>
        <w:t>反映除上述项目以外其他用于中国共产党组织部门的事务支出</w:t>
      </w:r>
      <w:r>
        <w:t>。</w:t>
      </w:r>
    </w:p>
    <w:p>
      <w:pPr>
        <w:spacing w:line="600" w:lineRule="exact"/>
        <w:ind w:firstLine="640" w:firstLineChars="200"/>
      </w:pPr>
      <w:r>
        <w:rPr>
          <w:rFonts w:hint="eastAsia"/>
        </w:rPr>
        <w:t>5.</w:t>
      </w:r>
      <w:r>
        <w:t>社会保障和就业支出（类）行政</w:t>
      </w:r>
      <w:r>
        <w:rPr>
          <w:rFonts w:hint="eastAsia"/>
        </w:rPr>
        <w:t>事业</w:t>
      </w:r>
      <w:r>
        <w:t>单位离退休（款）未归口管理的行政单位离退休（项）：</w:t>
      </w:r>
      <w:r>
        <w:rPr>
          <w:rFonts w:hint="eastAsia"/>
        </w:rPr>
        <w:t>反映未实行归口管理的行政单位（包括实行公务员管理的事业单位）开支的</w:t>
      </w:r>
      <w:r>
        <w:t>离退休</w:t>
      </w:r>
      <w:r>
        <w:rPr>
          <w:rFonts w:hint="eastAsia"/>
        </w:rPr>
        <w:t>支出</w:t>
      </w:r>
      <w:r>
        <w:t>。</w:t>
      </w:r>
      <w:r>
        <w:br w:type="textWrapping"/>
      </w:r>
      <w:r>
        <w:t>　　</w:t>
      </w:r>
      <w:r>
        <w:rPr>
          <w:rFonts w:hint="eastAsia"/>
        </w:rPr>
        <w:t>6.</w:t>
      </w:r>
      <w:r>
        <w:t>社会保障和就业支出（类）行政</w:t>
      </w:r>
      <w:r>
        <w:rPr>
          <w:rFonts w:hint="eastAsia"/>
        </w:rPr>
        <w:t>事业单位</w:t>
      </w:r>
      <w:r>
        <w:t>离退休（款）机关事业单位基本养老保险缴费支出（项）：</w:t>
      </w:r>
      <w:r>
        <w:rPr>
          <w:rFonts w:hint="eastAsia"/>
        </w:rPr>
        <w:t>反映机关事业单位实施养老保险制度由单位缴纳的基本养老保险费支出</w:t>
      </w:r>
      <w:r>
        <w:t>。</w:t>
      </w:r>
    </w:p>
    <w:p>
      <w:pPr>
        <w:spacing w:line="600" w:lineRule="exact"/>
        <w:ind w:firstLine="640" w:firstLineChars="200"/>
      </w:pPr>
      <w:r>
        <w:rPr>
          <w:rFonts w:hint="eastAsia"/>
        </w:rPr>
        <w:t>7.</w:t>
      </w:r>
      <w:r>
        <w:t>社会保障和就业支出（类）行政</w:t>
      </w:r>
      <w:r>
        <w:rPr>
          <w:rFonts w:hint="eastAsia"/>
        </w:rPr>
        <w:t>事业单位</w:t>
      </w:r>
      <w:r>
        <w:t>离退休（款）机关事业单位</w:t>
      </w:r>
      <w:r>
        <w:rPr>
          <w:rFonts w:hint="eastAsia"/>
        </w:rPr>
        <w:t>职业年金</w:t>
      </w:r>
      <w:r>
        <w:t>缴费支出（项）：</w:t>
      </w:r>
      <w:r>
        <w:rPr>
          <w:rFonts w:hint="eastAsia"/>
        </w:rPr>
        <w:t>反映机关事业单位实施养老保险制度由单位实际缴纳的职业年金支出</w:t>
      </w:r>
      <w:r>
        <w:t>。</w:t>
      </w:r>
      <w:r>
        <w:br w:type="textWrapping"/>
      </w:r>
      <w:r>
        <w:t>　　</w:t>
      </w:r>
      <w:r>
        <w:rPr>
          <w:rFonts w:hint="eastAsia"/>
        </w:rPr>
        <w:t>8.</w:t>
      </w:r>
      <w:r>
        <w:t>住房保障支出（类）住房改革支出（款）住房公积金（项）：</w:t>
      </w:r>
      <w:r>
        <w:rPr>
          <w:rFonts w:hint="eastAsia"/>
        </w:rPr>
        <w:t>反映行政事业单位按人力资源和社会保障部、财政部规定的基本工资和津贴补贴以及规定比例为职</w:t>
      </w:r>
      <w:r>
        <w:t>工缴纳的住房公积金。</w:t>
      </w:r>
    </w:p>
    <w:p>
      <w:pPr>
        <w:spacing w:line="600" w:lineRule="exact"/>
        <w:ind w:firstLine="640" w:firstLineChars="200"/>
        <w:rPr>
          <w:rFonts w:ascii="仿宋_GB2312"/>
        </w:rPr>
      </w:pPr>
      <w:r>
        <w:rPr>
          <w:rFonts w:hint="eastAsia"/>
        </w:rPr>
        <w:t>9</w:t>
      </w:r>
      <w:r>
        <w:rPr>
          <w:rFonts w:hint="eastAsia" w:ascii="仿宋_GB2312"/>
        </w:rPr>
        <w:t>.基本支出：指为保证机构正常运转，完成日常工作任务而发生的人员支出和公用支出。</w:t>
      </w:r>
    </w:p>
    <w:p>
      <w:pPr>
        <w:spacing w:line="600" w:lineRule="exact"/>
        <w:ind w:firstLine="640" w:firstLineChars="200"/>
        <w:rPr>
          <w:rFonts w:ascii="仿宋_GB2312"/>
        </w:rPr>
      </w:pPr>
      <w:r>
        <w:rPr>
          <w:rFonts w:hint="eastAsia" w:ascii="仿宋_GB2312"/>
        </w:rPr>
        <w:t>10.项目支出：指在基本支出之外为完成特定行政任务和事业发展目标所发生的支出。</w:t>
      </w:r>
    </w:p>
    <w:p>
      <w:pPr>
        <w:spacing w:line="600" w:lineRule="exact"/>
        <w:ind w:firstLine="640" w:firstLineChars="200"/>
        <w:rPr>
          <w:rFonts w:ascii="仿宋_GB2312"/>
        </w:rPr>
      </w:pPr>
      <w:r>
        <w:rPr>
          <w:rFonts w:hint="eastAsia" w:ascii="仿宋_GB2312"/>
        </w:rPr>
        <w:t>11.“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ascii="仿宋_GB2312"/>
        </w:rPr>
      </w:pPr>
      <w:r>
        <w:rPr>
          <w:rFonts w:hint="eastAsia" w:ascii="仿宋_GB2312"/>
        </w:rPr>
        <w:t>12.</w:t>
      </w:r>
      <w:r>
        <w:rPr>
          <w:rFonts w:hint="eastAsia" w:ascii="仿宋_GB2312"/>
          <w:lang w:val="en-US" w:eastAsia="zh-CN"/>
        </w:rPr>
        <w:t>机关</w:t>
      </w:r>
      <w:r>
        <w:rPr>
          <w:rFonts w:hint="eastAsia" w:ascii="仿宋_GB2312"/>
        </w:rPr>
        <w:t>运行费：为保障行政单位（包含参照公务员法管理的事业单位）运行用于购买货物和服务的各项资金。包括办公及办公费、水费、电费、印刷费、邮电费、差旅费、会议费等费用开支。</w:t>
      </w:r>
    </w:p>
    <w:p>
      <w:pPr>
        <w:spacing w:line="600" w:lineRule="exact"/>
        <w:ind w:firstLine="640" w:firstLineChars="200"/>
        <w:rPr>
          <w:rFonts w:hint="eastAsia" w:ascii="仿宋_GB2312"/>
        </w:rPr>
      </w:pPr>
    </w:p>
    <w:p>
      <w:pPr>
        <w:spacing w:line="600" w:lineRule="exact"/>
        <w:ind w:firstLine="640" w:firstLineChars="200"/>
        <w:rPr>
          <w:rFonts w:ascii="仿宋_GB2312"/>
        </w:rPr>
      </w:pPr>
    </w:p>
    <w:p>
      <w:pPr>
        <w:spacing w:line="600" w:lineRule="exact"/>
        <w:ind w:firstLine="640" w:firstLineChars="200"/>
        <w:rPr>
          <w:rFonts w:ascii="仿宋_GB2312"/>
        </w:rPr>
      </w:pPr>
      <w:r>
        <w:rPr>
          <w:rFonts w:hint="eastAsia" w:ascii="仿宋_GB2312"/>
        </w:rPr>
        <w:t>附件：表1.部门收支总表</w:t>
      </w:r>
    </w:p>
    <w:p>
      <w:pPr>
        <w:spacing w:line="600" w:lineRule="exact"/>
        <w:rPr>
          <w:rFonts w:ascii="仿宋_GB2312"/>
        </w:rPr>
      </w:pPr>
      <w:r>
        <w:rPr>
          <w:rFonts w:hint="eastAsia" w:ascii="仿宋_GB2312"/>
        </w:rPr>
        <w:t xml:space="preserve">          表1-1.部门收入总表</w:t>
      </w:r>
    </w:p>
    <w:p>
      <w:pPr>
        <w:spacing w:line="600" w:lineRule="exact"/>
        <w:rPr>
          <w:rFonts w:ascii="仿宋_GB2312"/>
        </w:rPr>
      </w:pPr>
      <w:r>
        <w:rPr>
          <w:rFonts w:hint="eastAsia" w:ascii="仿宋_GB2312"/>
        </w:rPr>
        <w:t xml:space="preserve">          表1-2.部门支出总表</w:t>
      </w:r>
    </w:p>
    <w:p>
      <w:pPr>
        <w:spacing w:line="600" w:lineRule="exact"/>
        <w:ind w:firstLine="1600" w:firstLineChars="500"/>
        <w:rPr>
          <w:rFonts w:ascii="仿宋_GB2312"/>
        </w:rPr>
      </w:pPr>
      <w:r>
        <w:rPr>
          <w:rFonts w:hint="eastAsia" w:ascii="仿宋_GB2312"/>
        </w:rPr>
        <w:t>表2.财政拨款收支预算总表</w:t>
      </w:r>
    </w:p>
    <w:p>
      <w:pPr>
        <w:spacing w:line="600" w:lineRule="exact"/>
        <w:ind w:firstLine="1600" w:firstLineChars="500"/>
        <w:rPr>
          <w:rFonts w:ascii="仿宋_GB2312"/>
        </w:rPr>
      </w:pPr>
      <w:r>
        <w:rPr>
          <w:rFonts w:hint="eastAsia" w:ascii="仿宋_GB2312"/>
        </w:rPr>
        <w:t>表2-1.财政拨款支出预算表</w:t>
      </w:r>
    </w:p>
    <w:p>
      <w:pPr>
        <w:spacing w:line="600" w:lineRule="exact"/>
        <w:ind w:firstLine="1600" w:firstLineChars="500"/>
        <w:rPr>
          <w:rFonts w:ascii="仿宋_GB2312"/>
        </w:rPr>
      </w:pPr>
      <w:r>
        <w:rPr>
          <w:rFonts w:hint="eastAsia" w:ascii="仿宋_GB2312"/>
        </w:rPr>
        <w:t>表3.一般公共预算支出预算表</w:t>
      </w:r>
    </w:p>
    <w:p>
      <w:pPr>
        <w:spacing w:line="600" w:lineRule="exact"/>
        <w:ind w:firstLine="1600" w:firstLineChars="500"/>
        <w:rPr>
          <w:rFonts w:ascii="仿宋_GB2312"/>
        </w:rPr>
      </w:pPr>
      <w:r>
        <w:rPr>
          <w:rFonts w:hint="eastAsia" w:ascii="仿宋_GB2312"/>
        </w:rPr>
        <w:t>表3-1.一般公共预算基本支出预算表</w:t>
      </w:r>
    </w:p>
    <w:p>
      <w:pPr>
        <w:spacing w:line="600" w:lineRule="exact"/>
        <w:ind w:firstLine="1600" w:firstLineChars="500"/>
        <w:rPr>
          <w:rFonts w:ascii="仿宋_GB2312"/>
        </w:rPr>
      </w:pPr>
      <w:r>
        <w:rPr>
          <w:rFonts w:hint="eastAsia" w:ascii="仿宋_GB2312"/>
        </w:rPr>
        <w:t>表3-2.一般公共预算项目支出预算表</w:t>
      </w:r>
    </w:p>
    <w:p>
      <w:pPr>
        <w:spacing w:line="600" w:lineRule="exact"/>
        <w:ind w:firstLine="1600" w:firstLineChars="500"/>
        <w:rPr>
          <w:rFonts w:ascii="仿宋_GB2312"/>
        </w:rPr>
      </w:pPr>
      <w:r>
        <w:rPr>
          <w:rFonts w:hint="eastAsia" w:ascii="仿宋_GB2312"/>
        </w:rPr>
        <w:t>表3-3.一般公共预算“三公”经费支出预算表</w:t>
      </w:r>
    </w:p>
    <w:p>
      <w:pPr>
        <w:spacing w:line="600" w:lineRule="exact"/>
        <w:ind w:firstLine="1600" w:firstLineChars="500"/>
        <w:rPr>
          <w:rFonts w:ascii="仿宋_GB2312"/>
        </w:rPr>
      </w:pPr>
      <w:r>
        <w:rPr>
          <w:rFonts w:hint="eastAsia" w:ascii="仿宋_GB2312"/>
        </w:rPr>
        <w:t>表4.政府性基金支出预算表</w:t>
      </w:r>
    </w:p>
    <w:p>
      <w:pPr>
        <w:spacing w:line="600" w:lineRule="exact"/>
        <w:ind w:firstLine="1600" w:firstLineChars="500"/>
        <w:rPr>
          <w:rFonts w:ascii="仿宋_GB2312"/>
        </w:rPr>
      </w:pPr>
      <w:r>
        <w:rPr>
          <w:rFonts w:hint="eastAsia" w:ascii="仿宋_GB2312"/>
        </w:rPr>
        <w:t>表4-1.政府性基金预算“三公”经费支出预算表</w:t>
      </w:r>
    </w:p>
    <w:p>
      <w:pPr>
        <w:spacing w:line="600" w:lineRule="exact"/>
        <w:ind w:firstLine="1600" w:firstLineChars="500"/>
        <w:rPr>
          <w:rFonts w:ascii="仿宋_GB2312"/>
        </w:rPr>
      </w:pPr>
      <w:r>
        <w:rPr>
          <w:rFonts w:hint="eastAsia" w:ascii="仿宋_GB2312"/>
        </w:rPr>
        <w:t>表5.国有资本经营预算支出预算表</w:t>
      </w:r>
    </w:p>
    <w:p>
      <w:pPr>
        <w:spacing w:line="600" w:lineRule="exact"/>
        <w:ind w:firstLine="1600" w:firstLineChars="500"/>
        <w:rPr>
          <w:rFonts w:ascii="仿宋_GB2312"/>
        </w:rPr>
      </w:pPr>
      <w:r>
        <w:rPr>
          <w:rFonts w:hint="eastAsia" w:ascii="仿宋_GB2312"/>
        </w:rPr>
        <w:t>表6.（部门）单位预算项目绩效目标表</w:t>
      </w:r>
    </w:p>
    <w:p>
      <w:pPr>
        <w:spacing w:line="600" w:lineRule="exact"/>
        <w:ind w:firstLine="640" w:firstLineChars="200"/>
        <w:rPr>
          <w:rFonts w:ascii="仿宋_GB2312"/>
        </w:rPr>
      </w:pPr>
    </w:p>
    <w:sectPr>
      <w:footerReference r:id="rId3" w:type="default"/>
      <w:footerReference r:id="rId4" w:type="even"/>
      <w:pgSz w:w="11906" w:h="16838"/>
      <w:pgMar w:top="1734" w:right="1542" w:bottom="1247" w:left="2098" w:header="851" w:footer="992" w:gutter="0"/>
      <w:pgNumType w:start="1"/>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Verdana">
    <w:altName w:val="Ubuntu"/>
    <w:panose1 w:val="020B0604030504040204"/>
    <w:charset w:val="00"/>
    <w:family w:val="swiss"/>
    <w:pitch w:val="default"/>
    <w:sig w:usb0="00000000" w:usb1="00000000" w:usb2="00000010" w:usb3="00000000" w:csb0="2000019F"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Ubuntu">
    <w:panose1 w:val="020B0604030602030204"/>
    <w:charset w:val="00"/>
    <w:family w:val="auto"/>
    <w:pitch w:val="default"/>
    <w:sig w:usb0="E00002FF" w:usb1="5000205B" w:usb2="00000000" w:usb3="00000000" w:csb0="2000009F" w:csb1="56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ind w:firstLine="140" w:firstLineChars="50"/>
      <w:rPr>
        <w:rStyle w:val="7"/>
        <w:rFonts w:ascii="宋体" w:hAnsi="宋体" w:eastAsia="宋体"/>
        <w:sz w:val="28"/>
        <w:szCs w:val="28"/>
      </w:rPr>
    </w:pPr>
    <w:r>
      <w:rPr>
        <w:rStyle w:val="7"/>
        <w:rFonts w:hint="eastAsia" w:ascii="宋体" w:hAnsi="宋体" w:eastAsia="宋体"/>
        <w:sz w:val="28"/>
        <w:szCs w:val="28"/>
      </w:rPr>
      <w:t>—</w:t>
    </w: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13</w:t>
    </w:r>
    <w:r>
      <w:rPr>
        <w:rStyle w:val="7"/>
        <w:rFonts w:ascii="宋体" w:hAnsi="宋体" w:eastAsia="宋体"/>
        <w:sz w:val="28"/>
        <w:szCs w:val="28"/>
      </w:rPr>
      <w:fldChar w:fldCharType="end"/>
    </w:r>
    <w:r>
      <w:rPr>
        <w:rStyle w:val="7"/>
        <w:rFonts w:hint="eastAsia" w:ascii="宋体" w:hAnsi="宋体" w:eastAsia="宋体"/>
        <w:sz w:val="28"/>
        <w:szCs w:val="28"/>
      </w:rPr>
      <w:t>—</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65ED9"/>
    <w:rsid w:val="00011D3F"/>
    <w:rsid w:val="0001367F"/>
    <w:rsid w:val="000540B4"/>
    <w:rsid w:val="00055211"/>
    <w:rsid w:val="00065C0C"/>
    <w:rsid w:val="00067EC6"/>
    <w:rsid w:val="0007352F"/>
    <w:rsid w:val="000822D9"/>
    <w:rsid w:val="00090530"/>
    <w:rsid w:val="000A15FD"/>
    <w:rsid w:val="000A7D74"/>
    <w:rsid w:val="0012785D"/>
    <w:rsid w:val="00134D80"/>
    <w:rsid w:val="00173FA7"/>
    <w:rsid w:val="00193A36"/>
    <w:rsid w:val="001A4FDB"/>
    <w:rsid w:val="001C4702"/>
    <w:rsid w:val="001C69F6"/>
    <w:rsid w:val="001E7A63"/>
    <w:rsid w:val="002013A5"/>
    <w:rsid w:val="00202AF3"/>
    <w:rsid w:val="0022001E"/>
    <w:rsid w:val="0024536C"/>
    <w:rsid w:val="00253949"/>
    <w:rsid w:val="00263E6C"/>
    <w:rsid w:val="00264AD5"/>
    <w:rsid w:val="002746E2"/>
    <w:rsid w:val="002D27D7"/>
    <w:rsid w:val="002F4A23"/>
    <w:rsid w:val="00300F26"/>
    <w:rsid w:val="00306BFF"/>
    <w:rsid w:val="00311C0B"/>
    <w:rsid w:val="00315BA1"/>
    <w:rsid w:val="00317CA7"/>
    <w:rsid w:val="0033001B"/>
    <w:rsid w:val="00331E04"/>
    <w:rsid w:val="00334B0D"/>
    <w:rsid w:val="00342868"/>
    <w:rsid w:val="0034494B"/>
    <w:rsid w:val="003728DB"/>
    <w:rsid w:val="003847F4"/>
    <w:rsid w:val="0039324B"/>
    <w:rsid w:val="003B19F5"/>
    <w:rsid w:val="003D7A07"/>
    <w:rsid w:val="003E53CA"/>
    <w:rsid w:val="004011FC"/>
    <w:rsid w:val="00406D25"/>
    <w:rsid w:val="0041252F"/>
    <w:rsid w:val="00443632"/>
    <w:rsid w:val="0047669F"/>
    <w:rsid w:val="004B550B"/>
    <w:rsid w:val="0050210E"/>
    <w:rsid w:val="00503199"/>
    <w:rsid w:val="0051447D"/>
    <w:rsid w:val="00521E35"/>
    <w:rsid w:val="00536817"/>
    <w:rsid w:val="00536BFD"/>
    <w:rsid w:val="0054787C"/>
    <w:rsid w:val="00560F41"/>
    <w:rsid w:val="005740FF"/>
    <w:rsid w:val="00586CB7"/>
    <w:rsid w:val="005972E9"/>
    <w:rsid w:val="005D75E6"/>
    <w:rsid w:val="005E76AD"/>
    <w:rsid w:val="00650604"/>
    <w:rsid w:val="006771A0"/>
    <w:rsid w:val="0069356C"/>
    <w:rsid w:val="006B74CD"/>
    <w:rsid w:val="006D0D7B"/>
    <w:rsid w:val="006D7C40"/>
    <w:rsid w:val="007132AB"/>
    <w:rsid w:val="00784646"/>
    <w:rsid w:val="007E50D5"/>
    <w:rsid w:val="007F26D2"/>
    <w:rsid w:val="00800E26"/>
    <w:rsid w:val="00836B76"/>
    <w:rsid w:val="00843735"/>
    <w:rsid w:val="008463CB"/>
    <w:rsid w:val="008601AF"/>
    <w:rsid w:val="00865ED9"/>
    <w:rsid w:val="00887145"/>
    <w:rsid w:val="00897A3F"/>
    <w:rsid w:val="008E0C86"/>
    <w:rsid w:val="008E6A26"/>
    <w:rsid w:val="00903705"/>
    <w:rsid w:val="00905011"/>
    <w:rsid w:val="009168D5"/>
    <w:rsid w:val="00935D63"/>
    <w:rsid w:val="00944237"/>
    <w:rsid w:val="00955AEF"/>
    <w:rsid w:val="00965D90"/>
    <w:rsid w:val="00972A15"/>
    <w:rsid w:val="0098160B"/>
    <w:rsid w:val="00981ED3"/>
    <w:rsid w:val="009B53CD"/>
    <w:rsid w:val="009B5EA7"/>
    <w:rsid w:val="009D4504"/>
    <w:rsid w:val="009E5224"/>
    <w:rsid w:val="009F4671"/>
    <w:rsid w:val="00A053E4"/>
    <w:rsid w:val="00A175AA"/>
    <w:rsid w:val="00A24888"/>
    <w:rsid w:val="00A37539"/>
    <w:rsid w:val="00A50EFA"/>
    <w:rsid w:val="00A65F02"/>
    <w:rsid w:val="00A91FAC"/>
    <w:rsid w:val="00A97E45"/>
    <w:rsid w:val="00AE5C6D"/>
    <w:rsid w:val="00B24FC3"/>
    <w:rsid w:val="00BF4355"/>
    <w:rsid w:val="00C046F6"/>
    <w:rsid w:val="00C0489D"/>
    <w:rsid w:val="00C11FCA"/>
    <w:rsid w:val="00C12B0D"/>
    <w:rsid w:val="00C451C8"/>
    <w:rsid w:val="00C4565D"/>
    <w:rsid w:val="00C50F64"/>
    <w:rsid w:val="00C901DF"/>
    <w:rsid w:val="00C941AB"/>
    <w:rsid w:val="00CA1B62"/>
    <w:rsid w:val="00CB4D1B"/>
    <w:rsid w:val="00CD7BFE"/>
    <w:rsid w:val="00D079AC"/>
    <w:rsid w:val="00D3676F"/>
    <w:rsid w:val="00D47792"/>
    <w:rsid w:val="00D72637"/>
    <w:rsid w:val="00D80E67"/>
    <w:rsid w:val="00DA73D0"/>
    <w:rsid w:val="00DD5CD3"/>
    <w:rsid w:val="00DE2311"/>
    <w:rsid w:val="00E5232A"/>
    <w:rsid w:val="00EA5E6C"/>
    <w:rsid w:val="00EB3D4E"/>
    <w:rsid w:val="00EB6C1A"/>
    <w:rsid w:val="00F00F10"/>
    <w:rsid w:val="00F034B5"/>
    <w:rsid w:val="00F179A9"/>
    <w:rsid w:val="00F81D57"/>
    <w:rsid w:val="00F83A26"/>
    <w:rsid w:val="00FB7DBD"/>
    <w:rsid w:val="00FC142D"/>
    <w:rsid w:val="00FC260A"/>
    <w:rsid w:val="00FF19F2"/>
    <w:rsid w:val="24B240B1"/>
    <w:rsid w:val="EF736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Lines="30"/>
    </w:pPr>
    <w:rPr>
      <w:rFonts w:ascii="仿宋_GB2312"/>
      <w:sz w:val="3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styleId="8">
    <w:name w:val="Emphasis"/>
    <w:basedOn w:val="6"/>
    <w:qFormat/>
    <w:uiPriority w:val="0"/>
  </w:style>
  <w:style w:type="paragraph" w:customStyle="1" w:styleId="9">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kern w:val="0"/>
      <w:sz w:val="24"/>
      <w:szCs w:val="20"/>
      <w:lang w:eastAsia="en-US"/>
    </w:rPr>
  </w:style>
  <w:style w:type="paragraph" w:customStyle="1" w:styleId="10">
    <w:name w:val="Char"/>
    <w:basedOn w:val="1"/>
    <w:qFormat/>
    <w:uiPriority w:val="0"/>
    <w:pPr>
      <w:spacing w:line="240" w:lineRule="atLeast"/>
      <w:ind w:left="420" w:firstLine="420"/>
    </w:pPr>
    <w:rPr>
      <w:rFonts w:eastAsia="宋体"/>
      <w:kern w:val="0"/>
      <w:sz w:val="21"/>
      <w:szCs w:val="21"/>
    </w:rPr>
  </w:style>
  <w:style w:type="character" w:customStyle="1" w:styleId="11">
    <w:name w:val="apple-style-span"/>
    <w:basedOn w:val="6"/>
    <w:qFormat/>
    <w:uiPriority w:val="0"/>
    <w:rPr>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929</Words>
  <Characters>5299</Characters>
  <Lines>44</Lines>
  <Paragraphs>12</Paragraphs>
  <TotalTime>3</TotalTime>
  <ScaleCrop>false</ScaleCrop>
  <LinksUpToDate>false</LinksUpToDate>
  <CharactersWithSpaces>6216</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2021-06-10T09:43:00Z</dcterms:created>
  <dc:creator>王顺玉</dc:creator>
  <cp:lastModifiedBy>user</cp:lastModifiedBy>
  <cp:lastPrinted>2018-02-23T17:25:00Z</cp:lastPrinted>
  <dcterms:modified xsi:type="dcterms:W3CDTF">2024-08-28T16:46:50Z</dcterms:modified>
  <dc:title>攀枝花市人民政府办公室</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BCE9041D84A444E8AF355BF2F8856102</vt:lpwstr>
  </property>
</Properties>
</file>