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FF2" w:rsidRDefault="00EB6FF2">
      <w:pPr>
        <w:spacing w:line="600" w:lineRule="exact"/>
        <w:jc w:val="center"/>
        <w:outlineLvl w:val="0"/>
        <w:rPr>
          <w:rFonts w:eastAsia="方正小标宋简体"/>
          <w:sz w:val="72"/>
          <w:szCs w:val="72"/>
        </w:rPr>
      </w:pPr>
      <w:bookmarkStart w:id="0" w:name="_Toc15377425"/>
      <w:bookmarkStart w:id="1" w:name="_Toc15396475"/>
      <w:bookmarkStart w:id="2" w:name="_Toc15378441"/>
      <w:bookmarkStart w:id="3" w:name="_Toc15396597"/>
      <w:bookmarkStart w:id="4" w:name="_Toc15377193"/>
      <w:bookmarkStart w:id="5" w:name="_Toc15306267"/>
    </w:p>
    <w:p w:rsidR="00EB6FF2" w:rsidRDefault="00EB6FF2">
      <w:pPr>
        <w:spacing w:line="600" w:lineRule="exact"/>
        <w:jc w:val="center"/>
        <w:outlineLvl w:val="0"/>
        <w:rPr>
          <w:rFonts w:eastAsia="方正小标宋简体"/>
          <w:sz w:val="72"/>
          <w:szCs w:val="72"/>
        </w:rPr>
      </w:pPr>
    </w:p>
    <w:p w:rsidR="00EB6FF2" w:rsidRDefault="00EB6FF2">
      <w:pPr>
        <w:spacing w:line="600" w:lineRule="exact"/>
        <w:jc w:val="center"/>
        <w:outlineLvl w:val="0"/>
        <w:rPr>
          <w:rFonts w:eastAsia="方正小标宋简体"/>
          <w:sz w:val="72"/>
          <w:szCs w:val="72"/>
        </w:rPr>
      </w:pPr>
    </w:p>
    <w:p w:rsidR="00EB6FF2" w:rsidRDefault="0011043E">
      <w:pPr>
        <w:adjustRightInd w:val="0"/>
        <w:snapToGrid w:val="0"/>
        <w:spacing w:line="360" w:lineRule="auto"/>
        <w:jc w:val="center"/>
        <w:outlineLvl w:val="0"/>
        <w:rPr>
          <w:rFonts w:eastAsia="方正小标宋简体"/>
          <w:sz w:val="72"/>
          <w:szCs w:val="72"/>
        </w:rPr>
      </w:pPr>
      <w:r>
        <w:rPr>
          <w:rFonts w:eastAsia="方正小标宋简体"/>
          <w:sz w:val="72"/>
          <w:szCs w:val="72"/>
        </w:rPr>
        <w:t>2023</w:t>
      </w:r>
      <w:r>
        <w:rPr>
          <w:rFonts w:eastAsia="方正小标宋简体"/>
          <w:sz w:val="72"/>
          <w:szCs w:val="72"/>
        </w:rPr>
        <w:t>年度</w:t>
      </w:r>
      <w:bookmarkEnd w:id="0"/>
      <w:bookmarkEnd w:id="1"/>
      <w:bookmarkEnd w:id="2"/>
      <w:bookmarkEnd w:id="3"/>
      <w:bookmarkEnd w:id="4"/>
    </w:p>
    <w:p w:rsidR="00EB6FF2" w:rsidRDefault="0011043E">
      <w:pPr>
        <w:adjustRightInd w:val="0"/>
        <w:snapToGrid w:val="0"/>
        <w:spacing w:line="360" w:lineRule="auto"/>
        <w:jc w:val="center"/>
        <w:outlineLvl w:val="0"/>
        <w:rPr>
          <w:rFonts w:eastAsia="方正小标宋简体"/>
          <w:sz w:val="72"/>
          <w:szCs w:val="72"/>
        </w:rPr>
      </w:pPr>
      <w:bookmarkStart w:id="6" w:name="_Toc15377426"/>
      <w:bookmarkStart w:id="7" w:name="_Toc15306268"/>
      <w:bookmarkStart w:id="8" w:name="_Toc15378442"/>
      <w:bookmarkStart w:id="9" w:name="_Toc15396598"/>
      <w:bookmarkStart w:id="10" w:name="_Toc15396476"/>
      <w:bookmarkStart w:id="11" w:name="_Toc15377194"/>
      <w:bookmarkEnd w:id="5"/>
      <w:r>
        <w:rPr>
          <w:rFonts w:eastAsia="方正小标宋简体"/>
          <w:sz w:val="72"/>
          <w:szCs w:val="72"/>
        </w:rPr>
        <w:t>攀枝花市财政局部门决算</w:t>
      </w:r>
      <w:bookmarkEnd w:id="6"/>
      <w:bookmarkEnd w:id="7"/>
      <w:bookmarkEnd w:id="8"/>
      <w:bookmarkEnd w:id="9"/>
      <w:bookmarkEnd w:id="10"/>
      <w:bookmarkEnd w:id="11"/>
    </w:p>
    <w:p w:rsidR="00EB6FF2" w:rsidRDefault="0011043E">
      <w:pPr>
        <w:widowControl/>
        <w:jc w:val="center"/>
        <w:rPr>
          <w:rFonts w:ascii="方正小标宋_GBK" w:eastAsia="方正小标宋_GBK"/>
          <w:sz w:val="48"/>
          <w:szCs w:val="48"/>
        </w:rPr>
      </w:pPr>
      <w:r>
        <w:rPr>
          <w:rFonts w:eastAsia="方正小标宋简体"/>
          <w:noProof/>
          <w:sz w:val="36"/>
          <w:szCs w:val="36"/>
        </w:rPr>
        <mc:AlternateContent>
          <mc:Choice Requires="wps">
            <w:drawing>
              <wp:anchor distT="0" distB="0" distL="114300" distR="114300" simplePos="0" relativeHeight="251659264" behindDoc="0" locked="0" layoutInCell="1" allowOverlap="1">
                <wp:simplePos x="0" y="0"/>
                <wp:positionH relativeFrom="column">
                  <wp:posOffset>2096770</wp:posOffset>
                </wp:positionH>
                <wp:positionV relativeFrom="paragraph">
                  <wp:posOffset>4884420</wp:posOffset>
                </wp:positionV>
                <wp:extent cx="1257300" cy="495300"/>
                <wp:effectExtent l="0" t="0" r="0" b="0"/>
                <wp:wrapNone/>
                <wp:docPr id="8" name="矩形 8"/>
                <wp:cNvGraphicFramePr/>
                <a:graphic xmlns:a="http://schemas.openxmlformats.org/drawingml/2006/main">
                  <a:graphicData uri="http://schemas.microsoft.com/office/word/2010/wordprocessingShape">
                    <wps:wsp>
                      <wps:cNvSpPr/>
                      <wps:spPr>
                        <a:xfrm>
                          <a:off x="0" y="0"/>
                          <a:ext cx="1257300" cy="4953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422E19F" id="矩形 8" o:spid="_x0000_s1026" style="position:absolute;left:0;text-align:left;margin-left:165.1pt;margin-top:384.6pt;width:99pt;height:3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" fillcolor="white [3201]" stroked="f" strokeweight="2pt"/>
            </w:pict>
          </mc:Fallback>
        </mc:AlternateContent>
      </w:r>
      <w:r>
        <w:rPr>
          <w:rFonts w:eastAsia="方正小标宋简体"/>
          <w:sz w:val="36"/>
          <w:szCs w:val="36"/>
        </w:rPr>
        <w:br w:type="page"/>
      </w:r>
      <w:r>
        <w:rPr>
          <w:rFonts w:ascii="方正小标宋_GBK" w:eastAsia="方正小标宋_GBK" w:hint="eastAsia"/>
          <w:sz w:val="48"/>
          <w:szCs w:val="48"/>
        </w:rPr>
        <w:lastRenderedPageBreak/>
        <w:t>目</w:t>
      </w:r>
      <w:r>
        <w:rPr>
          <w:rFonts w:ascii="方正小标宋_GBK" w:eastAsia="方正小标宋_GBK" w:hint="eastAsia"/>
          <w:sz w:val="48"/>
          <w:szCs w:val="48"/>
        </w:rPr>
        <w:t xml:space="preserve"> </w:t>
      </w:r>
      <w:r>
        <w:rPr>
          <w:rFonts w:ascii="方正小标宋_GBK" w:eastAsia="方正小标宋_GBK" w:hint="eastAsia"/>
          <w:sz w:val="48"/>
          <w:szCs w:val="48"/>
        </w:rPr>
        <w:t>录</w:t>
      </w:r>
    </w:p>
    <w:p w:rsidR="00EB6FF2" w:rsidRDefault="0011043E">
      <w:pPr>
        <w:pStyle w:val="11"/>
        <w:rPr>
          <w:rFonts w:ascii="Times New Roman" w:hAnsi="Times New Roman"/>
        </w:rPr>
      </w:pPr>
      <w:r>
        <w:rPr>
          <w:rFonts w:ascii="Times New Roman" w:hAnsi="Times New Roman"/>
        </w:rPr>
        <w:t>公开时间：</w:t>
      </w:r>
      <w:r>
        <w:rPr>
          <w:rFonts w:ascii="Times New Roman" w:hAnsi="Times New Roman"/>
        </w:rPr>
        <w:t>2024</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lang w:val="en"/>
        </w:rPr>
        <w:t>19</w:t>
      </w:r>
      <w:r>
        <w:rPr>
          <w:rFonts w:ascii="Times New Roman" w:hAnsi="Times New Roman"/>
        </w:rPr>
        <w:t>日</w:t>
      </w:r>
    </w:p>
    <w:p w:rsidR="00EB6FF2" w:rsidRDefault="00EB6FF2"/>
    <w:p w:rsidR="00EB6FF2" w:rsidRDefault="0011043E">
      <w:pPr>
        <w:pStyle w:val="11"/>
        <w:adjustRightInd w:val="0"/>
        <w:snapToGrid w:val="0"/>
        <w:spacing w:before="0" w:line="500" w:lineRule="exact"/>
        <w:jc w:val="left"/>
        <w:rPr>
          <w:rFonts w:ascii="Times New Roman" w:eastAsia="仿宋_GB2312" w:hAnsi="Times New Roman"/>
        </w:rPr>
      </w:pPr>
      <w:bookmarkStart w:id="12" w:name="_Toc15396599"/>
      <w:bookmarkStart w:id="13" w:name="_Toc15377196"/>
      <w:r>
        <w:rPr>
          <w:rFonts w:ascii="Times New Roman" w:eastAsia="仿宋_GB2312" w:hAnsi="Times New Roman"/>
        </w:rPr>
        <w:t>第一部分</w:t>
      </w:r>
      <w:r>
        <w:rPr>
          <w:rFonts w:ascii="Times New Roman" w:eastAsia="仿宋_GB2312" w:hAnsi="Times New Roman"/>
        </w:rPr>
        <w:t xml:space="preserve"> </w:t>
      </w:r>
      <w:r>
        <w:rPr>
          <w:rFonts w:ascii="Times New Roman" w:eastAsia="仿宋_GB2312" w:hAnsi="Times New Roman"/>
        </w:rPr>
        <w:t>部门概况</w:t>
      </w:r>
      <w:r>
        <w:rPr>
          <w:rFonts w:ascii="Times New Roman" w:eastAsia="仿宋_GB2312" w:hAnsi="Times New Roman"/>
        </w:rPr>
        <w:tab/>
        <w:t>1</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一、部门职责</w:t>
      </w:r>
      <w:r>
        <w:rPr>
          <w:rFonts w:eastAsia="仿宋_GB2312"/>
          <w:sz w:val="28"/>
          <w:szCs w:val="28"/>
        </w:rPr>
        <w:tab/>
        <w:t>1</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二、机构设置</w:t>
      </w:r>
      <w:r>
        <w:rPr>
          <w:rFonts w:eastAsia="仿宋_GB2312"/>
          <w:sz w:val="28"/>
          <w:szCs w:val="28"/>
        </w:rPr>
        <w:tab/>
        <w:t>3</w:t>
      </w:r>
    </w:p>
    <w:p w:rsidR="00EB6FF2" w:rsidRDefault="0011043E">
      <w:pPr>
        <w:pStyle w:val="11"/>
        <w:adjustRightInd w:val="0"/>
        <w:snapToGrid w:val="0"/>
        <w:spacing w:before="0" w:line="500" w:lineRule="exact"/>
        <w:jc w:val="left"/>
        <w:rPr>
          <w:rFonts w:ascii="Times New Roman" w:eastAsia="仿宋_GB2312" w:hAnsi="Times New Roman"/>
        </w:rPr>
      </w:pPr>
      <w:r>
        <w:rPr>
          <w:rFonts w:ascii="Times New Roman" w:eastAsia="仿宋_GB2312" w:hAnsi="Times New Roman"/>
        </w:rPr>
        <w:t>第二部分</w:t>
      </w:r>
      <w:r>
        <w:rPr>
          <w:rFonts w:ascii="Times New Roman" w:eastAsia="仿宋_GB2312" w:hAnsi="Times New Roman"/>
        </w:rPr>
        <w:t xml:space="preserve"> 2023</w:t>
      </w:r>
      <w:r>
        <w:rPr>
          <w:rFonts w:ascii="Times New Roman" w:eastAsia="仿宋_GB2312" w:hAnsi="Times New Roman"/>
        </w:rPr>
        <w:t>年度部门决算情况说明</w:t>
      </w:r>
      <w:r>
        <w:rPr>
          <w:rFonts w:ascii="Times New Roman" w:eastAsia="仿宋_GB2312" w:hAnsi="Times New Roman"/>
        </w:rPr>
        <w:tab/>
        <w:t>4</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一、收入支出决算总体情况说明</w:t>
      </w:r>
      <w:r>
        <w:rPr>
          <w:rFonts w:eastAsia="仿宋_GB2312"/>
          <w:sz w:val="28"/>
          <w:szCs w:val="28"/>
        </w:rPr>
        <w:tab/>
        <w:t>4</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二、收入决算情况说明</w:t>
      </w:r>
      <w:r>
        <w:rPr>
          <w:rFonts w:eastAsia="仿宋_GB2312"/>
          <w:sz w:val="28"/>
          <w:szCs w:val="28"/>
        </w:rPr>
        <w:tab/>
        <w:t>4</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三、支出决算情况说明</w:t>
      </w:r>
      <w:r>
        <w:rPr>
          <w:rFonts w:eastAsia="仿宋_GB2312"/>
          <w:sz w:val="28"/>
          <w:szCs w:val="28"/>
        </w:rPr>
        <w:tab/>
        <w:t>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四、财政拨款收入支出决算总体情况说明</w:t>
      </w:r>
      <w:r>
        <w:rPr>
          <w:rFonts w:eastAsia="仿宋_GB2312"/>
          <w:sz w:val="28"/>
          <w:szCs w:val="28"/>
        </w:rPr>
        <w:tab/>
        <w:t>6</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五、一般公共预算财政拨款支出决算情况说明</w:t>
      </w:r>
      <w:r>
        <w:rPr>
          <w:rFonts w:eastAsia="仿宋_GB2312"/>
          <w:sz w:val="28"/>
          <w:szCs w:val="28"/>
        </w:rPr>
        <w:tab/>
        <w:t>6</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六、一般公共预算财政拨款基本支出决算情况说明</w:t>
      </w:r>
      <w:r>
        <w:rPr>
          <w:rFonts w:eastAsia="仿宋_GB2312"/>
          <w:sz w:val="28"/>
          <w:szCs w:val="28"/>
        </w:rPr>
        <w:tab/>
        <w:t>11</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七、财政拨款</w:t>
      </w:r>
      <w:r>
        <w:rPr>
          <w:rFonts w:eastAsia="仿宋_GB2312"/>
          <w:sz w:val="28"/>
          <w:szCs w:val="28"/>
        </w:rPr>
        <w:t>“</w:t>
      </w:r>
      <w:r>
        <w:rPr>
          <w:rFonts w:eastAsia="仿宋_GB2312"/>
          <w:sz w:val="28"/>
          <w:szCs w:val="28"/>
        </w:rPr>
        <w:t>三公</w:t>
      </w:r>
      <w:r>
        <w:rPr>
          <w:rFonts w:eastAsia="仿宋_GB2312"/>
          <w:sz w:val="28"/>
          <w:szCs w:val="28"/>
        </w:rPr>
        <w:t>”</w:t>
      </w:r>
      <w:r>
        <w:rPr>
          <w:rFonts w:eastAsia="仿宋_GB2312"/>
          <w:sz w:val="28"/>
          <w:szCs w:val="28"/>
        </w:rPr>
        <w:t>经费支出决算情况说明</w:t>
      </w:r>
      <w:r>
        <w:rPr>
          <w:rFonts w:eastAsia="仿宋_GB2312"/>
          <w:sz w:val="28"/>
          <w:szCs w:val="28"/>
        </w:rPr>
        <w:tab/>
        <w:t>11</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八、政府性基金预算支出决算情况说明</w:t>
      </w:r>
      <w:r>
        <w:rPr>
          <w:rFonts w:eastAsia="仿宋_GB2312"/>
          <w:sz w:val="28"/>
          <w:szCs w:val="28"/>
        </w:rPr>
        <w:tab/>
        <w:t>14</w:t>
      </w:r>
    </w:p>
    <w:p w:rsidR="00EB6FF2" w:rsidRDefault="0011043E">
      <w:pPr>
        <w:pStyle w:val="21"/>
        <w:adjustRightInd w:val="0"/>
        <w:snapToGrid w:val="0"/>
        <w:spacing w:line="500" w:lineRule="exact"/>
        <w:ind w:leftChars="0"/>
        <w:jc w:val="left"/>
        <w:rPr>
          <w:rFonts w:eastAsia="仿宋_GB2312"/>
          <w:sz w:val="28"/>
          <w:szCs w:val="28"/>
        </w:rPr>
      </w:pPr>
      <w:r>
        <w:rPr>
          <w:rFonts w:eastAsia="仿宋_GB2312"/>
          <w:sz w:val="28"/>
          <w:szCs w:val="28"/>
        </w:rPr>
        <w:t>九、国有资本经营预算支出决算情况说明</w:t>
      </w:r>
      <w:r>
        <w:rPr>
          <w:rFonts w:eastAsia="仿宋_GB2312"/>
          <w:sz w:val="28"/>
          <w:szCs w:val="28"/>
        </w:rPr>
        <w:tab/>
        <w:t>14</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十、其他重要事项的情况说明</w:t>
      </w:r>
      <w:r>
        <w:rPr>
          <w:rFonts w:eastAsia="仿宋_GB2312"/>
          <w:sz w:val="28"/>
          <w:szCs w:val="28"/>
        </w:rPr>
        <w:tab/>
        <w:t>14</w:t>
      </w:r>
    </w:p>
    <w:p w:rsidR="00EB6FF2" w:rsidRDefault="0011043E">
      <w:pPr>
        <w:pStyle w:val="11"/>
        <w:adjustRightInd w:val="0"/>
        <w:snapToGrid w:val="0"/>
        <w:spacing w:before="0" w:line="500" w:lineRule="exact"/>
        <w:jc w:val="left"/>
        <w:rPr>
          <w:rFonts w:ascii="Times New Roman" w:eastAsia="仿宋_GB2312" w:hAnsi="Times New Roman"/>
        </w:rPr>
      </w:pPr>
      <w:r>
        <w:rPr>
          <w:rFonts w:ascii="Times New Roman" w:eastAsia="仿宋_GB2312" w:hAnsi="Times New Roman"/>
        </w:rPr>
        <w:t>第三部分</w:t>
      </w:r>
      <w:r>
        <w:rPr>
          <w:rFonts w:ascii="Times New Roman" w:eastAsia="仿宋_GB2312" w:hAnsi="Times New Roman"/>
        </w:rPr>
        <w:t xml:space="preserve"> </w:t>
      </w:r>
      <w:r>
        <w:rPr>
          <w:rFonts w:ascii="Times New Roman" w:eastAsia="仿宋_GB2312" w:hAnsi="Times New Roman"/>
        </w:rPr>
        <w:t>名词解释</w:t>
      </w:r>
      <w:r>
        <w:rPr>
          <w:rFonts w:ascii="Times New Roman" w:eastAsia="仿宋_GB2312" w:hAnsi="Times New Roman"/>
        </w:rPr>
        <w:tab/>
        <w:t>16</w:t>
      </w:r>
    </w:p>
    <w:p w:rsidR="00EB6FF2" w:rsidRDefault="0011043E">
      <w:pPr>
        <w:pStyle w:val="11"/>
        <w:adjustRightInd w:val="0"/>
        <w:snapToGrid w:val="0"/>
        <w:spacing w:before="0" w:line="500" w:lineRule="exact"/>
        <w:jc w:val="left"/>
        <w:rPr>
          <w:rFonts w:ascii="Times New Roman" w:eastAsia="仿宋_GB2312" w:hAnsi="Times New Roman"/>
        </w:rPr>
      </w:pPr>
      <w:r>
        <w:rPr>
          <w:rFonts w:ascii="Times New Roman" w:eastAsia="仿宋_GB2312" w:hAnsi="Times New Roman"/>
        </w:rPr>
        <w:t>第四部分</w:t>
      </w:r>
      <w:r>
        <w:rPr>
          <w:rFonts w:ascii="Times New Roman" w:eastAsia="仿宋_GB2312" w:hAnsi="Times New Roman"/>
        </w:rPr>
        <w:t xml:space="preserve"> </w:t>
      </w:r>
      <w:r>
        <w:rPr>
          <w:rFonts w:ascii="Times New Roman" w:eastAsia="仿宋_GB2312" w:hAnsi="Times New Roman"/>
        </w:rPr>
        <w:t>附件</w:t>
      </w:r>
      <w:r>
        <w:rPr>
          <w:rFonts w:ascii="Times New Roman" w:eastAsia="仿宋_GB2312" w:hAnsi="Times New Roman"/>
        </w:rPr>
        <w:tab/>
        <w:t>20</w:t>
      </w:r>
    </w:p>
    <w:p w:rsidR="00EB6FF2" w:rsidRDefault="0011043E">
      <w:pPr>
        <w:pStyle w:val="11"/>
        <w:adjustRightInd w:val="0"/>
        <w:snapToGrid w:val="0"/>
        <w:spacing w:before="0" w:line="500" w:lineRule="exact"/>
        <w:jc w:val="left"/>
        <w:rPr>
          <w:rFonts w:ascii="Times New Roman" w:eastAsia="仿宋_GB2312" w:hAnsi="Times New Roman"/>
        </w:rPr>
      </w:pPr>
      <w:r>
        <w:rPr>
          <w:rFonts w:ascii="Times New Roman" w:eastAsia="仿宋_GB2312" w:hAnsi="Times New Roman"/>
        </w:rPr>
        <w:t>第五部分</w:t>
      </w:r>
      <w:r>
        <w:rPr>
          <w:rFonts w:ascii="Times New Roman" w:eastAsia="仿宋_GB2312" w:hAnsi="Times New Roman"/>
        </w:rPr>
        <w:t xml:space="preserve"> </w:t>
      </w:r>
      <w:r>
        <w:rPr>
          <w:rFonts w:ascii="Times New Roman" w:eastAsia="仿宋_GB2312" w:hAnsi="Times New Roman"/>
        </w:rPr>
        <w:t>附表</w:t>
      </w:r>
      <w:r>
        <w:rPr>
          <w:rFonts w:ascii="Times New Roman" w:eastAsia="仿宋_GB2312" w:hAnsi="Times New Roman"/>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一、收入支出决算总表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二、收入决算表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三、支出决算表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noProof/>
          <w:sz w:val="28"/>
          <w:szCs w:val="28"/>
        </w:rPr>
        <mc:AlternateContent>
          <mc:Choice Requires="wps">
            <w:drawing>
              <wp:anchor distT="0" distB="0" distL="114300" distR="114300" simplePos="0" relativeHeight="251658240" behindDoc="0" locked="0" layoutInCell="1" allowOverlap="1">
                <wp:simplePos x="0" y="0"/>
                <wp:positionH relativeFrom="column">
                  <wp:posOffset>2001520</wp:posOffset>
                </wp:positionH>
                <wp:positionV relativeFrom="paragraph">
                  <wp:posOffset>633095</wp:posOffset>
                </wp:positionV>
                <wp:extent cx="1257300" cy="495300"/>
                <wp:effectExtent l="0" t="0" r="0" b="0"/>
                <wp:wrapNone/>
                <wp:docPr id="10" name="矩形 10"/>
                <wp:cNvGraphicFramePr/>
                <a:graphic xmlns:a="http://schemas.openxmlformats.org/drawingml/2006/main">
                  <a:graphicData uri="http://schemas.microsoft.com/office/word/2010/wordprocessingShape">
                    <wps:wsp>
                      <wps:cNvSpPr/>
                      <wps:spPr>
                        <a:xfrm>
                          <a:off x="0" y="0"/>
                          <a:ext cx="1257300" cy="4953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677FF52" id="矩形 10" o:spid="_x0000_s1026" style="position:absolute;left:0;text-align:left;margin-left:157.6pt;margin-top:49.85pt;width:99pt;height:39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" fillcolor="white [3201]" stroked="f" strokeweight="2pt"/>
            </w:pict>
          </mc:Fallback>
        </mc:AlternateContent>
      </w:r>
      <w:r>
        <w:rPr>
          <w:rFonts w:eastAsia="仿宋_GB2312"/>
          <w:sz w:val="28"/>
          <w:szCs w:val="28"/>
        </w:rPr>
        <w:t>四、财政拨款收入支出决算总表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lastRenderedPageBreak/>
        <w:t>五、财政拨款支出决算明细表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六、一般公共预算财政拨款支出决算表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七、一般公共预算财政拨款支出决算明细表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八、一般公共预算财政拨款基本支出决算明细表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九、一般公共预算财政拨款项目支出决算表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十、政府性基金预算财政拨款收入支出决算表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十一、国有资本经营预算财政拨款收入支出决算表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十二、国有资本经营预算财政拨款支出决算表</w:t>
      </w:r>
      <w:r>
        <w:rPr>
          <w:rFonts w:eastAsia="仿宋_GB2312"/>
          <w:sz w:val="28"/>
          <w:szCs w:val="28"/>
        </w:rPr>
        <w:tab/>
        <w:t>45</w:t>
      </w:r>
    </w:p>
    <w:p w:rsidR="00EB6FF2" w:rsidRDefault="0011043E">
      <w:pPr>
        <w:pStyle w:val="21"/>
        <w:adjustRightInd w:val="0"/>
        <w:snapToGrid w:val="0"/>
        <w:spacing w:line="500" w:lineRule="exact"/>
        <w:jc w:val="left"/>
        <w:rPr>
          <w:rFonts w:eastAsia="仿宋_GB2312"/>
          <w:sz w:val="28"/>
          <w:szCs w:val="28"/>
        </w:rPr>
      </w:pPr>
      <w:r>
        <w:rPr>
          <w:rFonts w:eastAsia="仿宋_GB2312"/>
          <w:sz w:val="28"/>
          <w:szCs w:val="28"/>
        </w:rPr>
        <w:t>十三、财政拨款</w:t>
      </w:r>
      <w:r>
        <w:rPr>
          <w:rFonts w:eastAsia="仿宋_GB2312"/>
          <w:sz w:val="28"/>
          <w:szCs w:val="28"/>
        </w:rPr>
        <w:t>“</w:t>
      </w:r>
      <w:r>
        <w:rPr>
          <w:rFonts w:eastAsia="仿宋_GB2312"/>
          <w:sz w:val="28"/>
          <w:szCs w:val="28"/>
        </w:rPr>
        <w:t>三公</w:t>
      </w:r>
      <w:r>
        <w:rPr>
          <w:rFonts w:eastAsia="仿宋_GB2312"/>
          <w:sz w:val="28"/>
          <w:szCs w:val="28"/>
        </w:rPr>
        <w:t>”</w:t>
      </w:r>
      <w:r>
        <w:rPr>
          <w:rFonts w:eastAsia="仿宋_GB2312"/>
          <w:sz w:val="28"/>
          <w:szCs w:val="28"/>
        </w:rPr>
        <w:t>经费支出决算表</w:t>
      </w:r>
      <w:r>
        <w:rPr>
          <w:rFonts w:eastAsia="仿宋_GB2312"/>
          <w:sz w:val="28"/>
          <w:szCs w:val="28"/>
        </w:rPr>
        <w:tab/>
        <w:t>45</w:t>
      </w:r>
    </w:p>
    <w:p w:rsidR="00EB6FF2" w:rsidRDefault="0011043E">
      <w:pPr>
        <w:widowControl/>
        <w:spacing w:line="500" w:lineRule="exact"/>
        <w:jc w:val="left"/>
        <w:rPr>
          <w:rFonts w:eastAsia="仿宋"/>
          <w:bCs/>
          <w:kern w:val="44"/>
          <w:sz w:val="24"/>
        </w:rPr>
      </w:pPr>
      <w:r>
        <w:rPr>
          <w:rFonts w:ascii="仿宋_GB2312" w:eastAsia="仿宋_GB2312" w:hint="eastAsia"/>
          <w:noProof/>
          <w:sz w:val="28"/>
          <w:szCs w:val="28"/>
        </w:rPr>
        <mc:AlternateContent>
          <mc:Choice Requires="wps">
            <w:drawing>
              <wp:anchor distT="0" distB="0" distL="114300" distR="114300" simplePos="0" relativeHeight="251661312" behindDoc="0" locked="0" layoutInCell="1" allowOverlap="1">
                <wp:simplePos x="0" y="0"/>
                <wp:positionH relativeFrom="column">
                  <wp:posOffset>2230120</wp:posOffset>
                </wp:positionH>
                <wp:positionV relativeFrom="paragraph">
                  <wp:posOffset>5373370</wp:posOffset>
                </wp:positionV>
                <wp:extent cx="1257300" cy="495300"/>
                <wp:effectExtent l="0" t="0" r="0" b="0"/>
                <wp:wrapNone/>
                <wp:docPr id="9" name="矩形 9"/>
                <wp:cNvGraphicFramePr/>
                <a:graphic xmlns:a="http://schemas.openxmlformats.org/drawingml/2006/main">
                  <a:graphicData uri="http://schemas.microsoft.com/office/word/2010/wordprocessingShape">
                    <wps:wsp>
                      <wps:cNvSpPr/>
                      <wps:spPr>
                        <a:xfrm>
                          <a:off x="0" y="0"/>
                          <a:ext cx="1257300" cy="4953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1483F74" id="矩形 9" o:spid="_x0000_s1026" style="position:absolute;left:0;text-align:left;margin-left:175.6pt;margin-top:423.1pt;width:99pt;height:39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" fillcolor="white [3201]" stroked="f" strokeweight="2pt"/>
            </w:pict>
          </mc:Fallback>
        </mc:AlternateContent>
      </w:r>
      <w:r>
        <w:rPr>
          <w:rFonts w:ascii="仿宋_GB2312" w:eastAsia="仿宋_GB2312" w:hint="eastAsia"/>
          <w:b/>
          <w:sz w:val="28"/>
          <w:szCs w:val="28"/>
        </w:rPr>
        <w:br w:type="page"/>
      </w:r>
    </w:p>
    <w:p w:rsidR="00EB6FF2" w:rsidRDefault="00EB6FF2">
      <w:pPr>
        <w:pStyle w:val="1"/>
        <w:spacing w:before="0" w:after="0" w:line="600" w:lineRule="exact"/>
        <w:jc w:val="center"/>
        <w:rPr>
          <w:rFonts w:eastAsia="黑体"/>
          <w:b w:val="0"/>
        </w:rPr>
        <w:sectPr w:rsidR="00EB6FF2">
          <w:headerReference w:type="default" r:id="rId8"/>
          <w:footerReference w:type="default" r:id="rId9"/>
          <w:footerReference w:type="first" r:id="rId10"/>
          <w:pgSz w:w="11906" w:h="16838"/>
          <w:pgMar w:top="2098" w:right="1474" w:bottom="1985" w:left="1588" w:header="851" w:footer="992" w:gutter="0"/>
          <w:pgNumType w:start="1"/>
          <w:cols w:space="425"/>
          <w:titlePg/>
          <w:docGrid w:type="lines" w:linePitch="312"/>
        </w:sectPr>
      </w:pPr>
    </w:p>
    <w:p w:rsidR="00EB6FF2" w:rsidRDefault="0011043E">
      <w:pPr>
        <w:pStyle w:val="1"/>
        <w:spacing w:before="0" w:after="0" w:line="600" w:lineRule="exact"/>
        <w:jc w:val="center"/>
        <w:rPr>
          <w:rStyle w:val="10"/>
          <w:rFonts w:eastAsia="黑体"/>
          <w:b/>
        </w:rPr>
      </w:pPr>
      <w:r>
        <w:rPr>
          <w:rFonts w:eastAsia="黑体"/>
          <w:b w:val="0"/>
        </w:rPr>
        <w:lastRenderedPageBreak/>
        <w:t>第一部分</w:t>
      </w:r>
      <w:r>
        <w:rPr>
          <w:rFonts w:eastAsia="黑体"/>
          <w:b w:val="0"/>
        </w:rPr>
        <w:t xml:space="preserve"> </w:t>
      </w:r>
      <w:r>
        <w:rPr>
          <w:rStyle w:val="10"/>
          <w:rFonts w:eastAsia="黑体"/>
        </w:rPr>
        <w:t>部门概况</w:t>
      </w:r>
      <w:bookmarkEnd w:id="12"/>
      <w:bookmarkEnd w:id="13"/>
    </w:p>
    <w:p w:rsidR="00EB6FF2" w:rsidRDefault="00EB6FF2">
      <w:pPr>
        <w:pStyle w:val="2"/>
        <w:spacing w:before="0" w:after="0" w:line="600" w:lineRule="exact"/>
        <w:ind w:left="630"/>
        <w:rPr>
          <w:rFonts w:ascii="Times New Roman" w:eastAsia="黑体" w:hAnsi="Times New Roman" w:cs="Times New Roman"/>
          <w:b w:val="0"/>
        </w:rPr>
      </w:pPr>
    </w:p>
    <w:p w:rsidR="00EB6FF2" w:rsidRDefault="0011043E">
      <w:pPr>
        <w:pStyle w:val="2"/>
        <w:spacing w:before="0" w:after="0" w:line="600" w:lineRule="exact"/>
        <w:ind w:left="630"/>
        <w:rPr>
          <w:rFonts w:ascii="Times New Roman" w:eastAsia="黑体" w:hAnsi="Times New Roman" w:cs="Times New Roman"/>
          <w:b w:val="0"/>
        </w:rPr>
      </w:pPr>
      <w:r>
        <w:rPr>
          <w:rFonts w:ascii="Times New Roman" w:eastAsia="黑体" w:hAnsi="Times New Roman" w:cs="Times New Roman"/>
          <w:b w:val="0"/>
        </w:rPr>
        <w:t>一、部门职责</w:t>
      </w:r>
    </w:p>
    <w:p w:rsidR="00EB6FF2" w:rsidRDefault="0011043E">
      <w:pPr>
        <w:spacing w:line="600" w:lineRule="exact"/>
        <w:ind w:firstLineChars="200" w:firstLine="640"/>
        <w:rPr>
          <w:rFonts w:eastAsia="仿宋_GB2312"/>
        </w:rPr>
      </w:pPr>
      <w:r>
        <w:rPr>
          <w:rFonts w:eastAsia="仿宋_GB2312"/>
          <w:color w:val="000000"/>
          <w:sz w:val="32"/>
          <w:szCs w:val="32"/>
        </w:rPr>
        <w:t>（</w:t>
      </w:r>
      <w:r>
        <w:rPr>
          <w:rFonts w:eastAsia="仿宋_GB2312"/>
          <w:color w:val="000000"/>
          <w:sz w:val="32"/>
          <w:szCs w:val="32"/>
        </w:rPr>
        <w:t>1</w:t>
      </w:r>
      <w:r>
        <w:rPr>
          <w:rFonts w:eastAsia="仿宋_GB2312"/>
          <w:color w:val="000000"/>
          <w:sz w:val="32"/>
          <w:szCs w:val="32"/>
        </w:rPr>
        <w:t>）拟订全市财税发展战略、规划、政策和改革方案并组织实施。分析预测宏观经济形势，参与制定各项经济政策，提出运用财税政策实施宏观调控和综合平衡社会财力的建议。拟订市与县（区）政府、政府与企业的分配政策，完善鼓励公益事业发展的财税政策。（</w:t>
      </w:r>
      <w:r>
        <w:rPr>
          <w:rFonts w:eastAsia="仿宋_GB2312"/>
          <w:color w:val="000000"/>
          <w:sz w:val="32"/>
          <w:szCs w:val="32"/>
        </w:rPr>
        <w:t>2</w:t>
      </w:r>
      <w:r>
        <w:rPr>
          <w:rFonts w:eastAsia="仿宋_GB2312"/>
          <w:color w:val="000000"/>
          <w:sz w:val="32"/>
          <w:szCs w:val="32"/>
        </w:rPr>
        <w:t>）贯彻执行财政、税收、财务、会计管理的法律法规和规章。负责组织起草地方性财政政策、规范性文件和制度并组织实施。按照管理权限管理全市税政事项。承办国务院关税税则委员会办公室要</w:t>
      </w:r>
      <w:r>
        <w:rPr>
          <w:rFonts w:eastAsia="仿宋_GB2312"/>
          <w:color w:val="000000"/>
          <w:sz w:val="32"/>
          <w:szCs w:val="32"/>
        </w:rPr>
        <w:t>求市一级承担的工作。（</w:t>
      </w:r>
      <w:r>
        <w:rPr>
          <w:rFonts w:eastAsia="仿宋_GB2312"/>
          <w:color w:val="000000"/>
          <w:sz w:val="32"/>
          <w:szCs w:val="32"/>
        </w:rPr>
        <w:t>3</w:t>
      </w:r>
      <w:r>
        <w:rPr>
          <w:rFonts w:eastAsia="仿宋_GB2312"/>
          <w:color w:val="000000"/>
          <w:sz w:val="32"/>
          <w:szCs w:val="32"/>
        </w:rPr>
        <w:t>）负责管理各项财政收支。编制年度市级预决算草案并组织执行。组织制定经费开支标准、定额，审核批复部门（单位）年度预决算。受市政府委托，向市人大及其常委会报告财政预算、执行和决算等情况。负责政府投资基金市级财政出资的资产管理。负责市级预决算公开。负责全面实施预算绩效管理。（</w:t>
      </w:r>
      <w:r>
        <w:rPr>
          <w:rFonts w:eastAsia="仿宋_GB2312"/>
          <w:color w:val="000000"/>
          <w:sz w:val="32"/>
          <w:szCs w:val="32"/>
        </w:rPr>
        <w:t>4</w:t>
      </w:r>
      <w:r>
        <w:rPr>
          <w:rFonts w:eastAsia="仿宋_GB2312"/>
          <w:color w:val="000000"/>
          <w:sz w:val="32"/>
          <w:szCs w:val="32"/>
        </w:rPr>
        <w:t>）按分工负责政府非税收入管理。负责政府性基金管理，按规定管理行政事业性收费等其他非税收入。管理财政票据。贯彻执行彩票管理政策，制定彩票管理有关办法，监管彩票市场，按规定管理彩票资金。（</w:t>
      </w:r>
      <w:r>
        <w:rPr>
          <w:rFonts w:eastAsia="仿宋_GB2312"/>
          <w:color w:val="000000"/>
          <w:sz w:val="32"/>
          <w:szCs w:val="32"/>
        </w:rPr>
        <w:t>5</w:t>
      </w:r>
      <w:r>
        <w:rPr>
          <w:rFonts w:eastAsia="仿宋_GB2312"/>
          <w:color w:val="000000"/>
          <w:sz w:val="32"/>
          <w:szCs w:val="32"/>
        </w:rPr>
        <w:t>）组织制定全市国库管理制度、国</w:t>
      </w:r>
      <w:r>
        <w:rPr>
          <w:rFonts w:eastAsia="仿宋_GB2312"/>
          <w:color w:val="000000"/>
          <w:sz w:val="32"/>
          <w:szCs w:val="32"/>
        </w:rPr>
        <w:t>库集中收付制度，指导和监督国库业务，开展国库现金管理工作。贯彻执行政府财务报告编制办法并组织</w:t>
      </w:r>
      <w:r>
        <w:rPr>
          <w:rFonts w:eastAsia="仿宋_GB2312"/>
          <w:color w:val="000000"/>
          <w:sz w:val="32"/>
          <w:szCs w:val="32"/>
        </w:rPr>
        <w:lastRenderedPageBreak/>
        <w:t>实施。监督管理全市政府采购工作。（</w:t>
      </w:r>
      <w:r>
        <w:rPr>
          <w:rFonts w:eastAsia="仿宋_GB2312"/>
          <w:color w:val="000000"/>
          <w:sz w:val="32"/>
          <w:szCs w:val="32"/>
        </w:rPr>
        <w:t>6</w:t>
      </w:r>
      <w:r>
        <w:rPr>
          <w:rFonts w:eastAsia="仿宋_GB2312"/>
          <w:color w:val="000000"/>
          <w:sz w:val="32"/>
          <w:szCs w:val="32"/>
        </w:rPr>
        <w:t>）贯彻执行地方政府债务管理制度和政策，制定具体管理办法，编制地方政府债余额限额计划，统一管理政府外债，防范财政风险。（</w:t>
      </w:r>
      <w:r>
        <w:rPr>
          <w:rFonts w:eastAsia="仿宋_GB2312"/>
          <w:color w:val="000000"/>
          <w:sz w:val="32"/>
          <w:szCs w:val="32"/>
        </w:rPr>
        <w:t>7</w:t>
      </w:r>
      <w:r>
        <w:rPr>
          <w:rFonts w:eastAsia="仿宋_GB2312"/>
          <w:color w:val="000000"/>
          <w:sz w:val="32"/>
          <w:szCs w:val="32"/>
        </w:rPr>
        <w:t>）牵头编制全市国有资产管理情况报告。根据市政府授权，集中统一履行市级国有金融资本出资人职责。制定市级国有金融资本管理制度。拟订全市行政事业单位国有资产管理制度并组织实施。制定需要全市统一规定的开支标准和支出政策。（</w:t>
      </w:r>
      <w:r>
        <w:rPr>
          <w:rFonts w:eastAsia="仿宋_GB2312"/>
          <w:color w:val="000000"/>
          <w:sz w:val="32"/>
          <w:szCs w:val="32"/>
        </w:rPr>
        <w:t>8</w:t>
      </w:r>
      <w:r>
        <w:rPr>
          <w:rFonts w:eastAsia="仿宋_GB2312"/>
          <w:color w:val="000000"/>
          <w:sz w:val="32"/>
          <w:szCs w:val="32"/>
        </w:rPr>
        <w:t>）负责审核并汇总编制全市国有资本经营预决算草案。</w:t>
      </w:r>
      <w:r>
        <w:rPr>
          <w:rFonts w:eastAsia="仿宋_GB2312"/>
          <w:color w:val="000000"/>
          <w:sz w:val="32"/>
          <w:szCs w:val="32"/>
        </w:rPr>
        <w:t>制定国有资本经营预算制度和办法，收取市本级企业国有资本收益。组织实施企业财务制度，负责财政预算内行政事业单位和社会团体的非贸易外汇和财政预算内的国际收支管理。（</w:t>
      </w:r>
      <w:r>
        <w:rPr>
          <w:rFonts w:eastAsia="仿宋_GB2312"/>
          <w:color w:val="000000"/>
          <w:sz w:val="32"/>
          <w:szCs w:val="32"/>
        </w:rPr>
        <w:t>9</w:t>
      </w:r>
      <w:r>
        <w:rPr>
          <w:rFonts w:eastAsia="仿宋_GB2312"/>
          <w:color w:val="000000"/>
          <w:sz w:val="32"/>
          <w:szCs w:val="32"/>
        </w:rPr>
        <w:t>）负责审核并汇总编制全市社会保险基金预决算草案，会同有关部门拟订有关资金（基金）财务管理制度，承担社会保险基金财政监管工作。（</w:t>
      </w:r>
      <w:r>
        <w:rPr>
          <w:rFonts w:eastAsia="仿宋_GB2312"/>
          <w:color w:val="000000"/>
          <w:sz w:val="32"/>
          <w:szCs w:val="32"/>
        </w:rPr>
        <w:t>10</w:t>
      </w:r>
      <w:r>
        <w:rPr>
          <w:rFonts w:eastAsia="仿宋_GB2312"/>
          <w:color w:val="000000"/>
          <w:sz w:val="32"/>
          <w:szCs w:val="32"/>
        </w:rPr>
        <w:t>）负责办理和监督市级财政的经济发展支出、市级政府性投资项目的财政拨款，负责投资评审管理工作，参与拟订市级基建投资有关政策，制定基建财务管理制度。（</w:t>
      </w:r>
      <w:r>
        <w:rPr>
          <w:rFonts w:eastAsia="仿宋_GB2312"/>
          <w:color w:val="000000"/>
          <w:sz w:val="32"/>
          <w:szCs w:val="32"/>
        </w:rPr>
        <w:t>11</w:t>
      </w:r>
      <w:r>
        <w:rPr>
          <w:rFonts w:eastAsia="仿宋_GB2312"/>
          <w:color w:val="000000"/>
          <w:sz w:val="32"/>
          <w:szCs w:val="32"/>
        </w:rPr>
        <w:t>）管理外国政府和国际金融机构贷（赠）款项目的有关业务，参与财经领域的国</w:t>
      </w:r>
      <w:r>
        <w:rPr>
          <w:rFonts w:eastAsia="仿宋_GB2312"/>
          <w:color w:val="000000"/>
          <w:sz w:val="32"/>
          <w:szCs w:val="32"/>
        </w:rPr>
        <w:t>际交流与合作。（</w:t>
      </w:r>
      <w:r>
        <w:rPr>
          <w:rFonts w:eastAsia="仿宋_GB2312"/>
          <w:color w:val="000000"/>
          <w:sz w:val="32"/>
          <w:szCs w:val="32"/>
        </w:rPr>
        <w:t>12</w:t>
      </w:r>
      <w:r>
        <w:rPr>
          <w:rFonts w:eastAsia="仿宋_GB2312"/>
          <w:color w:val="000000"/>
          <w:sz w:val="32"/>
          <w:szCs w:val="32"/>
        </w:rPr>
        <w:t>）负责管理全市会计工作，监督和规范会计行为，组织实施国家统一的会计制度，指导社会审计。依法管理资产评估有关工作。（</w:t>
      </w:r>
      <w:r>
        <w:rPr>
          <w:rFonts w:eastAsia="仿宋_GB2312"/>
          <w:color w:val="000000"/>
          <w:sz w:val="32"/>
          <w:szCs w:val="32"/>
        </w:rPr>
        <w:t>13</w:t>
      </w:r>
      <w:r>
        <w:rPr>
          <w:rFonts w:eastAsia="仿宋_GB2312"/>
          <w:color w:val="000000"/>
          <w:sz w:val="32"/>
          <w:szCs w:val="32"/>
        </w:rPr>
        <w:t>）负责职责范围内的安全生产和职业健康、生态环境保护、审批服务便民化等工作。（</w:t>
      </w:r>
      <w:r>
        <w:rPr>
          <w:rFonts w:eastAsia="仿宋_GB2312"/>
          <w:color w:val="000000"/>
          <w:sz w:val="32"/>
          <w:szCs w:val="32"/>
        </w:rPr>
        <w:t>14</w:t>
      </w:r>
      <w:r>
        <w:rPr>
          <w:rFonts w:eastAsia="仿宋_GB2312"/>
          <w:color w:val="000000"/>
          <w:sz w:val="32"/>
          <w:szCs w:val="32"/>
        </w:rPr>
        <w:t>）完成市委、市政府交办的其他任务。（</w:t>
      </w:r>
      <w:r>
        <w:rPr>
          <w:rFonts w:eastAsia="仿宋_GB2312"/>
          <w:color w:val="000000"/>
          <w:sz w:val="32"/>
          <w:szCs w:val="32"/>
        </w:rPr>
        <w:t>15</w:t>
      </w:r>
      <w:r>
        <w:rPr>
          <w:rFonts w:eastAsia="仿宋_GB2312"/>
          <w:color w:val="000000"/>
          <w:sz w:val="32"/>
          <w:szCs w:val="32"/>
        </w:rPr>
        <w:t>）职能</w:t>
      </w:r>
      <w:r>
        <w:rPr>
          <w:rFonts w:eastAsia="仿宋_GB2312"/>
          <w:color w:val="000000"/>
          <w:sz w:val="32"/>
          <w:szCs w:val="32"/>
        </w:rPr>
        <w:lastRenderedPageBreak/>
        <w:t>转变。一是完善宏观调控体系，创新调控方式，构建发展规划、财政、金融等政策协调和工作协同机制，强化经济监测预测预警能力，建立健全重大问题研究和政策储备工作机制，增强宏观调控前瞻性、针对性、协同性。二是深化财税体制改革。加快建立现代财政制度，推进财政事</w:t>
      </w:r>
      <w:r>
        <w:rPr>
          <w:rFonts w:eastAsia="仿宋_GB2312"/>
          <w:color w:val="000000"/>
          <w:sz w:val="32"/>
          <w:szCs w:val="32"/>
        </w:rPr>
        <w:t>权和支出责任划分改革，理顺市与县（区）收入划分，建立权责清晰、财力协调、区域均衡的市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三是防范化解地方政府债务风险。规范举债融资机制，构建</w:t>
      </w:r>
      <w:r>
        <w:rPr>
          <w:rFonts w:eastAsia="仿宋_GB2312"/>
          <w:color w:val="000000"/>
          <w:sz w:val="32"/>
          <w:szCs w:val="32"/>
        </w:rPr>
        <w:t>“</w:t>
      </w:r>
      <w:r>
        <w:rPr>
          <w:rFonts w:eastAsia="仿宋_GB2312"/>
          <w:color w:val="000000"/>
          <w:sz w:val="32"/>
          <w:szCs w:val="32"/>
        </w:rPr>
        <w:t>闭环</w:t>
      </w:r>
      <w:r>
        <w:rPr>
          <w:rFonts w:eastAsia="仿宋_GB2312"/>
          <w:color w:val="000000"/>
          <w:sz w:val="32"/>
          <w:szCs w:val="32"/>
        </w:rPr>
        <w:t>”</w:t>
      </w:r>
      <w:r>
        <w:rPr>
          <w:rFonts w:eastAsia="仿宋_GB2312"/>
          <w:color w:val="000000"/>
          <w:sz w:val="32"/>
          <w:szCs w:val="32"/>
        </w:rPr>
        <w:t>管理体系，严控法定限额内债务</w:t>
      </w:r>
      <w:r>
        <w:rPr>
          <w:rFonts w:eastAsia="仿宋_GB2312"/>
          <w:color w:val="000000"/>
          <w:sz w:val="32"/>
          <w:szCs w:val="32"/>
        </w:rPr>
        <w:t>风险，着力防控隐性债务风险，牢牢守住不发生系统性风险的底线。</w:t>
      </w:r>
    </w:p>
    <w:p w:rsidR="00EB6FF2" w:rsidRDefault="0011043E">
      <w:pPr>
        <w:pStyle w:val="2"/>
        <w:spacing w:before="0" w:after="0" w:line="600" w:lineRule="exact"/>
        <w:ind w:firstLineChars="200" w:firstLine="640"/>
        <w:rPr>
          <w:rStyle w:val="20"/>
          <w:rFonts w:ascii="Times New Roman" w:hAnsi="Times New Roman" w:cs="Times New Roman"/>
        </w:rPr>
      </w:pPr>
      <w:bookmarkStart w:id="14" w:name="_Toc15377200"/>
      <w:bookmarkStart w:id="15" w:name="_Toc15396601"/>
      <w:r>
        <w:rPr>
          <w:rFonts w:ascii="Times New Roman" w:eastAsia="黑体" w:hAnsi="Times New Roman" w:cs="Times New Roman"/>
          <w:b w:val="0"/>
        </w:rPr>
        <w:t>二、机</w:t>
      </w:r>
      <w:r>
        <w:rPr>
          <w:rStyle w:val="20"/>
          <w:rFonts w:ascii="Times New Roman" w:eastAsia="黑体" w:hAnsi="Times New Roman" w:cs="Times New Roman"/>
        </w:rPr>
        <w:t>构设置</w:t>
      </w:r>
      <w:bookmarkEnd w:id="14"/>
      <w:bookmarkEnd w:id="15"/>
    </w:p>
    <w:p w:rsidR="00EB6FF2" w:rsidRDefault="0011043E">
      <w:pPr>
        <w:snapToGrid w:val="0"/>
        <w:spacing w:line="600" w:lineRule="exact"/>
        <w:ind w:firstLine="640"/>
        <w:rPr>
          <w:rFonts w:eastAsia="仿宋_GB2312"/>
          <w:color w:val="000000"/>
          <w:sz w:val="32"/>
          <w:szCs w:val="32"/>
        </w:rPr>
      </w:pPr>
      <w:r>
        <w:rPr>
          <w:rFonts w:eastAsia="仿宋_GB2312"/>
          <w:color w:val="000000"/>
          <w:sz w:val="32"/>
          <w:szCs w:val="32"/>
        </w:rPr>
        <w:t>攀枝花市财政局下设</w:t>
      </w:r>
      <w:r>
        <w:rPr>
          <w:rFonts w:eastAsia="仿宋_GB2312"/>
          <w:color w:val="000000"/>
          <w:sz w:val="32"/>
          <w:szCs w:val="32"/>
        </w:rPr>
        <w:t>23</w:t>
      </w:r>
      <w:r>
        <w:rPr>
          <w:rFonts w:eastAsia="仿宋_GB2312"/>
          <w:color w:val="000000"/>
          <w:sz w:val="32"/>
          <w:szCs w:val="32"/>
        </w:rPr>
        <w:t>科室，</w:t>
      </w:r>
      <w:r>
        <w:rPr>
          <w:rFonts w:eastAsia="仿宋_GB2312"/>
          <w:color w:val="000000"/>
          <w:sz w:val="32"/>
          <w:szCs w:val="32"/>
        </w:rPr>
        <w:t>1</w:t>
      </w:r>
      <w:r>
        <w:rPr>
          <w:rFonts w:eastAsia="仿宋_GB2312"/>
          <w:color w:val="000000"/>
          <w:sz w:val="32"/>
          <w:szCs w:val="32"/>
        </w:rPr>
        <w:t>个驻局纪检监察组，独立编制的</w:t>
      </w:r>
      <w:r>
        <w:rPr>
          <w:rFonts w:eastAsia="仿宋_GB2312"/>
          <w:color w:val="000000"/>
          <w:sz w:val="32"/>
          <w:szCs w:val="32"/>
        </w:rPr>
        <w:t>2</w:t>
      </w:r>
      <w:r>
        <w:rPr>
          <w:rFonts w:eastAsia="仿宋_GB2312"/>
          <w:color w:val="000000"/>
          <w:sz w:val="32"/>
          <w:szCs w:val="32"/>
        </w:rPr>
        <w:t>个参照公务员管理的事业单位和</w:t>
      </w:r>
      <w:r>
        <w:rPr>
          <w:rFonts w:eastAsia="仿宋_GB2312"/>
          <w:color w:val="000000"/>
          <w:sz w:val="32"/>
          <w:szCs w:val="32"/>
        </w:rPr>
        <w:t>6</w:t>
      </w:r>
      <w:r>
        <w:rPr>
          <w:rFonts w:eastAsia="仿宋_GB2312"/>
          <w:color w:val="000000"/>
          <w:sz w:val="32"/>
          <w:szCs w:val="32"/>
        </w:rPr>
        <w:t>个事业单位。全年无变动。</w:t>
      </w:r>
    </w:p>
    <w:p w:rsidR="00EB6FF2" w:rsidRDefault="0011043E">
      <w:pPr>
        <w:widowControl/>
        <w:spacing w:line="600" w:lineRule="exact"/>
        <w:jc w:val="left"/>
        <w:rPr>
          <w:rFonts w:eastAsia="仿宋"/>
          <w:kern w:val="0"/>
          <w:sz w:val="32"/>
          <w:szCs w:val="32"/>
        </w:rPr>
      </w:pPr>
      <w:r>
        <w:rPr>
          <w:rFonts w:eastAsia="仿宋"/>
          <w:sz w:val="32"/>
          <w:szCs w:val="32"/>
        </w:rPr>
        <w:br w:type="page"/>
      </w:r>
    </w:p>
    <w:p w:rsidR="00EB6FF2" w:rsidRDefault="0011043E">
      <w:pPr>
        <w:pStyle w:val="1"/>
        <w:spacing w:before="0" w:after="0"/>
        <w:ind w:right="442"/>
        <w:jc w:val="center"/>
        <w:rPr>
          <w:rStyle w:val="10"/>
          <w:rFonts w:eastAsia="黑体"/>
          <w:bCs/>
        </w:rPr>
      </w:pPr>
      <w:bookmarkStart w:id="16" w:name="_Toc15396602"/>
      <w:bookmarkStart w:id="17" w:name="_Toc15377204"/>
      <w:r>
        <w:rPr>
          <w:rFonts w:eastAsia="黑体"/>
          <w:b w:val="0"/>
        </w:rPr>
        <w:lastRenderedPageBreak/>
        <w:t>第二部分</w:t>
      </w:r>
      <w:r>
        <w:rPr>
          <w:rFonts w:eastAsia="黑体"/>
          <w:b w:val="0"/>
        </w:rPr>
        <w:t xml:space="preserve"> 2023</w:t>
      </w:r>
      <w:r>
        <w:rPr>
          <w:rFonts w:eastAsia="黑体"/>
          <w:b w:val="0"/>
        </w:rPr>
        <w:t>年度</w:t>
      </w:r>
      <w:r>
        <w:rPr>
          <w:rStyle w:val="10"/>
          <w:rFonts w:eastAsia="黑体"/>
          <w:bCs/>
        </w:rPr>
        <w:t>部门决算情况说明</w:t>
      </w:r>
      <w:bookmarkEnd w:id="16"/>
      <w:bookmarkEnd w:id="17"/>
    </w:p>
    <w:p w:rsidR="00EB6FF2" w:rsidRDefault="00EB6FF2"/>
    <w:p w:rsidR="00EB6FF2" w:rsidRDefault="0011043E">
      <w:pPr>
        <w:pStyle w:val="af0"/>
        <w:numPr>
          <w:ilvl w:val="0"/>
          <w:numId w:val="1"/>
        </w:numPr>
        <w:spacing w:line="600" w:lineRule="exact"/>
        <w:ind w:firstLineChars="0"/>
        <w:jc w:val="left"/>
        <w:outlineLvl w:val="1"/>
        <w:rPr>
          <w:rStyle w:val="20"/>
          <w:rFonts w:ascii="Times New Roman" w:eastAsia="黑体" w:hAnsi="Times New Roman" w:cs="Times New Roman"/>
          <w:b w:val="0"/>
        </w:rPr>
      </w:pPr>
      <w:bookmarkStart w:id="18" w:name="_Toc15377205"/>
      <w:bookmarkStart w:id="19" w:name="_Toc15396603"/>
      <w:r>
        <w:rPr>
          <w:rFonts w:eastAsia="黑体"/>
          <w:sz w:val="32"/>
          <w:szCs w:val="32"/>
        </w:rPr>
        <w:t>收</w:t>
      </w:r>
      <w:r>
        <w:rPr>
          <w:rStyle w:val="20"/>
          <w:rFonts w:ascii="Times New Roman" w:eastAsia="黑体" w:hAnsi="Times New Roman" w:cs="Times New Roman"/>
          <w:b w:val="0"/>
        </w:rPr>
        <w:t>入支出决算总体情况说明</w:t>
      </w:r>
      <w:bookmarkEnd w:id="18"/>
      <w:bookmarkEnd w:id="19"/>
    </w:p>
    <w:p w:rsidR="00EB6FF2" w:rsidRDefault="0011043E">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年度收、支总计</w:t>
      </w:r>
      <w:r>
        <w:rPr>
          <w:rFonts w:eastAsia="仿宋_GB2312"/>
          <w:sz w:val="32"/>
          <w:szCs w:val="32"/>
        </w:rPr>
        <w:t>3837.30</w:t>
      </w:r>
      <w:r>
        <w:rPr>
          <w:rFonts w:eastAsia="仿宋_GB2312"/>
          <w:sz w:val="32"/>
          <w:szCs w:val="32"/>
        </w:rPr>
        <w:t>万元。与</w:t>
      </w:r>
      <w:r>
        <w:rPr>
          <w:rFonts w:eastAsia="仿宋_GB2312"/>
          <w:sz w:val="32"/>
          <w:szCs w:val="32"/>
        </w:rPr>
        <w:t>2022</w:t>
      </w:r>
      <w:r>
        <w:rPr>
          <w:rFonts w:eastAsia="仿宋_GB2312"/>
          <w:sz w:val="32"/>
          <w:szCs w:val="32"/>
        </w:rPr>
        <w:t>年相比，收、支总计各减少</w:t>
      </w:r>
      <w:r>
        <w:rPr>
          <w:rFonts w:eastAsia="仿宋_GB2312"/>
          <w:sz w:val="32"/>
          <w:szCs w:val="32"/>
        </w:rPr>
        <w:t>199.90</w:t>
      </w:r>
      <w:r>
        <w:rPr>
          <w:rFonts w:eastAsia="仿宋_GB2312"/>
          <w:sz w:val="32"/>
          <w:szCs w:val="32"/>
        </w:rPr>
        <w:t>万元，下降</w:t>
      </w:r>
      <w:r>
        <w:rPr>
          <w:rFonts w:eastAsia="仿宋_GB2312"/>
          <w:sz w:val="32"/>
          <w:szCs w:val="32"/>
        </w:rPr>
        <w:t>4.95%</w:t>
      </w:r>
      <w:r>
        <w:rPr>
          <w:rFonts w:eastAsia="仿宋_GB2312"/>
          <w:sz w:val="32"/>
          <w:szCs w:val="32"/>
        </w:rPr>
        <w:t>。主要变动原因是其中人员经费支出</w:t>
      </w:r>
      <w:r>
        <w:rPr>
          <w:rFonts w:eastAsia="仿宋_GB2312"/>
          <w:sz w:val="32"/>
          <w:szCs w:val="32"/>
        </w:rPr>
        <w:t>2831.81</w:t>
      </w:r>
      <w:r>
        <w:rPr>
          <w:rFonts w:eastAsia="仿宋_GB2312"/>
          <w:sz w:val="32"/>
          <w:szCs w:val="32"/>
        </w:rPr>
        <w:t>万元，较去年增加支出</w:t>
      </w:r>
      <w:r>
        <w:rPr>
          <w:rFonts w:eastAsia="仿宋_GB2312"/>
          <w:sz w:val="32"/>
          <w:szCs w:val="32"/>
        </w:rPr>
        <w:t>46.61</w:t>
      </w:r>
      <w:r>
        <w:rPr>
          <w:rFonts w:eastAsia="仿宋_GB2312"/>
          <w:sz w:val="32"/>
          <w:szCs w:val="32"/>
        </w:rPr>
        <w:t>万元，同比增长</w:t>
      </w:r>
      <w:r>
        <w:rPr>
          <w:rFonts w:eastAsia="仿宋_GB2312"/>
          <w:sz w:val="32"/>
          <w:szCs w:val="32"/>
        </w:rPr>
        <w:t>1.67%</w:t>
      </w:r>
      <w:r>
        <w:rPr>
          <w:rFonts w:eastAsia="仿宋_GB2312"/>
          <w:sz w:val="32"/>
          <w:szCs w:val="32"/>
        </w:rPr>
        <w:t>；</w:t>
      </w:r>
      <w:r>
        <w:rPr>
          <w:rFonts w:eastAsia="仿宋_GB2312"/>
          <w:sz w:val="32"/>
          <w:szCs w:val="32"/>
        </w:rPr>
        <w:t>2023</w:t>
      </w:r>
      <w:r>
        <w:rPr>
          <w:rFonts w:eastAsia="仿宋_GB2312"/>
          <w:sz w:val="32"/>
          <w:szCs w:val="32"/>
        </w:rPr>
        <w:t>年日常公用经费支出</w:t>
      </w:r>
      <w:r>
        <w:rPr>
          <w:rFonts w:eastAsia="仿宋_GB2312"/>
          <w:sz w:val="32"/>
          <w:szCs w:val="32"/>
        </w:rPr>
        <w:t>359.67</w:t>
      </w:r>
      <w:r>
        <w:rPr>
          <w:rFonts w:eastAsia="仿宋_GB2312"/>
          <w:sz w:val="32"/>
          <w:szCs w:val="32"/>
        </w:rPr>
        <w:t>万元，较去年增加</w:t>
      </w:r>
      <w:r>
        <w:rPr>
          <w:rFonts w:eastAsia="仿宋_GB2312"/>
          <w:sz w:val="32"/>
          <w:szCs w:val="32"/>
        </w:rPr>
        <w:t>6.19</w:t>
      </w:r>
      <w:r>
        <w:rPr>
          <w:rFonts w:eastAsia="仿宋_GB2312"/>
          <w:sz w:val="32"/>
          <w:szCs w:val="32"/>
        </w:rPr>
        <w:t>万元，同比增加</w:t>
      </w:r>
      <w:r>
        <w:rPr>
          <w:rFonts w:eastAsia="仿宋_GB2312"/>
          <w:sz w:val="32"/>
          <w:szCs w:val="32"/>
        </w:rPr>
        <w:t>1.75%</w:t>
      </w:r>
      <w:r>
        <w:rPr>
          <w:rFonts w:eastAsia="仿宋_GB2312"/>
          <w:sz w:val="32"/>
          <w:szCs w:val="32"/>
        </w:rPr>
        <w:t>；</w:t>
      </w:r>
      <w:r>
        <w:rPr>
          <w:rFonts w:eastAsia="仿宋_GB2312"/>
          <w:sz w:val="32"/>
          <w:szCs w:val="32"/>
        </w:rPr>
        <w:t>2023</w:t>
      </w:r>
      <w:r>
        <w:rPr>
          <w:rFonts w:eastAsia="仿宋_GB2312"/>
          <w:sz w:val="32"/>
          <w:szCs w:val="32"/>
        </w:rPr>
        <w:t>年项目经费支出</w:t>
      </w:r>
      <w:r>
        <w:rPr>
          <w:rFonts w:eastAsia="仿宋_GB2312"/>
          <w:sz w:val="32"/>
          <w:szCs w:val="32"/>
        </w:rPr>
        <w:t>645.82</w:t>
      </w:r>
      <w:r>
        <w:rPr>
          <w:rFonts w:eastAsia="仿宋_GB2312"/>
          <w:sz w:val="32"/>
          <w:szCs w:val="32"/>
        </w:rPr>
        <w:t>万元，较去年减少</w:t>
      </w:r>
      <w:r>
        <w:rPr>
          <w:rFonts w:eastAsia="仿宋_GB2312"/>
          <w:sz w:val="32"/>
          <w:szCs w:val="32"/>
        </w:rPr>
        <w:t>252.52</w:t>
      </w:r>
      <w:r>
        <w:rPr>
          <w:rFonts w:eastAsia="仿宋_GB2312"/>
          <w:sz w:val="32"/>
          <w:szCs w:val="32"/>
        </w:rPr>
        <w:t>万元，同比减少</w:t>
      </w:r>
      <w:r>
        <w:rPr>
          <w:rFonts w:eastAsia="仿宋_GB2312"/>
          <w:sz w:val="32"/>
          <w:szCs w:val="32"/>
        </w:rPr>
        <w:t>28.11%</w:t>
      </w:r>
      <w:r>
        <w:rPr>
          <w:rFonts w:eastAsia="仿宋_GB2312"/>
          <w:sz w:val="32"/>
          <w:szCs w:val="32"/>
        </w:rPr>
        <w:t>。</w:t>
      </w:r>
    </w:p>
    <w:p w:rsidR="00EB6FF2" w:rsidRDefault="0011043E">
      <w:pPr>
        <w:pStyle w:val="a0"/>
        <w:spacing w:before="93"/>
        <w:jc w:val="center"/>
        <w:rPr>
          <w:rFonts w:ascii="Times New Roman"/>
        </w:rPr>
      </w:pPr>
      <w:r>
        <w:rPr>
          <w:rFonts w:ascii="Times New Roman"/>
          <w:noProof/>
        </w:rPr>
        <w:drawing>
          <wp:inline distT="0" distB="0" distL="0" distR="0">
            <wp:extent cx="5000625" cy="2381250"/>
            <wp:effectExtent l="0" t="0" r="952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B6FF2" w:rsidRDefault="0011043E">
      <w:pPr>
        <w:pStyle w:val="af0"/>
        <w:numPr>
          <w:ilvl w:val="0"/>
          <w:numId w:val="1"/>
        </w:numPr>
        <w:spacing w:line="600" w:lineRule="exact"/>
        <w:ind w:firstLineChars="0"/>
        <w:outlineLvl w:val="1"/>
        <w:rPr>
          <w:rStyle w:val="20"/>
          <w:rFonts w:ascii="Times New Roman" w:eastAsia="黑体" w:hAnsi="Times New Roman" w:cs="Times New Roman"/>
          <w:b w:val="0"/>
        </w:rPr>
      </w:pPr>
      <w:bookmarkStart w:id="20" w:name="_Toc15377206"/>
      <w:bookmarkStart w:id="21" w:name="_Toc15396604"/>
      <w:r>
        <w:rPr>
          <w:rFonts w:eastAsia="黑体"/>
          <w:sz w:val="32"/>
          <w:szCs w:val="32"/>
        </w:rPr>
        <w:t>收</w:t>
      </w:r>
      <w:r>
        <w:rPr>
          <w:rStyle w:val="20"/>
          <w:rFonts w:ascii="Times New Roman" w:eastAsia="黑体" w:hAnsi="Times New Roman" w:cs="Times New Roman"/>
          <w:b w:val="0"/>
        </w:rPr>
        <w:t>入决算情况说明</w:t>
      </w:r>
      <w:bookmarkEnd w:id="20"/>
      <w:bookmarkEnd w:id="21"/>
    </w:p>
    <w:p w:rsidR="00EB6FF2" w:rsidRDefault="0011043E">
      <w:pPr>
        <w:spacing w:line="600" w:lineRule="exact"/>
        <w:ind w:firstLineChars="200" w:firstLine="640"/>
        <w:outlineLvl w:val="1"/>
        <w:rPr>
          <w:rFonts w:eastAsia="仿宋_GB2312"/>
          <w:sz w:val="32"/>
          <w:szCs w:val="32"/>
        </w:rPr>
      </w:pPr>
      <w:r>
        <w:rPr>
          <w:rFonts w:eastAsia="仿宋_GB2312"/>
          <w:sz w:val="32"/>
          <w:szCs w:val="32"/>
        </w:rPr>
        <w:t>2023</w:t>
      </w:r>
      <w:r>
        <w:rPr>
          <w:rFonts w:eastAsia="仿宋_GB2312"/>
          <w:sz w:val="32"/>
          <w:szCs w:val="32"/>
        </w:rPr>
        <w:t>年本年收入合计</w:t>
      </w:r>
      <w:r>
        <w:rPr>
          <w:rFonts w:eastAsia="仿宋_GB2312"/>
          <w:sz w:val="32"/>
          <w:szCs w:val="32"/>
        </w:rPr>
        <w:t>3837.13</w:t>
      </w:r>
      <w:r>
        <w:rPr>
          <w:rFonts w:eastAsia="仿宋_GB2312"/>
          <w:sz w:val="32"/>
          <w:szCs w:val="32"/>
        </w:rPr>
        <w:t>万元，其中：一般公共预算财政拨款收入</w:t>
      </w:r>
      <w:r>
        <w:rPr>
          <w:rFonts w:eastAsia="仿宋_GB2312"/>
          <w:sz w:val="32"/>
          <w:szCs w:val="32"/>
        </w:rPr>
        <w:t>3837.13</w:t>
      </w:r>
      <w:r>
        <w:rPr>
          <w:rFonts w:eastAsia="仿宋_GB2312"/>
          <w:sz w:val="32"/>
          <w:szCs w:val="32"/>
        </w:rPr>
        <w:t>万元，占</w:t>
      </w:r>
      <w:r>
        <w:rPr>
          <w:rFonts w:eastAsia="仿宋_GB2312"/>
          <w:sz w:val="32"/>
          <w:szCs w:val="32"/>
        </w:rPr>
        <w:t>100</w:t>
      </w:r>
      <w:r>
        <w:rPr>
          <w:rFonts w:eastAsia="仿宋_GB2312"/>
          <w:sz w:val="32"/>
          <w:szCs w:val="32"/>
        </w:rPr>
        <w:t>%</w:t>
      </w:r>
      <w:r>
        <w:rPr>
          <w:rFonts w:eastAsia="仿宋_GB2312"/>
          <w:sz w:val="32"/>
          <w:szCs w:val="32"/>
        </w:rPr>
        <w:t>；政府性基金预算财政拨款收入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；国有资本经营预算财政拨款收入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；上级补助收入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；事业收入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r>
        <w:rPr>
          <w:rFonts w:eastAsia="仿宋_GB2312"/>
          <w:sz w:val="32"/>
          <w:szCs w:val="32"/>
        </w:rPr>
        <w:lastRenderedPageBreak/>
        <w:t>经营收入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；附属单位上缴收入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；其他收入</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p>
    <w:p w:rsidR="00EB6FF2" w:rsidRDefault="0011043E">
      <w:pPr>
        <w:pStyle w:val="a0"/>
        <w:spacing w:before="93"/>
        <w:jc w:val="center"/>
        <w:rPr>
          <w:rFonts w:ascii="Times New Roman"/>
        </w:rPr>
      </w:pPr>
      <w:r>
        <w:rPr>
          <w:rFonts w:ascii="Times New Roman"/>
          <w:noProof/>
        </w:rPr>
        <w:drawing>
          <wp:inline distT="0" distB="0" distL="0" distR="0">
            <wp:extent cx="5191125" cy="2419350"/>
            <wp:effectExtent l="0" t="0" r="952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B6FF2" w:rsidRDefault="0011043E">
      <w:pPr>
        <w:pStyle w:val="af0"/>
        <w:numPr>
          <w:ilvl w:val="0"/>
          <w:numId w:val="1"/>
        </w:numPr>
        <w:spacing w:line="600" w:lineRule="exact"/>
        <w:ind w:firstLineChars="0"/>
        <w:outlineLvl w:val="1"/>
        <w:rPr>
          <w:rStyle w:val="20"/>
          <w:rFonts w:ascii="Times New Roman" w:eastAsia="黑体" w:hAnsi="Times New Roman" w:cs="Times New Roman"/>
          <w:b w:val="0"/>
        </w:rPr>
      </w:pPr>
      <w:bookmarkStart w:id="22" w:name="_Toc15396605"/>
      <w:bookmarkStart w:id="23" w:name="_Toc15377207"/>
      <w:r>
        <w:rPr>
          <w:rFonts w:eastAsia="黑体"/>
          <w:sz w:val="32"/>
          <w:szCs w:val="32"/>
        </w:rPr>
        <w:t>支</w:t>
      </w:r>
      <w:r>
        <w:rPr>
          <w:rStyle w:val="20"/>
          <w:rFonts w:ascii="Times New Roman" w:eastAsia="黑体" w:hAnsi="Times New Roman" w:cs="Times New Roman"/>
          <w:b w:val="0"/>
        </w:rPr>
        <w:t>出决算情况说明</w:t>
      </w:r>
      <w:bookmarkEnd w:id="22"/>
      <w:bookmarkEnd w:id="23"/>
    </w:p>
    <w:p w:rsidR="00EB6FF2" w:rsidRDefault="0011043E">
      <w:pPr>
        <w:spacing w:line="600" w:lineRule="exact"/>
        <w:ind w:firstLineChars="200" w:firstLine="640"/>
        <w:outlineLvl w:val="1"/>
        <w:rPr>
          <w:rFonts w:eastAsia="仿宋_GB2312"/>
          <w:sz w:val="32"/>
          <w:szCs w:val="32"/>
        </w:rPr>
      </w:pPr>
      <w:r>
        <w:rPr>
          <w:rFonts w:eastAsia="仿宋_GB2312"/>
          <w:sz w:val="32"/>
          <w:szCs w:val="32"/>
        </w:rPr>
        <w:t>2023</w:t>
      </w:r>
      <w:r>
        <w:rPr>
          <w:rFonts w:eastAsia="仿宋_GB2312"/>
          <w:sz w:val="32"/>
          <w:szCs w:val="32"/>
        </w:rPr>
        <w:t>年本年支出合计</w:t>
      </w:r>
      <w:r>
        <w:rPr>
          <w:rFonts w:eastAsia="仿宋_GB2312"/>
          <w:sz w:val="32"/>
          <w:szCs w:val="32"/>
        </w:rPr>
        <w:t>3837.30</w:t>
      </w:r>
      <w:r>
        <w:rPr>
          <w:rFonts w:eastAsia="仿宋_GB2312"/>
          <w:sz w:val="32"/>
          <w:szCs w:val="32"/>
        </w:rPr>
        <w:t>万元，其中：基本支出</w:t>
      </w:r>
      <w:r>
        <w:rPr>
          <w:rFonts w:eastAsia="仿宋_GB2312"/>
          <w:sz w:val="32"/>
          <w:szCs w:val="32"/>
        </w:rPr>
        <w:t>3191.48</w:t>
      </w:r>
      <w:r>
        <w:rPr>
          <w:rFonts w:eastAsia="仿宋_GB2312"/>
          <w:sz w:val="32"/>
          <w:szCs w:val="32"/>
        </w:rPr>
        <w:t>万元，占</w:t>
      </w:r>
      <w:r>
        <w:rPr>
          <w:rFonts w:eastAsia="仿宋_GB2312"/>
          <w:sz w:val="32"/>
          <w:szCs w:val="32"/>
        </w:rPr>
        <w:t>83.17%</w:t>
      </w:r>
      <w:r>
        <w:rPr>
          <w:rFonts w:eastAsia="仿宋_GB2312"/>
          <w:sz w:val="32"/>
          <w:szCs w:val="32"/>
        </w:rPr>
        <w:t>；项目支出</w:t>
      </w:r>
      <w:r>
        <w:rPr>
          <w:rFonts w:eastAsia="仿宋_GB2312"/>
          <w:sz w:val="32"/>
          <w:szCs w:val="32"/>
        </w:rPr>
        <w:t>645.82</w:t>
      </w:r>
      <w:r>
        <w:rPr>
          <w:rFonts w:eastAsia="仿宋_GB2312"/>
          <w:sz w:val="32"/>
          <w:szCs w:val="32"/>
        </w:rPr>
        <w:t>万元，占</w:t>
      </w:r>
      <w:r>
        <w:rPr>
          <w:rFonts w:eastAsia="仿宋_GB2312"/>
          <w:sz w:val="32"/>
          <w:szCs w:val="32"/>
        </w:rPr>
        <w:t>16.83%</w:t>
      </w:r>
      <w:r>
        <w:rPr>
          <w:rFonts w:eastAsia="仿宋_GB2312"/>
          <w:sz w:val="32"/>
          <w:szCs w:val="32"/>
        </w:rPr>
        <w:t>；上缴上级支出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；经营支出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；对附属单位补助支出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w:t>
      </w:r>
    </w:p>
    <w:p w:rsidR="00EB6FF2" w:rsidRDefault="0011043E">
      <w:pPr>
        <w:pStyle w:val="a0"/>
        <w:spacing w:before="93"/>
        <w:jc w:val="center"/>
        <w:rPr>
          <w:rFonts w:ascii="Times New Roman"/>
        </w:rPr>
      </w:pPr>
      <w:r>
        <w:rPr>
          <w:rFonts w:ascii="Times New Roman"/>
          <w:noProof/>
        </w:rPr>
        <w:drawing>
          <wp:inline distT="0" distB="0" distL="0" distR="0">
            <wp:extent cx="5210175" cy="2667000"/>
            <wp:effectExtent l="0" t="0" r="952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B6FF2" w:rsidRDefault="0011043E">
      <w:pPr>
        <w:spacing w:line="600" w:lineRule="exact"/>
        <w:ind w:firstLineChars="200" w:firstLine="640"/>
        <w:outlineLvl w:val="1"/>
        <w:rPr>
          <w:rStyle w:val="20"/>
          <w:rFonts w:ascii="Times New Roman" w:eastAsia="黑体" w:hAnsi="Times New Roman" w:cs="Times New Roman"/>
          <w:b w:val="0"/>
        </w:rPr>
      </w:pPr>
      <w:bookmarkStart w:id="24" w:name="_Toc15377208"/>
      <w:bookmarkStart w:id="25" w:name="_Toc15396606"/>
      <w:r>
        <w:rPr>
          <w:rFonts w:eastAsia="黑体"/>
          <w:sz w:val="32"/>
          <w:szCs w:val="32"/>
        </w:rPr>
        <w:lastRenderedPageBreak/>
        <w:t>四、财</w:t>
      </w:r>
      <w:r>
        <w:rPr>
          <w:rStyle w:val="20"/>
          <w:rFonts w:ascii="Times New Roman" w:eastAsia="黑体" w:hAnsi="Times New Roman" w:cs="Times New Roman"/>
          <w:b w:val="0"/>
        </w:rPr>
        <w:t>政拨款收入支出决算总体情况说明</w:t>
      </w:r>
      <w:bookmarkEnd w:id="24"/>
      <w:bookmarkEnd w:id="25"/>
    </w:p>
    <w:p w:rsidR="00EB6FF2" w:rsidRDefault="0011043E">
      <w:pPr>
        <w:spacing w:line="600" w:lineRule="exact"/>
        <w:ind w:firstLineChars="200" w:firstLine="640"/>
        <w:rPr>
          <w:rFonts w:eastAsia="仿宋_GB2312" w:hint="eastAsia"/>
          <w:color w:val="000000" w:themeColor="text1"/>
          <w:sz w:val="32"/>
          <w:szCs w:val="32"/>
        </w:rPr>
      </w:pPr>
      <w:r>
        <w:rPr>
          <w:rFonts w:eastAsia="仿宋_GB2312"/>
          <w:color w:val="000000" w:themeColor="text1"/>
          <w:sz w:val="32"/>
          <w:szCs w:val="32"/>
        </w:rPr>
        <w:t>2</w:t>
      </w:r>
      <w:r>
        <w:rPr>
          <w:rFonts w:eastAsia="仿宋_GB2312"/>
          <w:color w:val="000000" w:themeColor="text1"/>
          <w:sz w:val="32"/>
          <w:szCs w:val="32"/>
        </w:rPr>
        <w:t>023</w:t>
      </w:r>
      <w:r>
        <w:rPr>
          <w:rFonts w:eastAsia="仿宋_GB2312"/>
          <w:color w:val="000000" w:themeColor="text1"/>
          <w:sz w:val="32"/>
          <w:szCs w:val="32"/>
        </w:rPr>
        <w:t>年财政拨款收、支总计均为</w:t>
      </w:r>
      <w:r>
        <w:rPr>
          <w:rFonts w:eastAsia="仿宋_GB2312"/>
          <w:color w:val="000000" w:themeColor="text1"/>
          <w:sz w:val="32"/>
          <w:szCs w:val="32"/>
        </w:rPr>
        <w:t>3837.19</w:t>
      </w:r>
      <w:r>
        <w:rPr>
          <w:rFonts w:eastAsia="仿宋_GB2312"/>
          <w:color w:val="000000" w:themeColor="text1"/>
          <w:sz w:val="32"/>
          <w:szCs w:val="32"/>
        </w:rPr>
        <w:t>万元。与</w:t>
      </w:r>
      <w:r>
        <w:rPr>
          <w:rFonts w:eastAsia="仿宋_GB2312"/>
          <w:color w:val="000000" w:themeColor="text1"/>
          <w:sz w:val="32"/>
          <w:szCs w:val="32"/>
        </w:rPr>
        <w:t>2022</w:t>
      </w:r>
      <w:r>
        <w:rPr>
          <w:rFonts w:eastAsia="仿宋_GB2312"/>
          <w:color w:val="000000" w:themeColor="text1"/>
          <w:sz w:val="32"/>
          <w:szCs w:val="32"/>
        </w:rPr>
        <w:t>年相比，财政拨款收、支总计各减少</w:t>
      </w:r>
      <w:r>
        <w:rPr>
          <w:rFonts w:eastAsia="仿宋_GB2312"/>
          <w:color w:val="000000" w:themeColor="text1"/>
          <w:sz w:val="32"/>
          <w:szCs w:val="32"/>
        </w:rPr>
        <w:t>199.89</w:t>
      </w:r>
      <w:r>
        <w:rPr>
          <w:rFonts w:eastAsia="仿宋_GB2312"/>
          <w:color w:val="000000" w:themeColor="text1"/>
          <w:sz w:val="32"/>
          <w:szCs w:val="32"/>
        </w:rPr>
        <w:t>万元，下降</w:t>
      </w:r>
      <w:r>
        <w:rPr>
          <w:rFonts w:eastAsia="仿宋_GB2312"/>
          <w:color w:val="000000" w:themeColor="text1"/>
          <w:sz w:val="32"/>
          <w:szCs w:val="32"/>
        </w:rPr>
        <w:t>4.95%</w:t>
      </w:r>
      <w:r>
        <w:rPr>
          <w:rFonts w:eastAsia="仿宋_GB2312"/>
          <w:color w:val="000000" w:themeColor="text1"/>
          <w:sz w:val="32"/>
          <w:szCs w:val="32"/>
        </w:rPr>
        <w:t>。主要变动原因是其中人员经费支出</w:t>
      </w:r>
      <w:r>
        <w:rPr>
          <w:rFonts w:eastAsia="仿宋_GB2312"/>
          <w:color w:val="000000" w:themeColor="text1"/>
          <w:sz w:val="32"/>
          <w:szCs w:val="32"/>
        </w:rPr>
        <w:t>2831.81</w:t>
      </w:r>
      <w:r>
        <w:rPr>
          <w:rFonts w:eastAsia="仿宋_GB2312"/>
          <w:color w:val="000000" w:themeColor="text1"/>
          <w:sz w:val="32"/>
          <w:szCs w:val="32"/>
        </w:rPr>
        <w:t>万元，较去年增加支出</w:t>
      </w:r>
      <w:r>
        <w:rPr>
          <w:rFonts w:eastAsia="仿宋_GB2312"/>
          <w:color w:val="000000" w:themeColor="text1"/>
          <w:sz w:val="32"/>
          <w:szCs w:val="32"/>
        </w:rPr>
        <w:t>46.61</w:t>
      </w:r>
      <w:r>
        <w:rPr>
          <w:rFonts w:eastAsia="仿宋_GB2312"/>
          <w:color w:val="000000" w:themeColor="text1"/>
          <w:sz w:val="32"/>
          <w:szCs w:val="32"/>
        </w:rPr>
        <w:t>万元，同比增长</w:t>
      </w:r>
      <w:r>
        <w:rPr>
          <w:rFonts w:eastAsia="仿宋_GB2312"/>
          <w:color w:val="000000" w:themeColor="text1"/>
          <w:sz w:val="32"/>
          <w:szCs w:val="32"/>
        </w:rPr>
        <w:t>1.67%</w:t>
      </w:r>
      <w:r>
        <w:rPr>
          <w:rFonts w:eastAsia="仿宋_GB2312"/>
          <w:color w:val="000000" w:themeColor="text1"/>
          <w:sz w:val="32"/>
          <w:szCs w:val="32"/>
        </w:rPr>
        <w:t>；</w:t>
      </w:r>
      <w:r>
        <w:rPr>
          <w:rFonts w:eastAsia="仿宋_GB2312"/>
          <w:color w:val="000000" w:themeColor="text1"/>
          <w:sz w:val="32"/>
          <w:szCs w:val="32"/>
        </w:rPr>
        <w:t>2023</w:t>
      </w:r>
      <w:r>
        <w:rPr>
          <w:rFonts w:eastAsia="仿宋_GB2312"/>
          <w:color w:val="000000" w:themeColor="text1"/>
          <w:sz w:val="32"/>
          <w:szCs w:val="32"/>
        </w:rPr>
        <w:t>年日常公用经费支出</w:t>
      </w:r>
      <w:r>
        <w:rPr>
          <w:rFonts w:eastAsia="仿宋_GB2312"/>
          <w:color w:val="000000" w:themeColor="text1"/>
          <w:sz w:val="32"/>
          <w:szCs w:val="32"/>
        </w:rPr>
        <w:t>359.56</w:t>
      </w:r>
      <w:r>
        <w:rPr>
          <w:rFonts w:eastAsia="仿宋_GB2312"/>
          <w:color w:val="000000" w:themeColor="text1"/>
          <w:sz w:val="32"/>
          <w:szCs w:val="32"/>
        </w:rPr>
        <w:t>万元，较去年增加</w:t>
      </w:r>
      <w:r>
        <w:rPr>
          <w:rFonts w:eastAsia="仿宋_GB2312"/>
          <w:color w:val="000000" w:themeColor="text1"/>
          <w:sz w:val="32"/>
          <w:szCs w:val="32"/>
        </w:rPr>
        <w:t>6.08</w:t>
      </w:r>
      <w:r>
        <w:rPr>
          <w:rFonts w:eastAsia="仿宋_GB2312"/>
          <w:color w:val="000000" w:themeColor="text1"/>
          <w:sz w:val="32"/>
          <w:szCs w:val="32"/>
        </w:rPr>
        <w:t>万元，同比增加</w:t>
      </w:r>
      <w:r>
        <w:rPr>
          <w:rFonts w:eastAsia="仿宋_GB2312"/>
          <w:color w:val="000000" w:themeColor="text1"/>
          <w:sz w:val="32"/>
          <w:szCs w:val="32"/>
        </w:rPr>
        <w:t>1.72%</w:t>
      </w:r>
      <w:r>
        <w:rPr>
          <w:rFonts w:eastAsia="仿宋_GB2312"/>
          <w:color w:val="000000" w:themeColor="text1"/>
          <w:sz w:val="32"/>
          <w:szCs w:val="32"/>
        </w:rPr>
        <w:t>；</w:t>
      </w:r>
      <w:r>
        <w:rPr>
          <w:rFonts w:eastAsia="仿宋_GB2312"/>
          <w:color w:val="000000" w:themeColor="text1"/>
          <w:sz w:val="32"/>
          <w:szCs w:val="32"/>
        </w:rPr>
        <w:t>2023</w:t>
      </w:r>
      <w:r>
        <w:rPr>
          <w:rFonts w:eastAsia="仿宋_GB2312"/>
          <w:color w:val="000000" w:themeColor="text1"/>
          <w:sz w:val="32"/>
          <w:szCs w:val="32"/>
        </w:rPr>
        <w:t>年项目经费支出</w:t>
      </w:r>
      <w:r>
        <w:rPr>
          <w:rFonts w:eastAsia="仿宋_GB2312"/>
          <w:color w:val="000000" w:themeColor="text1"/>
          <w:sz w:val="32"/>
          <w:szCs w:val="32"/>
        </w:rPr>
        <w:t>645.82</w:t>
      </w:r>
      <w:r>
        <w:rPr>
          <w:rFonts w:eastAsia="仿宋_GB2312"/>
          <w:color w:val="000000" w:themeColor="text1"/>
          <w:sz w:val="32"/>
          <w:szCs w:val="32"/>
        </w:rPr>
        <w:t>万元，较去年减少</w:t>
      </w:r>
      <w:r>
        <w:rPr>
          <w:rFonts w:eastAsia="仿宋_GB2312"/>
          <w:color w:val="000000" w:themeColor="text1"/>
          <w:sz w:val="32"/>
          <w:szCs w:val="32"/>
        </w:rPr>
        <w:t>252.58</w:t>
      </w:r>
      <w:r>
        <w:rPr>
          <w:rFonts w:eastAsia="仿宋_GB2312"/>
          <w:color w:val="000000" w:themeColor="text1"/>
          <w:sz w:val="32"/>
          <w:szCs w:val="32"/>
        </w:rPr>
        <w:t>万元，同比减少</w:t>
      </w:r>
      <w:r>
        <w:rPr>
          <w:rFonts w:eastAsia="仿宋_GB2312"/>
          <w:color w:val="000000" w:themeColor="text1"/>
          <w:sz w:val="32"/>
          <w:szCs w:val="32"/>
        </w:rPr>
        <w:t>28.11%</w:t>
      </w:r>
      <w:r w:rsidR="009F533A">
        <w:rPr>
          <w:rFonts w:eastAsia="仿宋_GB2312"/>
          <w:color w:val="000000" w:themeColor="text1"/>
          <w:sz w:val="32"/>
          <w:szCs w:val="32"/>
        </w:rPr>
        <w:t>。</w:t>
      </w:r>
      <w:bookmarkStart w:id="26" w:name="_GoBack"/>
      <w:bookmarkEnd w:id="26"/>
    </w:p>
    <w:p w:rsidR="00EB6FF2" w:rsidRDefault="0011043E">
      <w:pPr>
        <w:pStyle w:val="a0"/>
        <w:spacing w:before="93"/>
        <w:jc w:val="center"/>
        <w:rPr>
          <w:rFonts w:ascii="Times New Roman"/>
        </w:rPr>
      </w:pPr>
      <w:r>
        <w:rPr>
          <w:rFonts w:ascii="Times New Roman"/>
          <w:noProof/>
        </w:rPr>
        <w:drawing>
          <wp:inline distT="0" distB="0" distL="0" distR="0">
            <wp:extent cx="5274310" cy="3076575"/>
            <wp:effectExtent l="0" t="0" r="254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B6FF2" w:rsidRDefault="0011043E">
      <w:pPr>
        <w:spacing w:line="600" w:lineRule="exact"/>
        <w:ind w:firstLineChars="200" w:firstLine="640"/>
        <w:outlineLvl w:val="1"/>
        <w:rPr>
          <w:rStyle w:val="20"/>
          <w:rFonts w:ascii="Times New Roman" w:eastAsia="黑体" w:hAnsi="Times New Roman" w:cs="Times New Roman"/>
          <w:b w:val="0"/>
        </w:rPr>
      </w:pPr>
      <w:bookmarkStart w:id="27" w:name="_Toc15396607"/>
      <w:bookmarkStart w:id="28" w:name="_Toc15377209"/>
      <w:r>
        <w:rPr>
          <w:rFonts w:eastAsia="黑体"/>
          <w:sz w:val="32"/>
          <w:szCs w:val="32"/>
        </w:rPr>
        <w:t>五、</w:t>
      </w:r>
      <w:r>
        <w:rPr>
          <w:rFonts w:eastAsia="黑体"/>
          <w:b/>
          <w:sz w:val="32"/>
          <w:szCs w:val="32"/>
        </w:rPr>
        <w:t>一</w:t>
      </w:r>
      <w:r>
        <w:rPr>
          <w:rStyle w:val="20"/>
          <w:rFonts w:ascii="Times New Roman" w:eastAsia="黑体" w:hAnsi="Times New Roman" w:cs="Times New Roman"/>
          <w:b w:val="0"/>
        </w:rPr>
        <w:t>般公共预算财政拨款支出决算情况说明</w:t>
      </w:r>
      <w:bookmarkEnd w:id="27"/>
      <w:bookmarkEnd w:id="28"/>
    </w:p>
    <w:p w:rsidR="00EB6FF2" w:rsidRDefault="0011043E">
      <w:pPr>
        <w:spacing w:line="600" w:lineRule="exact"/>
        <w:ind w:firstLineChars="200" w:firstLine="643"/>
        <w:outlineLvl w:val="2"/>
        <w:rPr>
          <w:rFonts w:eastAsia="楷体_GB2312"/>
          <w:b/>
          <w:sz w:val="32"/>
          <w:szCs w:val="32"/>
        </w:rPr>
      </w:pPr>
      <w:bookmarkStart w:id="29" w:name="_Toc15377210"/>
      <w:r>
        <w:rPr>
          <w:rFonts w:eastAsia="楷体_GB2312"/>
          <w:b/>
          <w:sz w:val="32"/>
          <w:szCs w:val="32"/>
        </w:rPr>
        <w:t>（一）一般公共预算财政拨款支出决算总体情况</w:t>
      </w:r>
      <w:bookmarkEnd w:id="29"/>
      <w:r>
        <w:rPr>
          <w:rFonts w:eastAsia="楷体_GB2312"/>
          <w:b/>
          <w:sz w:val="32"/>
          <w:szCs w:val="32"/>
        </w:rPr>
        <w:t>。</w:t>
      </w:r>
    </w:p>
    <w:p w:rsidR="00EB6FF2" w:rsidRDefault="0011043E">
      <w:pPr>
        <w:snapToGrid w:val="0"/>
        <w:spacing w:line="600" w:lineRule="exact"/>
        <w:ind w:firstLineChars="197" w:firstLine="630"/>
        <w:rPr>
          <w:rFonts w:eastAsia="仿宋_GB2312"/>
          <w:color w:val="000000" w:themeColor="text1"/>
          <w:sz w:val="32"/>
          <w:szCs w:val="32"/>
        </w:rPr>
      </w:pPr>
      <w:r>
        <w:rPr>
          <w:rFonts w:eastAsia="仿宋_GB2312"/>
          <w:color w:val="000000" w:themeColor="text1"/>
          <w:sz w:val="32"/>
          <w:szCs w:val="32"/>
        </w:rPr>
        <w:t>2023</w:t>
      </w:r>
      <w:r>
        <w:rPr>
          <w:rFonts w:eastAsia="仿宋_GB2312"/>
          <w:color w:val="000000" w:themeColor="text1"/>
          <w:sz w:val="32"/>
          <w:szCs w:val="32"/>
        </w:rPr>
        <w:t>年一</w:t>
      </w:r>
      <w:r>
        <w:rPr>
          <w:rFonts w:eastAsia="仿宋_GB2312"/>
          <w:color w:val="000000" w:themeColor="text1"/>
          <w:sz w:val="32"/>
          <w:szCs w:val="32"/>
        </w:rPr>
        <w:t>般公共预算财政拨款支出</w:t>
      </w:r>
      <w:r>
        <w:rPr>
          <w:rFonts w:eastAsia="仿宋_GB2312"/>
          <w:color w:val="000000" w:themeColor="text1"/>
          <w:sz w:val="32"/>
          <w:szCs w:val="32"/>
        </w:rPr>
        <w:t>3837.19</w:t>
      </w:r>
      <w:r>
        <w:rPr>
          <w:rFonts w:eastAsia="仿宋_GB2312"/>
          <w:color w:val="000000" w:themeColor="text1"/>
          <w:sz w:val="32"/>
          <w:szCs w:val="32"/>
        </w:rPr>
        <w:t>万元，占本年支出合计的</w:t>
      </w:r>
      <w:r>
        <w:rPr>
          <w:rFonts w:eastAsia="仿宋_GB2312"/>
          <w:color w:val="000000" w:themeColor="text1"/>
          <w:sz w:val="32"/>
          <w:szCs w:val="32"/>
        </w:rPr>
        <w:t>100%</w:t>
      </w:r>
      <w:r>
        <w:rPr>
          <w:rFonts w:eastAsia="仿宋_GB2312"/>
          <w:color w:val="000000" w:themeColor="text1"/>
          <w:sz w:val="32"/>
          <w:szCs w:val="32"/>
        </w:rPr>
        <w:t>。与</w:t>
      </w:r>
      <w:r>
        <w:rPr>
          <w:rFonts w:eastAsia="仿宋_GB2312"/>
          <w:color w:val="000000" w:themeColor="text1"/>
          <w:sz w:val="32"/>
          <w:szCs w:val="32"/>
        </w:rPr>
        <w:t>2022</w:t>
      </w:r>
      <w:r>
        <w:rPr>
          <w:rFonts w:eastAsia="仿宋_GB2312"/>
          <w:color w:val="000000" w:themeColor="text1"/>
          <w:sz w:val="32"/>
          <w:szCs w:val="32"/>
        </w:rPr>
        <w:t>年相比，一般公共预算财政拨款支出减少</w:t>
      </w:r>
      <w:r>
        <w:rPr>
          <w:rFonts w:eastAsia="仿宋_GB2312"/>
          <w:color w:val="000000" w:themeColor="text1"/>
          <w:sz w:val="32"/>
          <w:szCs w:val="32"/>
        </w:rPr>
        <w:t>199.84</w:t>
      </w:r>
      <w:r>
        <w:rPr>
          <w:rFonts w:eastAsia="仿宋_GB2312"/>
          <w:color w:val="000000" w:themeColor="text1"/>
          <w:sz w:val="32"/>
          <w:szCs w:val="32"/>
        </w:rPr>
        <w:t>万元，下降</w:t>
      </w:r>
      <w:r>
        <w:rPr>
          <w:rFonts w:eastAsia="仿宋_GB2312"/>
          <w:color w:val="000000" w:themeColor="text1"/>
          <w:sz w:val="32"/>
          <w:szCs w:val="32"/>
        </w:rPr>
        <w:t>4.95%</w:t>
      </w:r>
      <w:r>
        <w:rPr>
          <w:rFonts w:eastAsia="仿宋_GB2312"/>
          <w:color w:val="000000" w:themeColor="text1"/>
          <w:sz w:val="32"/>
          <w:szCs w:val="32"/>
        </w:rPr>
        <w:t>。主要变动原因是其中人员经费支出</w:t>
      </w:r>
      <w:r>
        <w:rPr>
          <w:rFonts w:eastAsia="仿宋_GB2312"/>
          <w:color w:val="000000" w:themeColor="text1"/>
          <w:sz w:val="32"/>
          <w:szCs w:val="32"/>
        </w:rPr>
        <w:lastRenderedPageBreak/>
        <w:t>2831.81</w:t>
      </w:r>
      <w:r>
        <w:rPr>
          <w:rFonts w:eastAsia="仿宋_GB2312"/>
          <w:color w:val="000000" w:themeColor="text1"/>
          <w:sz w:val="32"/>
          <w:szCs w:val="32"/>
        </w:rPr>
        <w:t>万元，较去年增加支出</w:t>
      </w:r>
      <w:r>
        <w:rPr>
          <w:rFonts w:eastAsia="仿宋_GB2312"/>
          <w:color w:val="000000" w:themeColor="text1"/>
          <w:sz w:val="32"/>
          <w:szCs w:val="32"/>
        </w:rPr>
        <w:t>46.61</w:t>
      </w:r>
      <w:r>
        <w:rPr>
          <w:rFonts w:eastAsia="仿宋_GB2312"/>
          <w:color w:val="000000" w:themeColor="text1"/>
          <w:sz w:val="32"/>
          <w:szCs w:val="32"/>
        </w:rPr>
        <w:t>万元，同比增长</w:t>
      </w:r>
      <w:r>
        <w:rPr>
          <w:rFonts w:eastAsia="仿宋_GB2312"/>
          <w:color w:val="000000" w:themeColor="text1"/>
          <w:sz w:val="32"/>
          <w:szCs w:val="32"/>
        </w:rPr>
        <w:t>1.67%</w:t>
      </w:r>
      <w:r>
        <w:rPr>
          <w:rFonts w:eastAsia="仿宋_GB2312"/>
          <w:color w:val="000000" w:themeColor="text1"/>
          <w:sz w:val="32"/>
          <w:szCs w:val="32"/>
        </w:rPr>
        <w:t>，主要原因是正常晋升职级增加工资部分，调整五险一金基数增加缴存部分；</w:t>
      </w:r>
      <w:r>
        <w:rPr>
          <w:rFonts w:eastAsia="仿宋_GB2312"/>
          <w:color w:val="000000" w:themeColor="text1"/>
          <w:sz w:val="32"/>
          <w:szCs w:val="32"/>
        </w:rPr>
        <w:t>2023</w:t>
      </w:r>
      <w:r>
        <w:rPr>
          <w:rFonts w:eastAsia="仿宋_GB2312"/>
          <w:color w:val="000000" w:themeColor="text1"/>
          <w:sz w:val="32"/>
          <w:szCs w:val="32"/>
        </w:rPr>
        <w:t>年日常公用经费支出</w:t>
      </w:r>
      <w:r>
        <w:rPr>
          <w:rFonts w:eastAsia="仿宋_GB2312"/>
          <w:color w:val="000000" w:themeColor="text1"/>
          <w:sz w:val="32"/>
          <w:szCs w:val="32"/>
        </w:rPr>
        <w:t>359.56</w:t>
      </w:r>
      <w:r>
        <w:rPr>
          <w:rFonts w:eastAsia="仿宋_GB2312"/>
          <w:color w:val="000000" w:themeColor="text1"/>
          <w:sz w:val="32"/>
          <w:szCs w:val="32"/>
        </w:rPr>
        <w:t>万元，较去年增加</w:t>
      </w:r>
      <w:r>
        <w:rPr>
          <w:rFonts w:eastAsia="仿宋_GB2312"/>
          <w:color w:val="000000" w:themeColor="text1"/>
          <w:sz w:val="32"/>
          <w:szCs w:val="32"/>
        </w:rPr>
        <w:t>6.08</w:t>
      </w:r>
      <w:r>
        <w:rPr>
          <w:rFonts w:eastAsia="仿宋_GB2312"/>
          <w:color w:val="000000" w:themeColor="text1"/>
          <w:sz w:val="32"/>
          <w:szCs w:val="32"/>
        </w:rPr>
        <w:t>万元，同比增加</w:t>
      </w:r>
      <w:r>
        <w:rPr>
          <w:rFonts w:eastAsia="仿宋_GB2312"/>
          <w:color w:val="000000" w:themeColor="text1"/>
          <w:sz w:val="32"/>
          <w:szCs w:val="32"/>
        </w:rPr>
        <w:t>1.72%</w:t>
      </w:r>
      <w:r>
        <w:rPr>
          <w:rFonts w:eastAsia="仿宋_GB2312"/>
          <w:color w:val="000000" w:themeColor="text1"/>
          <w:sz w:val="32"/>
          <w:szCs w:val="32"/>
        </w:rPr>
        <w:t>，主要是支付征订</w:t>
      </w:r>
      <w:r>
        <w:rPr>
          <w:rFonts w:eastAsia="仿宋_GB2312"/>
          <w:color w:val="000000" w:themeColor="text1"/>
          <w:sz w:val="32"/>
          <w:szCs w:val="32"/>
        </w:rPr>
        <w:t>2023</w:t>
      </w:r>
      <w:r>
        <w:rPr>
          <w:rFonts w:eastAsia="仿宋_GB2312"/>
          <w:color w:val="000000" w:themeColor="text1"/>
          <w:sz w:val="32"/>
          <w:szCs w:val="32"/>
        </w:rPr>
        <w:t>年的报</w:t>
      </w:r>
      <w:r>
        <w:rPr>
          <w:rFonts w:eastAsia="仿宋_GB2312" w:hint="eastAsia"/>
          <w:color w:val="000000" w:themeColor="text1"/>
          <w:sz w:val="32"/>
          <w:szCs w:val="32"/>
        </w:rPr>
        <w:t>纸</w:t>
      </w:r>
      <w:r>
        <w:rPr>
          <w:rFonts w:eastAsia="仿宋_GB2312"/>
          <w:color w:val="000000" w:themeColor="text1"/>
          <w:sz w:val="32"/>
          <w:szCs w:val="32"/>
        </w:rPr>
        <w:t>杂志费及</w:t>
      </w:r>
      <w:r>
        <w:rPr>
          <w:rFonts w:eastAsia="仿宋_GB2312"/>
          <w:color w:val="000000" w:themeColor="text1"/>
          <w:sz w:val="32"/>
          <w:szCs w:val="32"/>
        </w:rPr>
        <w:t>12</w:t>
      </w:r>
      <w:r>
        <w:rPr>
          <w:rFonts w:eastAsia="仿宋_GB2312"/>
          <w:color w:val="000000" w:themeColor="text1"/>
          <w:sz w:val="32"/>
          <w:szCs w:val="32"/>
        </w:rPr>
        <w:t>月水电费；</w:t>
      </w:r>
      <w:r>
        <w:rPr>
          <w:rFonts w:eastAsia="仿宋_GB2312"/>
          <w:color w:val="000000" w:themeColor="text1"/>
          <w:sz w:val="32"/>
          <w:szCs w:val="32"/>
        </w:rPr>
        <w:t>2023</w:t>
      </w:r>
      <w:r>
        <w:rPr>
          <w:rFonts w:eastAsia="仿宋_GB2312"/>
          <w:color w:val="000000" w:themeColor="text1"/>
          <w:sz w:val="32"/>
          <w:szCs w:val="32"/>
        </w:rPr>
        <w:t>年项目经费支出</w:t>
      </w:r>
      <w:r>
        <w:rPr>
          <w:rFonts w:eastAsia="仿宋_GB2312"/>
          <w:color w:val="000000" w:themeColor="text1"/>
          <w:sz w:val="32"/>
          <w:szCs w:val="32"/>
        </w:rPr>
        <w:t>645.82</w:t>
      </w:r>
      <w:r>
        <w:rPr>
          <w:rFonts w:eastAsia="仿宋_GB2312"/>
          <w:color w:val="000000" w:themeColor="text1"/>
          <w:sz w:val="32"/>
          <w:szCs w:val="32"/>
        </w:rPr>
        <w:t>万元，较去年减少</w:t>
      </w:r>
      <w:r>
        <w:rPr>
          <w:rFonts w:eastAsia="仿宋_GB2312"/>
          <w:color w:val="000000" w:themeColor="text1"/>
          <w:sz w:val="32"/>
          <w:szCs w:val="32"/>
        </w:rPr>
        <w:t>252.52</w:t>
      </w:r>
      <w:r>
        <w:rPr>
          <w:rFonts w:eastAsia="仿宋_GB2312"/>
          <w:color w:val="000000" w:themeColor="text1"/>
          <w:sz w:val="32"/>
          <w:szCs w:val="32"/>
        </w:rPr>
        <w:t>万元，同比减少</w:t>
      </w:r>
      <w:r>
        <w:rPr>
          <w:rFonts w:eastAsia="仿宋_GB2312"/>
          <w:color w:val="000000" w:themeColor="text1"/>
          <w:sz w:val="32"/>
          <w:szCs w:val="32"/>
        </w:rPr>
        <w:t>28.11%</w:t>
      </w:r>
      <w:r>
        <w:rPr>
          <w:rFonts w:eastAsia="仿宋_GB2312"/>
          <w:color w:val="000000" w:themeColor="text1"/>
          <w:sz w:val="32"/>
          <w:szCs w:val="32"/>
        </w:rPr>
        <w:t>，主要是贯彻落实过紧日子要求，压减了综合物业费、预算管理一体化等财政业务类信息系统维护费，减少了办公大楼附属设施更新改造等专项任务，延期支付了攀枝花市本级隐性债务化解试点工作咨询服务费等。</w:t>
      </w:r>
    </w:p>
    <w:p w:rsidR="00EB6FF2" w:rsidRDefault="0011043E">
      <w:pPr>
        <w:pStyle w:val="a0"/>
        <w:spacing w:before="93"/>
        <w:jc w:val="center"/>
        <w:rPr>
          <w:rFonts w:ascii="Times New Roman"/>
        </w:rPr>
      </w:pPr>
      <w:r>
        <w:rPr>
          <w:rFonts w:ascii="Times New Roman"/>
          <w:noProof/>
        </w:rPr>
        <w:drawing>
          <wp:inline distT="0" distB="0" distL="0" distR="0">
            <wp:extent cx="5219700" cy="2933700"/>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B6FF2" w:rsidRDefault="0011043E">
      <w:pPr>
        <w:spacing w:line="600" w:lineRule="exact"/>
        <w:ind w:firstLineChars="200" w:firstLine="643"/>
        <w:outlineLvl w:val="2"/>
        <w:rPr>
          <w:rFonts w:eastAsia="楷体_GB2312"/>
          <w:b/>
          <w:sz w:val="32"/>
          <w:szCs w:val="32"/>
        </w:rPr>
      </w:pPr>
      <w:bookmarkStart w:id="30" w:name="_Toc15377211"/>
      <w:r>
        <w:rPr>
          <w:rFonts w:eastAsia="楷体_GB2312"/>
          <w:b/>
          <w:sz w:val="32"/>
          <w:szCs w:val="32"/>
        </w:rPr>
        <w:t>（二）一般公共预算财政拨款支出决算结构情况</w:t>
      </w:r>
      <w:bookmarkEnd w:id="30"/>
      <w:r>
        <w:rPr>
          <w:rFonts w:eastAsia="楷体_GB2312"/>
          <w:b/>
          <w:sz w:val="32"/>
          <w:szCs w:val="32"/>
        </w:rPr>
        <w:t>。</w:t>
      </w:r>
    </w:p>
    <w:p w:rsidR="00EB6FF2" w:rsidRDefault="0011043E">
      <w:pPr>
        <w:spacing w:line="600" w:lineRule="exact"/>
        <w:ind w:firstLine="640"/>
        <w:rPr>
          <w:rFonts w:eastAsia="仿宋_GB2312"/>
          <w:color w:val="000000" w:themeColor="text1"/>
          <w:sz w:val="32"/>
          <w:szCs w:val="32"/>
        </w:rPr>
      </w:pPr>
      <w:r>
        <w:rPr>
          <w:rFonts w:eastAsia="仿宋_GB2312"/>
          <w:color w:val="000000" w:themeColor="text1"/>
          <w:sz w:val="32"/>
          <w:szCs w:val="32"/>
        </w:rPr>
        <w:t>2023</w:t>
      </w:r>
      <w:r>
        <w:rPr>
          <w:rFonts w:eastAsia="仿宋_GB2312"/>
          <w:color w:val="000000" w:themeColor="text1"/>
          <w:sz w:val="32"/>
          <w:szCs w:val="32"/>
        </w:rPr>
        <w:t>年一般公共预算财政拨款支出</w:t>
      </w:r>
      <w:r>
        <w:rPr>
          <w:rFonts w:eastAsia="仿宋_GB2312"/>
          <w:color w:val="000000" w:themeColor="text1"/>
          <w:sz w:val="32"/>
          <w:szCs w:val="32"/>
        </w:rPr>
        <w:t>3837.19</w:t>
      </w:r>
      <w:r>
        <w:rPr>
          <w:rFonts w:eastAsia="仿宋_GB2312"/>
          <w:color w:val="000000" w:themeColor="text1"/>
          <w:sz w:val="32"/>
          <w:szCs w:val="32"/>
        </w:rPr>
        <w:t>万元，主要用于以下方面</w:t>
      </w:r>
      <w:r>
        <w:rPr>
          <w:rFonts w:eastAsia="仿宋_GB2312"/>
          <w:color w:val="000000" w:themeColor="text1"/>
          <w:sz w:val="32"/>
          <w:szCs w:val="32"/>
        </w:rPr>
        <w:t>:</w:t>
      </w:r>
      <w:r>
        <w:rPr>
          <w:rFonts w:eastAsia="仿宋_GB2312"/>
          <w:b/>
          <w:color w:val="000000" w:themeColor="text1"/>
          <w:sz w:val="32"/>
          <w:szCs w:val="32"/>
        </w:rPr>
        <w:t>一般公共服务</w:t>
      </w:r>
      <w:r>
        <w:rPr>
          <w:rFonts w:eastAsia="仿宋_GB2312"/>
          <w:b/>
          <w:bCs/>
          <w:color w:val="000000" w:themeColor="text1"/>
          <w:sz w:val="32"/>
          <w:szCs w:val="32"/>
        </w:rPr>
        <w:t>支出</w:t>
      </w:r>
      <w:r>
        <w:rPr>
          <w:rFonts w:eastAsia="仿宋_GB2312"/>
          <w:b/>
          <w:bCs/>
          <w:color w:val="000000" w:themeColor="text1"/>
          <w:sz w:val="32"/>
          <w:szCs w:val="32"/>
        </w:rPr>
        <w:t>2796.00</w:t>
      </w:r>
      <w:r>
        <w:rPr>
          <w:rFonts w:eastAsia="仿宋_GB2312"/>
          <w:color w:val="000000" w:themeColor="text1"/>
          <w:sz w:val="32"/>
          <w:szCs w:val="32"/>
        </w:rPr>
        <w:t>万元，占</w:t>
      </w:r>
      <w:r>
        <w:rPr>
          <w:rFonts w:eastAsia="仿宋_GB2312"/>
          <w:color w:val="000000" w:themeColor="text1"/>
          <w:sz w:val="32"/>
          <w:szCs w:val="32"/>
        </w:rPr>
        <w:t>72.86%</w:t>
      </w:r>
      <w:r>
        <w:rPr>
          <w:rFonts w:eastAsia="仿宋_GB2312"/>
          <w:color w:val="000000" w:themeColor="text1"/>
          <w:sz w:val="32"/>
          <w:szCs w:val="32"/>
        </w:rPr>
        <w:t>；</w:t>
      </w:r>
      <w:r>
        <w:rPr>
          <w:rFonts w:eastAsia="仿宋_GB2312"/>
          <w:b/>
          <w:color w:val="000000" w:themeColor="text1"/>
          <w:sz w:val="32"/>
          <w:szCs w:val="32"/>
        </w:rPr>
        <w:t>教育支出</w:t>
      </w:r>
      <w:r>
        <w:rPr>
          <w:rFonts w:eastAsia="仿宋_GB2312"/>
          <w:b/>
          <w:color w:val="000000" w:themeColor="text1"/>
          <w:sz w:val="32"/>
          <w:szCs w:val="32"/>
        </w:rPr>
        <w:t>0</w:t>
      </w:r>
      <w:r>
        <w:rPr>
          <w:rFonts w:eastAsia="仿宋_GB2312"/>
          <w:color w:val="000000" w:themeColor="text1"/>
          <w:sz w:val="32"/>
          <w:szCs w:val="32"/>
        </w:rPr>
        <w:t>万元，占</w:t>
      </w:r>
      <w:r>
        <w:rPr>
          <w:rFonts w:eastAsia="仿宋_GB2312"/>
          <w:color w:val="000000" w:themeColor="text1"/>
          <w:sz w:val="32"/>
          <w:szCs w:val="32"/>
        </w:rPr>
        <w:t>0%</w:t>
      </w:r>
      <w:r>
        <w:rPr>
          <w:rFonts w:eastAsia="仿宋_GB2312"/>
          <w:color w:val="000000" w:themeColor="text1"/>
          <w:sz w:val="32"/>
          <w:szCs w:val="32"/>
        </w:rPr>
        <w:t>；</w:t>
      </w:r>
      <w:r>
        <w:rPr>
          <w:rFonts w:eastAsia="仿宋_GB2312"/>
          <w:b/>
          <w:color w:val="000000" w:themeColor="text1"/>
          <w:sz w:val="32"/>
          <w:szCs w:val="32"/>
        </w:rPr>
        <w:t>科学技术</w:t>
      </w:r>
      <w:r>
        <w:rPr>
          <w:rFonts w:eastAsia="仿宋_GB2312"/>
          <w:b/>
          <w:bCs/>
          <w:color w:val="000000" w:themeColor="text1"/>
          <w:sz w:val="32"/>
          <w:szCs w:val="32"/>
        </w:rPr>
        <w:t>支出</w:t>
      </w:r>
      <w:r>
        <w:rPr>
          <w:rFonts w:eastAsia="仿宋_GB2312"/>
          <w:b/>
          <w:bCs/>
          <w:color w:val="000000" w:themeColor="text1"/>
          <w:sz w:val="32"/>
          <w:szCs w:val="32"/>
        </w:rPr>
        <w:t>0</w:t>
      </w:r>
      <w:r>
        <w:rPr>
          <w:rFonts w:eastAsia="仿宋_GB2312"/>
          <w:color w:val="000000" w:themeColor="text1"/>
          <w:sz w:val="32"/>
          <w:szCs w:val="32"/>
        </w:rPr>
        <w:t>万元，占</w:t>
      </w:r>
      <w:r>
        <w:rPr>
          <w:rFonts w:eastAsia="仿宋_GB2312"/>
          <w:color w:val="000000" w:themeColor="text1"/>
          <w:sz w:val="32"/>
          <w:szCs w:val="32"/>
        </w:rPr>
        <w:t>0%</w:t>
      </w:r>
      <w:r>
        <w:rPr>
          <w:rFonts w:eastAsia="仿宋_GB2312"/>
          <w:color w:val="000000" w:themeColor="text1"/>
          <w:sz w:val="32"/>
          <w:szCs w:val="32"/>
        </w:rPr>
        <w:t>；</w:t>
      </w:r>
      <w:r>
        <w:rPr>
          <w:rFonts w:eastAsia="仿宋_GB2312"/>
          <w:b/>
          <w:bCs/>
          <w:color w:val="000000" w:themeColor="text1"/>
          <w:sz w:val="32"/>
          <w:szCs w:val="32"/>
        </w:rPr>
        <w:t>文化旅游体</w:t>
      </w:r>
      <w:r>
        <w:rPr>
          <w:rFonts w:eastAsia="仿宋_GB2312"/>
          <w:b/>
          <w:bCs/>
          <w:color w:val="000000" w:themeColor="text1"/>
          <w:sz w:val="32"/>
          <w:szCs w:val="32"/>
        </w:rPr>
        <w:lastRenderedPageBreak/>
        <w:t>育与传媒支出</w:t>
      </w:r>
      <w:r>
        <w:rPr>
          <w:rFonts w:eastAsia="仿宋_GB2312"/>
          <w:b/>
          <w:bCs/>
          <w:color w:val="000000" w:themeColor="text1"/>
          <w:sz w:val="32"/>
          <w:szCs w:val="32"/>
        </w:rPr>
        <w:t>0</w:t>
      </w:r>
      <w:r>
        <w:rPr>
          <w:rFonts w:eastAsia="仿宋_GB2312"/>
          <w:b/>
          <w:bCs/>
          <w:color w:val="000000" w:themeColor="text1"/>
          <w:sz w:val="32"/>
          <w:szCs w:val="32"/>
        </w:rPr>
        <w:t>万元，占</w:t>
      </w:r>
      <w:r>
        <w:rPr>
          <w:rFonts w:eastAsia="仿宋_GB2312"/>
          <w:b/>
          <w:bCs/>
          <w:color w:val="000000" w:themeColor="text1"/>
          <w:sz w:val="32"/>
          <w:szCs w:val="32"/>
        </w:rPr>
        <w:t>0%</w:t>
      </w:r>
      <w:r>
        <w:rPr>
          <w:rFonts w:eastAsia="仿宋_GB2312"/>
          <w:color w:val="000000" w:themeColor="text1"/>
          <w:sz w:val="32"/>
          <w:szCs w:val="32"/>
        </w:rPr>
        <w:t>；</w:t>
      </w:r>
      <w:r>
        <w:rPr>
          <w:rFonts w:eastAsia="仿宋_GB2312"/>
          <w:b/>
          <w:color w:val="000000" w:themeColor="text1"/>
          <w:sz w:val="32"/>
          <w:szCs w:val="32"/>
        </w:rPr>
        <w:t>社会保障和就业</w:t>
      </w:r>
      <w:r>
        <w:rPr>
          <w:rFonts w:eastAsia="仿宋_GB2312"/>
          <w:b/>
          <w:bCs/>
          <w:color w:val="000000" w:themeColor="text1"/>
          <w:sz w:val="32"/>
          <w:szCs w:val="32"/>
        </w:rPr>
        <w:t>支出</w:t>
      </w:r>
      <w:r>
        <w:rPr>
          <w:rFonts w:eastAsia="仿宋_GB2312"/>
          <w:b/>
          <w:bCs/>
          <w:color w:val="000000" w:themeColor="text1"/>
          <w:sz w:val="32"/>
          <w:szCs w:val="32"/>
        </w:rPr>
        <w:t>655.43</w:t>
      </w:r>
      <w:r>
        <w:rPr>
          <w:rFonts w:eastAsia="仿宋_GB2312"/>
          <w:color w:val="000000" w:themeColor="text1"/>
          <w:sz w:val="32"/>
          <w:szCs w:val="32"/>
        </w:rPr>
        <w:t>万元，占</w:t>
      </w:r>
      <w:r>
        <w:rPr>
          <w:rFonts w:eastAsia="仿宋_GB2312"/>
          <w:color w:val="000000" w:themeColor="text1"/>
          <w:sz w:val="32"/>
          <w:szCs w:val="32"/>
        </w:rPr>
        <w:t>17.08%</w:t>
      </w:r>
      <w:r>
        <w:rPr>
          <w:rFonts w:eastAsia="仿宋_GB2312"/>
          <w:color w:val="000000" w:themeColor="text1"/>
          <w:sz w:val="32"/>
          <w:szCs w:val="32"/>
        </w:rPr>
        <w:t>；</w:t>
      </w:r>
      <w:r>
        <w:rPr>
          <w:rFonts w:eastAsia="仿宋_GB2312"/>
          <w:b/>
          <w:bCs/>
          <w:color w:val="000000" w:themeColor="text1"/>
          <w:sz w:val="32"/>
          <w:szCs w:val="32"/>
        </w:rPr>
        <w:t>卫生健康支出</w:t>
      </w:r>
      <w:r>
        <w:rPr>
          <w:rFonts w:eastAsia="仿宋_GB2312"/>
          <w:b/>
          <w:bCs/>
          <w:color w:val="000000" w:themeColor="text1"/>
          <w:sz w:val="32"/>
          <w:szCs w:val="32"/>
        </w:rPr>
        <w:t>171.62</w:t>
      </w:r>
      <w:r>
        <w:rPr>
          <w:rFonts w:eastAsia="仿宋_GB2312"/>
          <w:color w:val="000000" w:themeColor="text1"/>
          <w:sz w:val="32"/>
          <w:szCs w:val="32"/>
        </w:rPr>
        <w:t>万元，占</w:t>
      </w:r>
      <w:r>
        <w:rPr>
          <w:rFonts w:eastAsia="仿宋_GB2312"/>
          <w:color w:val="000000" w:themeColor="text1"/>
          <w:sz w:val="32"/>
          <w:szCs w:val="32"/>
        </w:rPr>
        <w:t>4.47%</w:t>
      </w:r>
      <w:r>
        <w:rPr>
          <w:rFonts w:eastAsia="仿宋_GB2312"/>
          <w:color w:val="000000" w:themeColor="text1"/>
          <w:sz w:val="32"/>
          <w:szCs w:val="32"/>
        </w:rPr>
        <w:t>；</w:t>
      </w:r>
      <w:r>
        <w:rPr>
          <w:rFonts w:eastAsia="仿宋_GB2312"/>
          <w:b/>
          <w:color w:val="000000" w:themeColor="text1"/>
          <w:sz w:val="32"/>
          <w:szCs w:val="32"/>
        </w:rPr>
        <w:t>农林水支出</w:t>
      </w:r>
      <w:r>
        <w:rPr>
          <w:rFonts w:eastAsia="仿宋_GB2312"/>
          <w:b/>
          <w:color w:val="000000" w:themeColor="text1"/>
          <w:sz w:val="32"/>
          <w:szCs w:val="32"/>
        </w:rPr>
        <w:t>2.17</w:t>
      </w:r>
      <w:r>
        <w:rPr>
          <w:rFonts w:eastAsia="仿宋_GB2312"/>
          <w:color w:val="000000" w:themeColor="text1"/>
          <w:sz w:val="32"/>
          <w:szCs w:val="32"/>
        </w:rPr>
        <w:t>万元，占</w:t>
      </w:r>
      <w:r>
        <w:rPr>
          <w:rFonts w:eastAsia="仿宋_GB2312"/>
          <w:color w:val="000000" w:themeColor="text1"/>
          <w:sz w:val="32"/>
          <w:szCs w:val="32"/>
        </w:rPr>
        <w:t>0.06%</w:t>
      </w:r>
      <w:r>
        <w:rPr>
          <w:rFonts w:eastAsia="仿宋_GB2312"/>
          <w:color w:val="000000" w:themeColor="text1"/>
          <w:sz w:val="32"/>
          <w:szCs w:val="32"/>
        </w:rPr>
        <w:t>；</w:t>
      </w:r>
      <w:r>
        <w:rPr>
          <w:rFonts w:eastAsia="仿宋_GB2312"/>
          <w:b/>
          <w:color w:val="000000" w:themeColor="text1"/>
          <w:sz w:val="32"/>
          <w:szCs w:val="32"/>
        </w:rPr>
        <w:t>资源勘探工业信息等支出</w:t>
      </w:r>
      <w:r>
        <w:rPr>
          <w:rFonts w:eastAsia="仿宋_GB2312"/>
          <w:b/>
          <w:color w:val="000000" w:themeColor="text1"/>
          <w:sz w:val="32"/>
          <w:szCs w:val="32"/>
        </w:rPr>
        <w:t>3.00</w:t>
      </w:r>
      <w:r>
        <w:rPr>
          <w:rFonts w:eastAsia="仿宋_GB2312"/>
          <w:color w:val="000000" w:themeColor="text1"/>
          <w:sz w:val="32"/>
          <w:szCs w:val="32"/>
        </w:rPr>
        <w:t>万元，占</w:t>
      </w:r>
      <w:r>
        <w:rPr>
          <w:rFonts w:eastAsia="仿宋_GB2312"/>
          <w:color w:val="000000" w:themeColor="text1"/>
          <w:sz w:val="32"/>
          <w:szCs w:val="32"/>
        </w:rPr>
        <w:t>0.08%</w:t>
      </w:r>
      <w:r>
        <w:rPr>
          <w:rFonts w:eastAsia="仿宋_GB2312"/>
          <w:color w:val="000000" w:themeColor="text1"/>
          <w:sz w:val="32"/>
          <w:szCs w:val="32"/>
        </w:rPr>
        <w:t>；</w:t>
      </w:r>
      <w:r>
        <w:rPr>
          <w:rFonts w:eastAsia="仿宋_GB2312"/>
          <w:b/>
          <w:bCs/>
          <w:color w:val="000000" w:themeColor="text1"/>
          <w:sz w:val="32"/>
          <w:szCs w:val="32"/>
        </w:rPr>
        <w:t>住房保障支出</w:t>
      </w:r>
      <w:r>
        <w:rPr>
          <w:rFonts w:eastAsia="仿宋_GB2312"/>
          <w:color w:val="000000" w:themeColor="text1"/>
          <w:sz w:val="32"/>
          <w:szCs w:val="32"/>
        </w:rPr>
        <w:t>208.97</w:t>
      </w:r>
      <w:r>
        <w:rPr>
          <w:rFonts w:eastAsia="仿宋_GB2312"/>
          <w:color w:val="000000" w:themeColor="text1"/>
          <w:sz w:val="32"/>
          <w:szCs w:val="32"/>
        </w:rPr>
        <w:t>万元，占</w:t>
      </w:r>
      <w:r>
        <w:rPr>
          <w:rFonts w:eastAsia="仿宋_GB2312"/>
          <w:color w:val="000000" w:themeColor="text1"/>
          <w:sz w:val="32"/>
          <w:szCs w:val="32"/>
        </w:rPr>
        <w:t>5.45%</w:t>
      </w:r>
      <w:r>
        <w:rPr>
          <w:rFonts w:eastAsia="仿宋_GB2312"/>
          <w:color w:val="000000" w:themeColor="text1"/>
          <w:sz w:val="32"/>
          <w:szCs w:val="32"/>
        </w:rPr>
        <w:t>。</w:t>
      </w:r>
    </w:p>
    <w:p w:rsidR="00EB6FF2" w:rsidRDefault="0011043E">
      <w:pPr>
        <w:pStyle w:val="a0"/>
        <w:spacing w:before="93"/>
        <w:jc w:val="center"/>
        <w:rPr>
          <w:rFonts w:ascii="Times New Roman"/>
        </w:rPr>
      </w:pPr>
      <w:r>
        <w:rPr>
          <w:rFonts w:ascii="Times New Roman"/>
          <w:noProof/>
        </w:rPr>
        <w:drawing>
          <wp:inline distT="0" distB="0" distL="0" distR="0">
            <wp:extent cx="5219700" cy="2857500"/>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B6FF2" w:rsidRDefault="0011043E">
      <w:pPr>
        <w:spacing w:line="600" w:lineRule="exact"/>
        <w:ind w:firstLineChars="200" w:firstLine="643"/>
        <w:outlineLvl w:val="2"/>
        <w:rPr>
          <w:rFonts w:eastAsia="楷体_GB2312"/>
          <w:b/>
          <w:sz w:val="32"/>
          <w:szCs w:val="32"/>
        </w:rPr>
      </w:pPr>
      <w:bookmarkStart w:id="31" w:name="_Toc15377212"/>
      <w:r>
        <w:rPr>
          <w:rFonts w:eastAsia="楷体_GB2312"/>
          <w:b/>
          <w:sz w:val="32"/>
          <w:szCs w:val="32"/>
        </w:rPr>
        <w:t>（三）一般公共预算财政拨款支出决算具体情况</w:t>
      </w:r>
      <w:bookmarkEnd w:id="31"/>
      <w:r>
        <w:rPr>
          <w:rFonts w:eastAsia="楷体_GB2312"/>
          <w:b/>
          <w:sz w:val="32"/>
          <w:szCs w:val="32"/>
        </w:rPr>
        <w:t>。</w:t>
      </w:r>
    </w:p>
    <w:p w:rsidR="00EB6FF2" w:rsidRDefault="0011043E">
      <w:pPr>
        <w:spacing w:line="600" w:lineRule="exact"/>
        <w:ind w:firstLineChars="200" w:firstLine="643"/>
        <w:outlineLvl w:val="2"/>
        <w:rPr>
          <w:rFonts w:eastAsia="仿宋_GB2312"/>
          <w:sz w:val="32"/>
          <w:szCs w:val="32"/>
        </w:rPr>
      </w:pPr>
      <w:bookmarkStart w:id="32" w:name="_Toc15378460"/>
      <w:bookmarkStart w:id="33" w:name="_Toc15377213"/>
      <w:bookmarkStart w:id="34" w:name="_Toc15377444"/>
      <w:r>
        <w:rPr>
          <w:rFonts w:eastAsia="仿宋_GB2312"/>
          <w:b/>
          <w:sz w:val="32"/>
          <w:szCs w:val="32"/>
        </w:rPr>
        <w:t>2023</w:t>
      </w:r>
      <w:r>
        <w:rPr>
          <w:rFonts w:eastAsia="仿宋_GB2312"/>
          <w:b/>
          <w:sz w:val="32"/>
          <w:szCs w:val="32"/>
        </w:rPr>
        <w:t>年一般公共预算支出决算数为</w:t>
      </w:r>
      <w:r>
        <w:rPr>
          <w:rFonts w:eastAsia="仿宋_GB2312"/>
          <w:b/>
          <w:sz w:val="32"/>
          <w:szCs w:val="32"/>
        </w:rPr>
        <w:t>3837.19</w:t>
      </w:r>
      <w:r>
        <w:rPr>
          <w:rFonts w:eastAsia="仿宋_GB2312"/>
          <w:sz w:val="32"/>
          <w:szCs w:val="32"/>
        </w:rPr>
        <w:t>，</w:t>
      </w:r>
      <w:r>
        <w:rPr>
          <w:rStyle w:val="ad"/>
          <w:rFonts w:eastAsia="仿宋_GB2312"/>
          <w:bCs/>
          <w:sz w:val="32"/>
          <w:szCs w:val="32"/>
        </w:rPr>
        <w:t>完成预算</w:t>
      </w:r>
      <w:r>
        <w:rPr>
          <w:rStyle w:val="ad"/>
          <w:rFonts w:eastAsia="仿宋_GB2312"/>
          <w:bCs/>
          <w:sz w:val="32"/>
          <w:szCs w:val="32"/>
        </w:rPr>
        <w:t>100%</w:t>
      </w:r>
      <w:r>
        <w:rPr>
          <w:rStyle w:val="ad"/>
          <w:rFonts w:eastAsia="仿宋_GB2312"/>
          <w:bCs/>
          <w:sz w:val="32"/>
          <w:szCs w:val="32"/>
        </w:rPr>
        <w:t>。其中：</w:t>
      </w:r>
      <w:bookmarkEnd w:id="32"/>
      <w:bookmarkEnd w:id="33"/>
      <w:bookmarkEnd w:id="34"/>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w:t>
      </w:r>
      <w:r>
        <w:rPr>
          <w:rStyle w:val="ad"/>
          <w:rFonts w:eastAsia="仿宋_GB2312"/>
          <w:bCs/>
          <w:sz w:val="32"/>
          <w:szCs w:val="32"/>
        </w:rPr>
        <w:t>一般公共服务（类）财政事务（款）行政运行（项）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1878.70</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2.</w:t>
      </w:r>
      <w:r>
        <w:rPr>
          <w:rStyle w:val="ad"/>
          <w:rFonts w:eastAsia="仿宋_GB2312"/>
          <w:bCs/>
          <w:sz w:val="32"/>
          <w:szCs w:val="32"/>
        </w:rPr>
        <w:t>一般公共服务（类）财政事务（款）机关服务（项）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w:t>
      </w:r>
      <w:r>
        <w:rPr>
          <w:rStyle w:val="ad"/>
          <w:rFonts w:eastAsia="仿宋_GB2312"/>
          <w:b w:val="0"/>
          <w:bCs/>
          <w:sz w:val="32"/>
          <w:szCs w:val="32"/>
        </w:rPr>
        <w:t>220.65</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3.</w:t>
      </w:r>
      <w:r>
        <w:rPr>
          <w:rStyle w:val="ad"/>
          <w:rFonts w:eastAsia="仿宋_GB2312"/>
          <w:bCs/>
          <w:sz w:val="32"/>
          <w:szCs w:val="32"/>
        </w:rPr>
        <w:t>一般公共服务（类）财政事务（款）信息化建设（项）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152.80</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lastRenderedPageBreak/>
        <w:t>4.</w:t>
      </w:r>
      <w:r>
        <w:rPr>
          <w:rStyle w:val="ad"/>
          <w:rFonts w:eastAsia="仿宋_GB2312"/>
          <w:bCs/>
          <w:sz w:val="32"/>
          <w:szCs w:val="32"/>
        </w:rPr>
        <w:t>一般公共服务（类）财政事务（款）财政委托业务支出（项）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227.95</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5.</w:t>
      </w:r>
      <w:r>
        <w:rPr>
          <w:rStyle w:val="ad"/>
          <w:rFonts w:eastAsia="仿宋_GB2312"/>
          <w:bCs/>
          <w:sz w:val="32"/>
          <w:szCs w:val="32"/>
        </w:rPr>
        <w:t>一般公共服务（类）财政事务（款）事业运行（项）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275.04</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6.</w:t>
      </w:r>
      <w:r>
        <w:rPr>
          <w:rStyle w:val="ad"/>
          <w:rFonts w:eastAsia="仿宋_GB2312"/>
          <w:bCs/>
          <w:sz w:val="32"/>
          <w:szCs w:val="32"/>
        </w:rPr>
        <w:t>一般公共服务（类）财政事务（款）其他财政事务支出（项）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38.54</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7.</w:t>
      </w:r>
      <w:r>
        <w:rPr>
          <w:rStyle w:val="ad"/>
          <w:rFonts w:eastAsia="仿宋_GB2312"/>
          <w:bCs/>
          <w:sz w:val="32"/>
          <w:szCs w:val="32"/>
        </w:rPr>
        <w:t>一般公共服务（类）纪检监察事务（款）派出派驻机构（项）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1.00</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8.</w:t>
      </w:r>
      <w:r>
        <w:rPr>
          <w:rStyle w:val="ad"/>
          <w:rFonts w:eastAsia="仿宋_GB2312"/>
          <w:bCs/>
          <w:sz w:val="32"/>
          <w:szCs w:val="32"/>
        </w:rPr>
        <w:t>一般公共服务（类）组织事务（款）其他组织事务支出（项）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1.33</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9.</w:t>
      </w:r>
      <w:r>
        <w:rPr>
          <w:rStyle w:val="ad"/>
          <w:rFonts w:eastAsia="仿宋_GB2312"/>
          <w:bCs/>
          <w:sz w:val="32"/>
          <w:szCs w:val="32"/>
        </w:rPr>
        <w:t>社会保障和就业（类）人力资源和社会保障管理事务（款）其他人力资源和社会保障管理事务支出（项）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0.35</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10.</w:t>
      </w:r>
      <w:r>
        <w:rPr>
          <w:rStyle w:val="ad"/>
          <w:rFonts w:eastAsia="仿宋_GB2312"/>
          <w:bCs/>
          <w:sz w:val="32"/>
          <w:szCs w:val="32"/>
        </w:rPr>
        <w:t>社会保障和就业（类）行政事业单位养老支出（款）行政单位离退休（项）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287.95</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11.</w:t>
      </w:r>
      <w:r>
        <w:rPr>
          <w:rStyle w:val="ad"/>
          <w:rFonts w:eastAsia="仿宋_GB2312"/>
          <w:bCs/>
          <w:sz w:val="32"/>
          <w:szCs w:val="32"/>
        </w:rPr>
        <w:t>社会保障和就业</w:t>
      </w:r>
      <w:r>
        <w:rPr>
          <w:rStyle w:val="ad"/>
          <w:rFonts w:eastAsia="仿宋_GB2312"/>
          <w:bCs/>
          <w:sz w:val="32"/>
          <w:szCs w:val="32"/>
        </w:rPr>
        <w:t>（类）行政事业单位养老支出（款）事业单位离退休（项）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22.84</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12.</w:t>
      </w:r>
      <w:r>
        <w:rPr>
          <w:rStyle w:val="ad"/>
          <w:rFonts w:eastAsia="仿宋_GB2312"/>
          <w:bCs/>
          <w:sz w:val="32"/>
          <w:szCs w:val="32"/>
        </w:rPr>
        <w:t>社会保障和就业（类）行政事业单位养老支出（款）机关事业单位基本养老保险缴费支出（项）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292.33</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13.</w:t>
      </w:r>
      <w:r>
        <w:rPr>
          <w:rStyle w:val="ad"/>
          <w:rFonts w:eastAsia="仿宋_GB2312"/>
          <w:bCs/>
          <w:sz w:val="32"/>
          <w:szCs w:val="32"/>
        </w:rPr>
        <w:t>社会保障和就业（类）行政事业单位养老支出（款）机</w:t>
      </w:r>
      <w:r>
        <w:rPr>
          <w:rStyle w:val="ad"/>
          <w:rFonts w:eastAsia="仿宋_GB2312"/>
          <w:bCs/>
          <w:sz w:val="32"/>
          <w:szCs w:val="32"/>
        </w:rPr>
        <w:lastRenderedPageBreak/>
        <w:t>关事业单位职业年金缴费支出（项）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7.15</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14.</w:t>
      </w:r>
      <w:r>
        <w:rPr>
          <w:rStyle w:val="ad"/>
          <w:rFonts w:eastAsia="仿宋_GB2312"/>
          <w:bCs/>
          <w:sz w:val="32"/>
          <w:szCs w:val="32"/>
        </w:rPr>
        <w:t>社会保障和就业（类）抚恤（款）死亡抚恤（项）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43.60</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15.</w:t>
      </w:r>
      <w:r>
        <w:rPr>
          <w:rStyle w:val="ad"/>
          <w:rFonts w:eastAsia="仿宋_GB2312"/>
          <w:bCs/>
          <w:sz w:val="32"/>
          <w:szCs w:val="32"/>
        </w:rPr>
        <w:t>社会保障和就业（类）社会福利</w:t>
      </w:r>
      <w:r>
        <w:rPr>
          <w:rStyle w:val="ad"/>
          <w:rFonts w:eastAsia="仿宋_GB2312"/>
          <w:bCs/>
          <w:sz w:val="32"/>
          <w:szCs w:val="32"/>
        </w:rPr>
        <w:t>（款）儿童福利（项）</w:t>
      </w:r>
      <w:r>
        <w:rPr>
          <w:rStyle w:val="ad"/>
          <w:rFonts w:eastAsia="仿宋_GB2312"/>
          <w:bCs/>
          <w:sz w:val="32"/>
          <w:szCs w:val="32"/>
        </w:rPr>
        <w:t>:</w:t>
      </w:r>
      <w:r>
        <w:rPr>
          <w:rStyle w:val="ad"/>
          <w:rFonts w:eastAsia="仿宋_GB2312"/>
          <w:b w:val="0"/>
          <w:bCs/>
          <w:sz w:val="32"/>
          <w:szCs w:val="32"/>
        </w:rPr>
        <w:t xml:space="preserve"> </w:t>
      </w:r>
      <w:r>
        <w:rPr>
          <w:rStyle w:val="ad"/>
          <w:rFonts w:eastAsia="仿宋_GB2312"/>
          <w:b w:val="0"/>
          <w:bCs/>
          <w:sz w:val="32"/>
          <w:szCs w:val="32"/>
        </w:rPr>
        <w:t>支出决算为</w:t>
      </w:r>
      <w:r>
        <w:rPr>
          <w:rStyle w:val="ad"/>
          <w:rFonts w:eastAsia="仿宋_GB2312"/>
          <w:b w:val="0"/>
          <w:bCs/>
          <w:sz w:val="32"/>
          <w:szCs w:val="32"/>
        </w:rPr>
        <w:t>1.20</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16.</w:t>
      </w:r>
      <w:r>
        <w:rPr>
          <w:rFonts w:eastAsia="仿宋_GB2312"/>
          <w:b/>
          <w:bCs/>
          <w:sz w:val="32"/>
          <w:szCs w:val="32"/>
        </w:rPr>
        <w:t>卫生健康支出</w:t>
      </w:r>
      <w:r>
        <w:rPr>
          <w:rStyle w:val="ad"/>
          <w:rFonts w:eastAsia="仿宋_GB2312"/>
          <w:bCs/>
          <w:sz w:val="32"/>
          <w:szCs w:val="32"/>
        </w:rPr>
        <w:t>（类））行政事业单位医疗（款）行政单位医疗（项）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117.27</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r>
        <w:rPr>
          <w:rStyle w:val="ad"/>
          <w:rFonts w:eastAsia="仿宋_GB2312"/>
          <w:b w:val="0"/>
          <w:bCs/>
          <w:sz w:val="32"/>
          <w:szCs w:val="32"/>
        </w:rPr>
        <w:t xml:space="preserve"> </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17.</w:t>
      </w:r>
      <w:r>
        <w:rPr>
          <w:rFonts w:eastAsia="仿宋_GB2312"/>
          <w:b/>
          <w:bCs/>
          <w:sz w:val="32"/>
          <w:szCs w:val="32"/>
        </w:rPr>
        <w:t>卫生健康支出</w:t>
      </w:r>
      <w:r>
        <w:rPr>
          <w:rStyle w:val="ad"/>
          <w:rFonts w:eastAsia="仿宋_GB2312"/>
          <w:bCs/>
          <w:sz w:val="32"/>
          <w:szCs w:val="32"/>
        </w:rPr>
        <w:t>（类））行政事业单位医疗（款）事业单位医疗（项）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20.25</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18.</w:t>
      </w:r>
      <w:r>
        <w:rPr>
          <w:rFonts w:eastAsia="仿宋_GB2312"/>
          <w:b/>
          <w:bCs/>
          <w:sz w:val="32"/>
          <w:szCs w:val="32"/>
        </w:rPr>
        <w:t>卫生健康支出</w:t>
      </w:r>
      <w:r>
        <w:rPr>
          <w:rStyle w:val="ad"/>
          <w:rFonts w:eastAsia="仿宋_GB2312"/>
          <w:bCs/>
          <w:sz w:val="32"/>
          <w:szCs w:val="32"/>
        </w:rPr>
        <w:t>（类））行政事业单位医疗（款）公务员医疗补助（项）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15.04</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19.</w:t>
      </w:r>
      <w:r>
        <w:rPr>
          <w:rFonts w:eastAsia="仿宋_GB2312"/>
          <w:b/>
          <w:bCs/>
          <w:sz w:val="32"/>
          <w:szCs w:val="32"/>
        </w:rPr>
        <w:t>卫生健康支出</w:t>
      </w:r>
      <w:r>
        <w:rPr>
          <w:rStyle w:val="ad"/>
          <w:rFonts w:eastAsia="仿宋_GB2312"/>
          <w:bCs/>
          <w:sz w:val="32"/>
          <w:szCs w:val="32"/>
        </w:rPr>
        <w:t>（类））行政事业单位医疗（款）其他行政事业单位医疗支出（项）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16.</w:t>
      </w:r>
      <w:r>
        <w:rPr>
          <w:rStyle w:val="ad"/>
          <w:rFonts w:eastAsia="仿宋_GB2312"/>
          <w:b w:val="0"/>
          <w:bCs/>
          <w:sz w:val="32"/>
          <w:szCs w:val="32"/>
        </w:rPr>
        <w:t>79</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20.</w:t>
      </w:r>
      <w:r>
        <w:rPr>
          <w:rFonts w:eastAsia="仿宋_GB2312"/>
          <w:b/>
          <w:bCs/>
          <w:sz w:val="32"/>
          <w:szCs w:val="32"/>
        </w:rPr>
        <w:t>卫生健康</w:t>
      </w:r>
      <w:r>
        <w:rPr>
          <w:rStyle w:val="ad"/>
          <w:rFonts w:eastAsia="仿宋_GB2312"/>
          <w:bCs/>
          <w:sz w:val="32"/>
          <w:szCs w:val="32"/>
        </w:rPr>
        <w:t>（类）其他卫生健康支出（款）其他卫生健康支出（项）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2.27</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21.</w:t>
      </w:r>
      <w:r>
        <w:rPr>
          <w:rFonts w:eastAsia="仿宋_GB2312"/>
          <w:b/>
          <w:bCs/>
          <w:sz w:val="32"/>
          <w:szCs w:val="32"/>
        </w:rPr>
        <w:t>农林水支出</w:t>
      </w:r>
      <w:r>
        <w:rPr>
          <w:rStyle w:val="ad"/>
          <w:rFonts w:eastAsia="仿宋_GB2312"/>
          <w:bCs/>
          <w:sz w:val="32"/>
          <w:szCs w:val="32"/>
        </w:rPr>
        <w:t>（类）农业农村（款）其他农业农村支出（项）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2.17</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t>22.</w:t>
      </w:r>
      <w:r>
        <w:rPr>
          <w:rFonts w:eastAsia="仿宋_GB2312"/>
        </w:rPr>
        <w:t xml:space="preserve"> </w:t>
      </w:r>
      <w:r>
        <w:rPr>
          <w:rFonts w:eastAsia="仿宋_GB2312"/>
          <w:b/>
          <w:bCs/>
          <w:sz w:val="32"/>
          <w:szCs w:val="32"/>
        </w:rPr>
        <w:t>资源勘探工业信息等支出</w:t>
      </w:r>
      <w:r>
        <w:rPr>
          <w:rStyle w:val="ad"/>
          <w:rFonts w:eastAsia="仿宋_GB2312"/>
          <w:bCs/>
          <w:sz w:val="32"/>
          <w:szCs w:val="32"/>
        </w:rPr>
        <w:t>（类）支持中小企业发展和管理支出（款）其他支持中小企业发展和管理支出（项）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3.00</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spacing w:line="600" w:lineRule="exact"/>
        <w:ind w:firstLineChars="200" w:firstLine="643"/>
        <w:rPr>
          <w:rStyle w:val="ad"/>
          <w:rFonts w:eastAsia="仿宋_GB2312"/>
          <w:b w:val="0"/>
          <w:bCs/>
          <w:sz w:val="32"/>
          <w:szCs w:val="32"/>
        </w:rPr>
      </w:pPr>
      <w:r>
        <w:rPr>
          <w:rStyle w:val="ad"/>
          <w:rFonts w:eastAsia="仿宋_GB2312"/>
          <w:bCs/>
          <w:sz w:val="32"/>
          <w:szCs w:val="32"/>
        </w:rPr>
        <w:lastRenderedPageBreak/>
        <w:t>23.</w:t>
      </w:r>
      <w:r>
        <w:rPr>
          <w:rFonts w:eastAsia="仿宋_GB2312"/>
        </w:rPr>
        <w:t xml:space="preserve"> </w:t>
      </w:r>
      <w:r>
        <w:rPr>
          <w:rFonts w:eastAsia="仿宋_GB2312"/>
          <w:b/>
          <w:bCs/>
          <w:sz w:val="32"/>
          <w:szCs w:val="32"/>
        </w:rPr>
        <w:t>住房保障支出</w:t>
      </w:r>
      <w:r>
        <w:rPr>
          <w:rStyle w:val="ad"/>
          <w:rFonts w:eastAsia="仿宋_GB2312"/>
          <w:bCs/>
          <w:sz w:val="32"/>
          <w:szCs w:val="32"/>
        </w:rPr>
        <w:t>（类）住房改革支出（款）住房公积金（项）</w:t>
      </w:r>
      <w:r>
        <w:rPr>
          <w:rStyle w:val="ad"/>
          <w:rFonts w:eastAsia="仿宋_GB2312"/>
          <w:bCs/>
          <w:sz w:val="32"/>
          <w:szCs w:val="32"/>
        </w:rPr>
        <w:t>:</w:t>
      </w:r>
      <w:r>
        <w:rPr>
          <w:rStyle w:val="ad"/>
          <w:rFonts w:eastAsia="仿宋_GB2312"/>
          <w:b w:val="0"/>
          <w:bCs/>
          <w:sz w:val="32"/>
          <w:szCs w:val="32"/>
        </w:rPr>
        <w:t>支出决算为</w:t>
      </w:r>
      <w:r>
        <w:rPr>
          <w:rStyle w:val="ad"/>
          <w:rFonts w:eastAsia="仿宋_GB2312"/>
          <w:b w:val="0"/>
          <w:bCs/>
          <w:sz w:val="32"/>
          <w:szCs w:val="32"/>
        </w:rPr>
        <w:t>208.97</w:t>
      </w:r>
      <w:r>
        <w:rPr>
          <w:rStyle w:val="ad"/>
          <w:rFonts w:eastAsia="仿宋_GB2312"/>
          <w:b w:val="0"/>
          <w:bCs/>
          <w:sz w:val="32"/>
          <w:szCs w:val="32"/>
        </w:rPr>
        <w:t>万元，完成预算</w:t>
      </w:r>
      <w:r>
        <w:rPr>
          <w:rStyle w:val="ad"/>
          <w:rFonts w:eastAsia="仿宋_GB2312"/>
          <w:b w:val="0"/>
          <w:bCs/>
          <w:sz w:val="32"/>
          <w:szCs w:val="32"/>
        </w:rPr>
        <w:t>100%</w:t>
      </w:r>
      <w:r>
        <w:rPr>
          <w:rStyle w:val="ad"/>
          <w:rFonts w:eastAsia="仿宋_GB2312"/>
          <w:b w:val="0"/>
          <w:bCs/>
          <w:sz w:val="32"/>
          <w:szCs w:val="32"/>
        </w:rPr>
        <w:t>。</w:t>
      </w:r>
    </w:p>
    <w:p w:rsidR="00EB6FF2" w:rsidRDefault="0011043E">
      <w:pPr>
        <w:tabs>
          <w:tab w:val="right" w:pos="8306"/>
        </w:tabs>
        <w:spacing w:line="600" w:lineRule="exact"/>
        <w:ind w:firstLine="640"/>
        <w:outlineLvl w:val="1"/>
        <w:rPr>
          <w:rStyle w:val="20"/>
          <w:rFonts w:ascii="Times New Roman" w:eastAsia="黑体" w:hAnsi="Times New Roman" w:cs="Times New Roman"/>
        </w:rPr>
      </w:pPr>
      <w:bookmarkStart w:id="35" w:name="_Toc15396608"/>
      <w:bookmarkStart w:id="36" w:name="_Toc15377214"/>
      <w:r>
        <w:rPr>
          <w:rFonts w:eastAsia="黑体"/>
          <w:sz w:val="32"/>
          <w:szCs w:val="32"/>
        </w:rPr>
        <w:t>六</w:t>
      </w:r>
      <w:r>
        <w:rPr>
          <w:rFonts w:eastAsia="黑体"/>
          <w:b/>
          <w:sz w:val="32"/>
          <w:szCs w:val="32"/>
        </w:rPr>
        <w:t>、一</w:t>
      </w:r>
      <w:r>
        <w:rPr>
          <w:rStyle w:val="20"/>
          <w:rFonts w:ascii="Times New Roman" w:eastAsia="黑体" w:hAnsi="Times New Roman" w:cs="Times New Roman"/>
          <w:b w:val="0"/>
        </w:rPr>
        <w:t>般公共预算财政拨款基本支出决算情况说明</w:t>
      </w:r>
      <w:bookmarkEnd w:id="35"/>
      <w:bookmarkEnd w:id="36"/>
      <w:r>
        <w:rPr>
          <w:rStyle w:val="20"/>
          <w:rFonts w:ascii="Times New Roman" w:eastAsia="黑体" w:hAnsi="Times New Roman" w:cs="Times New Roman"/>
          <w:b w:val="0"/>
        </w:rPr>
        <w:tab/>
      </w:r>
    </w:p>
    <w:p w:rsidR="00EB6FF2" w:rsidRDefault="0011043E">
      <w:pPr>
        <w:spacing w:line="600" w:lineRule="exact"/>
        <w:ind w:firstLine="645"/>
        <w:rPr>
          <w:rFonts w:eastAsia="仿宋_GB2312"/>
          <w:sz w:val="32"/>
          <w:szCs w:val="32"/>
        </w:rPr>
      </w:pPr>
      <w:r>
        <w:rPr>
          <w:rFonts w:eastAsia="仿宋_GB2312"/>
          <w:sz w:val="32"/>
          <w:szCs w:val="32"/>
        </w:rPr>
        <w:t>2023</w:t>
      </w:r>
      <w:r>
        <w:rPr>
          <w:rFonts w:eastAsia="仿宋_GB2312"/>
          <w:sz w:val="32"/>
          <w:szCs w:val="32"/>
        </w:rPr>
        <w:t>年一般公共预算财政拨款基本支出</w:t>
      </w:r>
      <w:r>
        <w:rPr>
          <w:rFonts w:eastAsia="仿宋_GB2312"/>
          <w:sz w:val="32"/>
          <w:szCs w:val="32"/>
        </w:rPr>
        <w:t>3191.37</w:t>
      </w:r>
      <w:r>
        <w:rPr>
          <w:rFonts w:eastAsia="仿宋_GB2312"/>
          <w:sz w:val="32"/>
          <w:szCs w:val="32"/>
        </w:rPr>
        <w:t>万元，其中：</w:t>
      </w:r>
    </w:p>
    <w:p w:rsidR="00EB6FF2" w:rsidRDefault="0011043E">
      <w:pPr>
        <w:spacing w:line="600" w:lineRule="exact"/>
        <w:ind w:firstLine="645"/>
        <w:rPr>
          <w:rFonts w:eastAsia="仿宋_GB2312"/>
          <w:sz w:val="32"/>
          <w:szCs w:val="32"/>
        </w:rPr>
      </w:pPr>
      <w:r>
        <w:rPr>
          <w:rFonts w:eastAsia="仿宋_GB2312"/>
          <w:sz w:val="32"/>
          <w:szCs w:val="32"/>
        </w:rPr>
        <w:t>人员经费</w:t>
      </w:r>
      <w:r>
        <w:rPr>
          <w:rFonts w:eastAsia="仿宋_GB2312"/>
          <w:sz w:val="32"/>
          <w:szCs w:val="32"/>
        </w:rPr>
        <w:t>2831.81</w:t>
      </w:r>
      <w:r>
        <w:rPr>
          <w:rFonts w:eastAsia="仿宋_GB2312"/>
          <w:sz w:val="32"/>
          <w:szCs w:val="32"/>
        </w:rPr>
        <w:t>万元，主要包括：基本工资、津贴补贴、奖金、绩效工资、机关事业单位基本养老保险缴费、职业年金缴费、职工基本医疗保险缴费、公务员医疗补助缴费、其他社会保障缴费、住房公积金、抚恤金、生活补助、医疗费补助、其他对个人和家庭的补助支出等。</w:t>
      </w:r>
      <w:r>
        <w:rPr>
          <w:rFonts w:eastAsia="仿宋_GB2312"/>
          <w:sz w:val="32"/>
          <w:szCs w:val="32"/>
        </w:rPr>
        <w:br/>
      </w:r>
      <w:r>
        <w:rPr>
          <w:rFonts w:eastAsia="仿宋_GB2312"/>
          <w:sz w:val="32"/>
          <w:szCs w:val="32"/>
        </w:rPr>
        <w:t xml:space="preserve">　　公用经费</w:t>
      </w:r>
      <w:r>
        <w:rPr>
          <w:rFonts w:eastAsia="仿宋_GB2312"/>
          <w:sz w:val="32"/>
          <w:szCs w:val="32"/>
        </w:rPr>
        <w:t>359.56</w:t>
      </w:r>
      <w:r>
        <w:rPr>
          <w:rFonts w:eastAsia="仿宋_GB2312"/>
          <w:sz w:val="32"/>
          <w:szCs w:val="32"/>
        </w:rPr>
        <w:t>万元，主要包括：办公费、咨询费、水费、电费、邮电费、差旅费、租赁费、会议费、培训费、公务接待费、劳务费、工会经费、福利费、公务用</w:t>
      </w:r>
      <w:r>
        <w:rPr>
          <w:rFonts w:eastAsia="仿宋_GB2312"/>
          <w:sz w:val="32"/>
          <w:szCs w:val="32"/>
        </w:rPr>
        <w:t>车运行维护费、其他交通费、其他商品和服务支出、办公设备购置等。</w:t>
      </w:r>
    </w:p>
    <w:p w:rsidR="00EB6FF2" w:rsidRDefault="0011043E">
      <w:pPr>
        <w:spacing w:line="600" w:lineRule="exact"/>
        <w:ind w:firstLine="640"/>
        <w:outlineLvl w:val="1"/>
        <w:rPr>
          <w:rStyle w:val="20"/>
          <w:rFonts w:ascii="Times New Roman" w:eastAsia="黑体" w:hAnsi="Times New Roman" w:cs="Times New Roman"/>
          <w:b w:val="0"/>
        </w:rPr>
      </w:pPr>
      <w:bookmarkStart w:id="37" w:name="_Toc15396609"/>
      <w:bookmarkStart w:id="38" w:name="_Toc15377215"/>
      <w:r>
        <w:rPr>
          <w:rFonts w:eastAsia="黑体"/>
          <w:sz w:val="32"/>
          <w:szCs w:val="32"/>
        </w:rPr>
        <w:t>七、</w:t>
      </w:r>
      <w:r>
        <w:rPr>
          <w:rStyle w:val="20"/>
          <w:rFonts w:ascii="Times New Roman" w:eastAsia="黑体" w:hAnsi="Times New Roman" w:cs="Times New Roman"/>
          <w:b w:val="0"/>
        </w:rPr>
        <w:t>财政拨款</w:t>
      </w:r>
      <w:r>
        <w:rPr>
          <w:rStyle w:val="20"/>
          <w:rFonts w:ascii="Times New Roman" w:eastAsia="黑体" w:hAnsi="Times New Roman" w:cs="Times New Roman"/>
        </w:rPr>
        <w:t>“</w:t>
      </w:r>
      <w:r>
        <w:rPr>
          <w:rStyle w:val="20"/>
          <w:rFonts w:ascii="Times New Roman" w:eastAsia="黑体" w:hAnsi="Times New Roman" w:cs="Times New Roman"/>
          <w:b w:val="0"/>
        </w:rPr>
        <w:t>三公</w:t>
      </w:r>
      <w:r>
        <w:rPr>
          <w:rStyle w:val="20"/>
          <w:rFonts w:ascii="Times New Roman" w:eastAsia="黑体" w:hAnsi="Times New Roman" w:cs="Times New Roman"/>
          <w:b w:val="0"/>
        </w:rPr>
        <w:t>”</w:t>
      </w:r>
      <w:r>
        <w:rPr>
          <w:rStyle w:val="20"/>
          <w:rFonts w:ascii="Times New Roman" w:eastAsia="黑体" w:hAnsi="Times New Roman" w:cs="Times New Roman"/>
          <w:b w:val="0"/>
        </w:rPr>
        <w:t>经费支出决算情况说明</w:t>
      </w:r>
      <w:bookmarkEnd w:id="37"/>
      <w:bookmarkEnd w:id="38"/>
    </w:p>
    <w:p w:rsidR="00EB6FF2" w:rsidRDefault="0011043E">
      <w:pPr>
        <w:spacing w:line="600" w:lineRule="exact"/>
        <w:ind w:firstLine="640"/>
        <w:outlineLvl w:val="2"/>
        <w:rPr>
          <w:rFonts w:eastAsia="楷体_GB2312"/>
          <w:b/>
          <w:sz w:val="32"/>
          <w:szCs w:val="32"/>
        </w:rPr>
      </w:pPr>
      <w:bookmarkStart w:id="39" w:name="_Toc15377216"/>
      <w:r>
        <w:rPr>
          <w:rFonts w:eastAsia="楷体_GB2312"/>
          <w:b/>
          <w:sz w:val="32"/>
          <w:szCs w:val="32"/>
        </w:rPr>
        <w:t>（一）</w:t>
      </w:r>
      <w:r>
        <w:rPr>
          <w:rFonts w:eastAsia="楷体_GB2312"/>
          <w:b/>
          <w:sz w:val="32"/>
          <w:szCs w:val="32"/>
        </w:rPr>
        <w:t>“</w:t>
      </w:r>
      <w:r>
        <w:rPr>
          <w:rFonts w:eastAsia="楷体_GB2312"/>
          <w:b/>
          <w:sz w:val="32"/>
          <w:szCs w:val="32"/>
        </w:rPr>
        <w:t>三公</w:t>
      </w:r>
      <w:r>
        <w:rPr>
          <w:rFonts w:eastAsia="楷体_GB2312"/>
          <w:b/>
          <w:sz w:val="32"/>
          <w:szCs w:val="32"/>
        </w:rPr>
        <w:t>”</w:t>
      </w:r>
      <w:r>
        <w:rPr>
          <w:rFonts w:eastAsia="楷体_GB2312"/>
          <w:b/>
          <w:sz w:val="32"/>
          <w:szCs w:val="32"/>
        </w:rPr>
        <w:t>经费财政拨款支出决算总体情况说明</w:t>
      </w:r>
      <w:bookmarkEnd w:id="39"/>
      <w:r>
        <w:rPr>
          <w:rFonts w:eastAsia="楷体_GB2312"/>
          <w:b/>
          <w:sz w:val="32"/>
          <w:szCs w:val="32"/>
        </w:rPr>
        <w:t>。</w:t>
      </w:r>
    </w:p>
    <w:p w:rsidR="00EB6FF2" w:rsidRDefault="0011043E">
      <w:pPr>
        <w:spacing w:line="600" w:lineRule="exact"/>
        <w:ind w:firstLine="640"/>
        <w:rPr>
          <w:rFonts w:eastAsia="仿宋_GB2312"/>
          <w:b/>
          <w:sz w:val="32"/>
          <w:szCs w:val="32"/>
        </w:rPr>
      </w:pPr>
      <w:r>
        <w:rPr>
          <w:rFonts w:eastAsia="仿宋_GB2312"/>
          <w:sz w:val="32"/>
          <w:szCs w:val="32"/>
        </w:rPr>
        <w:t>2023</w:t>
      </w:r>
      <w:r>
        <w:rPr>
          <w:rFonts w:eastAsia="仿宋_GB2312"/>
          <w:sz w:val="32"/>
          <w:szCs w:val="32"/>
        </w:rPr>
        <w:t>年</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经费财政拨款支出决算为</w:t>
      </w:r>
      <w:r>
        <w:rPr>
          <w:rFonts w:eastAsia="仿宋_GB2312"/>
          <w:sz w:val="32"/>
          <w:szCs w:val="32"/>
        </w:rPr>
        <w:t>11.31</w:t>
      </w:r>
      <w:r>
        <w:rPr>
          <w:rFonts w:eastAsia="仿宋_GB2312"/>
          <w:sz w:val="32"/>
          <w:szCs w:val="32"/>
        </w:rPr>
        <w:t>万元，完成预算</w:t>
      </w:r>
      <w:r>
        <w:rPr>
          <w:rFonts w:eastAsia="仿宋_GB2312"/>
          <w:sz w:val="32"/>
          <w:szCs w:val="32"/>
        </w:rPr>
        <w:t>100%</w:t>
      </w:r>
      <w:r>
        <w:rPr>
          <w:rFonts w:eastAsia="仿宋_GB2312"/>
          <w:sz w:val="32"/>
          <w:szCs w:val="32"/>
        </w:rPr>
        <w:t>，较上年减少</w:t>
      </w:r>
      <w:r>
        <w:rPr>
          <w:rFonts w:eastAsia="仿宋_GB2312"/>
          <w:sz w:val="32"/>
          <w:szCs w:val="32"/>
        </w:rPr>
        <w:t>3.39</w:t>
      </w:r>
      <w:r>
        <w:rPr>
          <w:rFonts w:eastAsia="仿宋_GB2312"/>
          <w:sz w:val="32"/>
          <w:szCs w:val="32"/>
        </w:rPr>
        <w:t>万元，下降</w:t>
      </w:r>
      <w:r>
        <w:rPr>
          <w:rFonts w:eastAsia="仿宋_GB2312"/>
          <w:sz w:val="32"/>
          <w:szCs w:val="32"/>
        </w:rPr>
        <w:t>23.06%</w:t>
      </w:r>
      <w:r>
        <w:rPr>
          <w:rFonts w:eastAsia="仿宋_GB2312"/>
          <w:sz w:val="32"/>
          <w:szCs w:val="32"/>
        </w:rPr>
        <w:t>。决算数小于预算数的主要原因是严格控制</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经费的开支，经济环境的变化也促使机关采取措施过紧日子，通过压缩一般性支出实现经费的节约。</w:t>
      </w:r>
    </w:p>
    <w:p w:rsidR="00EB6FF2" w:rsidRDefault="0011043E">
      <w:pPr>
        <w:spacing w:line="600" w:lineRule="exact"/>
        <w:ind w:firstLine="640"/>
        <w:outlineLvl w:val="2"/>
        <w:rPr>
          <w:rFonts w:eastAsia="楷体_GB2312"/>
          <w:b/>
          <w:sz w:val="32"/>
          <w:szCs w:val="32"/>
        </w:rPr>
      </w:pPr>
      <w:bookmarkStart w:id="40" w:name="_Toc15377217"/>
      <w:r>
        <w:rPr>
          <w:rFonts w:eastAsia="楷体_GB2312"/>
          <w:b/>
          <w:sz w:val="32"/>
          <w:szCs w:val="32"/>
        </w:rPr>
        <w:t>（二）</w:t>
      </w:r>
      <w:r>
        <w:rPr>
          <w:rFonts w:eastAsia="楷体_GB2312"/>
          <w:b/>
          <w:sz w:val="32"/>
          <w:szCs w:val="32"/>
        </w:rPr>
        <w:t>“</w:t>
      </w:r>
      <w:r>
        <w:rPr>
          <w:rFonts w:eastAsia="楷体_GB2312"/>
          <w:b/>
          <w:sz w:val="32"/>
          <w:szCs w:val="32"/>
        </w:rPr>
        <w:t>三公</w:t>
      </w:r>
      <w:r>
        <w:rPr>
          <w:rFonts w:eastAsia="楷体_GB2312"/>
          <w:b/>
          <w:sz w:val="32"/>
          <w:szCs w:val="32"/>
        </w:rPr>
        <w:t>”</w:t>
      </w:r>
      <w:r>
        <w:rPr>
          <w:rFonts w:eastAsia="楷体_GB2312"/>
          <w:b/>
          <w:sz w:val="32"/>
          <w:szCs w:val="32"/>
        </w:rPr>
        <w:t>经费财政拨款支出决算具体情况说明</w:t>
      </w:r>
      <w:bookmarkEnd w:id="40"/>
      <w:r>
        <w:rPr>
          <w:rFonts w:eastAsia="楷体_GB2312"/>
          <w:b/>
          <w:sz w:val="32"/>
          <w:szCs w:val="32"/>
        </w:rPr>
        <w:t>。</w:t>
      </w:r>
    </w:p>
    <w:p w:rsidR="00EB6FF2" w:rsidRDefault="0011043E">
      <w:pPr>
        <w:spacing w:line="600" w:lineRule="exact"/>
        <w:ind w:firstLine="640"/>
        <w:rPr>
          <w:rFonts w:eastAsia="仿宋_GB2312"/>
          <w:sz w:val="32"/>
          <w:szCs w:val="32"/>
        </w:rPr>
      </w:pPr>
      <w:r>
        <w:rPr>
          <w:rFonts w:eastAsia="仿宋_GB2312"/>
          <w:sz w:val="32"/>
          <w:szCs w:val="32"/>
        </w:rPr>
        <w:lastRenderedPageBreak/>
        <w:t>2023</w:t>
      </w:r>
      <w:r>
        <w:rPr>
          <w:rFonts w:eastAsia="仿宋_GB2312"/>
          <w:sz w:val="32"/>
          <w:szCs w:val="32"/>
        </w:rPr>
        <w:t>年</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经费财政拨款支出决算中，因公出国（境）</w:t>
      </w:r>
      <w:r>
        <w:rPr>
          <w:rFonts w:eastAsia="仿宋_GB2312"/>
          <w:sz w:val="32"/>
          <w:szCs w:val="32"/>
        </w:rPr>
        <w:t>费支出决算</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；公务用车购置及运行维护费支出决算</w:t>
      </w:r>
      <w:r>
        <w:rPr>
          <w:rFonts w:eastAsia="仿宋_GB2312"/>
          <w:sz w:val="32"/>
          <w:szCs w:val="32"/>
        </w:rPr>
        <w:t>10.61</w:t>
      </w:r>
      <w:r>
        <w:rPr>
          <w:rFonts w:eastAsia="仿宋_GB2312"/>
          <w:sz w:val="32"/>
          <w:szCs w:val="32"/>
        </w:rPr>
        <w:t>万元，占</w:t>
      </w:r>
      <w:r>
        <w:rPr>
          <w:rFonts w:eastAsia="仿宋_GB2312"/>
          <w:sz w:val="32"/>
          <w:szCs w:val="32"/>
        </w:rPr>
        <w:t>93.81%</w:t>
      </w:r>
      <w:r>
        <w:rPr>
          <w:rFonts w:eastAsia="仿宋_GB2312"/>
          <w:sz w:val="32"/>
          <w:szCs w:val="32"/>
        </w:rPr>
        <w:t>；公务接待费支出决算</w:t>
      </w:r>
      <w:r>
        <w:rPr>
          <w:rFonts w:eastAsia="仿宋_GB2312"/>
          <w:sz w:val="32"/>
          <w:szCs w:val="32"/>
        </w:rPr>
        <w:t>0.70</w:t>
      </w:r>
      <w:r>
        <w:rPr>
          <w:rFonts w:eastAsia="仿宋_GB2312"/>
          <w:sz w:val="32"/>
          <w:szCs w:val="32"/>
        </w:rPr>
        <w:t>万元，占</w:t>
      </w:r>
      <w:r>
        <w:rPr>
          <w:rFonts w:eastAsia="仿宋_GB2312"/>
          <w:sz w:val="32"/>
          <w:szCs w:val="32"/>
        </w:rPr>
        <w:t>6.19%</w:t>
      </w:r>
      <w:r>
        <w:rPr>
          <w:rFonts w:eastAsia="仿宋_GB2312"/>
          <w:sz w:val="32"/>
          <w:szCs w:val="32"/>
        </w:rPr>
        <w:t>。具体情况如下：</w:t>
      </w:r>
    </w:p>
    <w:p w:rsidR="00EB6FF2" w:rsidRDefault="0011043E">
      <w:pPr>
        <w:pStyle w:val="a0"/>
        <w:spacing w:before="93"/>
        <w:jc w:val="center"/>
        <w:rPr>
          <w:rFonts w:ascii="Times New Roman"/>
        </w:rPr>
      </w:pPr>
      <w:r>
        <w:rPr>
          <w:rFonts w:ascii="Times New Roman"/>
          <w:noProof/>
        </w:rPr>
        <w:drawing>
          <wp:inline distT="0" distB="0" distL="0" distR="0">
            <wp:extent cx="5200650" cy="2876550"/>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B6FF2" w:rsidRDefault="0011043E">
      <w:pPr>
        <w:spacing w:line="600" w:lineRule="exact"/>
        <w:ind w:firstLine="640"/>
        <w:rPr>
          <w:rFonts w:eastAsia="仿宋_GB2312"/>
          <w:sz w:val="32"/>
          <w:szCs w:val="32"/>
        </w:rPr>
      </w:pPr>
      <w:r>
        <w:rPr>
          <w:rFonts w:eastAsia="仿宋_GB2312"/>
          <w:b/>
          <w:sz w:val="32"/>
          <w:szCs w:val="32"/>
        </w:rPr>
        <w:t>1.</w:t>
      </w:r>
      <w:r>
        <w:rPr>
          <w:rFonts w:eastAsia="仿宋_GB2312"/>
          <w:b/>
          <w:sz w:val="32"/>
          <w:szCs w:val="32"/>
        </w:rPr>
        <w:t>因公出国（境）经费支出</w:t>
      </w:r>
      <w:r>
        <w:rPr>
          <w:rFonts w:eastAsia="仿宋_GB2312"/>
          <w:sz w:val="32"/>
          <w:szCs w:val="32"/>
        </w:rPr>
        <w:t>0</w:t>
      </w:r>
      <w:r>
        <w:rPr>
          <w:rFonts w:eastAsia="仿宋_GB2312"/>
          <w:sz w:val="32"/>
          <w:szCs w:val="32"/>
        </w:rPr>
        <w:t>万元，完成预算</w:t>
      </w:r>
      <w:r>
        <w:rPr>
          <w:rFonts w:eastAsia="仿宋_GB2312"/>
          <w:sz w:val="32"/>
          <w:szCs w:val="32"/>
        </w:rPr>
        <w:t>0%</w:t>
      </w:r>
      <w:r>
        <w:rPr>
          <w:rFonts w:eastAsia="仿宋_GB2312"/>
          <w:sz w:val="32"/>
          <w:szCs w:val="32"/>
        </w:rPr>
        <w:t>。全年安排因公出国（境）团组</w:t>
      </w:r>
      <w:r>
        <w:rPr>
          <w:rFonts w:eastAsia="仿宋_GB2312"/>
          <w:sz w:val="32"/>
          <w:szCs w:val="32"/>
        </w:rPr>
        <w:t>0</w:t>
      </w:r>
      <w:r>
        <w:rPr>
          <w:rFonts w:eastAsia="仿宋_GB2312"/>
          <w:sz w:val="32"/>
          <w:szCs w:val="32"/>
        </w:rPr>
        <w:t>次，出国（境）</w:t>
      </w:r>
      <w:r>
        <w:rPr>
          <w:rFonts w:eastAsia="仿宋_GB2312"/>
          <w:sz w:val="32"/>
          <w:szCs w:val="32"/>
        </w:rPr>
        <w:t>0</w:t>
      </w:r>
      <w:r>
        <w:rPr>
          <w:rFonts w:eastAsia="仿宋_GB2312"/>
          <w:sz w:val="32"/>
          <w:szCs w:val="32"/>
        </w:rPr>
        <w:t>人。因公出国（境）支出决算比</w:t>
      </w:r>
      <w:r>
        <w:rPr>
          <w:rFonts w:eastAsia="仿宋_GB2312"/>
          <w:sz w:val="32"/>
          <w:szCs w:val="32"/>
        </w:rPr>
        <w:t>2022</w:t>
      </w:r>
      <w:r>
        <w:rPr>
          <w:rFonts w:eastAsia="仿宋_GB2312"/>
          <w:sz w:val="32"/>
          <w:szCs w:val="32"/>
        </w:rPr>
        <w:t>年持平。</w:t>
      </w:r>
    </w:p>
    <w:p w:rsidR="00EB6FF2" w:rsidRDefault="0011043E">
      <w:pPr>
        <w:spacing w:line="600" w:lineRule="exact"/>
        <w:ind w:firstLine="640"/>
        <w:rPr>
          <w:rFonts w:eastAsia="仿宋_GB2312"/>
          <w:sz w:val="32"/>
          <w:szCs w:val="32"/>
        </w:rPr>
      </w:pPr>
      <w:r>
        <w:rPr>
          <w:rFonts w:eastAsia="仿宋_GB2312"/>
          <w:b/>
          <w:sz w:val="32"/>
          <w:szCs w:val="32"/>
        </w:rPr>
        <w:t>2.</w:t>
      </w:r>
      <w:r>
        <w:rPr>
          <w:rFonts w:eastAsia="仿宋_GB2312"/>
          <w:b/>
          <w:sz w:val="32"/>
          <w:szCs w:val="32"/>
        </w:rPr>
        <w:t>公务用车购置及运行维护费支出</w:t>
      </w:r>
      <w:r>
        <w:rPr>
          <w:rFonts w:eastAsia="仿宋_GB2312"/>
          <w:sz w:val="32"/>
          <w:szCs w:val="32"/>
        </w:rPr>
        <w:t>10.61</w:t>
      </w:r>
      <w:r>
        <w:rPr>
          <w:rFonts w:eastAsia="仿宋_GB2312"/>
          <w:sz w:val="32"/>
          <w:szCs w:val="32"/>
        </w:rPr>
        <w:t>万元</w:t>
      </w:r>
      <w:r>
        <w:rPr>
          <w:rFonts w:eastAsia="仿宋_GB2312"/>
          <w:sz w:val="32"/>
          <w:szCs w:val="32"/>
        </w:rPr>
        <w:t>,</w:t>
      </w:r>
      <w:r>
        <w:rPr>
          <w:rFonts w:eastAsia="仿宋_GB2312"/>
          <w:sz w:val="32"/>
          <w:szCs w:val="32"/>
        </w:rPr>
        <w:t>完成预算</w:t>
      </w:r>
      <w:r>
        <w:rPr>
          <w:rFonts w:eastAsia="仿宋_GB2312"/>
          <w:sz w:val="32"/>
          <w:szCs w:val="32"/>
        </w:rPr>
        <w:t>100%</w:t>
      </w:r>
      <w:r>
        <w:rPr>
          <w:rFonts w:eastAsia="仿宋_GB2312"/>
          <w:sz w:val="32"/>
          <w:szCs w:val="32"/>
        </w:rPr>
        <w:t>。公务用车购置及运行维护费支出决算比</w:t>
      </w:r>
      <w:r>
        <w:rPr>
          <w:rFonts w:eastAsia="仿宋_GB2312"/>
          <w:sz w:val="32"/>
          <w:szCs w:val="32"/>
        </w:rPr>
        <w:t>2022</w:t>
      </w:r>
      <w:r>
        <w:rPr>
          <w:rFonts w:eastAsia="仿宋_GB2312"/>
          <w:sz w:val="32"/>
          <w:szCs w:val="32"/>
        </w:rPr>
        <w:t>年减少</w:t>
      </w:r>
      <w:r>
        <w:rPr>
          <w:rFonts w:eastAsia="仿宋_GB2312"/>
          <w:sz w:val="32"/>
          <w:szCs w:val="32"/>
        </w:rPr>
        <w:t>3.20</w:t>
      </w:r>
      <w:r>
        <w:rPr>
          <w:rFonts w:eastAsia="仿宋_GB2312"/>
          <w:sz w:val="32"/>
          <w:szCs w:val="32"/>
        </w:rPr>
        <w:t>万元，下降</w:t>
      </w:r>
      <w:r>
        <w:rPr>
          <w:rFonts w:eastAsia="仿宋_GB2312"/>
          <w:sz w:val="32"/>
          <w:szCs w:val="32"/>
        </w:rPr>
        <w:t>23.17%</w:t>
      </w:r>
      <w:r>
        <w:rPr>
          <w:rFonts w:eastAsia="仿宋_GB2312"/>
          <w:sz w:val="32"/>
          <w:szCs w:val="32"/>
        </w:rPr>
        <w:t>。主要原因是严格控制</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经费的开支，经济环境的变化也促使机关采取措施过紧日子，通过压缩一般性支出实现经费的节约。</w:t>
      </w:r>
    </w:p>
    <w:p w:rsidR="00EB6FF2" w:rsidRDefault="0011043E">
      <w:pPr>
        <w:spacing w:line="600" w:lineRule="exact"/>
        <w:ind w:firstLineChars="200" w:firstLine="640"/>
        <w:rPr>
          <w:rFonts w:eastAsia="仿宋_GB2312"/>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w:t>
      </w:r>
      <w:r>
        <w:rPr>
          <w:rFonts w:eastAsia="仿宋_GB2312"/>
          <w:sz w:val="32"/>
          <w:szCs w:val="32"/>
        </w:rPr>
        <w:t>万元。全年按规定更新购置公务</w:t>
      </w:r>
      <w:r>
        <w:rPr>
          <w:rFonts w:eastAsia="仿宋_GB2312"/>
          <w:sz w:val="32"/>
          <w:szCs w:val="32"/>
        </w:rPr>
        <w:lastRenderedPageBreak/>
        <w:t>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万元，越野车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万元，载客汽车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月底，单位共有公务用车</w:t>
      </w:r>
      <w:r>
        <w:rPr>
          <w:rFonts w:eastAsia="仿宋_GB2312"/>
          <w:sz w:val="32"/>
          <w:szCs w:val="32"/>
        </w:rPr>
        <w:t>5</w:t>
      </w:r>
      <w:r>
        <w:rPr>
          <w:rFonts w:eastAsia="仿宋_GB2312"/>
          <w:sz w:val="32"/>
          <w:szCs w:val="32"/>
        </w:rPr>
        <w:t>辆，其中：轿车</w:t>
      </w:r>
      <w:r>
        <w:rPr>
          <w:rFonts w:eastAsia="仿宋_GB2312"/>
          <w:sz w:val="32"/>
          <w:szCs w:val="32"/>
        </w:rPr>
        <w:t>0</w:t>
      </w:r>
      <w:r>
        <w:rPr>
          <w:rFonts w:eastAsia="仿宋_GB2312"/>
          <w:sz w:val="32"/>
          <w:szCs w:val="32"/>
        </w:rPr>
        <w:t>辆、越野车</w:t>
      </w:r>
      <w:r>
        <w:rPr>
          <w:rFonts w:eastAsia="仿宋_GB2312"/>
          <w:sz w:val="32"/>
          <w:szCs w:val="32"/>
        </w:rPr>
        <w:t>3</w:t>
      </w:r>
      <w:r>
        <w:rPr>
          <w:rFonts w:eastAsia="仿宋_GB2312"/>
          <w:sz w:val="32"/>
          <w:szCs w:val="32"/>
        </w:rPr>
        <w:t>辆、载客汽车</w:t>
      </w:r>
      <w:r>
        <w:rPr>
          <w:rFonts w:eastAsia="仿宋_GB2312"/>
          <w:sz w:val="32"/>
          <w:szCs w:val="32"/>
        </w:rPr>
        <w:t>1</w:t>
      </w:r>
      <w:r>
        <w:rPr>
          <w:rFonts w:eastAsia="仿宋_GB2312"/>
          <w:sz w:val="32"/>
          <w:szCs w:val="32"/>
        </w:rPr>
        <w:t>辆、其他特殊用车</w:t>
      </w:r>
      <w:r>
        <w:rPr>
          <w:rFonts w:eastAsia="仿宋_GB2312"/>
          <w:sz w:val="32"/>
          <w:szCs w:val="32"/>
        </w:rPr>
        <w:t>1</w:t>
      </w:r>
      <w:r>
        <w:rPr>
          <w:rFonts w:eastAsia="仿宋_GB2312"/>
          <w:sz w:val="32"/>
          <w:szCs w:val="32"/>
        </w:rPr>
        <w:t>辆。</w:t>
      </w:r>
    </w:p>
    <w:p w:rsidR="00EB6FF2" w:rsidRDefault="0011043E">
      <w:pPr>
        <w:spacing w:line="600" w:lineRule="exact"/>
        <w:ind w:firstLineChars="200" w:firstLine="643"/>
        <w:rPr>
          <w:rFonts w:eastAsia="仿宋_GB2312"/>
          <w:sz w:val="32"/>
          <w:szCs w:val="32"/>
        </w:rPr>
      </w:pPr>
      <w:r>
        <w:rPr>
          <w:rFonts w:eastAsia="仿宋_GB2312"/>
          <w:b/>
          <w:sz w:val="32"/>
          <w:szCs w:val="32"/>
        </w:rPr>
        <w:t>公务用车运行维护费支出</w:t>
      </w:r>
      <w:r>
        <w:rPr>
          <w:rFonts w:eastAsia="仿宋_GB2312"/>
          <w:sz w:val="32"/>
          <w:szCs w:val="32"/>
        </w:rPr>
        <w:t>10.61</w:t>
      </w:r>
      <w:r>
        <w:rPr>
          <w:rFonts w:eastAsia="仿宋_GB2312"/>
          <w:sz w:val="32"/>
          <w:szCs w:val="32"/>
        </w:rPr>
        <w:t>万</w:t>
      </w:r>
      <w:r>
        <w:rPr>
          <w:rFonts w:eastAsia="仿宋_GB2312"/>
          <w:sz w:val="32"/>
          <w:szCs w:val="32"/>
        </w:rPr>
        <w:t>元。主要用于隐性债务化解、森林草原资源保护治理、生态环境保护、强化财会监督和预算绩效全流程管理、</w:t>
      </w:r>
      <w:r>
        <w:rPr>
          <w:rFonts w:eastAsia="仿宋_GB2312"/>
          <w:sz w:val="32"/>
          <w:szCs w:val="32"/>
        </w:rPr>
        <w:t>2023</w:t>
      </w:r>
      <w:r>
        <w:rPr>
          <w:rFonts w:eastAsia="仿宋_GB2312"/>
          <w:sz w:val="32"/>
          <w:szCs w:val="32"/>
        </w:rPr>
        <w:t>年车船税等所需的公务用车燃料费、维修费、过路过桥费、保险费等支出。</w:t>
      </w:r>
    </w:p>
    <w:p w:rsidR="00EB6FF2" w:rsidRDefault="0011043E">
      <w:pPr>
        <w:spacing w:line="600" w:lineRule="exact"/>
        <w:ind w:firstLineChars="200" w:firstLine="640"/>
        <w:rPr>
          <w:rFonts w:eastAsia="仿宋_GB2312"/>
          <w:sz w:val="32"/>
          <w:szCs w:val="32"/>
        </w:rPr>
      </w:pPr>
      <w:r>
        <w:rPr>
          <w:rFonts w:eastAsia="仿宋_GB2312"/>
          <w:sz w:val="32"/>
          <w:szCs w:val="32"/>
        </w:rPr>
        <w:t>3.</w:t>
      </w:r>
      <w:r>
        <w:rPr>
          <w:rFonts w:eastAsia="仿宋_GB2312"/>
          <w:b/>
          <w:sz w:val="32"/>
          <w:szCs w:val="32"/>
        </w:rPr>
        <w:t>公务接待费支出</w:t>
      </w:r>
      <w:r>
        <w:rPr>
          <w:rFonts w:eastAsia="仿宋_GB2312"/>
          <w:sz w:val="32"/>
          <w:szCs w:val="32"/>
        </w:rPr>
        <w:t>0.70</w:t>
      </w:r>
      <w:r>
        <w:rPr>
          <w:rFonts w:eastAsia="仿宋_GB2312"/>
          <w:sz w:val="32"/>
          <w:szCs w:val="32"/>
        </w:rPr>
        <w:t>万元，完成预算</w:t>
      </w:r>
      <w:r>
        <w:rPr>
          <w:rFonts w:eastAsia="仿宋_GB2312"/>
          <w:sz w:val="32"/>
          <w:szCs w:val="32"/>
        </w:rPr>
        <w:t>100%</w:t>
      </w:r>
      <w:r>
        <w:rPr>
          <w:rFonts w:eastAsia="仿宋_GB2312"/>
          <w:sz w:val="32"/>
          <w:szCs w:val="32"/>
        </w:rPr>
        <w:t>。公务接待费支出决算比</w:t>
      </w:r>
      <w:r>
        <w:rPr>
          <w:rFonts w:eastAsia="仿宋_GB2312"/>
          <w:sz w:val="32"/>
          <w:szCs w:val="32"/>
        </w:rPr>
        <w:t>2022</w:t>
      </w:r>
      <w:r>
        <w:rPr>
          <w:rFonts w:eastAsia="仿宋_GB2312"/>
          <w:sz w:val="32"/>
          <w:szCs w:val="32"/>
        </w:rPr>
        <w:t>年减少</w:t>
      </w:r>
      <w:r>
        <w:rPr>
          <w:rFonts w:eastAsia="仿宋_GB2312"/>
          <w:sz w:val="32"/>
          <w:szCs w:val="32"/>
        </w:rPr>
        <w:t>0.19</w:t>
      </w:r>
      <w:r>
        <w:rPr>
          <w:rFonts w:eastAsia="仿宋_GB2312"/>
          <w:sz w:val="32"/>
          <w:szCs w:val="32"/>
        </w:rPr>
        <w:t>万元，下降</w:t>
      </w:r>
      <w:r>
        <w:rPr>
          <w:rFonts w:eastAsia="仿宋_GB2312"/>
          <w:sz w:val="32"/>
          <w:szCs w:val="32"/>
        </w:rPr>
        <w:t>21.35%</w:t>
      </w:r>
      <w:r>
        <w:rPr>
          <w:rFonts w:eastAsia="仿宋_GB2312"/>
          <w:sz w:val="32"/>
          <w:szCs w:val="32"/>
        </w:rPr>
        <w:t>。主要原因是局机关贯彻落实过紧日子要求，</w:t>
      </w:r>
      <w:r>
        <w:rPr>
          <w:rFonts w:eastAsia="仿宋_GB2312" w:hint="eastAsia"/>
          <w:sz w:val="32"/>
          <w:szCs w:val="32"/>
        </w:rPr>
        <w:t>简</w:t>
      </w:r>
      <w:r>
        <w:rPr>
          <w:rFonts w:eastAsia="仿宋_GB2312"/>
          <w:sz w:val="32"/>
          <w:szCs w:val="32"/>
        </w:rPr>
        <w:t>化公务接待，节约费用。其中：</w:t>
      </w:r>
    </w:p>
    <w:p w:rsidR="00EB6FF2" w:rsidRDefault="0011043E">
      <w:pPr>
        <w:spacing w:line="600" w:lineRule="exact"/>
        <w:ind w:firstLineChars="200" w:firstLine="643"/>
        <w:rPr>
          <w:rFonts w:eastAsia="仿宋_GB2312"/>
          <w:sz w:val="32"/>
          <w:szCs w:val="32"/>
        </w:rPr>
      </w:pPr>
      <w:r>
        <w:rPr>
          <w:rFonts w:eastAsia="仿宋_GB2312"/>
          <w:b/>
          <w:sz w:val="32"/>
          <w:szCs w:val="32"/>
        </w:rPr>
        <w:t>国内公务接待支出</w:t>
      </w:r>
      <w:r>
        <w:rPr>
          <w:rFonts w:eastAsia="仿宋_GB2312"/>
          <w:sz w:val="32"/>
          <w:szCs w:val="32"/>
        </w:rPr>
        <w:t>0.7</w:t>
      </w:r>
      <w:r>
        <w:rPr>
          <w:rFonts w:eastAsia="仿宋_GB2312"/>
          <w:sz w:val="32"/>
          <w:szCs w:val="32"/>
        </w:rPr>
        <w:t>万元，主要用于接待财政部四川监管局、财政部办公厅、四川省财政厅信息中心、四川省财政厅绩效处、德阳市住房和城乡建设局、德阳市财政局综合</w:t>
      </w:r>
      <w:r>
        <w:rPr>
          <w:rFonts w:eastAsia="仿宋_GB2312"/>
          <w:sz w:val="32"/>
          <w:szCs w:val="32"/>
        </w:rPr>
        <w:t>科等。国内公务接待</w:t>
      </w:r>
      <w:r>
        <w:rPr>
          <w:rFonts w:eastAsia="仿宋_GB2312"/>
          <w:sz w:val="32"/>
          <w:szCs w:val="32"/>
        </w:rPr>
        <w:t>6</w:t>
      </w:r>
      <w:r>
        <w:rPr>
          <w:rFonts w:eastAsia="仿宋_GB2312"/>
          <w:sz w:val="32"/>
          <w:szCs w:val="32"/>
        </w:rPr>
        <w:t>批次，</w:t>
      </w:r>
      <w:r>
        <w:rPr>
          <w:rFonts w:eastAsia="仿宋_GB2312"/>
          <w:sz w:val="32"/>
          <w:szCs w:val="32"/>
        </w:rPr>
        <w:t>45</w:t>
      </w:r>
      <w:r>
        <w:rPr>
          <w:rFonts w:eastAsia="仿宋_GB2312"/>
          <w:sz w:val="32"/>
          <w:szCs w:val="32"/>
        </w:rPr>
        <w:t>人次（不包括陪同人员），共计支出</w:t>
      </w:r>
      <w:r>
        <w:rPr>
          <w:rFonts w:eastAsia="仿宋_GB2312"/>
          <w:sz w:val="32"/>
          <w:szCs w:val="32"/>
        </w:rPr>
        <w:t>0.7</w:t>
      </w:r>
      <w:r>
        <w:rPr>
          <w:rFonts w:eastAsia="仿宋_GB2312"/>
          <w:sz w:val="32"/>
          <w:szCs w:val="32"/>
        </w:rPr>
        <w:t>万元，具体内容包括：接待财政部四川监管局检查</w:t>
      </w:r>
      <w:r>
        <w:rPr>
          <w:rFonts w:eastAsia="仿宋_GB2312"/>
          <w:sz w:val="32"/>
          <w:szCs w:val="32"/>
        </w:rPr>
        <w:t>2022</w:t>
      </w:r>
      <w:r>
        <w:rPr>
          <w:rFonts w:eastAsia="仿宋_GB2312"/>
          <w:sz w:val="32"/>
          <w:szCs w:val="32"/>
        </w:rPr>
        <w:t>年地方政府专项债券资金使用管理情况</w:t>
      </w:r>
      <w:r>
        <w:rPr>
          <w:rFonts w:eastAsia="仿宋_GB2312"/>
          <w:sz w:val="32"/>
          <w:szCs w:val="32"/>
        </w:rPr>
        <w:t>0.097</w:t>
      </w:r>
      <w:r>
        <w:rPr>
          <w:rFonts w:eastAsia="仿宋_GB2312"/>
          <w:sz w:val="32"/>
          <w:szCs w:val="32"/>
        </w:rPr>
        <w:t>万元、财政部办公厅来攀对接</w:t>
      </w:r>
      <w:r>
        <w:rPr>
          <w:rFonts w:eastAsia="仿宋_GB2312" w:hint="eastAsia"/>
          <w:sz w:val="32"/>
          <w:szCs w:val="32"/>
        </w:rPr>
        <w:t>借</w:t>
      </w:r>
      <w:r>
        <w:rPr>
          <w:rFonts w:eastAsia="仿宋_GB2312"/>
          <w:sz w:val="32"/>
          <w:szCs w:val="32"/>
        </w:rPr>
        <w:t>用人员相关事宜</w:t>
      </w:r>
      <w:r>
        <w:rPr>
          <w:rFonts w:eastAsia="仿宋_GB2312"/>
          <w:sz w:val="32"/>
          <w:szCs w:val="32"/>
        </w:rPr>
        <w:t>0.086</w:t>
      </w:r>
      <w:r>
        <w:rPr>
          <w:rFonts w:eastAsia="仿宋_GB2312"/>
          <w:sz w:val="32"/>
          <w:szCs w:val="32"/>
        </w:rPr>
        <w:t>万元、四川省财政厅信息中心开展财政网信工作调研</w:t>
      </w:r>
      <w:r>
        <w:rPr>
          <w:rFonts w:eastAsia="仿宋_GB2312"/>
          <w:sz w:val="32"/>
          <w:szCs w:val="32"/>
        </w:rPr>
        <w:t>0.14</w:t>
      </w:r>
      <w:r>
        <w:rPr>
          <w:rFonts w:eastAsia="仿宋_GB2312"/>
          <w:sz w:val="32"/>
          <w:szCs w:val="32"/>
        </w:rPr>
        <w:t>万元、四川省财政厅绩效处开展</w:t>
      </w:r>
      <w:r>
        <w:rPr>
          <w:rFonts w:eastAsia="仿宋_GB2312"/>
          <w:sz w:val="32"/>
          <w:szCs w:val="32"/>
        </w:rPr>
        <w:t>2023</w:t>
      </w:r>
      <w:r>
        <w:rPr>
          <w:rFonts w:eastAsia="仿宋_GB2312"/>
          <w:sz w:val="32"/>
          <w:szCs w:val="32"/>
        </w:rPr>
        <w:t>年省级绩效重点工作检查</w:t>
      </w:r>
      <w:r>
        <w:rPr>
          <w:rFonts w:eastAsia="仿宋_GB2312"/>
          <w:sz w:val="32"/>
          <w:szCs w:val="32"/>
        </w:rPr>
        <w:t>0.14</w:t>
      </w:r>
      <w:r>
        <w:rPr>
          <w:rFonts w:eastAsia="仿宋_GB2312"/>
          <w:sz w:val="32"/>
          <w:szCs w:val="32"/>
        </w:rPr>
        <w:t>万元、四川省财政厅市县绩效问题整改情况抽查复核工作</w:t>
      </w:r>
      <w:r>
        <w:rPr>
          <w:rFonts w:eastAsia="仿宋_GB2312"/>
          <w:sz w:val="32"/>
          <w:szCs w:val="32"/>
        </w:rPr>
        <w:t>0.108</w:t>
      </w:r>
      <w:r>
        <w:rPr>
          <w:rFonts w:eastAsia="仿宋_GB2312"/>
          <w:sz w:val="32"/>
          <w:szCs w:val="32"/>
        </w:rPr>
        <w:t>万元、德阳市住房和城乡建设局和德阳市</w:t>
      </w:r>
      <w:r>
        <w:rPr>
          <w:rFonts w:eastAsia="仿宋_GB2312"/>
          <w:sz w:val="32"/>
          <w:szCs w:val="32"/>
        </w:rPr>
        <w:lastRenderedPageBreak/>
        <w:t>财政局综合科检查</w:t>
      </w:r>
      <w:r>
        <w:rPr>
          <w:rFonts w:eastAsia="仿宋_GB2312"/>
          <w:sz w:val="32"/>
          <w:szCs w:val="32"/>
        </w:rPr>
        <w:t>2023</w:t>
      </w:r>
      <w:r>
        <w:rPr>
          <w:rFonts w:eastAsia="仿宋_GB2312"/>
          <w:sz w:val="32"/>
          <w:szCs w:val="32"/>
        </w:rPr>
        <w:t>年度城镇保障性安居工程中期市州交叉评估工作</w:t>
      </w:r>
      <w:r>
        <w:rPr>
          <w:rFonts w:eastAsia="仿宋_GB2312"/>
          <w:sz w:val="32"/>
          <w:szCs w:val="32"/>
        </w:rPr>
        <w:t>0.12</w:t>
      </w:r>
      <w:r>
        <w:rPr>
          <w:rFonts w:eastAsia="仿宋_GB2312"/>
          <w:sz w:val="32"/>
          <w:szCs w:val="32"/>
        </w:rPr>
        <w:t>万元。</w:t>
      </w:r>
    </w:p>
    <w:p w:rsidR="00EB6FF2" w:rsidRDefault="0011043E">
      <w:pPr>
        <w:spacing w:line="600" w:lineRule="exact"/>
        <w:ind w:firstLineChars="200" w:firstLine="643"/>
        <w:rPr>
          <w:rFonts w:eastAsia="仿宋_GB2312"/>
          <w:sz w:val="32"/>
          <w:szCs w:val="32"/>
        </w:rPr>
      </w:pPr>
      <w:r>
        <w:rPr>
          <w:rFonts w:eastAsia="仿宋_GB2312"/>
          <w:b/>
          <w:sz w:val="32"/>
          <w:szCs w:val="32"/>
        </w:rPr>
        <w:t>外事接待支出</w:t>
      </w:r>
      <w:r>
        <w:rPr>
          <w:rFonts w:eastAsia="仿宋_GB2312"/>
          <w:sz w:val="32"/>
          <w:szCs w:val="32"/>
        </w:rPr>
        <w:t>0</w:t>
      </w:r>
      <w:r>
        <w:rPr>
          <w:rFonts w:eastAsia="仿宋_GB2312"/>
          <w:sz w:val="32"/>
          <w:szCs w:val="32"/>
        </w:rPr>
        <w:t>万元，外事接待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bookmarkStart w:id="41" w:name="_Toc15377218"/>
      <w:bookmarkStart w:id="42" w:name="_Toc15396610"/>
    </w:p>
    <w:p w:rsidR="00EB6FF2" w:rsidRDefault="0011043E">
      <w:pPr>
        <w:spacing w:line="600" w:lineRule="exact"/>
        <w:ind w:firstLine="640"/>
        <w:outlineLvl w:val="1"/>
        <w:rPr>
          <w:rStyle w:val="20"/>
          <w:rFonts w:ascii="Times New Roman" w:eastAsia="黑体" w:hAnsi="Times New Roman" w:cs="Times New Roman"/>
        </w:rPr>
      </w:pPr>
      <w:r>
        <w:rPr>
          <w:rFonts w:eastAsia="黑体"/>
          <w:sz w:val="32"/>
          <w:szCs w:val="32"/>
        </w:rPr>
        <w:t>八、</w:t>
      </w:r>
      <w:r>
        <w:rPr>
          <w:rStyle w:val="20"/>
          <w:rFonts w:ascii="Times New Roman" w:eastAsia="黑体" w:hAnsi="Times New Roman" w:cs="Times New Roman"/>
          <w:b w:val="0"/>
        </w:rPr>
        <w:t>政府性基金预算支出决算情况说明</w:t>
      </w:r>
      <w:bookmarkEnd w:id="41"/>
      <w:bookmarkEnd w:id="42"/>
    </w:p>
    <w:p w:rsidR="00EB6FF2" w:rsidRDefault="0011043E">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年政府性基金预算财政拨款支出</w:t>
      </w:r>
      <w:r>
        <w:rPr>
          <w:rFonts w:eastAsia="仿宋_GB2312"/>
          <w:sz w:val="32"/>
          <w:szCs w:val="32"/>
        </w:rPr>
        <w:t>0</w:t>
      </w:r>
      <w:r>
        <w:rPr>
          <w:rFonts w:eastAsia="仿宋_GB2312"/>
          <w:sz w:val="32"/>
          <w:szCs w:val="32"/>
        </w:rPr>
        <w:t>万元。</w:t>
      </w:r>
    </w:p>
    <w:p w:rsidR="00EB6FF2" w:rsidRDefault="0011043E">
      <w:pPr>
        <w:numPr>
          <w:ilvl w:val="0"/>
          <w:numId w:val="2"/>
        </w:numPr>
        <w:spacing w:line="600" w:lineRule="exact"/>
        <w:ind w:firstLine="640"/>
        <w:outlineLvl w:val="1"/>
        <w:rPr>
          <w:rStyle w:val="20"/>
          <w:rFonts w:ascii="Times New Roman" w:eastAsia="黑体" w:hAnsi="Times New Roman" w:cs="Times New Roman"/>
          <w:b w:val="0"/>
        </w:rPr>
      </w:pPr>
      <w:bookmarkStart w:id="43" w:name="_Toc15396611"/>
      <w:bookmarkStart w:id="44" w:name="_Toc15377219"/>
      <w:r>
        <w:rPr>
          <w:rStyle w:val="20"/>
          <w:rFonts w:ascii="Times New Roman" w:eastAsia="黑体" w:hAnsi="Times New Roman" w:cs="Times New Roman"/>
          <w:b w:val="0"/>
        </w:rPr>
        <w:t>国有资本经营预算支出决算情况说明</w:t>
      </w:r>
      <w:bookmarkEnd w:id="43"/>
      <w:bookmarkEnd w:id="44"/>
    </w:p>
    <w:p w:rsidR="00EB6FF2" w:rsidRDefault="0011043E">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年国有资本经营预算财政拨款支出</w:t>
      </w:r>
      <w:r>
        <w:rPr>
          <w:rFonts w:eastAsia="仿宋_GB2312"/>
          <w:sz w:val="32"/>
          <w:szCs w:val="32"/>
        </w:rPr>
        <w:t>0</w:t>
      </w:r>
      <w:r>
        <w:rPr>
          <w:rFonts w:eastAsia="仿宋_GB2312"/>
          <w:sz w:val="32"/>
          <w:szCs w:val="32"/>
        </w:rPr>
        <w:t>万元。</w:t>
      </w:r>
    </w:p>
    <w:p w:rsidR="00EB6FF2" w:rsidRDefault="0011043E">
      <w:pPr>
        <w:numPr>
          <w:ilvl w:val="0"/>
          <w:numId w:val="2"/>
        </w:numPr>
        <w:spacing w:line="600" w:lineRule="exact"/>
        <w:ind w:firstLine="640"/>
        <w:outlineLvl w:val="1"/>
        <w:rPr>
          <w:rStyle w:val="20"/>
          <w:rFonts w:ascii="Times New Roman" w:eastAsia="黑体" w:hAnsi="Times New Roman" w:cs="Times New Roman"/>
          <w:b w:val="0"/>
        </w:rPr>
      </w:pPr>
      <w:bookmarkStart w:id="45" w:name="_Toc15377221"/>
      <w:bookmarkStart w:id="46" w:name="_Toc15396612"/>
      <w:r>
        <w:rPr>
          <w:rStyle w:val="20"/>
          <w:rFonts w:ascii="Times New Roman" w:eastAsia="黑体" w:hAnsi="Times New Roman" w:cs="Times New Roman"/>
          <w:b w:val="0"/>
        </w:rPr>
        <w:t>其他重要事项的情况说明</w:t>
      </w:r>
      <w:bookmarkEnd w:id="45"/>
      <w:bookmarkEnd w:id="46"/>
    </w:p>
    <w:p w:rsidR="00EB6FF2" w:rsidRDefault="0011043E">
      <w:pPr>
        <w:spacing w:line="600" w:lineRule="exact"/>
        <w:ind w:firstLineChars="200" w:firstLine="643"/>
        <w:outlineLvl w:val="2"/>
        <w:rPr>
          <w:rFonts w:eastAsia="楷体_GB2312"/>
          <w:sz w:val="32"/>
          <w:szCs w:val="32"/>
        </w:rPr>
      </w:pPr>
      <w:bookmarkStart w:id="47" w:name="_Toc15377222"/>
      <w:r>
        <w:rPr>
          <w:rFonts w:eastAsia="楷体_GB2312"/>
          <w:b/>
          <w:sz w:val="32"/>
          <w:szCs w:val="32"/>
        </w:rPr>
        <w:t>（一）机关运行经费支出情况</w:t>
      </w:r>
      <w:bookmarkEnd w:id="47"/>
      <w:r>
        <w:rPr>
          <w:rFonts w:eastAsia="楷体_GB2312"/>
          <w:b/>
          <w:sz w:val="32"/>
          <w:szCs w:val="32"/>
        </w:rPr>
        <w:t>。</w:t>
      </w:r>
    </w:p>
    <w:p w:rsidR="00EB6FF2" w:rsidRDefault="0011043E">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年，攀枝花市财政局机关运行经费支出</w:t>
      </w:r>
      <w:r>
        <w:rPr>
          <w:rFonts w:eastAsia="仿宋_GB2312"/>
          <w:sz w:val="32"/>
          <w:szCs w:val="32"/>
        </w:rPr>
        <w:t>359.56</w:t>
      </w:r>
      <w:r>
        <w:rPr>
          <w:rFonts w:eastAsia="仿宋_GB2312"/>
          <w:sz w:val="32"/>
          <w:szCs w:val="32"/>
        </w:rPr>
        <w:t>万元，比</w:t>
      </w:r>
      <w:r>
        <w:rPr>
          <w:rFonts w:eastAsia="仿宋_GB2312"/>
          <w:sz w:val="32"/>
          <w:szCs w:val="32"/>
        </w:rPr>
        <w:t>2022</w:t>
      </w:r>
      <w:r>
        <w:rPr>
          <w:rFonts w:eastAsia="仿宋_GB2312"/>
          <w:sz w:val="32"/>
          <w:szCs w:val="32"/>
        </w:rPr>
        <w:t>年增加</w:t>
      </w:r>
      <w:r>
        <w:rPr>
          <w:rFonts w:eastAsia="仿宋_GB2312"/>
          <w:sz w:val="32"/>
          <w:szCs w:val="32"/>
        </w:rPr>
        <w:t>6.08</w:t>
      </w:r>
      <w:r>
        <w:rPr>
          <w:rFonts w:eastAsia="仿宋_GB2312"/>
          <w:sz w:val="32"/>
          <w:szCs w:val="32"/>
        </w:rPr>
        <w:t>万元，下降</w:t>
      </w:r>
      <w:r>
        <w:rPr>
          <w:rFonts w:eastAsia="仿宋_GB2312"/>
          <w:sz w:val="32"/>
          <w:szCs w:val="32"/>
        </w:rPr>
        <w:t>1.72%</w:t>
      </w:r>
      <w:r>
        <w:rPr>
          <w:rFonts w:eastAsia="仿宋_GB2312"/>
          <w:sz w:val="32"/>
          <w:szCs w:val="32"/>
        </w:rPr>
        <w:t>。主要原因是</w:t>
      </w:r>
      <w:r>
        <w:rPr>
          <w:rFonts w:eastAsia="仿宋_GB2312"/>
          <w:sz w:val="32"/>
          <w:szCs w:val="32"/>
        </w:rPr>
        <w:t>2023</w:t>
      </w:r>
      <w:r>
        <w:rPr>
          <w:rFonts w:eastAsia="仿宋_GB2312"/>
          <w:sz w:val="32"/>
          <w:szCs w:val="32"/>
        </w:rPr>
        <w:t>年贯彻落实过紧日子要求，公务活动减少，年末收回未使用公用经费</w:t>
      </w:r>
      <w:r>
        <w:rPr>
          <w:rFonts w:eastAsia="仿宋_GB2312"/>
          <w:sz w:val="32"/>
          <w:szCs w:val="32"/>
        </w:rPr>
        <w:t>56.64</w:t>
      </w:r>
      <w:r>
        <w:rPr>
          <w:rFonts w:eastAsia="仿宋_GB2312"/>
          <w:sz w:val="32"/>
          <w:szCs w:val="32"/>
        </w:rPr>
        <w:t>万元。</w:t>
      </w:r>
    </w:p>
    <w:p w:rsidR="00EB6FF2" w:rsidRDefault="0011043E">
      <w:pPr>
        <w:autoSpaceDE w:val="0"/>
        <w:autoSpaceDN w:val="0"/>
        <w:adjustRightInd w:val="0"/>
        <w:spacing w:line="600" w:lineRule="exact"/>
        <w:ind w:firstLineChars="200" w:firstLine="643"/>
        <w:jc w:val="left"/>
        <w:outlineLvl w:val="2"/>
        <w:rPr>
          <w:rFonts w:eastAsia="楷体_GB2312"/>
          <w:b/>
          <w:sz w:val="32"/>
          <w:szCs w:val="32"/>
        </w:rPr>
      </w:pPr>
      <w:bookmarkStart w:id="48" w:name="_Toc15377223"/>
      <w:r>
        <w:rPr>
          <w:rFonts w:eastAsia="楷体_GB2312"/>
          <w:b/>
          <w:sz w:val="32"/>
          <w:szCs w:val="32"/>
        </w:rPr>
        <w:t>（二）政府采购支出情况</w:t>
      </w:r>
      <w:bookmarkEnd w:id="48"/>
      <w:r>
        <w:rPr>
          <w:rFonts w:eastAsia="楷体_GB2312"/>
          <w:b/>
          <w:sz w:val="32"/>
          <w:szCs w:val="32"/>
        </w:rPr>
        <w:t>。</w:t>
      </w:r>
    </w:p>
    <w:p w:rsidR="00EB6FF2" w:rsidRDefault="0011043E">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年，攀枝花市财政局政府采购支出总额</w:t>
      </w:r>
      <w:r>
        <w:rPr>
          <w:rFonts w:eastAsia="仿宋_GB2312"/>
          <w:sz w:val="32"/>
          <w:szCs w:val="32"/>
        </w:rPr>
        <w:t>1.62</w:t>
      </w:r>
      <w:r>
        <w:rPr>
          <w:rFonts w:eastAsia="仿宋_GB2312"/>
          <w:sz w:val="32"/>
          <w:szCs w:val="32"/>
        </w:rPr>
        <w:t>万元，其中：政府采购货物支出</w:t>
      </w:r>
      <w:r>
        <w:rPr>
          <w:rFonts w:eastAsia="仿宋_GB2312"/>
          <w:sz w:val="32"/>
          <w:szCs w:val="32"/>
        </w:rPr>
        <w:t>1.62</w:t>
      </w:r>
      <w:r>
        <w:rPr>
          <w:rFonts w:eastAsia="仿宋_GB2312"/>
          <w:sz w:val="32"/>
          <w:szCs w:val="32"/>
        </w:rPr>
        <w:t>万元、政府采购工程支出</w:t>
      </w:r>
      <w:r>
        <w:rPr>
          <w:rFonts w:eastAsia="仿宋_GB2312"/>
          <w:sz w:val="32"/>
          <w:szCs w:val="32"/>
        </w:rPr>
        <w:t>0</w:t>
      </w:r>
      <w:r>
        <w:rPr>
          <w:rFonts w:eastAsia="仿宋_GB2312"/>
          <w:sz w:val="32"/>
          <w:szCs w:val="32"/>
        </w:rPr>
        <w:t>万元、政府采购服务支出</w:t>
      </w:r>
      <w:r>
        <w:rPr>
          <w:rFonts w:eastAsia="仿宋_GB2312"/>
          <w:sz w:val="32"/>
          <w:szCs w:val="32"/>
        </w:rPr>
        <w:t>0</w:t>
      </w:r>
      <w:r>
        <w:rPr>
          <w:rFonts w:eastAsia="仿宋_GB2312"/>
          <w:sz w:val="32"/>
          <w:szCs w:val="32"/>
        </w:rPr>
        <w:t>万元。主要用于打印室复印机一台。授予中小企业合同金额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，其中：授予小微企业合同金额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w:t>
      </w:r>
    </w:p>
    <w:p w:rsidR="00EB6FF2" w:rsidRDefault="0011043E">
      <w:pPr>
        <w:autoSpaceDE w:val="0"/>
        <w:autoSpaceDN w:val="0"/>
        <w:adjustRightInd w:val="0"/>
        <w:spacing w:line="600" w:lineRule="exact"/>
        <w:ind w:firstLineChars="200" w:firstLine="643"/>
        <w:jc w:val="left"/>
        <w:outlineLvl w:val="2"/>
        <w:rPr>
          <w:rFonts w:eastAsia="楷体_GB2312"/>
          <w:b/>
          <w:sz w:val="32"/>
          <w:szCs w:val="32"/>
        </w:rPr>
      </w:pPr>
      <w:bookmarkStart w:id="49" w:name="_Toc15377224"/>
      <w:r>
        <w:rPr>
          <w:rFonts w:eastAsia="楷体_GB2312"/>
          <w:b/>
          <w:sz w:val="32"/>
          <w:szCs w:val="32"/>
        </w:rPr>
        <w:t>（三）国有资产占有使用情况</w:t>
      </w:r>
      <w:bookmarkEnd w:id="49"/>
      <w:r>
        <w:rPr>
          <w:rFonts w:eastAsia="楷体_GB2312"/>
          <w:b/>
          <w:sz w:val="32"/>
          <w:szCs w:val="32"/>
        </w:rPr>
        <w:t>。</w:t>
      </w:r>
    </w:p>
    <w:p w:rsidR="00EB6FF2" w:rsidRDefault="0011043E">
      <w:pPr>
        <w:autoSpaceDE w:val="0"/>
        <w:autoSpaceDN w:val="0"/>
        <w:adjustRightInd w:val="0"/>
        <w:spacing w:line="600" w:lineRule="exact"/>
        <w:ind w:firstLineChars="200" w:firstLine="640"/>
        <w:jc w:val="left"/>
        <w:outlineLvl w:val="2"/>
        <w:rPr>
          <w:rFonts w:eastAsia="仿宋_GB2312"/>
          <w:sz w:val="32"/>
          <w:szCs w:val="32"/>
        </w:rPr>
      </w:pPr>
      <w:r>
        <w:rPr>
          <w:rFonts w:eastAsia="仿宋_GB2312"/>
          <w:sz w:val="32"/>
          <w:szCs w:val="32"/>
        </w:rPr>
        <w:lastRenderedPageBreak/>
        <w:t>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日，攀枝花市财政局共有车辆</w:t>
      </w:r>
      <w:r>
        <w:rPr>
          <w:rFonts w:eastAsia="仿宋_GB2312"/>
          <w:sz w:val="32"/>
          <w:szCs w:val="32"/>
        </w:rPr>
        <w:t>5</w:t>
      </w:r>
      <w:r>
        <w:rPr>
          <w:rFonts w:eastAsia="仿宋_GB2312"/>
          <w:sz w:val="32"/>
          <w:szCs w:val="32"/>
        </w:rPr>
        <w:t>辆，其中：主要领导干部用车</w:t>
      </w:r>
      <w:r>
        <w:rPr>
          <w:rFonts w:eastAsia="仿宋_GB2312"/>
          <w:sz w:val="32"/>
          <w:szCs w:val="32"/>
        </w:rPr>
        <w:t>0</w:t>
      </w:r>
      <w:r>
        <w:rPr>
          <w:rFonts w:eastAsia="仿宋_GB2312"/>
          <w:sz w:val="32"/>
          <w:szCs w:val="32"/>
        </w:rPr>
        <w:t>辆、机要通信用车</w:t>
      </w:r>
      <w:r>
        <w:rPr>
          <w:rFonts w:eastAsia="仿宋_GB2312"/>
          <w:sz w:val="32"/>
          <w:szCs w:val="32"/>
        </w:rPr>
        <w:t>0</w:t>
      </w:r>
      <w:r>
        <w:rPr>
          <w:rFonts w:eastAsia="仿宋_GB2312"/>
          <w:sz w:val="32"/>
          <w:szCs w:val="32"/>
        </w:rPr>
        <w:t>辆、应急保障用车</w:t>
      </w:r>
      <w:r>
        <w:rPr>
          <w:rFonts w:eastAsia="仿宋_GB2312"/>
          <w:sz w:val="32"/>
          <w:szCs w:val="32"/>
        </w:rPr>
        <w:t>0</w:t>
      </w:r>
      <w:r>
        <w:rPr>
          <w:rFonts w:eastAsia="仿宋_GB2312"/>
          <w:sz w:val="32"/>
          <w:szCs w:val="32"/>
        </w:rPr>
        <w:t>辆、其他用车</w:t>
      </w:r>
      <w:r>
        <w:rPr>
          <w:rFonts w:eastAsia="仿宋_GB2312"/>
          <w:sz w:val="32"/>
          <w:szCs w:val="32"/>
        </w:rPr>
        <w:t>5</w:t>
      </w:r>
      <w:r>
        <w:rPr>
          <w:rFonts w:eastAsia="仿宋_GB2312"/>
          <w:sz w:val="32"/>
          <w:szCs w:val="32"/>
        </w:rPr>
        <w:t>辆，其他用车主要是用于攀枝花市财政收费票据中</w:t>
      </w:r>
      <w:r>
        <w:rPr>
          <w:rFonts w:eastAsia="仿宋_GB2312"/>
          <w:sz w:val="32"/>
          <w:szCs w:val="32"/>
        </w:rPr>
        <w:t>心、攀枝花市世界银行贷款领导小组办公室、攀枝花市财政科研和财会培训中心。单价</w:t>
      </w:r>
      <w:r>
        <w:rPr>
          <w:rFonts w:eastAsia="仿宋_GB2312"/>
          <w:sz w:val="32"/>
          <w:szCs w:val="32"/>
        </w:rPr>
        <w:t>100</w:t>
      </w:r>
      <w:r>
        <w:rPr>
          <w:rFonts w:eastAsia="仿宋_GB2312"/>
          <w:sz w:val="32"/>
          <w:szCs w:val="32"/>
        </w:rPr>
        <w:t>万元以上专用设备</w:t>
      </w:r>
      <w:r>
        <w:rPr>
          <w:rFonts w:eastAsia="仿宋_GB2312"/>
          <w:sz w:val="32"/>
          <w:szCs w:val="32"/>
        </w:rPr>
        <w:t>0</w:t>
      </w:r>
      <w:r>
        <w:rPr>
          <w:rFonts w:eastAsia="仿宋_GB2312"/>
          <w:sz w:val="32"/>
          <w:szCs w:val="32"/>
        </w:rPr>
        <w:t>台（套）。</w:t>
      </w:r>
    </w:p>
    <w:p w:rsidR="00EB6FF2" w:rsidRDefault="0011043E">
      <w:pPr>
        <w:autoSpaceDE w:val="0"/>
        <w:autoSpaceDN w:val="0"/>
        <w:adjustRightInd w:val="0"/>
        <w:spacing w:line="600" w:lineRule="exact"/>
        <w:ind w:firstLineChars="200" w:firstLine="643"/>
        <w:jc w:val="left"/>
        <w:outlineLvl w:val="2"/>
        <w:rPr>
          <w:rFonts w:eastAsia="楷体_GB2312"/>
          <w:b/>
          <w:sz w:val="32"/>
          <w:szCs w:val="32"/>
        </w:rPr>
      </w:pPr>
      <w:r>
        <w:rPr>
          <w:rFonts w:eastAsia="楷体_GB2312"/>
          <w:b/>
          <w:sz w:val="32"/>
          <w:szCs w:val="32"/>
        </w:rPr>
        <w:t>（四）预算绩效管理情况。</w:t>
      </w:r>
    </w:p>
    <w:p w:rsidR="00EB6FF2" w:rsidRDefault="0011043E">
      <w:pPr>
        <w:spacing w:line="600" w:lineRule="exact"/>
        <w:ind w:firstLineChars="200" w:firstLine="640"/>
        <w:rPr>
          <w:rFonts w:eastAsia="仿宋_GB2312"/>
          <w:sz w:val="32"/>
          <w:szCs w:val="32"/>
        </w:rPr>
      </w:pPr>
      <w:r>
        <w:rPr>
          <w:rFonts w:eastAsia="仿宋_GB2312"/>
          <w:sz w:val="32"/>
          <w:szCs w:val="32"/>
        </w:rPr>
        <w:t>根据预算绩效管理要求，本部门在</w:t>
      </w:r>
      <w:r>
        <w:rPr>
          <w:rFonts w:eastAsia="仿宋_GB2312"/>
          <w:sz w:val="32"/>
          <w:szCs w:val="32"/>
        </w:rPr>
        <w:t>2023</w:t>
      </w:r>
      <w:r>
        <w:rPr>
          <w:rFonts w:eastAsia="仿宋_GB2312"/>
          <w:sz w:val="32"/>
          <w:szCs w:val="32"/>
        </w:rPr>
        <w:t>年度预算编制阶段，组织对四川省非税收缴暨财政票据管理系统实施服务项目、财政投资评审经费、路内停车罚没资产项目评估及法律尽调项目等</w:t>
      </w:r>
      <w:r>
        <w:rPr>
          <w:rFonts w:eastAsia="仿宋_GB2312"/>
          <w:sz w:val="32"/>
          <w:szCs w:val="32"/>
        </w:rPr>
        <w:t>3</w:t>
      </w:r>
      <w:r>
        <w:rPr>
          <w:rFonts w:eastAsia="仿宋_GB2312"/>
          <w:sz w:val="32"/>
          <w:szCs w:val="32"/>
        </w:rPr>
        <w:t>个项目开展了预算事前绩效评估，对</w:t>
      </w:r>
      <w:r>
        <w:rPr>
          <w:rFonts w:eastAsia="仿宋_GB2312"/>
          <w:sz w:val="32"/>
          <w:szCs w:val="32"/>
        </w:rPr>
        <w:t>3</w:t>
      </w:r>
      <w:r>
        <w:rPr>
          <w:rFonts w:eastAsia="仿宋_GB2312"/>
          <w:sz w:val="32"/>
          <w:szCs w:val="32"/>
        </w:rPr>
        <w:t>个项目编制了绩效目标，预算执行过程中，选取</w:t>
      </w:r>
      <w:r>
        <w:rPr>
          <w:rFonts w:eastAsia="仿宋_GB2312"/>
          <w:sz w:val="32"/>
          <w:szCs w:val="32"/>
        </w:rPr>
        <w:t>3</w:t>
      </w:r>
      <w:r>
        <w:rPr>
          <w:rFonts w:eastAsia="仿宋_GB2312"/>
          <w:sz w:val="32"/>
          <w:szCs w:val="32"/>
        </w:rPr>
        <w:t>个项目开展绩效监控。</w:t>
      </w:r>
    </w:p>
    <w:p w:rsidR="00EB6FF2" w:rsidRDefault="0011043E">
      <w:pPr>
        <w:spacing w:line="600" w:lineRule="exact"/>
        <w:ind w:firstLineChars="200" w:firstLine="640"/>
        <w:rPr>
          <w:rFonts w:eastAsia="仿宋_GB2312"/>
          <w:b/>
          <w:sz w:val="32"/>
          <w:szCs w:val="32"/>
        </w:rPr>
      </w:pPr>
      <w:r>
        <w:rPr>
          <w:rFonts w:eastAsia="仿宋_GB2312"/>
          <w:sz w:val="32"/>
          <w:szCs w:val="32"/>
        </w:rPr>
        <w:t>组织对</w:t>
      </w:r>
      <w:r>
        <w:rPr>
          <w:rFonts w:eastAsia="仿宋_GB2312"/>
          <w:sz w:val="32"/>
          <w:szCs w:val="32"/>
        </w:rPr>
        <w:t>2023</w:t>
      </w:r>
      <w:r>
        <w:rPr>
          <w:rFonts w:eastAsia="仿宋_GB2312"/>
          <w:sz w:val="32"/>
          <w:szCs w:val="32"/>
        </w:rPr>
        <w:t>年度一般公共预算、政府性基金预算、国有资本经营预算、社会保险基金预算以及资本资产、债券资金等全面开展绩效自评，形成攀枝花市财政局部门整体（含部门预算项目）绩效自评报告、四川省非税收缴暨财政票据管理系统实施服务项目、财政投资评审经费、路内停车罚没资产项目评估及法律尽调项目等部门预算项目绩效自评报告，其中，攀枝花市财政局部门整体（含部门预算项目）绩效自评得分为</w:t>
      </w:r>
      <w:r>
        <w:rPr>
          <w:rFonts w:eastAsia="仿宋_GB2312"/>
          <w:sz w:val="32"/>
          <w:szCs w:val="32"/>
        </w:rPr>
        <w:t>98</w:t>
      </w:r>
      <w:r>
        <w:rPr>
          <w:rFonts w:eastAsia="仿宋_GB2312"/>
          <w:sz w:val="32"/>
          <w:szCs w:val="32"/>
        </w:rPr>
        <w:t>分，绩效自评综述：</w:t>
      </w:r>
      <w:r>
        <w:rPr>
          <w:rFonts w:eastAsia="仿宋_GB2312"/>
          <w:sz w:val="32"/>
          <w:szCs w:val="32"/>
        </w:rPr>
        <w:t>2023</w:t>
      </w:r>
      <w:r>
        <w:rPr>
          <w:rFonts w:eastAsia="仿宋_GB2312"/>
          <w:sz w:val="32"/>
          <w:szCs w:val="32"/>
        </w:rPr>
        <w:t>年，我局部门整体支出绩效自查自评结果良好，全年基本支出保证了部门正常运转，项目支出保障了重点工作顺利开展</w:t>
      </w:r>
      <w:r>
        <w:rPr>
          <w:rFonts w:eastAsia="仿宋_GB2312"/>
          <w:sz w:val="32"/>
          <w:szCs w:val="32"/>
        </w:rPr>
        <w:t>;</w:t>
      </w:r>
      <w:r>
        <w:rPr>
          <w:rFonts w:eastAsia="仿宋_GB2312"/>
          <w:sz w:val="32"/>
          <w:szCs w:val="32"/>
        </w:rPr>
        <w:t>《</w:t>
      </w:r>
      <w:r>
        <w:rPr>
          <w:rFonts w:eastAsia="仿宋_GB2312"/>
          <w:sz w:val="32"/>
          <w:szCs w:val="32"/>
        </w:rPr>
        <w:t>2</w:t>
      </w:r>
      <w:r>
        <w:rPr>
          <w:rFonts w:eastAsia="仿宋_GB2312"/>
          <w:sz w:val="32"/>
          <w:szCs w:val="32"/>
        </w:rPr>
        <w:t>023</w:t>
      </w:r>
      <w:r>
        <w:rPr>
          <w:rFonts w:eastAsia="仿宋_GB2312"/>
          <w:sz w:val="32"/>
          <w:szCs w:val="32"/>
        </w:rPr>
        <w:t>年攀枝花市财政局部门整体绩效自评报告》详见附件。</w:t>
      </w:r>
    </w:p>
    <w:p w:rsidR="00EB6FF2" w:rsidRDefault="0011043E">
      <w:pPr>
        <w:numPr>
          <w:ilvl w:val="0"/>
          <w:numId w:val="3"/>
        </w:numPr>
        <w:spacing w:line="600" w:lineRule="exact"/>
        <w:jc w:val="center"/>
        <w:outlineLvl w:val="0"/>
        <w:rPr>
          <w:rStyle w:val="10"/>
          <w:rFonts w:eastAsia="黑体"/>
          <w:b w:val="0"/>
        </w:rPr>
      </w:pPr>
      <w:bookmarkStart w:id="50" w:name="_Toc15396613"/>
      <w:bookmarkStart w:id="51" w:name="_Toc15377225"/>
      <w:r>
        <w:rPr>
          <w:rFonts w:eastAsia="黑体"/>
          <w:sz w:val="44"/>
          <w:szCs w:val="44"/>
        </w:rPr>
        <w:lastRenderedPageBreak/>
        <w:t>名</w:t>
      </w:r>
      <w:r>
        <w:rPr>
          <w:rStyle w:val="10"/>
          <w:rFonts w:eastAsia="黑体"/>
          <w:b w:val="0"/>
        </w:rPr>
        <w:t>词解释</w:t>
      </w:r>
      <w:bookmarkEnd w:id="50"/>
      <w:bookmarkEnd w:id="51"/>
    </w:p>
    <w:p w:rsidR="00EB6FF2" w:rsidRDefault="00EB6FF2">
      <w:pPr>
        <w:pStyle w:val="a0"/>
        <w:spacing w:before="93"/>
      </w:pPr>
    </w:p>
    <w:p w:rsidR="00EB6FF2" w:rsidRDefault="0011043E">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财政拨款收入：指单位从同级财政部门取得的财政预算资金。</w:t>
      </w:r>
    </w:p>
    <w:p w:rsidR="00EB6FF2" w:rsidRDefault="0011043E">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color w:val="auto"/>
          <w:sz w:val="32"/>
          <w:szCs w:val="32"/>
        </w:rPr>
        <w:t>年初结转和结余：指以前年度尚未完成、结转到本年按有关规定继续使用的资金。</w:t>
      </w:r>
      <w:r>
        <w:rPr>
          <w:rFonts w:ascii="Times New Roman" w:eastAsia="仿宋_GB2312" w:hAnsi="Times New Roman" w:cs="Times New Roman"/>
          <w:color w:val="auto"/>
          <w:sz w:val="32"/>
          <w:szCs w:val="32"/>
        </w:rPr>
        <w:t xml:space="preserve"> </w:t>
      </w:r>
    </w:p>
    <w:p w:rsidR="00EB6FF2" w:rsidRDefault="0011043E">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3.</w:t>
      </w:r>
      <w:r>
        <w:rPr>
          <w:rFonts w:ascii="Times New Roman" w:eastAsia="仿宋_GB2312" w:hAnsi="Times New Roman" w:cs="Times New Roman"/>
          <w:color w:val="auto"/>
          <w:sz w:val="32"/>
          <w:szCs w:val="32"/>
        </w:rPr>
        <w:t>年末结转和结余：指单位按有关规定结转到下年或以后年度继续使用的资金。</w:t>
      </w:r>
    </w:p>
    <w:p w:rsidR="00EB6FF2" w:rsidRDefault="0011043E">
      <w:pPr>
        <w:ind w:firstLineChars="200" w:firstLine="640"/>
        <w:rPr>
          <w:rFonts w:eastAsia="仿宋_GB2312"/>
          <w:sz w:val="32"/>
          <w:szCs w:val="32"/>
        </w:rPr>
      </w:pPr>
      <w:r>
        <w:rPr>
          <w:rFonts w:eastAsia="仿宋_GB2312"/>
          <w:sz w:val="32"/>
          <w:szCs w:val="32"/>
        </w:rPr>
        <w:t>4.</w:t>
      </w:r>
      <w:r>
        <w:rPr>
          <w:rFonts w:eastAsia="仿宋_GB2312"/>
          <w:sz w:val="32"/>
          <w:szCs w:val="32"/>
        </w:rPr>
        <w:t>一般公共服务（类）财政事务（款）行政运行（项）：指财政局行政单位</w:t>
      </w:r>
      <w:r>
        <w:rPr>
          <w:rStyle w:val="fontstyle01"/>
          <w:rFonts w:ascii="Times New Roman" w:hint="default"/>
        </w:rPr>
        <w:t>及参照公务员法管理事业单位（包括局本级、</w:t>
      </w:r>
      <w:r>
        <w:rPr>
          <w:rFonts w:eastAsia="仿宋_GB2312"/>
          <w:sz w:val="32"/>
          <w:szCs w:val="32"/>
        </w:rPr>
        <w:t>攀枝花市财政监督检查局</w:t>
      </w:r>
      <w:r>
        <w:rPr>
          <w:rStyle w:val="fontstyle01"/>
          <w:rFonts w:ascii="Times New Roman" w:hint="default"/>
        </w:rPr>
        <w:t>、攀枝花市国库集中支付中心）用于保障机构正常运行、开展日常工作的基本支出</w:t>
      </w:r>
      <w:r>
        <w:rPr>
          <w:rFonts w:eastAsia="仿宋_GB2312"/>
          <w:sz w:val="32"/>
          <w:szCs w:val="32"/>
        </w:rPr>
        <w:t>。</w:t>
      </w:r>
    </w:p>
    <w:p w:rsidR="00EB6FF2" w:rsidRDefault="0011043E">
      <w:pPr>
        <w:ind w:firstLineChars="200" w:firstLine="640"/>
        <w:rPr>
          <w:rFonts w:eastAsia="仿宋_GB2312"/>
          <w:color w:val="000000" w:themeColor="text1"/>
          <w:sz w:val="32"/>
          <w:szCs w:val="32"/>
        </w:rPr>
      </w:pPr>
      <w:r>
        <w:rPr>
          <w:rFonts w:eastAsia="仿宋_GB2312"/>
          <w:color w:val="000000" w:themeColor="text1"/>
          <w:sz w:val="32"/>
          <w:szCs w:val="32"/>
        </w:rPr>
        <w:t>5.</w:t>
      </w:r>
      <w:r>
        <w:rPr>
          <w:rFonts w:eastAsia="仿宋_GB2312"/>
          <w:color w:val="000000" w:themeColor="text1"/>
          <w:sz w:val="32"/>
          <w:szCs w:val="32"/>
        </w:rPr>
        <w:t>一般公共服务（类）财政事务（款）机关服务（项）：</w:t>
      </w:r>
      <w:r>
        <w:rPr>
          <w:rStyle w:val="fontstyle01"/>
          <w:rFonts w:ascii="Times New Roman" w:hint="default"/>
          <w:color w:val="000000" w:themeColor="text1"/>
        </w:rPr>
        <w:t>指财政局行政单位及参照公务员法管理事业单位开展财政网络改造及一体化信息系统维护、机关二食堂劳务费、物业综合治理等未单独设置项级科目的专门性财政管理工作的项目支出</w:t>
      </w:r>
      <w:r>
        <w:rPr>
          <w:rFonts w:eastAsia="仿宋_GB2312"/>
          <w:color w:val="000000" w:themeColor="text1"/>
          <w:sz w:val="32"/>
          <w:szCs w:val="32"/>
        </w:rPr>
        <w:t>。</w:t>
      </w:r>
    </w:p>
    <w:p w:rsidR="00EB6FF2" w:rsidRDefault="0011043E">
      <w:pPr>
        <w:ind w:firstLineChars="200" w:firstLine="640"/>
        <w:rPr>
          <w:rFonts w:eastAsia="仿宋_GB2312"/>
          <w:sz w:val="32"/>
          <w:szCs w:val="32"/>
        </w:rPr>
      </w:pPr>
      <w:r>
        <w:rPr>
          <w:rFonts w:eastAsia="仿宋_GB2312"/>
          <w:sz w:val="32"/>
          <w:szCs w:val="32"/>
        </w:rPr>
        <w:t>6.</w:t>
      </w:r>
      <w:r>
        <w:rPr>
          <w:rFonts w:eastAsia="仿宋_GB2312"/>
          <w:sz w:val="32"/>
          <w:szCs w:val="32"/>
        </w:rPr>
        <w:t>一般公共服务（类）财政事务（款）财政委托业务支出（项）：</w:t>
      </w:r>
      <w:r>
        <w:rPr>
          <w:rStyle w:val="fontstyle01"/>
          <w:rFonts w:ascii="Times New Roman" w:hint="default"/>
        </w:rPr>
        <w:t>指财政局行政单位及参照公务员法管理事业单位委托评审机构进行财政投资评审的项目支出</w:t>
      </w:r>
      <w:r>
        <w:rPr>
          <w:rFonts w:eastAsia="仿宋_GB2312"/>
          <w:sz w:val="32"/>
          <w:szCs w:val="32"/>
        </w:rPr>
        <w:t>。</w:t>
      </w:r>
    </w:p>
    <w:p w:rsidR="00EB6FF2" w:rsidRDefault="0011043E">
      <w:pPr>
        <w:ind w:firstLineChars="200" w:firstLine="640"/>
        <w:rPr>
          <w:rFonts w:eastAsia="仿宋_GB2312"/>
          <w:sz w:val="32"/>
          <w:szCs w:val="32"/>
        </w:rPr>
      </w:pPr>
      <w:r>
        <w:rPr>
          <w:rFonts w:eastAsia="仿宋_GB2312"/>
          <w:sz w:val="32"/>
          <w:szCs w:val="32"/>
        </w:rPr>
        <w:t>7.</w:t>
      </w:r>
      <w:r>
        <w:rPr>
          <w:rFonts w:eastAsia="仿宋_GB2312"/>
          <w:sz w:val="32"/>
          <w:szCs w:val="32"/>
        </w:rPr>
        <w:t>一般公共服务（类）财政事务（款）</w:t>
      </w:r>
      <w:r>
        <w:rPr>
          <w:rStyle w:val="fontstyle01"/>
          <w:rFonts w:ascii="Times New Roman" w:hint="default"/>
        </w:rPr>
        <w:t>事业运行（项）：</w:t>
      </w:r>
      <w:r>
        <w:rPr>
          <w:rStyle w:val="fontstyle01"/>
          <w:rFonts w:ascii="Times New Roman" w:hint="default"/>
        </w:rPr>
        <w:t xml:space="preserve"> </w:t>
      </w:r>
      <w:r>
        <w:rPr>
          <w:rStyle w:val="fontstyle01"/>
          <w:rFonts w:ascii="Times New Roman" w:hint="default"/>
        </w:rPr>
        <w:t>指用于攀枝花市投资评审中心、攀枝花市财政收费票据监管中心、</w:t>
      </w:r>
      <w:r>
        <w:rPr>
          <w:rStyle w:val="fontstyle01"/>
          <w:rFonts w:ascii="Times New Roman" w:hint="default"/>
        </w:rPr>
        <w:lastRenderedPageBreak/>
        <w:t>攀枝花市财政科研和财会培训中心、攀枝花市世界银行贷款领导小组办公室保障机构正常运行、开展日常工作的基本支出</w:t>
      </w:r>
      <w:r>
        <w:rPr>
          <w:rFonts w:eastAsia="仿宋_GB2312"/>
          <w:sz w:val="32"/>
          <w:szCs w:val="32"/>
        </w:rPr>
        <w:t>。</w:t>
      </w:r>
    </w:p>
    <w:p w:rsidR="00EB6FF2" w:rsidRDefault="0011043E">
      <w:pPr>
        <w:ind w:firstLineChars="200" w:firstLine="640"/>
        <w:rPr>
          <w:rStyle w:val="fontstyle01"/>
          <w:rFonts w:ascii="Times New Roman" w:hint="default"/>
        </w:rPr>
      </w:pPr>
      <w:r>
        <w:rPr>
          <w:rFonts w:eastAsia="仿宋_GB2312"/>
          <w:sz w:val="32"/>
          <w:szCs w:val="32"/>
        </w:rPr>
        <w:t>8.</w:t>
      </w:r>
      <w:r>
        <w:rPr>
          <w:rStyle w:val="fontstyle01"/>
          <w:rFonts w:ascii="Times New Roman" w:hint="default"/>
        </w:rPr>
        <w:t>一般公共服务支出（类）财政事务（款）其他财政事务支出（项）：指财政局除上述项目外，开展其他财政事务方面专门性工作任务的项目支出。</w:t>
      </w:r>
    </w:p>
    <w:p w:rsidR="00EB6FF2" w:rsidRDefault="0011043E">
      <w:pPr>
        <w:ind w:firstLineChars="200" w:firstLine="640"/>
        <w:rPr>
          <w:rStyle w:val="fontstyle01"/>
          <w:rFonts w:ascii="Times New Roman" w:hint="default"/>
        </w:rPr>
      </w:pPr>
      <w:r>
        <w:rPr>
          <w:rFonts w:eastAsia="仿宋_GB2312"/>
          <w:sz w:val="32"/>
          <w:szCs w:val="32"/>
        </w:rPr>
        <w:t>9.</w:t>
      </w:r>
      <w:r>
        <w:rPr>
          <w:rStyle w:val="fontstyle01"/>
          <w:rFonts w:ascii="Times New Roman" w:hint="default"/>
        </w:rPr>
        <w:t>一般公共服务支出（类）组织事务（款）其他组织事务支出（项）：指财政局开展组织人事事务方面专门性工作任务的项目支出。</w:t>
      </w:r>
    </w:p>
    <w:p w:rsidR="00EB6FF2" w:rsidRDefault="0011043E">
      <w:pPr>
        <w:ind w:firstLineChars="200" w:firstLine="640"/>
        <w:rPr>
          <w:rStyle w:val="fontstyle01"/>
          <w:rFonts w:ascii="Times New Roman" w:hint="default"/>
        </w:rPr>
      </w:pPr>
      <w:r>
        <w:rPr>
          <w:rStyle w:val="ad"/>
          <w:rFonts w:eastAsia="仿宋_GB2312"/>
          <w:b w:val="0"/>
          <w:color w:val="000000" w:themeColor="text1"/>
          <w:sz w:val="32"/>
          <w:szCs w:val="32"/>
        </w:rPr>
        <w:t>10.</w:t>
      </w:r>
      <w:r>
        <w:rPr>
          <w:rStyle w:val="fontstyle01"/>
          <w:rFonts w:ascii="Times New Roman" w:hint="default"/>
        </w:rPr>
        <w:t>社会保障和就业支出（类）人力资源和社会保障管理事务（项）</w:t>
      </w:r>
      <w:r>
        <w:rPr>
          <w:rFonts w:eastAsia="仿宋_GB2312"/>
          <w:color w:val="000000"/>
          <w:sz w:val="32"/>
          <w:szCs w:val="32"/>
        </w:rPr>
        <w:t>其他</w:t>
      </w:r>
      <w:r>
        <w:rPr>
          <w:rStyle w:val="fontstyle01"/>
          <w:rFonts w:ascii="Times New Roman" w:hint="default"/>
        </w:rPr>
        <w:t>人力资源和社会保障管理事</w:t>
      </w:r>
      <w:r>
        <w:rPr>
          <w:rStyle w:val="fontstyle01"/>
          <w:rFonts w:ascii="Times New Roman" w:hint="default"/>
        </w:rPr>
        <w:t>务支出（项）：指财政局用于社会保险业务管理和基金监管专门性工作任务的项目支出。</w:t>
      </w:r>
    </w:p>
    <w:p w:rsidR="00EB6FF2" w:rsidRDefault="0011043E">
      <w:pPr>
        <w:pStyle w:val="a0"/>
        <w:spacing w:before="93"/>
        <w:rPr>
          <w:rStyle w:val="fontstyle01"/>
          <w:rFonts w:ascii="Times New Roman" w:hint="default"/>
        </w:rPr>
      </w:pPr>
      <w:r>
        <w:rPr>
          <w:rStyle w:val="fontstyle01"/>
          <w:rFonts w:ascii="Times New Roman" w:hint="default"/>
        </w:rPr>
        <w:t xml:space="preserve">    </w:t>
      </w:r>
      <w:r>
        <w:rPr>
          <w:rFonts w:ascii="Times New Roman"/>
          <w:sz w:val="32"/>
          <w:szCs w:val="32"/>
        </w:rPr>
        <w:t>11.</w:t>
      </w:r>
      <w:r>
        <w:rPr>
          <w:rStyle w:val="fontstyle01"/>
          <w:rFonts w:ascii="Times New Roman" w:hint="default"/>
        </w:rPr>
        <w:t>社会保障和就业支出（类）行政事业单位养老支出（款）行政单位离退休（项）：指财政局统一管理的局机关离退休人员的支出。</w:t>
      </w:r>
    </w:p>
    <w:p w:rsidR="00EB6FF2" w:rsidRDefault="0011043E">
      <w:pPr>
        <w:pStyle w:val="a0"/>
        <w:spacing w:before="93"/>
        <w:rPr>
          <w:rStyle w:val="fontstyle01"/>
          <w:rFonts w:ascii="Times New Roman" w:hint="default"/>
        </w:rPr>
      </w:pPr>
      <w:r>
        <w:rPr>
          <w:rFonts w:ascii="Times New Roman"/>
          <w:sz w:val="32"/>
          <w:szCs w:val="32"/>
        </w:rPr>
        <w:t xml:space="preserve">    12.</w:t>
      </w:r>
      <w:r>
        <w:rPr>
          <w:rStyle w:val="fontstyle01"/>
          <w:rFonts w:ascii="Times New Roman" w:hint="default"/>
        </w:rPr>
        <w:t>社会保障和就业支出（类）行政事业单位养老支出（款）事业单位离退休（项）：指财政局统一管理的所属事业单位退休人员的支出。</w:t>
      </w:r>
    </w:p>
    <w:p w:rsidR="00EB6FF2" w:rsidRDefault="0011043E">
      <w:pPr>
        <w:pStyle w:val="a0"/>
        <w:spacing w:before="93"/>
        <w:rPr>
          <w:rStyle w:val="fontstyle01"/>
          <w:rFonts w:ascii="Times New Roman" w:hint="default"/>
        </w:rPr>
      </w:pPr>
      <w:r>
        <w:rPr>
          <w:rFonts w:ascii="Times New Roman"/>
          <w:sz w:val="32"/>
          <w:szCs w:val="32"/>
        </w:rPr>
        <w:t xml:space="preserve">    13.</w:t>
      </w:r>
      <w:r>
        <w:rPr>
          <w:rStyle w:val="fontstyle01"/>
          <w:rFonts w:ascii="Times New Roman" w:hint="default"/>
        </w:rPr>
        <w:t>社会保障和就业（类）行政事业单位养老支出（款）机关事业单位基本养老保险缴费支出（项）：指机关事业单位实施</w:t>
      </w:r>
      <w:r>
        <w:rPr>
          <w:rStyle w:val="fontstyle01"/>
          <w:rFonts w:ascii="Times New Roman" w:hint="default"/>
        </w:rPr>
        <w:lastRenderedPageBreak/>
        <w:t>养老保险制度由单位缴纳的基本养老保险费支出。</w:t>
      </w:r>
    </w:p>
    <w:p w:rsidR="00EB6FF2" w:rsidRDefault="0011043E">
      <w:pPr>
        <w:pStyle w:val="a0"/>
        <w:spacing w:before="93"/>
        <w:rPr>
          <w:rStyle w:val="fontstyle01"/>
          <w:rFonts w:ascii="Times New Roman" w:hint="default"/>
        </w:rPr>
      </w:pPr>
      <w:r>
        <w:rPr>
          <w:rFonts w:ascii="Times New Roman"/>
          <w:sz w:val="32"/>
          <w:szCs w:val="32"/>
        </w:rPr>
        <w:t xml:space="preserve">  </w:t>
      </w:r>
      <w:r>
        <w:rPr>
          <w:rFonts w:ascii="Times New Roman"/>
          <w:sz w:val="32"/>
          <w:szCs w:val="32"/>
        </w:rPr>
        <w:t xml:space="preserve">  14.</w:t>
      </w:r>
      <w:r>
        <w:rPr>
          <w:rStyle w:val="fontstyle01"/>
          <w:rFonts w:ascii="Times New Roman" w:hint="default"/>
        </w:rPr>
        <w:t>社会保障和就业（类）抚恤（款）死亡抚恤（项）：</w:t>
      </w:r>
      <w:r>
        <w:rPr>
          <w:rStyle w:val="fontstyle01"/>
          <w:rFonts w:ascii="Times New Roman" w:hint="default"/>
        </w:rPr>
        <w:t xml:space="preserve"> </w:t>
      </w:r>
      <w:r>
        <w:rPr>
          <w:rStyle w:val="fontstyle01"/>
          <w:rFonts w:ascii="Times New Roman" w:hint="default"/>
        </w:rPr>
        <w:t>指按规定用于财政局病故人员家属定期抚恤金。</w:t>
      </w:r>
    </w:p>
    <w:p w:rsidR="00EB6FF2" w:rsidRDefault="0011043E">
      <w:pPr>
        <w:pStyle w:val="a0"/>
        <w:spacing w:before="93"/>
        <w:ind w:firstLine="640"/>
        <w:rPr>
          <w:rStyle w:val="fontstyle01"/>
          <w:rFonts w:ascii="Times New Roman" w:hint="default"/>
        </w:rPr>
      </w:pPr>
      <w:r>
        <w:rPr>
          <w:rFonts w:ascii="Times New Roman"/>
          <w:sz w:val="32"/>
          <w:szCs w:val="32"/>
        </w:rPr>
        <w:t>15.</w:t>
      </w:r>
      <w:r>
        <w:rPr>
          <w:rStyle w:val="fontstyle01"/>
          <w:rFonts w:ascii="Times New Roman" w:hint="default"/>
        </w:rPr>
        <w:t>社会保障和就业（类）社会福利（款）儿童福利（项）：</w:t>
      </w:r>
      <w:r>
        <w:rPr>
          <w:rStyle w:val="fontstyle01"/>
          <w:rFonts w:ascii="Times New Roman" w:hint="default"/>
        </w:rPr>
        <w:t xml:space="preserve"> </w:t>
      </w:r>
      <w:r>
        <w:rPr>
          <w:rStyle w:val="fontstyle01"/>
          <w:rFonts w:ascii="Times New Roman" w:hint="default"/>
        </w:rPr>
        <w:t>指对儿童提供福利服务方面的支出。</w:t>
      </w:r>
    </w:p>
    <w:p w:rsidR="00EB6FF2" w:rsidRDefault="0011043E">
      <w:pPr>
        <w:pStyle w:val="a0"/>
        <w:spacing w:before="93"/>
        <w:ind w:firstLine="640"/>
        <w:rPr>
          <w:rStyle w:val="fontstyle01"/>
          <w:rFonts w:ascii="Times New Roman" w:hint="default"/>
        </w:rPr>
      </w:pPr>
      <w:r>
        <w:rPr>
          <w:rFonts w:ascii="Times New Roman"/>
          <w:sz w:val="32"/>
          <w:szCs w:val="32"/>
        </w:rPr>
        <w:t>16.</w:t>
      </w:r>
      <w:r>
        <w:rPr>
          <w:rStyle w:val="fontstyle01"/>
          <w:rFonts w:ascii="Times New Roman" w:hint="default"/>
        </w:rPr>
        <w:t>卫生健康（类）其他卫生健康（款）其他卫生健康（项）：指用于退休县级领导干部卫生健康方面的支出。</w:t>
      </w:r>
    </w:p>
    <w:p w:rsidR="00EB6FF2" w:rsidRDefault="0011043E">
      <w:pPr>
        <w:pStyle w:val="a0"/>
        <w:spacing w:before="93"/>
        <w:ind w:firstLine="640"/>
        <w:rPr>
          <w:rStyle w:val="fontstyle01"/>
          <w:rFonts w:ascii="Times New Roman" w:hint="default"/>
        </w:rPr>
      </w:pPr>
      <w:r>
        <w:rPr>
          <w:rFonts w:ascii="Times New Roman"/>
          <w:sz w:val="32"/>
          <w:szCs w:val="32"/>
        </w:rPr>
        <w:t>17.</w:t>
      </w:r>
      <w:r>
        <w:rPr>
          <w:rStyle w:val="fontstyle01"/>
          <w:rFonts w:ascii="Times New Roman" w:hint="default"/>
        </w:rPr>
        <w:t>城乡社区支出（类）城乡社区公共设施（款）其他城乡社区公共设施支出（项）：指用于城乡社区公共设施方面的支出。</w:t>
      </w:r>
    </w:p>
    <w:p w:rsidR="00EB6FF2" w:rsidRDefault="0011043E">
      <w:pPr>
        <w:pStyle w:val="a0"/>
        <w:spacing w:before="93"/>
        <w:rPr>
          <w:rStyle w:val="fontstyle01"/>
          <w:rFonts w:ascii="Times New Roman" w:hint="default"/>
        </w:rPr>
      </w:pPr>
      <w:r>
        <w:rPr>
          <w:rStyle w:val="fontstyle01"/>
          <w:rFonts w:ascii="Times New Roman" w:hint="default"/>
        </w:rPr>
        <w:t xml:space="preserve">    18</w:t>
      </w:r>
      <w:r>
        <w:rPr>
          <w:rFonts w:ascii="Times New Roman"/>
          <w:sz w:val="32"/>
          <w:szCs w:val="32"/>
        </w:rPr>
        <w:t>.</w:t>
      </w:r>
      <w:r>
        <w:rPr>
          <w:rStyle w:val="fontstyle01"/>
          <w:rFonts w:ascii="Times New Roman" w:hint="default"/>
        </w:rPr>
        <w:t>住房保障支出（类）住房改革支出（款）住房公积金（项）：指按照《住房公积金管理条例》的规定，由单位及其在职职工缴存的长期住房储金。缴存比例最低不低于</w:t>
      </w:r>
      <w:r>
        <w:rPr>
          <w:rStyle w:val="fontstyle01"/>
          <w:rFonts w:ascii="Times New Roman" w:hint="default"/>
        </w:rPr>
        <w:t xml:space="preserve"> 5%</w:t>
      </w:r>
      <w:r>
        <w:rPr>
          <w:rStyle w:val="fontstyle01"/>
          <w:rFonts w:ascii="Times New Roman" w:hint="default"/>
        </w:rPr>
        <w:t>，最高不超过</w:t>
      </w:r>
      <w:r>
        <w:rPr>
          <w:rStyle w:val="fontstyle01"/>
          <w:rFonts w:ascii="Times New Roman" w:hint="default"/>
        </w:rPr>
        <w:t xml:space="preserve"> 12%</w:t>
      </w:r>
      <w:r>
        <w:rPr>
          <w:rStyle w:val="fontstyle01"/>
          <w:rFonts w:ascii="Times New Roman" w:hint="default"/>
        </w:rPr>
        <w:t>，缴存基数为职工本人上年工资。</w:t>
      </w:r>
    </w:p>
    <w:p w:rsidR="00EB6FF2" w:rsidRDefault="0011043E">
      <w:pPr>
        <w:ind w:firstLineChars="200" w:firstLine="640"/>
        <w:rPr>
          <w:rFonts w:eastAsia="仿宋_GB2312"/>
          <w:sz w:val="32"/>
          <w:szCs w:val="32"/>
        </w:rPr>
      </w:pPr>
      <w:r>
        <w:rPr>
          <w:rFonts w:eastAsia="仿宋_GB2312"/>
          <w:sz w:val="32"/>
          <w:szCs w:val="32"/>
        </w:rPr>
        <w:t>19.</w:t>
      </w:r>
      <w:r>
        <w:rPr>
          <w:rFonts w:eastAsia="仿宋_GB2312"/>
          <w:sz w:val="32"/>
          <w:szCs w:val="32"/>
        </w:rPr>
        <w:t>基本支出：指为保障机构正常运转、完成日常工作任务而发生的人员支出和公用支出。</w:t>
      </w:r>
    </w:p>
    <w:p w:rsidR="00EB6FF2" w:rsidRDefault="0011043E">
      <w:pPr>
        <w:ind w:firstLineChars="200" w:firstLine="640"/>
        <w:rPr>
          <w:rFonts w:eastAsia="仿宋_GB2312"/>
          <w:sz w:val="32"/>
          <w:szCs w:val="32"/>
        </w:rPr>
      </w:pPr>
      <w:r>
        <w:rPr>
          <w:rFonts w:eastAsia="仿宋_GB2312"/>
          <w:sz w:val="32"/>
          <w:szCs w:val="32"/>
        </w:rPr>
        <w:t>20.</w:t>
      </w:r>
      <w:r>
        <w:rPr>
          <w:rFonts w:eastAsia="仿宋_GB2312"/>
          <w:sz w:val="32"/>
          <w:szCs w:val="32"/>
        </w:rPr>
        <w:t>项目支出：指在基本支出之外为完成特定行政任务和事业发展目标所发生的支出。</w:t>
      </w:r>
      <w:r>
        <w:rPr>
          <w:rFonts w:eastAsia="仿宋_GB2312"/>
          <w:sz w:val="32"/>
          <w:szCs w:val="32"/>
        </w:rPr>
        <w:t xml:space="preserve"> </w:t>
      </w:r>
    </w:p>
    <w:p w:rsidR="00EB6FF2" w:rsidRDefault="0011043E">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21.“</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经费：指部门用财政拨款安排的因公出国（境）费、公务用车购置及运行费和公务接待费。其中，因公出国（境）费反映单位公务出国（境）的国</w:t>
      </w:r>
      <w:r>
        <w:rPr>
          <w:rFonts w:ascii="Times New Roman" w:eastAsia="仿宋_GB2312" w:hAnsi="Times New Roman" w:cs="Times New Roman"/>
          <w:color w:val="auto"/>
          <w:sz w:val="32"/>
          <w:szCs w:val="32"/>
        </w:rPr>
        <w:t>际旅费、国外城市间交通费、住</w:t>
      </w:r>
      <w:r>
        <w:rPr>
          <w:rFonts w:ascii="Times New Roman" w:eastAsia="仿宋_GB2312" w:hAnsi="Times New Roman" w:cs="Times New Roman"/>
          <w:color w:val="auto"/>
          <w:sz w:val="32"/>
          <w:szCs w:val="32"/>
        </w:rPr>
        <w:lastRenderedPageBreak/>
        <w:t>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EB6FF2" w:rsidRDefault="0011043E">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22.</w:t>
      </w:r>
      <w:r>
        <w:rPr>
          <w:rFonts w:ascii="Times New Roman" w:eastAsia="仿宋_GB2312" w:hAnsi="Times New Roman"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w:t>
      </w:r>
      <w:r>
        <w:rPr>
          <w:rFonts w:ascii="Times New Roman" w:eastAsia="仿宋_GB2312" w:hAnsi="Times New Roman" w:cs="Times New Roman"/>
          <w:color w:val="auto"/>
          <w:sz w:val="32"/>
          <w:szCs w:val="32"/>
        </w:rPr>
        <w:t>用。</w:t>
      </w: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EB6FF2">
      <w:pPr>
        <w:pStyle w:val="a0"/>
        <w:spacing w:before="93"/>
        <w:rPr>
          <w:rFonts w:ascii="Times New Roman"/>
        </w:rPr>
      </w:pPr>
    </w:p>
    <w:p w:rsidR="00EB6FF2" w:rsidRDefault="0011043E">
      <w:pPr>
        <w:spacing w:line="600" w:lineRule="exact"/>
        <w:jc w:val="center"/>
        <w:outlineLvl w:val="0"/>
        <w:rPr>
          <w:rStyle w:val="10"/>
          <w:rFonts w:eastAsia="黑体"/>
          <w:b w:val="0"/>
        </w:rPr>
      </w:pPr>
      <w:bookmarkStart w:id="52" w:name="_Toc15396614"/>
      <w:bookmarkStart w:id="53" w:name="_Toc15377226"/>
      <w:r>
        <w:rPr>
          <w:rFonts w:eastAsia="黑体"/>
          <w:sz w:val="44"/>
          <w:szCs w:val="44"/>
        </w:rPr>
        <w:lastRenderedPageBreak/>
        <w:t>第</w:t>
      </w:r>
      <w:r>
        <w:rPr>
          <w:rStyle w:val="10"/>
          <w:rFonts w:eastAsia="黑体"/>
          <w:b w:val="0"/>
        </w:rPr>
        <w:t>四部分</w:t>
      </w:r>
      <w:bookmarkEnd w:id="52"/>
      <w:r>
        <w:rPr>
          <w:rStyle w:val="10"/>
          <w:rFonts w:eastAsia="黑体" w:hint="eastAsia"/>
          <w:b w:val="0"/>
        </w:rPr>
        <w:t xml:space="preserve">  </w:t>
      </w:r>
      <w:r>
        <w:rPr>
          <w:rStyle w:val="10"/>
          <w:rFonts w:eastAsia="黑体" w:hint="eastAsia"/>
          <w:b w:val="0"/>
        </w:rPr>
        <w:t>附</w:t>
      </w:r>
      <w:r>
        <w:rPr>
          <w:rStyle w:val="10"/>
          <w:rFonts w:eastAsia="黑体"/>
          <w:b w:val="0"/>
        </w:rPr>
        <w:t>件</w:t>
      </w:r>
    </w:p>
    <w:p w:rsidR="00EB6FF2" w:rsidRDefault="0011043E">
      <w:pPr>
        <w:widowControl/>
        <w:spacing w:line="560" w:lineRule="exact"/>
        <w:contextualSpacing/>
        <w:jc w:val="center"/>
        <w:rPr>
          <w:rFonts w:eastAsia="黑体"/>
          <w:spacing w:val="-6"/>
          <w:sz w:val="44"/>
          <w:szCs w:val="44"/>
          <w:shd w:val="clear" w:color="auto" w:fill="FFFFFF"/>
        </w:rPr>
      </w:pPr>
      <w:r>
        <w:rPr>
          <w:rFonts w:eastAsia="黑体"/>
          <w:spacing w:val="-6"/>
          <w:sz w:val="44"/>
          <w:szCs w:val="44"/>
          <w:shd w:val="clear" w:color="auto" w:fill="FFFFFF"/>
        </w:rPr>
        <w:t>2023</w:t>
      </w:r>
      <w:r>
        <w:rPr>
          <w:rFonts w:eastAsia="黑体"/>
          <w:spacing w:val="-6"/>
          <w:sz w:val="44"/>
          <w:szCs w:val="44"/>
          <w:shd w:val="clear" w:color="auto" w:fill="FFFFFF"/>
        </w:rPr>
        <w:t>年攀枝花市财政局部门整体绩效评价报告</w:t>
      </w:r>
    </w:p>
    <w:p w:rsidR="00EB6FF2" w:rsidRDefault="00EB6FF2">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p>
    <w:p w:rsidR="00EB6FF2" w:rsidRDefault="0011043E">
      <w:pPr>
        <w:widowControl/>
        <w:numPr>
          <w:ilvl w:val="0"/>
          <w:numId w:val="4"/>
        </w:numPr>
        <w:adjustRightInd w:val="0"/>
        <w:snapToGrid w:val="0"/>
        <w:spacing w:line="600" w:lineRule="exact"/>
        <w:ind w:firstLineChars="200" w:firstLine="64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部门（单位）基本情况</w:t>
      </w:r>
    </w:p>
    <w:p w:rsidR="00EB6FF2" w:rsidRDefault="0011043E">
      <w:pPr>
        <w:widowControl/>
        <w:adjustRightInd w:val="0"/>
        <w:snapToGrid w:val="0"/>
        <w:spacing w:line="60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（一）机构组成。</w:t>
      </w:r>
    </w:p>
    <w:p w:rsidR="00EB6FF2" w:rsidRDefault="0011043E">
      <w:pPr>
        <w:snapToGrid w:val="0"/>
        <w:spacing w:line="600" w:lineRule="exact"/>
        <w:ind w:firstLine="640"/>
        <w:rPr>
          <w:rFonts w:eastAsia="仿宋_GB2312"/>
          <w:color w:val="000000"/>
          <w:sz w:val="32"/>
          <w:szCs w:val="32"/>
        </w:rPr>
      </w:pPr>
      <w:r>
        <w:rPr>
          <w:rFonts w:eastAsia="仿宋_GB2312"/>
          <w:color w:val="000000"/>
          <w:sz w:val="32"/>
          <w:szCs w:val="32"/>
        </w:rPr>
        <w:t>攀枝花市财政局下设</w:t>
      </w:r>
      <w:r>
        <w:rPr>
          <w:rFonts w:eastAsia="仿宋_GB2312"/>
          <w:color w:val="000000"/>
          <w:sz w:val="32"/>
          <w:szCs w:val="32"/>
        </w:rPr>
        <w:t>23</w:t>
      </w:r>
      <w:r>
        <w:rPr>
          <w:rFonts w:eastAsia="仿宋_GB2312"/>
          <w:color w:val="000000"/>
          <w:sz w:val="32"/>
          <w:szCs w:val="32"/>
        </w:rPr>
        <w:t>科室，</w:t>
      </w:r>
      <w:r>
        <w:rPr>
          <w:rFonts w:eastAsia="仿宋_GB2312"/>
          <w:color w:val="000000"/>
          <w:sz w:val="32"/>
          <w:szCs w:val="32"/>
        </w:rPr>
        <w:t>1</w:t>
      </w:r>
      <w:r>
        <w:rPr>
          <w:rFonts w:eastAsia="仿宋_GB2312"/>
          <w:color w:val="000000"/>
          <w:sz w:val="32"/>
          <w:szCs w:val="32"/>
        </w:rPr>
        <w:t>个驻局纪检监察组，独立编制的</w:t>
      </w:r>
      <w:r>
        <w:rPr>
          <w:rFonts w:eastAsia="仿宋_GB2312"/>
          <w:color w:val="000000"/>
          <w:sz w:val="32"/>
          <w:szCs w:val="32"/>
        </w:rPr>
        <w:t>2</w:t>
      </w:r>
      <w:r>
        <w:rPr>
          <w:rFonts w:eastAsia="仿宋_GB2312"/>
          <w:color w:val="000000"/>
          <w:sz w:val="32"/>
          <w:szCs w:val="32"/>
        </w:rPr>
        <w:t>个参照公务员管理的事业单位和</w:t>
      </w:r>
      <w:r>
        <w:rPr>
          <w:rFonts w:eastAsia="仿宋_GB2312"/>
          <w:color w:val="000000"/>
          <w:sz w:val="32"/>
          <w:szCs w:val="32"/>
        </w:rPr>
        <w:t>6</w:t>
      </w:r>
      <w:r>
        <w:rPr>
          <w:rFonts w:eastAsia="仿宋_GB2312"/>
          <w:color w:val="000000"/>
          <w:sz w:val="32"/>
          <w:szCs w:val="32"/>
        </w:rPr>
        <w:t>个事业单位。全年无变动。</w:t>
      </w:r>
    </w:p>
    <w:p w:rsidR="00EB6FF2" w:rsidRDefault="0011043E">
      <w:pPr>
        <w:widowControl/>
        <w:adjustRightInd w:val="0"/>
        <w:snapToGrid w:val="0"/>
        <w:spacing w:line="600" w:lineRule="exact"/>
        <w:ind w:firstLineChars="200" w:firstLine="643"/>
        <w:contextualSpacing/>
        <w:jc w:val="left"/>
        <w:rPr>
          <w:rFonts w:eastAsia="楷体_GB2312"/>
          <w:b/>
          <w:bCs/>
          <w:kern w:val="0"/>
          <w:sz w:val="32"/>
          <w:szCs w:val="32"/>
          <w:shd w:val="clear" w:color="auto" w:fill="FFFFFF"/>
          <w:lang w:val="zh-CN"/>
        </w:rPr>
      </w:pPr>
      <w:r>
        <w:rPr>
          <w:rFonts w:eastAsia="楷体_GB2312"/>
          <w:b/>
          <w:bCs/>
          <w:color w:val="000000"/>
          <w:kern w:val="0"/>
          <w:sz w:val="32"/>
          <w:szCs w:val="32"/>
          <w:shd w:val="clear" w:color="auto" w:fill="FFFFFF"/>
          <w:lang w:val="zh-CN"/>
        </w:rPr>
        <w:t>（二）机构职能。</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kern w:val="0"/>
          <w:sz w:val="32"/>
          <w:szCs w:val="32"/>
          <w:shd w:val="clear" w:color="auto" w:fill="FFFFFF"/>
          <w:lang w:val="zh-CN"/>
        </w:rPr>
        <w:t>1.</w:t>
      </w:r>
      <w:r>
        <w:rPr>
          <w:rFonts w:eastAsia="仿宋_GB2312"/>
          <w:color w:val="000000"/>
          <w:sz w:val="32"/>
          <w:szCs w:val="32"/>
        </w:rPr>
        <w:t>拟订全市财税发展战略、规划、政策和改革方案并组织实施。分析预测宏观经济形势，参与制定各项经济政策，提出运用财税政策实施宏观调控和综合平衡社会财力的建议。拟订市与县（区）政府、政府与企业的分配政策，完善鼓励公益事业发展的财税政策。</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2.</w:t>
      </w:r>
      <w:r>
        <w:rPr>
          <w:rFonts w:eastAsia="仿宋_GB2312"/>
          <w:color w:val="000000"/>
          <w:sz w:val="32"/>
          <w:szCs w:val="32"/>
        </w:rPr>
        <w:t>贯彻执行财政、税收、财务、会计管理的法律法规和规章。负责组织起草地方性财政政策、规范性文件和制度并组织实施。按照管理权限管理全市税政事项。承办国务院关税税则委员会办公室要求市一级承担的工作。</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3.</w:t>
      </w:r>
      <w:r>
        <w:rPr>
          <w:rFonts w:eastAsia="仿宋_GB2312"/>
          <w:color w:val="000000"/>
          <w:sz w:val="32"/>
          <w:szCs w:val="32"/>
        </w:rPr>
        <w:t>负责管理各项财政收支。编制年度市级预决算草案并组织执行。组织制定经费开支标准、定额，审核批复部门（单位）年度预决算。受市政府委托，向市人大及其常委会报告财政预算、</w:t>
      </w:r>
      <w:r>
        <w:rPr>
          <w:rFonts w:eastAsia="仿宋_GB2312"/>
          <w:color w:val="000000"/>
          <w:sz w:val="32"/>
          <w:szCs w:val="32"/>
        </w:rPr>
        <w:lastRenderedPageBreak/>
        <w:t>执行和决算等情况。负责政府投资基金市级财政出资的资产管理。负责市级预决算公开。负责全面实施预算绩效管理。</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4.</w:t>
      </w:r>
      <w:r>
        <w:rPr>
          <w:rFonts w:eastAsia="仿宋_GB2312"/>
          <w:color w:val="000000"/>
          <w:sz w:val="32"/>
          <w:szCs w:val="32"/>
        </w:rPr>
        <w:t>按分工负责政府非税收入管理。负责政府性基</w:t>
      </w:r>
      <w:r>
        <w:rPr>
          <w:rFonts w:eastAsia="仿宋_GB2312"/>
          <w:color w:val="000000"/>
          <w:sz w:val="32"/>
          <w:szCs w:val="32"/>
        </w:rPr>
        <w:t>金管理，按规定管理行政事业性收费等其他非税收入。管理财政票据。贯彻执行彩票管理政策，制定彩票管理有关办法，监管彩票市场，按规定管理彩票资金。</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5.</w:t>
      </w:r>
      <w:r>
        <w:rPr>
          <w:rFonts w:eastAsia="仿宋_GB2312"/>
          <w:color w:val="000000"/>
          <w:sz w:val="32"/>
          <w:szCs w:val="32"/>
        </w:rPr>
        <w:t>组织制定全市国库管理制度、国库集中收付制度，指导和监督国库业务，开展国库现金管理工作。贯彻执行政府财务报告编制办法并组织实施。监督管理全市政府采购工作。</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6.</w:t>
      </w:r>
      <w:r>
        <w:rPr>
          <w:rFonts w:eastAsia="仿宋_GB2312"/>
          <w:color w:val="000000"/>
          <w:sz w:val="32"/>
          <w:szCs w:val="32"/>
        </w:rPr>
        <w:t>贯彻执行地方政府债务管理制度和政策，制定具体管理办法，编制地方政府债余额限额计划，统一管理政府外债，防范财政风险。</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7.</w:t>
      </w:r>
      <w:r>
        <w:rPr>
          <w:rFonts w:eastAsia="仿宋_GB2312"/>
          <w:color w:val="000000"/>
          <w:sz w:val="32"/>
          <w:szCs w:val="32"/>
        </w:rPr>
        <w:t>牵头编制全市国有资产管理情况报告。根据市政府授权，集中统一履行市级国有金融资本出资人职责。制定市级国有金融资本管理制度。拟订全市行政事业单位国有资产管理制度并组织实施。制定需要全市统一规定的开支标准和支出政策。</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8.</w:t>
      </w:r>
      <w:r>
        <w:rPr>
          <w:rFonts w:eastAsia="仿宋_GB2312"/>
          <w:color w:val="000000"/>
          <w:sz w:val="32"/>
          <w:szCs w:val="32"/>
        </w:rPr>
        <w:t>负责审核并汇总编制全市国有资本经营预决算草案。制定国有资本经营预算制度和办法，收取市本级企业国有资本收益。组织实施企业财务制度，负责财政预算内行政事业单位和社会团体的非贸易外汇和财政预算内的国际收支管理。</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lastRenderedPageBreak/>
        <w:t>9.</w:t>
      </w:r>
      <w:r>
        <w:rPr>
          <w:rFonts w:eastAsia="仿宋_GB2312"/>
          <w:color w:val="000000"/>
          <w:sz w:val="32"/>
          <w:szCs w:val="32"/>
        </w:rPr>
        <w:t>负责审核并汇总编制全市社会保险基金预决算草案，会同有关部门拟订有关资金（基金）财务</w:t>
      </w:r>
      <w:r>
        <w:rPr>
          <w:rFonts w:eastAsia="仿宋_GB2312"/>
          <w:color w:val="000000"/>
          <w:sz w:val="32"/>
          <w:szCs w:val="32"/>
        </w:rPr>
        <w:t>管理制度，承担社会保险基金财政监管工作。</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10.</w:t>
      </w:r>
      <w:r>
        <w:rPr>
          <w:rFonts w:eastAsia="仿宋_GB2312"/>
          <w:color w:val="000000"/>
          <w:sz w:val="32"/>
          <w:szCs w:val="32"/>
        </w:rPr>
        <w:t>负责办理和监督市级财政的经济发展支出、市级政府性投资项目的财政拨款，负责投资评审管理工作，参与拟订市级基建投资有关政策，制定基建财务管理制度。</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11.</w:t>
      </w:r>
      <w:r>
        <w:rPr>
          <w:rFonts w:eastAsia="仿宋_GB2312"/>
          <w:color w:val="000000"/>
          <w:sz w:val="32"/>
          <w:szCs w:val="32"/>
        </w:rPr>
        <w:t>管理外国政府和国际金融机构贷（赠）款项目的有关业务，参与财经领域的国际交流与合作。</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12.</w:t>
      </w:r>
      <w:r>
        <w:rPr>
          <w:rFonts w:eastAsia="仿宋_GB2312"/>
          <w:color w:val="000000"/>
          <w:sz w:val="32"/>
          <w:szCs w:val="32"/>
        </w:rPr>
        <w:t>负责管理全市会计工作，监督和规范会计行为，组织实施国家统一的会计制度，指导社会审计。依法管理资产评估有关工作。</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13.</w:t>
      </w:r>
      <w:r>
        <w:rPr>
          <w:rFonts w:eastAsia="仿宋_GB2312"/>
          <w:color w:val="000000"/>
          <w:sz w:val="32"/>
          <w:szCs w:val="32"/>
        </w:rPr>
        <w:t>负责职责范围内的安全生产和职业健康、生态环境保护、审批服务便民化等工作。</w:t>
      </w:r>
    </w:p>
    <w:p w:rsidR="00EB6FF2" w:rsidRDefault="0011043E">
      <w:pPr>
        <w:widowControl/>
        <w:adjustRightInd w:val="0"/>
        <w:snapToGrid w:val="0"/>
        <w:spacing w:line="600" w:lineRule="exact"/>
        <w:ind w:firstLineChars="200" w:firstLine="640"/>
        <w:contextualSpacing/>
        <w:jc w:val="left"/>
        <w:rPr>
          <w:rFonts w:eastAsia="仿宋_GB2312"/>
          <w:color w:val="000000"/>
          <w:sz w:val="32"/>
          <w:szCs w:val="32"/>
        </w:rPr>
      </w:pPr>
      <w:r>
        <w:rPr>
          <w:rFonts w:eastAsia="仿宋_GB2312"/>
          <w:color w:val="000000"/>
          <w:sz w:val="32"/>
          <w:szCs w:val="32"/>
        </w:rPr>
        <w:t>14.</w:t>
      </w:r>
      <w:r>
        <w:rPr>
          <w:rFonts w:eastAsia="仿宋_GB2312"/>
          <w:color w:val="000000"/>
          <w:sz w:val="32"/>
          <w:szCs w:val="32"/>
        </w:rPr>
        <w:t>完成市委、市政府交办的其他</w:t>
      </w:r>
      <w:r>
        <w:rPr>
          <w:rFonts w:eastAsia="仿宋_GB2312"/>
          <w:color w:val="000000"/>
          <w:sz w:val="32"/>
          <w:szCs w:val="32"/>
        </w:rPr>
        <w:t>任务。</w:t>
      </w:r>
    </w:p>
    <w:p w:rsidR="00EB6FF2" w:rsidRDefault="0011043E">
      <w:pPr>
        <w:widowControl/>
        <w:adjustRightInd w:val="0"/>
        <w:snapToGrid w:val="0"/>
        <w:spacing w:line="60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sz w:val="32"/>
          <w:szCs w:val="32"/>
        </w:rPr>
        <w:t>15.</w:t>
      </w:r>
      <w:r>
        <w:rPr>
          <w:rFonts w:eastAsia="仿宋_GB2312"/>
          <w:color w:val="000000"/>
          <w:sz w:val="32"/>
          <w:szCs w:val="32"/>
        </w:rPr>
        <w:t>职能转变。一是完善宏观调控体系，创新调控方式，构建发展规划、财政、金融等政策协调和工作协同机制，强化经济监测预测预警能力，建立健全重大问题研究和政策储备工作机制，增强宏观调控前瞻性、针对性、协同性。二是深化财税体制改革。加快建立现代财政制度，推进财政事权和支出责任划分改革，理顺市与县（区）收入划分，建立权责清晰、财力协调、区域均衡的市以下政府间财政关系。完善转移支付制度，优化转移支付分</w:t>
      </w:r>
      <w:r>
        <w:rPr>
          <w:rFonts w:eastAsia="仿宋_GB2312"/>
          <w:color w:val="000000"/>
          <w:sz w:val="32"/>
          <w:szCs w:val="32"/>
        </w:rPr>
        <w:lastRenderedPageBreak/>
        <w:t>类，规范转移支付项目，增强地方统筹能力。逐步统一预算分配，全面实施绩效管理，建立全面规范透明、标准科学、约束有力的预算</w:t>
      </w:r>
      <w:r>
        <w:rPr>
          <w:rFonts w:eastAsia="仿宋_GB2312"/>
          <w:color w:val="000000"/>
          <w:sz w:val="32"/>
          <w:szCs w:val="32"/>
        </w:rPr>
        <w:t>制度。全面推行政府性基金和行政事业性收费清单管理，完善监督制度。深化税收制度改革，健全地方税体系，逐步提高直接税比重，推动形成税法统一、税负公平、调节有度的税收制度体系。三是防范化解地方政府债务风险。规范举债融资机制，构建</w:t>
      </w:r>
      <w:r>
        <w:rPr>
          <w:rFonts w:eastAsia="仿宋_GB2312"/>
          <w:color w:val="000000"/>
          <w:sz w:val="32"/>
          <w:szCs w:val="32"/>
        </w:rPr>
        <w:t>“</w:t>
      </w:r>
      <w:r>
        <w:rPr>
          <w:rFonts w:eastAsia="仿宋_GB2312"/>
          <w:color w:val="000000"/>
          <w:sz w:val="32"/>
          <w:szCs w:val="32"/>
        </w:rPr>
        <w:t>闭环</w:t>
      </w:r>
      <w:r>
        <w:rPr>
          <w:rFonts w:eastAsia="仿宋_GB2312"/>
          <w:color w:val="000000"/>
          <w:sz w:val="32"/>
          <w:szCs w:val="32"/>
        </w:rPr>
        <w:t>”</w:t>
      </w:r>
      <w:r>
        <w:rPr>
          <w:rFonts w:eastAsia="仿宋_GB2312"/>
          <w:color w:val="000000"/>
          <w:sz w:val="32"/>
          <w:szCs w:val="32"/>
        </w:rPr>
        <w:t>管理体系，严控法定限额内债务风险，着力防控隐性债务风险，牢牢守住不发生系统性风险的底线。</w:t>
      </w:r>
    </w:p>
    <w:p w:rsidR="00EB6FF2" w:rsidRDefault="0011043E">
      <w:pPr>
        <w:snapToGrid w:val="0"/>
        <w:spacing w:line="600" w:lineRule="exact"/>
        <w:ind w:firstLineChars="200" w:firstLine="643"/>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（三）人员概况。</w:t>
      </w:r>
    </w:p>
    <w:p w:rsidR="00EB6FF2" w:rsidRDefault="0011043E">
      <w:pPr>
        <w:snapToGrid w:val="0"/>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年底共有在编人员</w:t>
      </w:r>
      <w:r>
        <w:rPr>
          <w:rFonts w:eastAsia="仿宋_GB2312"/>
          <w:sz w:val="32"/>
          <w:szCs w:val="32"/>
        </w:rPr>
        <w:t>126</w:t>
      </w:r>
      <w:r>
        <w:rPr>
          <w:rFonts w:eastAsia="仿宋_GB2312"/>
          <w:sz w:val="32"/>
          <w:szCs w:val="32"/>
        </w:rPr>
        <w:t>名，包括行政人员</w:t>
      </w:r>
      <w:r>
        <w:rPr>
          <w:rFonts w:eastAsia="仿宋_GB2312"/>
          <w:sz w:val="32"/>
          <w:szCs w:val="32"/>
        </w:rPr>
        <w:t>73</w:t>
      </w:r>
      <w:r>
        <w:rPr>
          <w:rFonts w:eastAsia="仿宋_GB2312"/>
          <w:sz w:val="32"/>
          <w:szCs w:val="32"/>
        </w:rPr>
        <w:t>名（纪检干部</w:t>
      </w:r>
      <w:r>
        <w:rPr>
          <w:rFonts w:eastAsia="仿宋_GB2312"/>
          <w:sz w:val="32"/>
          <w:szCs w:val="32"/>
        </w:rPr>
        <w:t>3</w:t>
      </w:r>
      <w:r>
        <w:rPr>
          <w:rFonts w:eastAsia="仿宋_GB2312"/>
          <w:sz w:val="32"/>
          <w:szCs w:val="32"/>
        </w:rPr>
        <w:t>名</w:t>
      </w:r>
      <w:r>
        <w:rPr>
          <w:rFonts w:eastAsia="仿宋_GB2312"/>
          <w:sz w:val="32"/>
          <w:szCs w:val="32"/>
        </w:rPr>
        <w:t>, </w:t>
      </w:r>
      <w:r>
        <w:rPr>
          <w:rFonts w:eastAsia="仿宋_GB2312"/>
          <w:sz w:val="32"/>
          <w:szCs w:val="32"/>
        </w:rPr>
        <w:t>行政工勤人员</w:t>
      </w:r>
      <w:r>
        <w:rPr>
          <w:rFonts w:eastAsia="仿宋_GB2312"/>
          <w:sz w:val="32"/>
          <w:szCs w:val="32"/>
        </w:rPr>
        <w:t>6</w:t>
      </w:r>
      <w:r>
        <w:rPr>
          <w:rFonts w:eastAsia="仿宋_GB2312"/>
          <w:sz w:val="32"/>
          <w:szCs w:val="32"/>
        </w:rPr>
        <w:t>名），参公人员</w:t>
      </w:r>
      <w:r>
        <w:rPr>
          <w:rFonts w:eastAsia="仿宋_GB2312"/>
          <w:sz w:val="32"/>
          <w:szCs w:val="32"/>
        </w:rPr>
        <w:t>29</w:t>
      </w:r>
      <w:r>
        <w:rPr>
          <w:rFonts w:eastAsia="仿宋_GB2312"/>
          <w:sz w:val="32"/>
          <w:szCs w:val="32"/>
        </w:rPr>
        <w:t>名，事业人员</w:t>
      </w:r>
      <w:r>
        <w:rPr>
          <w:rFonts w:eastAsia="仿宋_GB2312"/>
          <w:sz w:val="32"/>
          <w:szCs w:val="32"/>
        </w:rPr>
        <w:t>21</w:t>
      </w:r>
      <w:r>
        <w:rPr>
          <w:rFonts w:eastAsia="仿宋_GB2312"/>
          <w:sz w:val="32"/>
          <w:szCs w:val="32"/>
        </w:rPr>
        <w:t>名。</w:t>
      </w:r>
      <w:r>
        <w:rPr>
          <w:rFonts w:eastAsia="仿宋_GB2312"/>
          <w:sz w:val="32"/>
          <w:szCs w:val="32"/>
        </w:rPr>
        <w:t>2023</w:t>
      </w:r>
      <w:r>
        <w:rPr>
          <w:rFonts w:eastAsia="仿宋_GB2312"/>
          <w:sz w:val="32"/>
          <w:szCs w:val="32"/>
        </w:rPr>
        <w:t>年全年净增加</w:t>
      </w:r>
      <w:r>
        <w:rPr>
          <w:rFonts w:eastAsia="仿宋_GB2312"/>
          <w:sz w:val="32"/>
          <w:szCs w:val="32"/>
        </w:rPr>
        <w:t>0</w:t>
      </w:r>
      <w:r>
        <w:rPr>
          <w:rFonts w:eastAsia="仿宋_GB2312"/>
          <w:sz w:val="32"/>
          <w:szCs w:val="32"/>
        </w:rPr>
        <w:t>人，主要是新进</w:t>
      </w:r>
      <w:r>
        <w:rPr>
          <w:rFonts w:eastAsia="仿宋_GB2312"/>
          <w:sz w:val="32"/>
          <w:szCs w:val="32"/>
        </w:rPr>
        <w:t>9</w:t>
      </w:r>
      <w:r>
        <w:rPr>
          <w:rFonts w:eastAsia="仿宋_GB2312"/>
          <w:sz w:val="32"/>
          <w:szCs w:val="32"/>
        </w:rPr>
        <w:t>人，其中调入公</w:t>
      </w:r>
      <w:r>
        <w:rPr>
          <w:rFonts w:eastAsia="仿宋_GB2312"/>
          <w:sz w:val="32"/>
          <w:szCs w:val="32"/>
        </w:rPr>
        <w:t>务员</w:t>
      </w:r>
      <w:r>
        <w:rPr>
          <w:rFonts w:eastAsia="仿宋_GB2312"/>
          <w:sz w:val="32"/>
          <w:szCs w:val="32"/>
        </w:rPr>
        <w:t>4</w:t>
      </w:r>
      <w:r>
        <w:rPr>
          <w:rFonts w:eastAsia="仿宋_GB2312"/>
          <w:sz w:val="32"/>
          <w:szCs w:val="32"/>
        </w:rPr>
        <w:t>人，调入事业人员</w:t>
      </w:r>
      <w:r>
        <w:rPr>
          <w:rFonts w:eastAsia="仿宋_GB2312"/>
          <w:sz w:val="32"/>
          <w:szCs w:val="32"/>
        </w:rPr>
        <w:t>1</w:t>
      </w:r>
      <w:r>
        <w:rPr>
          <w:rFonts w:eastAsia="仿宋_GB2312"/>
          <w:sz w:val="32"/>
          <w:szCs w:val="32"/>
        </w:rPr>
        <w:t>人，新进公务员</w:t>
      </w:r>
      <w:r>
        <w:rPr>
          <w:rFonts w:eastAsia="仿宋_GB2312"/>
          <w:sz w:val="32"/>
          <w:szCs w:val="32"/>
        </w:rPr>
        <w:t>1</w:t>
      </w:r>
      <w:r>
        <w:rPr>
          <w:rFonts w:eastAsia="仿宋_GB2312"/>
          <w:sz w:val="32"/>
          <w:szCs w:val="32"/>
        </w:rPr>
        <w:t>人，新进参公人员</w:t>
      </w:r>
      <w:r>
        <w:rPr>
          <w:rFonts w:eastAsia="仿宋_GB2312"/>
          <w:sz w:val="32"/>
          <w:szCs w:val="32"/>
        </w:rPr>
        <w:t>3</w:t>
      </w:r>
      <w:r>
        <w:rPr>
          <w:rFonts w:eastAsia="仿宋_GB2312"/>
          <w:sz w:val="32"/>
          <w:szCs w:val="32"/>
        </w:rPr>
        <w:t>人；减少</w:t>
      </w:r>
      <w:r>
        <w:rPr>
          <w:rFonts w:eastAsia="仿宋_GB2312"/>
          <w:sz w:val="32"/>
          <w:szCs w:val="32"/>
        </w:rPr>
        <w:t>9</w:t>
      </w:r>
      <w:r>
        <w:rPr>
          <w:rFonts w:eastAsia="仿宋_GB2312"/>
          <w:sz w:val="32"/>
          <w:szCs w:val="32"/>
        </w:rPr>
        <w:t>人，其中调至外单位</w:t>
      </w:r>
      <w:r>
        <w:rPr>
          <w:rFonts w:eastAsia="仿宋_GB2312"/>
          <w:sz w:val="32"/>
          <w:szCs w:val="32"/>
        </w:rPr>
        <w:t>3</w:t>
      </w:r>
      <w:r>
        <w:rPr>
          <w:rFonts w:eastAsia="仿宋_GB2312"/>
          <w:sz w:val="32"/>
          <w:szCs w:val="32"/>
        </w:rPr>
        <w:t>人、退休</w:t>
      </w:r>
      <w:r>
        <w:rPr>
          <w:rFonts w:eastAsia="仿宋_GB2312"/>
          <w:sz w:val="32"/>
          <w:szCs w:val="32"/>
        </w:rPr>
        <w:t>6</w:t>
      </w:r>
      <w:r>
        <w:rPr>
          <w:rFonts w:eastAsia="仿宋_GB2312"/>
          <w:sz w:val="32"/>
          <w:szCs w:val="32"/>
        </w:rPr>
        <w:t>人。</w:t>
      </w:r>
      <w:r>
        <w:rPr>
          <w:rFonts w:eastAsia="仿宋_GB2312"/>
          <w:sz w:val="32"/>
          <w:szCs w:val="32"/>
        </w:rPr>
        <w:br/>
        <w:t xml:space="preserve">    2023</w:t>
      </w:r>
      <w:r>
        <w:rPr>
          <w:rFonts w:eastAsia="仿宋_GB2312"/>
          <w:sz w:val="32"/>
          <w:szCs w:val="32"/>
        </w:rPr>
        <w:t>年底其他人员情况：自聘人员</w:t>
      </w:r>
      <w:r>
        <w:rPr>
          <w:rFonts w:eastAsia="仿宋_GB2312"/>
          <w:sz w:val="32"/>
          <w:szCs w:val="32"/>
        </w:rPr>
        <w:t>12</w:t>
      </w:r>
      <w:r>
        <w:rPr>
          <w:rFonts w:eastAsia="仿宋_GB2312"/>
          <w:sz w:val="32"/>
          <w:szCs w:val="32"/>
        </w:rPr>
        <w:t>人，单位离退休人员</w:t>
      </w:r>
      <w:r>
        <w:rPr>
          <w:rFonts w:eastAsia="仿宋_GB2312"/>
          <w:sz w:val="32"/>
          <w:szCs w:val="32"/>
        </w:rPr>
        <w:t>82</w:t>
      </w:r>
      <w:r>
        <w:rPr>
          <w:rFonts w:eastAsia="仿宋_GB2312"/>
          <w:sz w:val="32"/>
          <w:szCs w:val="32"/>
        </w:rPr>
        <w:t>人，遗属</w:t>
      </w:r>
      <w:r>
        <w:rPr>
          <w:rFonts w:eastAsia="仿宋_GB2312"/>
          <w:sz w:val="32"/>
          <w:szCs w:val="32"/>
        </w:rPr>
        <w:t>2</w:t>
      </w:r>
      <w:r>
        <w:rPr>
          <w:rFonts w:eastAsia="仿宋_GB2312"/>
          <w:sz w:val="32"/>
          <w:szCs w:val="32"/>
        </w:rPr>
        <w:t>人。其中，聘用人员减少</w:t>
      </w:r>
      <w:r>
        <w:rPr>
          <w:rFonts w:eastAsia="仿宋_GB2312"/>
          <w:sz w:val="32"/>
          <w:szCs w:val="32"/>
        </w:rPr>
        <w:t>2</w:t>
      </w:r>
      <w:r>
        <w:rPr>
          <w:rFonts w:eastAsia="仿宋_GB2312"/>
          <w:sz w:val="32"/>
          <w:szCs w:val="32"/>
        </w:rPr>
        <w:t>人，</w:t>
      </w:r>
      <w:r>
        <w:rPr>
          <w:rFonts w:eastAsia="仿宋_GB2312"/>
          <w:sz w:val="32"/>
          <w:szCs w:val="32"/>
        </w:rPr>
        <w:t>1</w:t>
      </w:r>
      <w:r>
        <w:rPr>
          <w:rFonts w:eastAsia="仿宋_GB2312"/>
          <w:sz w:val="32"/>
          <w:szCs w:val="32"/>
        </w:rPr>
        <w:t>人退休，</w:t>
      </w:r>
      <w:r>
        <w:rPr>
          <w:rFonts w:eastAsia="仿宋_GB2312"/>
          <w:sz w:val="32"/>
          <w:szCs w:val="32"/>
        </w:rPr>
        <w:t>1</w:t>
      </w:r>
      <w:r>
        <w:rPr>
          <w:rFonts w:eastAsia="仿宋_GB2312"/>
          <w:sz w:val="32"/>
          <w:szCs w:val="32"/>
        </w:rPr>
        <w:t>人辞聘，单位离退休人员净增加</w:t>
      </w:r>
      <w:r>
        <w:rPr>
          <w:rFonts w:eastAsia="仿宋_GB2312"/>
          <w:sz w:val="32"/>
          <w:szCs w:val="32"/>
        </w:rPr>
        <w:t>5</w:t>
      </w:r>
      <w:r>
        <w:rPr>
          <w:rFonts w:eastAsia="仿宋_GB2312"/>
          <w:sz w:val="32"/>
          <w:szCs w:val="32"/>
        </w:rPr>
        <w:t>人，主要是新增离退休</w:t>
      </w:r>
      <w:r>
        <w:rPr>
          <w:rFonts w:eastAsia="仿宋_GB2312"/>
          <w:sz w:val="32"/>
          <w:szCs w:val="32"/>
        </w:rPr>
        <w:t>6</w:t>
      </w:r>
      <w:r>
        <w:rPr>
          <w:rFonts w:eastAsia="仿宋_GB2312"/>
          <w:sz w:val="32"/>
          <w:szCs w:val="32"/>
        </w:rPr>
        <w:t>人、去世</w:t>
      </w:r>
      <w:r>
        <w:rPr>
          <w:rFonts w:eastAsia="仿宋_GB2312"/>
          <w:sz w:val="32"/>
          <w:szCs w:val="32"/>
        </w:rPr>
        <w:t>1</w:t>
      </w:r>
      <w:r>
        <w:rPr>
          <w:rFonts w:eastAsia="仿宋_GB2312"/>
          <w:sz w:val="32"/>
          <w:szCs w:val="32"/>
        </w:rPr>
        <w:t>人；遗属无变化。</w:t>
      </w:r>
    </w:p>
    <w:p w:rsidR="00EB6FF2" w:rsidRDefault="0011043E">
      <w:pPr>
        <w:widowControl/>
        <w:adjustRightInd w:val="0"/>
        <w:snapToGrid w:val="0"/>
        <w:spacing w:line="60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二、部门资金收支情况</w:t>
      </w:r>
    </w:p>
    <w:p w:rsidR="00EB6FF2" w:rsidRDefault="0011043E">
      <w:pPr>
        <w:snapToGrid w:val="0"/>
        <w:spacing w:line="600" w:lineRule="exact"/>
        <w:ind w:firstLineChars="200" w:firstLine="643"/>
        <w:rPr>
          <w:rFonts w:eastAsia="仿宋_GB2312"/>
          <w:sz w:val="32"/>
          <w:szCs w:val="32"/>
        </w:rPr>
      </w:pPr>
      <w:r>
        <w:rPr>
          <w:rFonts w:eastAsia="楷体_GB2312"/>
          <w:b/>
          <w:bCs/>
          <w:color w:val="000000"/>
          <w:kern w:val="0"/>
          <w:sz w:val="32"/>
          <w:szCs w:val="32"/>
          <w:shd w:val="clear" w:color="auto" w:fill="FFFFFF"/>
          <w:lang w:val="zh-CN"/>
        </w:rPr>
        <w:t>（一）收入情况</w:t>
      </w:r>
      <w:r>
        <w:rPr>
          <w:rFonts w:eastAsia="仿宋_GB2312"/>
          <w:b/>
          <w:bCs/>
          <w:color w:val="000000"/>
          <w:kern w:val="0"/>
          <w:sz w:val="32"/>
          <w:szCs w:val="32"/>
          <w:shd w:val="clear" w:color="auto" w:fill="FFFFFF"/>
          <w:lang w:val="zh-CN"/>
        </w:rPr>
        <w:t>。</w:t>
      </w:r>
      <w:r>
        <w:rPr>
          <w:rFonts w:eastAsia="仿宋_GB2312"/>
          <w:sz w:val="32"/>
          <w:szCs w:val="32"/>
        </w:rPr>
        <w:t>2023</w:t>
      </w:r>
      <w:r>
        <w:rPr>
          <w:rFonts w:eastAsia="仿宋_GB2312"/>
          <w:sz w:val="32"/>
          <w:szCs w:val="32"/>
        </w:rPr>
        <w:t>年财政拨款收入年初预算收入</w:t>
      </w:r>
      <w:r>
        <w:rPr>
          <w:rFonts w:eastAsia="仿宋_GB2312"/>
          <w:sz w:val="32"/>
          <w:szCs w:val="32"/>
        </w:rPr>
        <w:t>3260.18</w:t>
      </w:r>
      <w:r>
        <w:rPr>
          <w:rFonts w:eastAsia="仿宋_GB2312"/>
          <w:sz w:val="32"/>
          <w:szCs w:val="32"/>
        </w:rPr>
        <w:t>万元，其中一般公共服务支出预算下达</w:t>
      </w:r>
      <w:r>
        <w:rPr>
          <w:rFonts w:eastAsia="仿宋_GB2312"/>
          <w:sz w:val="32"/>
          <w:szCs w:val="32"/>
        </w:rPr>
        <w:t>2320.06</w:t>
      </w:r>
      <w:r>
        <w:rPr>
          <w:rFonts w:eastAsia="仿宋_GB2312"/>
          <w:sz w:val="32"/>
          <w:szCs w:val="32"/>
        </w:rPr>
        <w:t>万元，社会保障</w:t>
      </w:r>
      <w:r>
        <w:rPr>
          <w:rFonts w:eastAsia="仿宋_GB2312"/>
          <w:sz w:val="32"/>
          <w:szCs w:val="32"/>
        </w:rPr>
        <w:lastRenderedPageBreak/>
        <w:t>和就业支出下达</w:t>
      </w:r>
      <w:r>
        <w:rPr>
          <w:rFonts w:eastAsia="仿宋_GB2312"/>
          <w:sz w:val="32"/>
          <w:szCs w:val="32"/>
        </w:rPr>
        <w:t>533.20</w:t>
      </w:r>
      <w:r>
        <w:rPr>
          <w:rFonts w:eastAsia="仿宋_GB2312"/>
          <w:sz w:val="32"/>
          <w:szCs w:val="32"/>
        </w:rPr>
        <w:t>万元，卫生健康支出下达</w:t>
      </w:r>
      <w:r>
        <w:rPr>
          <w:rFonts w:eastAsia="仿宋_GB2312"/>
          <w:sz w:val="32"/>
          <w:szCs w:val="32"/>
        </w:rPr>
        <w:t>197.14</w:t>
      </w:r>
      <w:r>
        <w:rPr>
          <w:rFonts w:eastAsia="仿宋_GB2312"/>
          <w:sz w:val="32"/>
          <w:szCs w:val="32"/>
        </w:rPr>
        <w:t>万</w:t>
      </w:r>
      <w:r>
        <w:rPr>
          <w:rFonts w:eastAsia="仿宋_GB2312"/>
          <w:sz w:val="32"/>
          <w:szCs w:val="32"/>
        </w:rPr>
        <w:t>元，住房保障下达</w:t>
      </w:r>
      <w:r>
        <w:rPr>
          <w:rFonts w:eastAsia="仿宋_GB2312"/>
          <w:sz w:val="32"/>
          <w:szCs w:val="32"/>
        </w:rPr>
        <w:t>209.78</w:t>
      </w:r>
      <w:r>
        <w:rPr>
          <w:rFonts w:eastAsia="仿宋_GB2312"/>
          <w:sz w:val="32"/>
          <w:szCs w:val="32"/>
        </w:rPr>
        <w:t>万元，年初财政拨款特点是突出财政资金保工资、保运转、保民生的基本特点，人员经费占比最大，占全部拨款经费的</w:t>
      </w:r>
      <w:r>
        <w:rPr>
          <w:rFonts w:eastAsia="仿宋_GB2312"/>
          <w:sz w:val="32"/>
          <w:szCs w:val="32"/>
        </w:rPr>
        <w:t>81.81%</w:t>
      </w:r>
      <w:r>
        <w:rPr>
          <w:rFonts w:eastAsia="仿宋_GB2312"/>
          <w:sz w:val="32"/>
          <w:szCs w:val="32"/>
        </w:rPr>
        <w:t>，项目经费年初下达</w:t>
      </w:r>
      <w:r>
        <w:rPr>
          <w:rFonts w:eastAsia="仿宋_GB2312"/>
          <w:sz w:val="32"/>
          <w:szCs w:val="32"/>
        </w:rPr>
        <w:t>190.75</w:t>
      </w:r>
      <w:r>
        <w:rPr>
          <w:rFonts w:eastAsia="仿宋_GB2312"/>
          <w:sz w:val="32"/>
          <w:szCs w:val="32"/>
        </w:rPr>
        <w:t>万元。</w:t>
      </w:r>
    </w:p>
    <w:p w:rsidR="00EB6FF2" w:rsidRDefault="0011043E">
      <w:pPr>
        <w:snapToGrid w:val="0"/>
        <w:spacing w:line="600" w:lineRule="exact"/>
        <w:ind w:firstLineChars="200" w:firstLine="643"/>
        <w:rPr>
          <w:rFonts w:eastAsia="仿宋_GB2312"/>
          <w:sz w:val="32"/>
          <w:szCs w:val="32"/>
        </w:rPr>
      </w:pPr>
      <w:r>
        <w:rPr>
          <w:rFonts w:eastAsia="楷体_GB2312"/>
          <w:b/>
          <w:bCs/>
          <w:color w:val="000000"/>
          <w:kern w:val="0"/>
          <w:sz w:val="32"/>
          <w:szCs w:val="32"/>
          <w:shd w:val="clear" w:color="auto" w:fill="FFFFFF"/>
          <w:lang w:val="zh-CN"/>
        </w:rPr>
        <w:t>（二）支出情况。</w:t>
      </w:r>
      <w:r>
        <w:rPr>
          <w:rFonts w:eastAsia="仿宋_GB2312"/>
          <w:sz w:val="32"/>
          <w:szCs w:val="32"/>
        </w:rPr>
        <w:t>2023</w:t>
      </w:r>
      <w:r>
        <w:rPr>
          <w:rFonts w:eastAsia="仿宋_GB2312"/>
          <w:sz w:val="32"/>
          <w:szCs w:val="32"/>
        </w:rPr>
        <w:t>年部门支出</w:t>
      </w:r>
      <w:r>
        <w:rPr>
          <w:rFonts w:eastAsia="仿宋_GB2312"/>
          <w:sz w:val="32"/>
          <w:szCs w:val="32"/>
        </w:rPr>
        <w:t>3837.30</w:t>
      </w:r>
      <w:r>
        <w:rPr>
          <w:rFonts w:eastAsia="仿宋_GB2312"/>
          <w:sz w:val="32"/>
          <w:szCs w:val="32"/>
        </w:rPr>
        <w:t>万元，其中基本支出</w:t>
      </w:r>
      <w:r>
        <w:rPr>
          <w:rFonts w:eastAsia="仿宋_GB2312"/>
          <w:sz w:val="32"/>
          <w:szCs w:val="32"/>
        </w:rPr>
        <w:t>3191.48</w:t>
      </w:r>
      <w:r>
        <w:rPr>
          <w:rFonts w:eastAsia="仿宋_GB2312"/>
          <w:sz w:val="32"/>
          <w:szCs w:val="32"/>
        </w:rPr>
        <w:t>万元，占总支出的</w:t>
      </w:r>
      <w:r>
        <w:rPr>
          <w:rFonts w:eastAsia="仿宋_GB2312"/>
          <w:sz w:val="32"/>
          <w:szCs w:val="32"/>
        </w:rPr>
        <w:t>83.17%</w:t>
      </w:r>
      <w:r>
        <w:rPr>
          <w:rFonts w:eastAsia="仿宋_GB2312"/>
          <w:sz w:val="32"/>
          <w:szCs w:val="32"/>
        </w:rPr>
        <w:t>，其中人员经费支出</w:t>
      </w:r>
      <w:r>
        <w:rPr>
          <w:rFonts w:eastAsia="仿宋_GB2312"/>
          <w:sz w:val="32"/>
          <w:szCs w:val="32"/>
        </w:rPr>
        <w:t>2831.81</w:t>
      </w:r>
      <w:r>
        <w:rPr>
          <w:rFonts w:eastAsia="仿宋_GB2312"/>
          <w:sz w:val="32"/>
          <w:szCs w:val="32"/>
        </w:rPr>
        <w:t>万元，日常公用经费支出</w:t>
      </w:r>
      <w:r>
        <w:rPr>
          <w:rFonts w:eastAsia="仿宋_GB2312"/>
          <w:sz w:val="32"/>
          <w:szCs w:val="32"/>
        </w:rPr>
        <w:t>359.67</w:t>
      </w:r>
      <w:r>
        <w:rPr>
          <w:rFonts w:eastAsia="仿宋_GB2312"/>
          <w:sz w:val="32"/>
          <w:szCs w:val="32"/>
        </w:rPr>
        <w:t>万元，项目经费支出</w:t>
      </w:r>
      <w:r>
        <w:rPr>
          <w:rFonts w:eastAsia="仿宋_GB2312"/>
          <w:sz w:val="32"/>
          <w:szCs w:val="32"/>
        </w:rPr>
        <w:t>645.82</w:t>
      </w:r>
      <w:r>
        <w:rPr>
          <w:rFonts w:eastAsia="仿宋_GB2312"/>
          <w:sz w:val="32"/>
          <w:szCs w:val="32"/>
        </w:rPr>
        <w:t>万元，占总支出的</w:t>
      </w:r>
      <w:r>
        <w:rPr>
          <w:rFonts w:eastAsia="仿宋_GB2312"/>
          <w:sz w:val="32"/>
          <w:szCs w:val="32"/>
        </w:rPr>
        <w:t>16.83%</w:t>
      </w:r>
      <w:r>
        <w:rPr>
          <w:rFonts w:eastAsia="仿宋_GB2312"/>
          <w:sz w:val="32"/>
          <w:szCs w:val="32"/>
        </w:rPr>
        <w:t>，项目支出主要在各类商品和服务列支。行政单位支出特点是人员经费占比高，工资福利支出和对个人和家庭的</w:t>
      </w:r>
      <w:r>
        <w:rPr>
          <w:rFonts w:eastAsia="仿宋_GB2312"/>
          <w:sz w:val="32"/>
          <w:szCs w:val="32"/>
        </w:rPr>
        <w:t>补助支出占比高达</w:t>
      </w:r>
      <w:r>
        <w:rPr>
          <w:rFonts w:eastAsia="仿宋_GB2312"/>
          <w:sz w:val="32"/>
          <w:szCs w:val="32"/>
        </w:rPr>
        <w:t>73.83%</w:t>
      </w:r>
      <w:r>
        <w:rPr>
          <w:rFonts w:eastAsia="仿宋_GB2312"/>
          <w:sz w:val="32"/>
          <w:szCs w:val="32"/>
        </w:rPr>
        <w:t>；其次项目经费支出特点是主要用于购买各类商品服务，这是由单位综合管理职能所决定，单位不直接提供公共产品和公共服务，通过制定和执行地方财政政策和管理地方财政资金实现地方财政职能，体现在单位总支出上就呈现以上两个特点。从商品和服务占比来看其中</w:t>
      </w:r>
      <w:r>
        <w:rPr>
          <w:rFonts w:eastAsia="仿宋_GB2312"/>
          <w:sz w:val="32"/>
          <w:szCs w:val="32"/>
        </w:rPr>
        <w:t>24.82%</w:t>
      </w:r>
      <w:r>
        <w:rPr>
          <w:rFonts w:eastAsia="仿宋_GB2312"/>
          <w:sz w:val="32"/>
          <w:szCs w:val="32"/>
        </w:rPr>
        <w:t>是基本公用支出，</w:t>
      </w:r>
      <w:r>
        <w:rPr>
          <w:rFonts w:eastAsia="仿宋_GB2312"/>
          <w:sz w:val="32"/>
          <w:szCs w:val="32"/>
        </w:rPr>
        <w:t>75.18%</w:t>
      </w:r>
      <w:r>
        <w:rPr>
          <w:rFonts w:eastAsia="仿宋_GB2312"/>
          <w:sz w:val="32"/>
          <w:szCs w:val="32"/>
        </w:rPr>
        <w:t>是项目支出，商品服务支出有效</w:t>
      </w:r>
      <w:r>
        <w:rPr>
          <w:rFonts w:eastAsia="仿宋_GB2312" w:hint="eastAsia"/>
          <w:sz w:val="32"/>
          <w:szCs w:val="32"/>
        </w:rPr>
        <w:t>地</w:t>
      </w:r>
      <w:r>
        <w:rPr>
          <w:rFonts w:eastAsia="仿宋_GB2312"/>
          <w:sz w:val="32"/>
          <w:szCs w:val="32"/>
        </w:rPr>
        <w:t>保障了财政重点事业的开展。</w:t>
      </w:r>
    </w:p>
    <w:p w:rsidR="00EB6FF2" w:rsidRDefault="0011043E">
      <w:pPr>
        <w:snapToGrid w:val="0"/>
        <w:spacing w:line="600" w:lineRule="exact"/>
        <w:ind w:firstLineChars="200" w:firstLine="643"/>
        <w:rPr>
          <w:rFonts w:eastAsia="仿宋_GB2312"/>
          <w:sz w:val="32"/>
          <w:szCs w:val="32"/>
        </w:rPr>
      </w:pPr>
      <w:r>
        <w:rPr>
          <w:rFonts w:eastAsia="楷体_GB2312"/>
          <w:b/>
          <w:bCs/>
          <w:color w:val="000000"/>
          <w:kern w:val="0"/>
          <w:sz w:val="32"/>
          <w:szCs w:val="32"/>
          <w:shd w:val="clear" w:color="auto" w:fill="FFFFFF"/>
          <w:lang w:val="zh-CN"/>
        </w:rPr>
        <w:t>（三）结余分配和结转结余情况。</w:t>
      </w:r>
      <w:r>
        <w:rPr>
          <w:rFonts w:eastAsia="仿宋_GB2312"/>
          <w:sz w:val="32"/>
          <w:szCs w:val="32"/>
        </w:rPr>
        <w:t>2023</w:t>
      </w:r>
      <w:r>
        <w:rPr>
          <w:rFonts w:eastAsia="仿宋_GB2312"/>
          <w:sz w:val="32"/>
          <w:szCs w:val="32"/>
        </w:rPr>
        <w:t>年年末结转结余资金</w:t>
      </w:r>
      <w:r>
        <w:rPr>
          <w:rFonts w:eastAsia="仿宋_GB2312"/>
          <w:sz w:val="32"/>
          <w:szCs w:val="32"/>
        </w:rPr>
        <w:t>0</w:t>
      </w:r>
      <w:r>
        <w:rPr>
          <w:rFonts w:eastAsia="仿宋_GB2312"/>
          <w:sz w:val="32"/>
          <w:szCs w:val="32"/>
        </w:rPr>
        <w:t>万元。</w:t>
      </w:r>
    </w:p>
    <w:p w:rsidR="00EB6FF2" w:rsidRDefault="0011043E">
      <w:pPr>
        <w:widowControl/>
        <w:adjustRightInd w:val="0"/>
        <w:snapToGrid w:val="0"/>
        <w:spacing w:line="600"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三、部门预算绩效分析</w:t>
      </w:r>
    </w:p>
    <w:p w:rsidR="00EB6FF2" w:rsidRDefault="0011043E">
      <w:pPr>
        <w:widowControl/>
        <w:adjustRightInd w:val="0"/>
        <w:snapToGrid w:val="0"/>
        <w:spacing w:line="600" w:lineRule="exact"/>
        <w:ind w:firstLineChars="200" w:firstLine="643"/>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（一）部门预算总体绩效分析。</w:t>
      </w:r>
    </w:p>
    <w:p w:rsidR="00EB6FF2" w:rsidRDefault="0011043E">
      <w:pPr>
        <w:pStyle w:val="a0"/>
        <w:spacing w:beforeLines="0" w:line="600" w:lineRule="exact"/>
        <w:ind w:firstLineChars="200" w:firstLine="640"/>
        <w:rPr>
          <w:rFonts w:ascii="Times New Roman"/>
          <w:sz w:val="32"/>
          <w:szCs w:val="32"/>
          <w:lang w:val="zh-CN"/>
        </w:rPr>
      </w:pPr>
      <w:r>
        <w:rPr>
          <w:rFonts w:ascii="Times New Roman"/>
          <w:color w:val="000000"/>
          <w:sz w:val="32"/>
          <w:szCs w:val="32"/>
          <w:shd w:val="clear" w:color="auto" w:fill="FFFFFF"/>
        </w:rPr>
        <w:t>1.</w:t>
      </w:r>
      <w:r>
        <w:rPr>
          <w:rFonts w:ascii="Times New Roman"/>
          <w:color w:val="000000"/>
          <w:sz w:val="32"/>
          <w:szCs w:val="32"/>
          <w:shd w:val="clear" w:color="auto" w:fill="FFFFFF"/>
          <w:lang w:val="zh-CN"/>
        </w:rPr>
        <w:t>履职效能。</w:t>
      </w:r>
      <w:r>
        <w:rPr>
          <w:rFonts w:ascii="Times New Roman"/>
          <w:sz w:val="32"/>
          <w:szCs w:val="32"/>
          <w:lang w:val="zh-CN"/>
        </w:rPr>
        <w:t>在过去的</w:t>
      </w:r>
      <w:r>
        <w:rPr>
          <w:rFonts w:ascii="Times New Roman"/>
          <w:sz w:val="32"/>
          <w:szCs w:val="32"/>
          <w:lang w:val="zh-CN"/>
        </w:rPr>
        <w:t>2023</w:t>
      </w:r>
      <w:r>
        <w:rPr>
          <w:rFonts w:ascii="Times New Roman"/>
          <w:sz w:val="32"/>
          <w:szCs w:val="32"/>
          <w:lang w:val="zh-CN"/>
        </w:rPr>
        <w:t>年中，我局顺利完成了项目预</w:t>
      </w:r>
      <w:r>
        <w:rPr>
          <w:rFonts w:ascii="Times New Roman"/>
          <w:sz w:val="32"/>
          <w:szCs w:val="32"/>
          <w:lang w:val="zh-CN"/>
        </w:rPr>
        <w:lastRenderedPageBreak/>
        <w:t>算执行任务。通过各项指标的监测和分析，工作效率得到了提高，例如财务处理速度加快、资金使用率提高等，通过对过去一年的工作进行分析和评估，我们认为自己在部门整体履职绩效方面表现良好。但是，我们也意识到还有一些需要改进的地方。需要进一步加强预算执行的管理和监督，确保预算资金使用的合规性和效益性；进一步提高工作效率和质量，优化工作流程和服务流程；加强合作能力，更好地协调各部门之间工作关系和信息共享；我们将在今后的工作中更加注重效率和质量，努力提高履职绩效，不断提升综合素质和</w:t>
      </w:r>
      <w:r>
        <w:rPr>
          <w:rFonts w:ascii="Times New Roman"/>
          <w:sz w:val="32"/>
          <w:szCs w:val="32"/>
          <w:lang w:val="zh-CN"/>
        </w:rPr>
        <w:t>能力。</w:t>
      </w:r>
    </w:p>
    <w:p w:rsidR="00EB6FF2" w:rsidRDefault="0011043E">
      <w:pPr>
        <w:pStyle w:val="a0"/>
        <w:spacing w:beforeLines="0" w:line="600" w:lineRule="exact"/>
        <w:ind w:firstLineChars="200" w:firstLine="640"/>
        <w:rPr>
          <w:rFonts w:ascii="Times New Roman"/>
          <w:sz w:val="32"/>
          <w:szCs w:val="32"/>
          <w:lang w:val="zh-CN"/>
        </w:rPr>
      </w:pPr>
      <w:r>
        <w:rPr>
          <w:rFonts w:ascii="Times New Roman"/>
          <w:color w:val="000000"/>
          <w:sz w:val="32"/>
          <w:szCs w:val="32"/>
          <w:shd w:val="clear" w:color="auto" w:fill="FFFFFF"/>
        </w:rPr>
        <w:t>2.</w:t>
      </w:r>
      <w:r>
        <w:rPr>
          <w:rFonts w:ascii="Times New Roman"/>
          <w:color w:val="000000"/>
          <w:sz w:val="32"/>
          <w:szCs w:val="32"/>
          <w:shd w:val="clear" w:color="auto" w:fill="FFFFFF"/>
          <w:lang w:val="zh-CN"/>
        </w:rPr>
        <w:t>预算管理。</w:t>
      </w:r>
      <w:r>
        <w:rPr>
          <w:rFonts w:ascii="Times New Roman"/>
          <w:sz w:val="32"/>
          <w:szCs w:val="32"/>
          <w:lang w:val="zh-CN"/>
        </w:rPr>
        <w:t>在预算编制质量方面，深入分析了预算设定的合规性、合理性和完整性。通过对比发现，本年度预算编制在数据准确性、收入和支出项目上的全面覆盖上表现良好。在支出执行进度方面，比较了支出计划与实际支出的差异，并分析了资金拨付的及时性和支出结构的合理性。结果发现，尽管部分项目执行存在延迟，但总体而，预算执行效率符合预期。在严格一般性支出的控制方面，评估了各项支出的必要性和成本效益，通过审查支出审批程流，识别并削减了部分不必要的开支，提升了财政资金的使用效率。</w:t>
      </w:r>
    </w:p>
    <w:p w:rsidR="00EB6FF2" w:rsidRDefault="0011043E">
      <w:pPr>
        <w:pStyle w:val="a0"/>
        <w:spacing w:beforeLines="0" w:line="600" w:lineRule="exact"/>
        <w:ind w:firstLineChars="200" w:firstLine="640"/>
        <w:rPr>
          <w:rFonts w:ascii="Times New Roman"/>
          <w:sz w:val="32"/>
          <w:szCs w:val="32"/>
          <w:lang w:val="zh-CN"/>
        </w:rPr>
      </w:pPr>
      <w:r>
        <w:rPr>
          <w:rFonts w:ascii="Times New Roman"/>
          <w:color w:val="000000"/>
          <w:sz w:val="32"/>
          <w:szCs w:val="32"/>
          <w:shd w:val="clear" w:color="auto" w:fill="FFFFFF"/>
        </w:rPr>
        <w:t>3.</w:t>
      </w:r>
      <w:r>
        <w:rPr>
          <w:rFonts w:ascii="Times New Roman"/>
          <w:color w:val="000000"/>
          <w:sz w:val="32"/>
          <w:szCs w:val="32"/>
          <w:shd w:val="clear" w:color="auto" w:fill="FFFFFF"/>
          <w:lang w:val="zh-CN"/>
        </w:rPr>
        <w:t>财务管理。</w:t>
      </w:r>
      <w:r>
        <w:rPr>
          <w:rFonts w:ascii="Times New Roman"/>
          <w:sz w:val="32"/>
          <w:szCs w:val="32"/>
          <w:lang w:val="zh-CN"/>
        </w:rPr>
        <w:t>我</w:t>
      </w:r>
      <w:r>
        <w:rPr>
          <w:rFonts w:ascii="Times New Roman"/>
          <w:sz w:val="32"/>
          <w:szCs w:val="32"/>
        </w:rPr>
        <w:t>局</w:t>
      </w:r>
      <w:r>
        <w:rPr>
          <w:rFonts w:ascii="Times New Roman"/>
          <w:sz w:val="32"/>
          <w:szCs w:val="32"/>
          <w:lang w:val="zh-CN"/>
        </w:rPr>
        <w:t>的财务管理制度是确保财</w:t>
      </w:r>
      <w:r>
        <w:rPr>
          <w:rFonts w:ascii="Times New Roman"/>
          <w:sz w:val="32"/>
          <w:szCs w:val="32"/>
          <w:lang w:val="zh-CN"/>
        </w:rPr>
        <w:t>务活动合规性和效率的基础，在预算管理、会计核算、内部控制等方面均有明确规定，能够有效指导日常财务工作。在财务岗位设置方面，我</w:t>
      </w:r>
      <w:r>
        <w:rPr>
          <w:rFonts w:ascii="Times New Roman"/>
          <w:sz w:val="32"/>
          <w:szCs w:val="32"/>
        </w:rPr>
        <w:t>局</w:t>
      </w:r>
      <w:r>
        <w:rPr>
          <w:rFonts w:ascii="Times New Roman"/>
          <w:sz w:val="32"/>
          <w:szCs w:val="32"/>
          <w:lang w:val="zh-CN"/>
        </w:rPr>
        <w:lastRenderedPageBreak/>
        <w:t>的财务结构设置基本合理，各岗位职责分明，有利于提高工作效率和准确性。资金使用方面均按照既定规范进行，确保了资金使用的合规性和有效性。</w:t>
      </w:r>
    </w:p>
    <w:p w:rsidR="00EB6FF2" w:rsidRDefault="0011043E">
      <w:pPr>
        <w:pStyle w:val="a0"/>
        <w:spacing w:beforeLines="0" w:line="600" w:lineRule="exact"/>
        <w:ind w:firstLineChars="200" w:firstLine="640"/>
        <w:rPr>
          <w:rFonts w:ascii="Times New Roman"/>
          <w:sz w:val="32"/>
          <w:szCs w:val="32"/>
          <w:lang w:val="zh-CN"/>
        </w:rPr>
      </w:pPr>
      <w:r>
        <w:rPr>
          <w:rFonts w:ascii="Times New Roman"/>
          <w:color w:val="000000"/>
          <w:sz w:val="32"/>
          <w:szCs w:val="32"/>
          <w:shd w:val="clear" w:color="auto" w:fill="FFFFFF"/>
        </w:rPr>
        <w:t>4.</w:t>
      </w:r>
      <w:r>
        <w:rPr>
          <w:rFonts w:ascii="Times New Roman"/>
          <w:color w:val="000000"/>
          <w:sz w:val="32"/>
          <w:szCs w:val="32"/>
          <w:shd w:val="clear" w:color="auto" w:fill="FFFFFF"/>
          <w:lang w:val="zh-CN"/>
        </w:rPr>
        <w:t>资产管理。</w:t>
      </w:r>
      <w:r>
        <w:rPr>
          <w:rFonts w:ascii="Times New Roman"/>
          <w:sz w:val="32"/>
          <w:szCs w:val="32"/>
          <w:lang w:val="zh-CN"/>
        </w:rPr>
        <w:t>我</w:t>
      </w:r>
      <w:r>
        <w:rPr>
          <w:rFonts w:ascii="Times New Roman"/>
          <w:sz w:val="32"/>
          <w:szCs w:val="32"/>
        </w:rPr>
        <w:t>局</w:t>
      </w:r>
      <w:r>
        <w:rPr>
          <w:rFonts w:ascii="Times New Roman"/>
          <w:sz w:val="32"/>
          <w:szCs w:val="32"/>
          <w:lang w:val="zh-CN"/>
        </w:rPr>
        <w:t>大部分资产利用率保持在合理水平，资产配置中注重资产的使用效率，避免资源浪费；今后将继续深化资产管理工作，优化资产配置，提高资产利用效率，积极探索资产盘活新途径，以进一步提升资产管理的绩效，为单位的持续发展提供坚实的物质基础。</w:t>
      </w:r>
    </w:p>
    <w:p w:rsidR="00EB6FF2" w:rsidRDefault="0011043E">
      <w:pPr>
        <w:pStyle w:val="a0"/>
        <w:spacing w:beforeLines="0" w:line="600" w:lineRule="exact"/>
        <w:ind w:firstLineChars="200" w:firstLine="640"/>
        <w:rPr>
          <w:rFonts w:ascii="Times New Roman"/>
          <w:sz w:val="32"/>
          <w:szCs w:val="32"/>
          <w:lang w:val="zh-CN"/>
        </w:rPr>
      </w:pPr>
      <w:r>
        <w:rPr>
          <w:rFonts w:ascii="Times New Roman"/>
          <w:color w:val="000000"/>
          <w:sz w:val="32"/>
          <w:szCs w:val="32"/>
          <w:shd w:val="clear" w:color="auto" w:fill="FFFFFF"/>
        </w:rPr>
        <w:t>5.</w:t>
      </w:r>
      <w:r>
        <w:rPr>
          <w:rFonts w:ascii="Times New Roman"/>
          <w:color w:val="000000"/>
          <w:sz w:val="32"/>
          <w:szCs w:val="32"/>
          <w:shd w:val="clear" w:color="auto" w:fill="FFFFFF"/>
          <w:lang w:val="zh-CN"/>
        </w:rPr>
        <w:t>采购管理。</w:t>
      </w:r>
      <w:r>
        <w:rPr>
          <w:rFonts w:ascii="Times New Roman"/>
          <w:sz w:val="32"/>
          <w:szCs w:val="32"/>
          <w:lang w:val="zh-CN"/>
        </w:rPr>
        <w:t>今后将继续优化采购政策，加大对中小企业的支持力度，同时提高采购流程的效率和适应性，以应对复杂多变的市场环境，进一步提升采购管理的整体绩效。</w:t>
      </w:r>
    </w:p>
    <w:p w:rsidR="00EB6FF2" w:rsidRDefault="0011043E">
      <w:pPr>
        <w:widowControl/>
        <w:adjustRightInd w:val="0"/>
        <w:snapToGrid w:val="0"/>
        <w:spacing w:line="600" w:lineRule="exact"/>
        <w:ind w:firstLineChars="150" w:firstLine="482"/>
        <w:contextualSpacing/>
        <w:jc w:val="left"/>
        <w:rPr>
          <w:rFonts w:eastAsia="楷体_GB2312"/>
          <w:sz w:val="32"/>
          <w:szCs w:val="32"/>
        </w:rPr>
      </w:pPr>
      <w:r>
        <w:rPr>
          <w:rFonts w:eastAsia="楷体_GB2312"/>
          <w:b/>
          <w:bCs/>
          <w:color w:val="000000"/>
          <w:kern w:val="0"/>
          <w:sz w:val="32"/>
          <w:szCs w:val="32"/>
          <w:shd w:val="clear" w:color="auto" w:fill="FFFFFF"/>
          <w:lang w:val="zh-CN"/>
        </w:rPr>
        <w:t>（二）部门预算项目绩效分析。</w:t>
      </w:r>
    </w:p>
    <w:p w:rsidR="00EB6FF2" w:rsidRDefault="0011043E">
      <w:pPr>
        <w:widowControl/>
        <w:adjustRightInd w:val="0"/>
        <w:snapToGrid w:val="0"/>
        <w:spacing w:line="600" w:lineRule="exact"/>
        <w:ind w:firstLineChars="200" w:firstLine="640"/>
        <w:contextualSpacing/>
        <w:jc w:val="left"/>
        <w:rPr>
          <w:rFonts w:eastAsia="仿宋_GB2312"/>
          <w:sz w:val="32"/>
          <w:szCs w:val="32"/>
          <w:lang w:val="zh-CN"/>
        </w:rPr>
      </w:pPr>
      <w:r>
        <w:rPr>
          <w:rFonts w:eastAsia="仿宋_GB2312"/>
          <w:sz w:val="32"/>
          <w:szCs w:val="32"/>
        </w:rPr>
        <w:t>常年项目绩效分析。</w:t>
      </w:r>
      <w:r>
        <w:rPr>
          <w:rFonts w:eastAsia="仿宋_GB2312"/>
          <w:sz w:val="32"/>
          <w:szCs w:val="32"/>
          <w:lang w:val="zh-CN"/>
        </w:rPr>
        <w:t>该类项目总数</w:t>
      </w:r>
      <w:r>
        <w:rPr>
          <w:rFonts w:eastAsia="仿宋_GB2312"/>
          <w:sz w:val="32"/>
          <w:szCs w:val="32"/>
        </w:rPr>
        <w:t>1</w:t>
      </w:r>
      <w:r>
        <w:rPr>
          <w:rFonts w:eastAsia="仿宋_GB2312"/>
          <w:sz w:val="32"/>
          <w:szCs w:val="32"/>
          <w:lang w:val="zh-CN"/>
        </w:rPr>
        <w:t>个，涉及预算总金额</w:t>
      </w:r>
      <w:r>
        <w:rPr>
          <w:rFonts w:eastAsia="仿宋_GB2312"/>
          <w:sz w:val="32"/>
          <w:szCs w:val="32"/>
        </w:rPr>
        <w:t>69.2</w:t>
      </w:r>
      <w:r>
        <w:rPr>
          <w:rFonts w:eastAsia="仿宋_GB2312"/>
          <w:sz w:val="32"/>
          <w:szCs w:val="32"/>
          <w:lang w:val="zh-CN"/>
        </w:rPr>
        <w:t>万元，</w:t>
      </w:r>
      <w:r>
        <w:rPr>
          <w:rFonts w:eastAsia="仿宋_GB2312"/>
          <w:sz w:val="32"/>
          <w:szCs w:val="32"/>
          <w:lang w:val="zh-CN"/>
        </w:rPr>
        <w:t>1—1</w:t>
      </w:r>
      <w:r>
        <w:rPr>
          <w:rFonts w:eastAsia="仿宋_GB2312"/>
          <w:sz w:val="32"/>
          <w:szCs w:val="32"/>
        </w:rPr>
        <w:t>2</w:t>
      </w:r>
      <w:r>
        <w:rPr>
          <w:rFonts w:eastAsia="仿宋_GB2312"/>
          <w:sz w:val="32"/>
          <w:szCs w:val="32"/>
          <w:lang w:val="zh-CN"/>
        </w:rPr>
        <w:t>月预算执行总体进度为</w:t>
      </w:r>
      <w:r>
        <w:rPr>
          <w:rFonts w:eastAsia="仿宋_GB2312"/>
          <w:sz w:val="32"/>
          <w:szCs w:val="32"/>
        </w:rPr>
        <w:t>100</w:t>
      </w:r>
      <w:r>
        <w:rPr>
          <w:rFonts w:eastAsia="仿宋_GB2312"/>
          <w:sz w:val="32"/>
          <w:szCs w:val="32"/>
          <w:lang w:val="zh-CN"/>
        </w:rPr>
        <w:t>%</w:t>
      </w:r>
      <w:r>
        <w:rPr>
          <w:rFonts w:eastAsia="仿宋_GB2312"/>
          <w:sz w:val="32"/>
          <w:szCs w:val="32"/>
          <w:lang w:val="zh-CN"/>
        </w:rPr>
        <w:t>，其中：预算结余率大于</w:t>
      </w:r>
      <w:r>
        <w:rPr>
          <w:rFonts w:eastAsia="仿宋_GB2312"/>
          <w:sz w:val="32"/>
          <w:szCs w:val="32"/>
        </w:rPr>
        <w:t>10%</w:t>
      </w:r>
      <w:r>
        <w:rPr>
          <w:rFonts w:eastAsia="仿宋_GB2312"/>
          <w:sz w:val="32"/>
          <w:szCs w:val="32"/>
          <w:lang w:val="zh-CN"/>
        </w:rPr>
        <w:t>的项目共计</w:t>
      </w:r>
      <w:r>
        <w:rPr>
          <w:rFonts w:eastAsia="仿宋_GB2312"/>
          <w:sz w:val="32"/>
          <w:szCs w:val="32"/>
        </w:rPr>
        <w:t>0</w:t>
      </w:r>
      <w:r>
        <w:rPr>
          <w:rFonts w:eastAsia="仿宋_GB2312"/>
          <w:sz w:val="32"/>
          <w:szCs w:val="32"/>
          <w:lang w:val="zh-CN"/>
        </w:rPr>
        <w:t>个。</w:t>
      </w:r>
    </w:p>
    <w:p w:rsidR="00EB6FF2" w:rsidRDefault="0011043E">
      <w:pPr>
        <w:widowControl/>
        <w:adjustRightInd w:val="0"/>
        <w:snapToGrid w:val="0"/>
        <w:spacing w:line="600" w:lineRule="exact"/>
        <w:ind w:firstLineChars="200" w:firstLine="640"/>
        <w:contextualSpacing/>
        <w:jc w:val="left"/>
        <w:rPr>
          <w:rFonts w:eastAsia="仿宋_GB2312"/>
          <w:sz w:val="32"/>
          <w:szCs w:val="32"/>
        </w:rPr>
      </w:pPr>
      <w:r>
        <w:rPr>
          <w:rFonts w:eastAsia="仿宋_GB2312"/>
          <w:sz w:val="32"/>
          <w:szCs w:val="32"/>
        </w:rPr>
        <w:t>阶段（一次性）项目绩效分析。</w:t>
      </w:r>
      <w:r>
        <w:rPr>
          <w:rFonts w:eastAsia="仿宋_GB2312"/>
          <w:sz w:val="32"/>
          <w:szCs w:val="32"/>
          <w:lang w:val="zh-CN"/>
        </w:rPr>
        <w:t>该类项目总数</w:t>
      </w:r>
      <w:r>
        <w:rPr>
          <w:rFonts w:eastAsia="仿宋_GB2312"/>
          <w:sz w:val="32"/>
          <w:szCs w:val="32"/>
        </w:rPr>
        <w:t>16</w:t>
      </w:r>
      <w:r>
        <w:rPr>
          <w:rFonts w:eastAsia="仿宋_GB2312"/>
          <w:sz w:val="32"/>
          <w:szCs w:val="32"/>
          <w:lang w:val="zh-CN"/>
        </w:rPr>
        <w:t>个，涉及预算总金额</w:t>
      </w:r>
      <w:r>
        <w:rPr>
          <w:rFonts w:eastAsia="仿宋_GB2312"/>
          <w:sz w:val="32"/>
          <w:szCs w:val="32"/>
        </w:rPr>
        <w:t>660.25</w:t>
      </w:r>
      <w:r>
        <w:rPr>
          <w:rFonts w:eastAsia="仿宋_GB2312"/>
          <w:sz w:val="32"/>
          <w:szCs w:val="32"/>
          <w:lang w:val="zh-CN"/>
        </w:rPr>
        <w:t>万元，</w:t>
      </w:r>
      <w:r>
        <w:rPr>
          <w:rFonts w:eastAsia="仿宋_GB2312"/>
          <w:sz w:val="32"/>
          <w:szCs w:val="32"/>
          <w:lang w:val="zh-CN"/>
        </w:rPr>
        <w:t>1—1</w:t>
      </w:r>
      <w:r>
        <w:rPr>
          <w:rFonts w:eastAsia="仿宋_GB2312"/>
          <w:sz w:val="32"/>
          <w:szCs w:val="32"/>
        </w:rPr>
        <w:t>2</w:t>
      </w:r>
      <w:r>
        <w:rPr>
          <w:rFonts w:eastAsia="仿宋_GB2312"/>
          <w:sz w:val="32"/>
          <w:szCs w:val="32"/>
          <w:lang w:val="zh-CN"/>
        </w:rPr>
        <w:t>月预算执行总体进度为</w:t>
      </w:r>
      <w:r>
        <w:rPr>
          <w:rFonts w:eastAsia="仿宋_GB2312"/>
          <w:sz w:val="32"/>
          <w:szCs w:val="32"/>
        </w:rPr>
        <w:t>100</w:t>
      </w:r>
      <w:r>
        <w:rPr>
          <w:rFonts w:eastAsia="仿宋_GB2312"/>
          <w:sz w:val="32"/>
          <w:szCs w:val="32"/>
          <w:lang w:val="zh-CN"/>
        </w:rPr>
        <w:t>%</w:t>
      </w:r>
      <w:r>
        <w:rPr>
          <w:rFonts w:eastAsia="仿宋_GB2312"/>
          <w:sz w:val="32"/>
          <w:szCs w:val="32"/>
          <w:lang w:val="zh-CN"/>
        </w:rPr>
        <w:t>，其中：预算结余率大于</w:t>
      </w:r>
      <w:r>
        <w:rPr>
          <w:rFonts w:eastAsia="仿宋_GB2312"/>
          <w:sz w:val="32"/>
          <w:szCs w:val="32"/>
        </w:rPr>
        <w:t>10%</w:t>
      </w:r>
      <w:r>
        <w:rPr>
          <w:rFonts w:eastAsia="仿宋_GB2312"/>
          <w:sz w:val="32"/>
          <w:szCs w:val="32"/>
          <w:lang w:val="zh-CN"/>
        </w:rPr>
        <w:t>的项目共计</w:t>
      </w:r>
      <w:r>
        <w:rPr>
          <w:rFonts w:eastAsia="仿宋_GB2312"/>
          <w:sz w:val="32"/>
          <w:szCs w:val="32"/>
        </w:rPr>
        <w:t>0</w:t>
      </w:r>
      <w:r>
        <w:rPr>
          <w:rFonts w:eastAsia="仿宋_GB2312"/>
          <w:sz w:val="32"/>
          <w:szCs w:val="32"/>
          <w:lang w:val="zh-CN"/>
        </w:rPr>
        <w:t>个。</w:t>
      </w:r>
    </w:p>
    <w:p w:rsidR="00EB6FF2" w:rsidRDefault="0011043E">
      <w:pPr>
        <w:adjustRightInd w:val="0"/>
        <w:snapToGrid w:val="0"/>
        <w:spacing w:line="600" w:lineRule="exact"/>
        <w:ind w:firstLineChars="200" w:firstLine="643"/>
        <w:contextualSpacing/>
        <w:jc w:val="left"/>
        <w:rPr>
          <w:rFonts w:eastAsia="仿宋_GB2312"/>
          <w:b/>
          <w:sz w:val="32"/>
          <w:szCs w:val="32"/>
          <w:lang w:val="zh-CN"/>
        </w:rPr>
      </w:pPr>
      <w:r>
        <w:rPr>
          <w:rFonts w:eastAsia="仿宋_GB2312"/>
          <w:b/>
          <w:color w:val="000000"/>
          <w:kern w:val="0"/>
          <w:sz w:val="32"/>
          <w:szCs w:val="32"/>
          <w:shd w:val="clear" w:color="auto" w:fill="FFFFFF"/>
        </w:rPr>
        <w:t>1.</w:t>
      </w:r>
      <w:r>
        <w:rPr>
          <w:rFonts w:eastAsia="仿宋_GB2312"/>
          <w:b/>
          <w:color w:val="000000"/>
          <w:kern w:val="0"/>
          <w:sz w:val="32"/>
          <w:szCs w:val="32"/>
          <w:shd w:val="clear" w:color="auto" w:fill="FFFFFF"/>
          <w:lang w:val="zh-CN"/>
        </w:rPr>
        <w:t>项目决策。</w:t>
      </w:r>
    </w:p>
    <w:p w:rsidR="00EB6FF2" w:rsidRDefault="0011043E">
      <w:pPr>
        <w:widowControl/>
        <w:adjustRightInd w:val="0"/>
        <w:snapToGrid w:val="0"/>
        <w:spacing w:line="600" w:lineRule="exact"/>
        <w:ind w:firstLineChars="200" w:firstLine="640"/>
        <w:contextualSpacing/>
        <w:jc w:val="left"/>
        <w:rPr>
          <w:rFonts w:eastAsia="仿宋_GB2312"/>
          <w:sz w:val="32"/>
          <w:szCs w:val="32"/>
          <w:lang w:val="zh-CN"/>
        </w:rPr>
      </w:pPr>
      <w:r>
        <w:rPr>
          <w:rFonts w:eastAsia="仿宋_GB2312"/>
          <w:sz w:val="32"/>
          <w:szCs w:val="32"/>
          <w:lang w:val="zh-CN"/>
        </w:rPr>
        <w:t>在项目决策过程中，绩效分析是评估项目决策效果的关键工具，它不仅有助于确保项目目标的实现，还能提高资源利用效率</w:t>
      </w:r>
      <w:r>
        <w:rPr>
          <w:rFonts w:eastAsia="仿宋_GB2312"/>
          <w:sz w:val="32"/>
          <w:szCs w:val="32"/>
          <w:lang w:val="zh-CN"/>
        </w:rPr>
        <w:lastRenderedPageBreak/>
        <w:t>和项目决策的透明度。在分析决策流程时，决策包括五个关键步骤：问题识别、方案制定、风险评估、决策制定和执行。并预测项目实施后的直接经济效益和社会价值，该项目可能带来的社会稳定等社会效益。项目入库的标准包括项目的契合度、预期效果、风险等级和资源需求，入库流程包括项目的提交、评审和批准。</w:t>
      </w:r>
    </w:p>
    <w:p w:rsidR="00EB6FF2" w:rsidRDefault="0011043E">
      <w:pPr>
        <w:adjustRightInd w:val="0"/>
        <w:snapToGrid w:val="0"/>
        <w:spacing w:line="600" w:lineRule="exact"/>
        <w:ind w:firstLineChars="200" w:firstLine="640"/>
        <w:contextualSpacing/>
        <w:jc w:val="left"/>
        <w:rPr>
          <w:rFonts w:eastAsia="仿宋_GB2312"/>
          <w:sz w:val="32"/>
          <w:szCs w:val="32"/>
          <w:highlight w:val="yellow"/>
          <w:lang w:val="zh-CN"/>
        </w:rPr>
      </w:pPr>
      <w:r>
        <w:rPr>
          <w:rFonts w:eastAsia="仿宋_GB2312"/>
          <w:color w:val="000000"/>
          <w:kern w:val="0"/>
          <w:sz w:val="32"/>
          <w:szCs w:val="32"/>
          <w:shd w:val="clear" w:color="auto" w:fill="FFFFFF"/>
        </w:rPr>
        <w:t>2.</w:t>
      </w:r>
      <w:r>
        <w:rPr>
          <w:rFonts w:eastAsia="仿宋_GB2312"/>
          <w:color w:val="000000"/>
          <w:kern w:val="0"/>
          <w:sz w:val="32"/>
          <w:szCs w:val="32"/>
          <w:shd w:val="clear" w:color="auto" w:fill="FFFFFF"/>
        </w:rPr>
        <w:t>项目执行</w:t>
      </w:r>
      <w:r>
        <w:rPr>
          <w:rFonts w:eastAsia="仿宋_GB2312"/>
          <w:color w:val="000000"/>
          <w:kern w:val="0"/>
          <w:sz w:val="32"/>
          <w:szCs w:val="32"/>
          <w:shd w:val="clear" w:color="auto" w:fill="FFFFFF"/>
          <w:lang w:val="zh-CN"/>
        </w:rPr>
        <w:t>。</w:t>
      </w:r>
      <w:r>
        <w:rPr>
          <w:rFonts w:eastAsia="仿宋_GB2312"/>
          <w:kern w:val="0"/>
          <w:sz w:val="32"/>
          <w:szCs w:val="32"/>
          <w:shd w:val="clear" w:color="auto" w:fill="FFFFFF"/>
          <w:lang w:val="zh-CN"/>
        </w:rPr>
        <w:t>项目主要有</w:t>
      </w:r>
      <w:r>
        <w:rPr>
          <w:rFonts w:eastAsia="仿宋_GB2312"/>
          <w:sz w:val="32"/>
          <w:szCs w:val="32"/>
        </w:rPr>
        <w:t>攀枝花考区</w:t>
      </w:r>
      <w:r>
        <w:rPr>
          <w:rFonts w:eastAsia="仿宋_GB2312"/>
          <w:sz w:val="32"/>
          <w:szCs w:val="32"/>
        </w:rPr>
        <w:t>2023</w:t>
      </w:r>
      <w:r>
        <w:rPr>
          <w:rFonts w:eastAsia="仿宋_GB2312"/>
          <w:sz w:val="32"/>
          <w:szCs w:val="32"/>
        </w:rPr>
        <w:t>年度全国会计专业技术初级、中级资格考试和注册会计师全国统一考试攀枝花考区考务费，路内停车罚没资产项目评估及法律尽调项目，财政投资评审经费，</w:t>
      </w:r>
      <w:r>
        <w:rPr>
          <w:rFonts w:eastAsia="仿宋_GB2312"/>
          <w:kern w:val="0"/>
          <w:sz w:val="32"/>
          <w:szCs w:val="32"/>
          <w:shd w:val="clear" w:color="auto" w:fill="FFFFFF"/>
          <w:lang w:val="zh-CN"/>
        </w:rPr>
        <w:t>机关后勤物业服务（含机关二食堂），</w:t>
      </w:r>
      <w:r>
        <w:rPr>
          <w:rFonts w:eastAsia="仿宋_GB2312"/>
          <w:sz w:val="32"/>
          <w:szCs w:val="32"/>
        </w:rPr>
        <w:t>信息系统维护费</w:t>
      </w:r>
      <w:r>
        <w:rPr>
          <w:rFonts w:eastAsia="仿宋_GB2312"/>
          <w:color w:val="000000"/>
          <w:sz w:val="32"/>
          <w:szCs w:val="32"/>
        </w:rPr>
        <w:t>，项目评审服务费</w:t>
      </w:r>
      <w:r>
        <w:rPr>
          <w:rFonts w:eastAsia="仿宋_GB2312"/>
          <w:color w:val="000000" w:themeColor="text1"/>
          <w:kern w:val="0"/>
          <w:sz w:val="32"/>
          <w:szCs w:val="32"/>
          <w:shd w:val="clear" w:color="auto" w:fill="FFFFFF"/>
          <w:lang w:val="zh-CN"/>
        </w:rPr>
        <w:t>，四川省非税收缴暨财政票据管理系统实施服务项目，年度职工、干部任前体检、挂职干部房租、市级挂职干部补助等。</w:t>
      </w:r>
      <w:r>
        <w:rPr>
          <w:rFonts w:eastAsia="仿宋_GB2312"/>
          <w:color w:val="000000" w:themeColor="text1"/>
          <w:kern w:val="0"/>
          <w:sz w:val="32"/>
          <w:szCs w:val="32"/>
          <w:shd w:val="clear" w:color="auto" w:fill="FFFFFF"/>
          <w:lang w:val="zh-CN"/>
        </w:rPr>
        <w:t>2023</w:t>
      </w:r>
      <w:r>
        <w:rPr>
          <w:rFonts w:eastAsia="仿宋_GB2312"/>
          <w:color w:val="000000" w:themeColor="text1"/>
          <w:kern w:val="0"/>
          <w:sz w:val="32"/>
          <w:szCs w:val="32"/>
          <w:shd w:val="clear" w:color="auto" w:fill="FFFFFF"/>
          <w:lang w:val="zh-CN"/>
        </w:rPr>
        <w:t>年项目</w:t>
      </w:r>
      <w:r>
        <w:rPr>
          <w:rFonts w:eastAsia="仿宋_GB2312"/>
          <w:kern w:val="0"/>
          <w:sz w:val="32"/>
          <w:szCs w:val="32"/>
          <w:shd w:val="clear" w:color="auto" w:fill="FFFFFF"/>
          <w:lang w:val="zh-CN"/>
        </w:rPr>
        <w:t>经费预算</w:t>
      </w:r>
      <w:r>
        <w:rPr>
          <w:rFonts w:eastAsia="仿宋_GB2312"/>
          <w:kern w:val="0"/>
          <w:sz w:val="32"/>
          <w:szCs w:val="32"/>
          <w:shd w:val="clear" w:color="auto" w:fill="FFFFFF"/>
          <w:lang w:val="zh-CN"/>
        </w:rPr>
        <w:t>190.75</w:t>
      </w:r>
      <w:r>
        <w:rPr>
          <w:rFonts w:eastAsia="仿宋_GB2312"/>
          <w:kern w:val="0"/>
          <w:sz w:val="32"/>
          <w:szCs w:val="32"/>
          <w:shd w:val="clear" w:color="auto" w:fill="FFFFFF"/>
          <w:lang w:val="zh-CN"/>
        </w:rPr>
        <w:t>万元，</w:t>
      </w:r>
      <w:r>
        <w:rPr>
          <w:rFonts w:eastAsia="仿宋_GB2312"/>
          <w:color w:val="000000"/>
          <w:sz w:val="32"/>
          <w:szCs w:val="32"/>
        </w:rPr>
        <w:t>项目经费追加下达</w:t>
      </w:r>
      <w:r>
        <w:rPr>
          <w:rFonts w:eastAsia="仿宋_GB2312"/>
          <w:color w:val="000000"/>
          <w:sz w:val="32"/>
          <w:szCs w:val="32"/>
        </w:rPr>
        <w:t>455.07</w:t>
      </w:r>
      <w:r>
        <w:rPr>
          <w:rFonts w:eastAsia="仿宋_GB2312"/>
          <w:color w:val="000000"/>
          <w:sz w:val="32"/>
          <w:szCs w:val="32"/>
        </w:rPr>
        <w:t>万元，</w:t>
      </w:r>
      <w:r>
        <w:rPr>
          <w:rFonts w:eastAsia="仿宋_GB2312"/>
          <w:kern w:val="0"/>
          <w:sz w:val="32"/>
          <w:szCs w:val="32"/>
          <w:shd w:val="clear" w:color="auto" w:fill="FFFFFF"/>
          <w:lang w:val="zh-CN"/>
        </w:rPr>
        <w:t>年度预算执行项目经费支出</w:t>
      </w:r>
      <w:r>
        <w:rPr>
          <w:rFonts w:eastAsia="仿宋_GB2312"/>
          <w:kern w:val="0"/>
          <w:sz w:val="32"/>
          <w:szCs w:val="32"/>
          <w:shd w:val="clear" w:color="auto" w:fill="FFFFFF"/>
          <w:lang w:val="zh-CN"/>
        </w:rPr>
        <w:t>645.82</w:t>
      </w:r>
      <w:r>
        <w:rPr>
          <w:rFonts w:eastAsia="仿宋_GB2312"/>
          <w:kern w:val="0"/>
          <w:sz w:val="32"/>
          <w:szCs w:val="32"/>
          <w:shd w:val="clear" w:color="auto" w:fill="FFFFFF"/>
          <w:lang w:val="zh-CN"/>
        </w:rPr>
        <w:t>万元，项目经费无结余，项目经费控制率超</w:t>
      </w:r>
      <w:r>
        <w:rPr>
          <w:rFonts w:eastAsia="仿宋_GB2312"/>
          <w:kern w:val="0"/>
          <w:sz w:val="32"/>
          <w:szCs w:val="32"/>
          <w:shd w:val="clear" w:color="auto" w:fill="FFFFFF"/>
          <w:lang w:val="zh-CN"/>
        </w:rPr>
        <w:t>100%</w:t>
      </w:r>
      <w:r>
        <w:rPr>
          <w:rFonts w:eastAsia="仿宋_GB2312"/>
          <w:kern w:val="0"/>
          <w:sz w:val="32"/>
          <w:szCs w:val="32"/>
          <w:shd w:val="clear" w:color="auto" w:fill="FFFFFF"/>
          <w:lang w:val="zh-CN"/>
        </w:rPr>
        <w:t>。</w:t>
      </w:r>
    </w:p>
    <w:p w:rsidR="00EB6FF2" w:rsidRDefault="0011043E">
      <w:pPr>
        <w:adjustRightInd w:val="0"/>
        <w:snapToGrid w:val="0"/>
        <w:spacing w:line="600" w:lineRule="exact"/>
        <w:ind w:firstLineChars="200" w:firstLine="640"/>
        <w:contextualSpacing/>
        <w:jc w:val="left"/>
        <w:rPr>
          <w:rFonts w:eastAsia="仿宋_GB2312"/>
          <w:sz w:val="32"/>
          <w:szCs w:val="32"/>
          <w:highlight w:val="yellow"/>
          <w:lang w:val="zh-CN"/>
        </w:rPr>
      </w:pPr>
      <w:r>
        <w:rPr>
          <w:rFonts w:eastAsia="仿宋_GB2312"/>
          <w:color w:val="000000"/>
          <w:kern w:val="0"/>
          <w:sz w:val="32"/>
          <w:szCs w:val="32"/>
          <w:shd w:val="clear" w:color="auto" w:fill="FFFFFF"/>
        </w:rPr>
        <w:t>3.</w:t>
      </w:r>
      <w:r>
        <w:rPr>
          <w:rFonts w:eastAsia="仿宋_GB2312"/>
          <w:color w:val="000000"/>
          <w:kern w:val="0"/>
          <w:sz w:val="32"/>
          <w:szCs w:val="32"/>
          <w:shd w:val="clear" w:color="auto" w:fill="FFFFFF"/>
          <w:lang w:val="zh-CN"/>
        </w:rPr>
        <w:t>目标实现。</w:t>
      </w:r>
      <w:r>
        <w:rPr>
          <w:rFonts w:eastAsia="仿宋_GB2312"/>
          <w:kern w:val="0"/>
          <w:sz w:val="32"/>
          <w:szCs w:val="32"/>
          <w:shd w:val="clear" w:color="auto" w:fill="FFFFFF"/>
          <w:lang w:val="zh-CN"/>
        </w:rPr>
        <w:t>我局均衡安排</w:t>
      </w:r>
      <w:r>
        <w:rPr>
          <w:rFonts w:eastAsia="仿宋_GB2312"/>
          <w:kern w:val="0"/>
          <w:sz w:val="32"/>
          <w:szCs w:val="32"/>
          <w:shd w:val="clear" w:color="auto" w:fill="FFFFFF"/>
          <w:lang w:val="zh-CN"/>
        </w:rPr>
        <w:t>各个项目资金的执行进度，贯彻落实过紧日子的要求，</w:t>
      </w:r>
      <w:r>
        <w:rPr>
          <w:rFonts w:eastAsia="仿宋_GB2312"/>
          <w:color w:val="000000"/>
          <w:sz w:val="32"/>
          <w:szCs w:val="32"/>
        </w:rPr>
        <w:t>压减了</w:t>
      </w:r>
      <w:r>
        <w:rPr>
          <w:rFonts w:eastAsia="仿宋_GB2312"/>
          <w:kern w:val="0"/>
          <w:sz w:val="32"/>
          <w:szCs w:val="32"/>
          <w:shd w:val="clear" w:color="auto" w:fill="FFFFFF"/>
          <w:lang w:val="zh-CN"/>
        </w:rPr>
        <w:t>机关后勤物业服务（含机关二食堂）</w:t>
      </w:r>
      <w:r>
        <w:rPr>
          <w:rFonts w:eastAsia="仿宋_GB2312"/>
          <w:kern w:val="0"/>
          <w:sz w:val="32"/>
          <w:szCs w:val="32"/>
          <w:shd w:val="clear" w:color="auto" w:fill="FFFFFF"/>
        </w:rPr>
        <w:t>费用</w:t>
      </w:r>
      <w:r>
        <w:rPr>
          <w:rFonts w:eastAsia="仿宋_GB2312"/>
          <w:color w:val="000000"/>
          <w:sz w:val="32"/>
          <w:szCs w:val="32"/>
        </w:rPr>
        <w:t>、延缓了部分</w:t>
      </w:r>
      <w:r>
        <w:rPr>
          <w:rFonts w:eastAsia="仿宋_GB2312"/>
          <w:kern w:val="0"/>
          <w:sz w:val="32"/>
          <w:szCs w:val="32"/>
          <w:shd w:val="clear" w:color="auto" w:fill="FFFFFF"/>
          <w:lang w:val="zh-CN"/>
        </w:rPr>
        <w:t>年度项目</w:t>
      </w:r>
      <w:r>
        <w:rPr>
          <w:rFonts w:eastAsia="仿宋_GB2312"/>
          <w:kern w:val="0"/>
          <w:sz w:val="32"/>
          <w:szCs w:val="32"/>
          <w:shd w:val="clear" w:color="auto" w:fill="FFFFFF"/>
        </w:rPr>
        <w:t>委托服务</w:t>
      </w:r>
      <w:r>
        <w:rPr>
          <w:rFonts w:eastAsia="仿宋_GB2312"/>
          <w:kern w:val="0"/>
          <w:sz w:val="32"/>
          <w:szCs w:val="32"/>
          <w:shd w:val="clear" w:color="auto" w:fill="FFFFFF"/>
          <w:lang w:val="zh-CN"/>
        </w:rPr>
        <w:t>费</w:t>
      </w:r>
      <w:r>
        <w:rPr>
          <w:rFonts w:eastAsia="仿宋_GB2312"/>
          <w:kern w:val="0"/>
          <w:sz w:val="32"/>
          <w:szCs w:val="32"/>
          <w:shd w:val="clear" w:color="auto" w:fill="FFFFFF"/>
        </w:rPr>
        <w:t>等</w:t>
      </w:r>
      <w:r>
        <w:rPr>
          <w:rFonts w:eastAsia="仿宋_GB2312"/>
          <w:kern w:val="0"/>
          <w:sz w:val="32"/>
          <w:szCs w:val="32"/>
          <w:shd w:val="clear" w:color="auto" w:fill="FFFFFF"/>
          <w:lang w:val="zh-CN"/>
        </w:rPr>
        <w:t>，</w:t>
      </w:r>
      <w:r>
        <w:rPr>
          <w:rFonts w:eastAsia="仿宋_GB2312"/>
          <w:color w:val="000000"/>
          <w:sz w:val="32"/>
          <w:szCs w:val="32"/>
        </w:rPr>
        <w:t>财政资金使用效益不断提高。</w:t>
      </w:r>
      <w:r>
        <w:rPr>
          <w:rFonts w:eastAsia="仿宋_GB2312"/>
          <w:sz w:val="32"/>
          <w:szCs w:val="32"/>
        </w:rPr>
        <w:t>年末没有财政结余资金，预算控制较好。</w:t>
      </w:r>
    </w:p>
    <w:p w:rsidR="00EB6FF2" w:rsidRDefault="0011043E">
      <w:pPr>
        <w:widowControl/>
        <w:adjustRightInd w:val="0"/>
        <w:snapToGrid w:val="0"/>
        <w:spacing w:line="600" w:lineRule="exact"/>
        <w:ind w:firstLineChars="200" w:firstLine="643"/>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（三）重点领域绩效分析。</w:t>
      </w:r>
    </w:p>
    <w:p w:rsidR="00EB6FF2" w:rsidRDefault="0011043E">
      <w:pPr>
        <w:widowControl/>
        <w:adjustRightInd w:val="0"/>
        <w:snapToGrid w:val="0"/>
        <w:spacing w:line="600" w:lineRule="exact"/>
        <w:ind w:firstLineChars="200" w:firstLine="640"/>
        <w:contextualSpacing/>
        <w:jc w:val="left"/>
        <w:rPr>
          <w:rFonts w:eastAsia="仿宋_GB2312"/>
          <w:color w:val="000000"/>
          <w:kern w:val="0"/>
          <w:szCs w:val="32"/>
          <w:shd w:val="clear" w:color="auto" w:fill="FFFFFF"/>
        </w:rPr>
      </w:pPr>
      <w:r>
        <w:rPr>
          <w:rFonts w:eastAsia="仿宋_GB2312"/>
          <w:sz w:val="32"/>
          <w:szCs w:val="32"/>
        </w:rPr>
        <w:t>我局</w:t>
      </w:r>
      <w:r>
        <w:rPr>
          <w:rFonts w:eastAsia="仿宋_GB2312"/>
          <w:sz w:val="32"/>
          <w:szCs w:val="32"/>
        </w:rPr>
        <w:t>2023</w:t>
      </w:r>
      <w:r>
        <w:rPr>
          <w:rFonts w:eastAsia="仿宋_GB2312"/>
          <w:sz w:val="32"/>
          <w:szCs w:val="32"/>
        </w:rPr>
        <w:t>年度无涉及国有资本、行政事业性国有资产、债券资金、政府采购和政府购买服务等重点领域的项目。</w:t>
      </w:r>
    </w:p>
    <w:p w:rsidR="00EB6FF2" w:rsidRDefault="0011043E">
      <w:pPr>
        <w:snapToGrid w:val="0"/>
        <w:spacing w:line="600" w:lineRule="exact"/>
        <w:ind w:firstLineChars="200" w:firstLine="643"/>
        <w:rPr>
          <w:rFonts w:eastAsia="楷体_GB2312"/>
          <w:sz w:val="32"/>
          <w:szCs w:val="32"/>
          <w:lang w:bidi="ar"/>
        </w:rPr>
      </w:pPr>
      <w:r>
        <w:rPr>
          <w:rFonts w:eastAsia="楷体_GB2312"/>
          <w:b/>
          <w:bCs/>
          <w:color w:val="000000"/>
          <w:kern w:val="0"/>
          <w:sz w:val="32"/>
          <w:szCs w:val="32"/>
          <w:shd w:val="clear" w:color="auto" w:fill="FFFFFF"/>
          <w:lang w:val="zh-CN"/>
        </w:rPr>
        <w:lastRenderedPageBreak/>
        <w:t>（四）绩效结果应用情况。</w:t>
      </w:r>
    </w:p>
    <w:p w:rsidR="00EB6FF2" w:rsidRDefault="0011043E">
      <w:pPr>
        <w:widowControl/>
        <w:spacing w:line="600" w:lineRule="exact"/>
        <w:ind w:firstLine="640"/>
        <w:rPr>
          <w:rFonts w:eastAsia="仿宋_GB2312"/>
          <w:sz w:val="32"/>
          <w:szCs w:val="32"/>
        </w:rPr>
      </w:pPr>
      <w:r>
        <w:rPr>
          <w:rFonts w:eastAsia="仿宋_GB2312"/>
          <w:sz w:val="32"/>
          <w:szCs w:val="32"/>
        </w:rPr>
        <w:t>我局将支出科室预算项目绩效目标编制情况、全年预算执行情况和年中项目预算金额调整情况纳入局机关绩效管理考评。同时，按照财政部门统一部署安排，于</w:t>
      </w:r>
      <w:r>
        <w:rPr>
          <w:rFonts w:eastAsia="仿宋_GB2312"/>
          <w:sz w:val="32"/>
          <w:szCs w:val="32"/>
        </w:rPr>
        <w:t>2024</w:t>
      </w:r>
      <w:r>
        <w:rPr>
          <w:rFonts w:eastAsia="仿宋_GB2312"/>
          <w:sz w:val="32"/>
          <w:szCs w:val="32"/>
        </w:rPr>
        <w:t>年</w:t>
      </w:r>
      <w:r>
        <w:rPr>
          <w:rFonts w:eastAsia="仿宋_GB2312"/>
          <w:sz w:val="32"/>
          <w:szCs w:val="32"/>
        </w:rPr>
        <w:t>3</w:t>
      </w:r>
      <w:r>
        <w:rPr>
          <w:rFonts w:eastAsia="仿宋_GB2312"/>
          <w:sz w:val="32"/>
          <w:szCs w:val="32"/>
        </w:rPr>
        <w:t>月随同</w:t>
      </w:r>
      <w:r>
        <w:rPr>
          <w:rFonts w:eastAsia="仿宋_GB2312"/>
          <w:sz w:val="32"/>
          <w:szCs w:val="32"/>
        </w:rPr>
        <w:t>2024</w:t>
      </w:r>
      <w:r>
        <w:rPr>
          <w:rFonts w:eastAsia="仿宋_GB2312"/>
          <w:sz w:val="32"/>
          <w:szCs w:val="32"/>
        </w:rPr>
        <w:t>年部门预算编制说明公开了部门项目绩效目标设置情况，于</w:t>
      </w:r>
      <w:r>
        <w:rPr>
          <w:rFonts w:eastAsia="仿宋_GB2312"/>
          <w:sz w:val="32"/>
          <w:szCs w:val="32"/>
        </w:rPr>
        <w:t>2023</w:t>
      </w:r>
      <w:r>
        <w:rPr>
          <w:rFonts w:eastAsia="仿宋_GB2312"/>
          <w:sz w:val="32"/>
          <w:szCs w:val="32"/>
        </w:rPr>
        <w:t>年</w:t>
      </w:r>
      <w:r>
        <w:rPr>
          <w:rFonts w:eastAsia="仿宋_GB2312"/>
          <w:sz w:val="32"/>
          <w:szCs w:val="32"/>
        </w:rPr>
        <w:t>9</w:t>
      </w:r>
      <w:r>
        <w:rPr>
          <w:rFonts w:eastAsia="仿宋_GB2312"/>
          <w:sz w:val="32"/>
          <w:szCs w:val="32"/>
        </w:rPr>
        <w:t>月随同</w:t>
      </w:r>
      <w:r>
        <w:rPr>
          <w:rFonts w:eastAsia="仿宋_GB2312"/>
          <w:sz w:val="32"/>
          <w:szCs w:val="32"/>
        </w:rPr>
        <w:t>2022</w:t>
      </w:r>
      <w:r>
        <w:rPr>
          <w:rFonts w:eastAsia="仿宋_GB2312"/>
          <w:sz w:val="32"/>
          <w:szCs w:val="32"/>
        </w:rPr>
        <w:t>年部门决算公开部门整体支出绩效自评报告和项目绩效目标管理情况，自觉接受公众监督，进一步提高财政资金管理透明度。</w:t>
      </w:r>
    </w:p>
    <w:p w:rsidR="00EB6FF2" w:rsidRDefault="0011043E">
      <w:pPr>
        <w:widowControl/>
        <w:spacing w:line="600" w:lineRule="exact"/>
        <w:ind w:firstLine="640"/>
        <w:rPr>
          <w:rFonts w:eastAsia="仿宋_GB2312"/>
          <w:sz w:val="32"/>
          <w:szCs w:val="32"/>
        </w:rPr>
      </w:pPr>
      <w:r>
        <w:rPr>
          <w:rFonts w:eastAsia="仿宋_GB2312"/>
          <w:sz w:val="32"/>
          <w:szCs w:val="32"/>
        </w:rPr>
        <w:t>市财政局通过整改落实巡察反馈的问题和意见，进一步规范了预算执行，明确各项常规支出的法定标准，将各项标准嵌入机关财务报销内控信息化系统中，实现机器和人工双重审</w:t>
      </w:r>
      <w:r>
        <w:rPr>
          <w:rFonts w:eastAsia="仿宋_GB2312"/>
          <w:sz w:val="32"/>
          <w:szCs w:val="32"/>
        </w:rPr>
        <w:t>核，确保财务审核真实客观准确。</w:t>
      </w:r>
    </w:p>
    <w:p w:rsidR="00EB6FF2" w:rsidRDefault="0011043E">
      <w:pPr>
        <w:widowControl/>
        <w:adjustRightInd w:val="0"/>
        <w:snapToGrid w:val="0"/>
        <w:spacing w:line="60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rsidR="00EB6FF2" w:rsidRDefault="0011043E">
      <w:pPr>
        <w:widowControl/>
        <w:adjustRightInd w:val="0"/>
        <w:snapToGrid w:val="0"/>
        <w:spacing w:line="60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（一）评价结论。</w:t>
      </w:r>
    </w:p>
    <w:p w:rsidR="00EB6FF2" w:rsidRDefault="0011043E">
      <w:pPr>
        <w:widowControl/>
        <w:spacing w:line="600" w:lineRule="exact"/>
        <w:ind w:firstLine="640"/>
        <w:rPr>
          <w:rFonts w:eastAsia="仿宋_GB2312"/>
          <w:sz w:val="32"/>
          <w:szCs w:val="32"/>
        </w:rPr>
      </w:pPr>
      <w:r>
        <w:rPr>
          <w:rFonts w:eastAsia="仿宋_GB2312"/>
          <w:sz w:val="32"/>
          <w:szCs w:val="32"/>
        </w:rPr>
        <w:t>2023</w:t>
      </w:r>
      <w:r>
        <w:rPr>
          <w:rFonts w:eastAsia="仿宋_GB2312"/>
          <w:sz w:val="32"/>
          <w:szCs w:val="32"/>
        </w:rPr>
        <w:t>年，我局部门整体支出绩效自查自评结果良好，全年基本支出保证了部门正常运转，项目支出保障了重点工作顺利开展。</w:t>
      </w:r>
      <w:r>
        <w:rPr>
          <w:rFonts w:eastAsia="仿宋_GB2312"/>
          <w:sz w:val="32"/>
          <w:szCs w:val="32"/>
        </w:rPr>
        <w:t>2023</w:t>
      </w:r>
      <w:r>
        <w:rPr>
          <w:rFonts w:eastAsia="仿宋_GB2312"/>
          <w:sz w:val="32"/>
          <w:szCs w:val="32"/>
        </w:rPr>
        <w:t>年在职人员在编制控制范围内，人员经费动态调整，控制较好。</w:t>
      </w:r>
      <w:r>
        <w:rPr>
          <w:rFonts w:eastAsia="仿宋_GB2312"/>
          <w:sz w:val="32"/>
          <w:szCs w:val="32"/>
        </w:rPr>
        <w:t>“</w:t>
      </w:r>
      <w:r>
        <w:rPr>
          <w:rFonts w:eastAsia="仿宋_GB2312"/>
          <w:sz w:val="32"/>
          <w:szCs w:val="32"/>
        </w:rPr>
        <w:t>三公经费</w:t>
      </w:r>
      <w:r>
        <w:rPr>
          <w:rFonts w:eastAsia="仿宋_GB2312"/>
          <w:sz w:val="32"/>
          <w:szCs w:val="32"/>
        </w:rPr>
        <w:t>”</w:t>
      </w:r>
      <w:r>
        <w:rPr>
          <w:rFonts w:eastAsia="仿宋_GB2312"/>
          <w:sz w:val="32"/>
          <w:szCs w:val="32"/>
        </w:rPr>
        <w:t>控制率</w:t>
      </w:r>
      <w:r>
        <w:rPr>
          <w:rFonts w:eastAsia="仿宋_GB2312"/>
          <w:sz w:val="32"/>
          <w:szCs w:val="32"/>
        </w:rPr>
        <w:t>75%</w:t>
      </w:r>
      <w:r>
        <w:rPr>
          <w:rFonts w:eastAsia="仿宋_GB2312"/>
          <w:sz w:val="32"/>
          <w:szCs w:val="32"/>
        </w:rPr>
        <w:t>，公务用车运行维护费经费结余</w:t>
      </w:r>
      <w:r>
        <w:rPr>
          <w:rFonts w:eastAsia="仿宋_GB2312"/>
          <w:sz w:val="32"/>
          <w:szCs w:val="32"/>
        </w:rPr>
        <w:t>0</w:t>
      </w:r>
      <w:r>
        <w:rPr>
          <w:rFonts w:eastAsia="仿宋_GB2312"/>
          <w:sz w:val="32"/>
          <w:szCs w:val="32"/>
        </w:rPr>
        <w:t>万元，公务接待费结余</w:t>
      </w:r>
      <w:r>
        <w:rPr>
          <w:rFonts w:eastAsia="仿宋_GB2312"/>
          <w:sz w:val="32"/>
          <w:szCs w:val="32"/>
        </w:rPr>
        <w:t>3.69</w:t>
      </w:r>
      <w:r>
        <w:rPr>
          <w:rFonts w:eastAsia="仿宋_GB2312"/>
          <w:sz w:val="32"/>
          <w:szCs w:val="32"/>
        </w:rPr>
        <w:t>万元，年末</w:t>
      </w:r>
      <w:r>
        <w:rPr>
          <w:rFonts w:eastAsia="仿宋_GB2312"/>
          <w:sz w:val="32"/>
          <w:szCs w:val="32"/>
        </w:rPr>
        <w:t>“</w:t>
      </w:r>
      <w:r>
        <w:rPr>
          <w:rFonts w:eastAsia="仿宋_GB2312"/>
          <w:sz w:val="32"/>
          <w:szCs w:val="32"/>
        </w:rPr>
        <w:t>三公经费</w:t>
      </w:r>
      <w:r>
        <w:rPr>
          <w:rFonts w:eastAsia="仿宋_GB2312"/>
          <w:sz w:val="32"/>
          <w:szCs w:val="32"/>
        </w:rPr>
        <w:t>”</w:t>
      </w:r>
      <w:r>
        <w:rPr>
          <w:rFonts w:eastAsia="仿宋_GB2312"/>
          <w:sz w:val="32"/>
          <w:szCs w:val="32"/>
        </w:rPr>
        <w:t>预算结余资金调剂保运转支出，控制较好。项目经费控制率超</w:t>
      </w:r>
      <w:r>
        <w:rPr>
          <w:rFonts w:eastAsia="仿宋_GB2312"/>
          <w:sz w:val="32"/>
          <w:szCs w:val="32"/>
        </w:rPr>
        <w:t>100%</w:t>
      </w:r>
      <w:r>
        <w:rPr>
          <w:rFonts w:eastAsia="仿宋_GB2312"/>
          <w:sz w:val="32"/>
          <w:szCs w:val="32"/>
        </w:rPr>
        <w:t>，政府采购率超过</w:t>
      </w:r>
      <w:r>
        <w:rPr>
          <w:rFonts w:eastAsia="仿宋_GB2312"/>
          <w:sz w:val="32"/>
          <w:szCs w:val="32"/>
        </w:rPr>
        <w:t>100%</w:t>
      </w:r>
      <w:r>
        <w:rPr>
          <w:rFonts w:eastAsia="仿宋_GB2312"/>
          <w:sz w:val="32"/>
          <w:szCs w:val="32"/>
        </w:rPr>
        <w:t>，涉密采购，零星需求履行内部采购程序，</w:t>
      </w:r>
      <w:r>
        <w:rPr>
          <w:rFonts w:eastAsia="仿宋_GB2312"/>
          <w:sz w:val="32"/>
          <w:szCs w:val="32"/>
        </w:rPr>
        <w:lastRenderedPageBreak/>
        <w:t>实现了应采尽采。我局均衡安排各个项目资金的执行进度，</w:t>
      </w:r>
      <w:r>
        <w:rPr>
          <w:rFonts w:eastAsia="仿宋_GB2312"/>
          <w:sz w:val="32"/>
          <w:szCs w:val="32"/>
        </w:rPr>
        <w:t>2023</w:t>
      </w:r>
      <w:r>
        <w:rPr>
          <w:rFonts w:eastAsia="仿宋_GB2312"/>
          <w:sz w:val="32"/>
          <w:szCs w:val="32"/>
        </w:rPr>
        <w:t>年项目预算支出全部按期完成有攀枝花考区</w:t>
      </w:r>
      <w:r>
        <w:rPr>
          <w:rFonts w:eastAsia="仿宋_GB2312"/>
          <w:sz w:val="32"/>
          <w:szCs w:val="32"/>
        </w:rPr>
        <w:t>2023</w:t>
      </w:r>
      <w:r>
        <w:rPr>
          <w:rFonts w:eastAsia="仿宋_GB2312"/>
          <w:sz w:val="32"/>
          <w:szCs w:val="32"/>
        </w:rPr>
        <w:t>年度全国会计专业技术初级、中级资格考试和注册会计师全国统一考试，路内停车罚没资产项目评估及法律尽调项目、财政投资评审经费、机关后勤物业服务（含机关二食堂）、退休人员一次性退休补贴、干部异地体检、信息系统维护费、向上争取资金工作经费、丧葬抚恤费、市级挂职干部补助、财政大平台及网络维护费项目、四川省非税收缴暨财政票据管理系统实施服务项目等。</w:t>
      </w:r>
    </w:p>
    <w:p w:rsidR="00EB6FF2" w:rsidRDefault="0011043E">
      <w:pPr>
        <w:widowControl/>
        <w:adjustRightInd w:val="0"/>
        <w:snapToGrid w:val="0"/>
        <w:spacing w:line="60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（二）存在问题。</w:t>
      </w:r>
    </w:p>
    <w:p w:rsidR="00EB6FF2" w:rsidRDefault="0011043E">
      <w:pPr>
        <w:widowControl/>
        <w:spacing w:line="600" w:lineRule="exact"/>
        <w:ind w:firstLine="640"/>
        <w:rPr>
          <w:rFonts w:eastAsia="仿宋_GB2312"/>
          <w:sz w:val="32"/>
          <w:szCs w:val="32"/>
        </w:rPr>
      </w:pPr>
      <w:r>
        <w:rPr>
          <w:rFonts w:eastAsia="仿宋_GB2312"/>
          <w:sz w:val="32"/>
          <w:szCs w:val="32"/>
        </w:rPr>
        <w:t>无。</w:t>
      </w:r>
    </w:p>
    <w:p w:rsidR="00EB6FF2" w:rsidRDefault="0011043E">
      <w:pPr>
        <w:widowControl/>
        <w:adjustRightInd w:val="0"/>
        <w:snapToGrid w:val="0"/>
        <w:spacing w:line="60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（三）改进建议。</w:t>
      </w:r>
    </w:p>
    <w:p w:rsidR="00EB6FF2" w:rsidRDefault="0011043E">
      <w:pPr>
        <w:widowControl/>
        <w:spacing w:line="600" w:lineRule="exact"/>
        <w:ind w:firstLine="640"/>
        <w:rPr>
          <w:rFonts w:eastAsia="仿宋_GB2312"/>
          <w:sz w:val="32"/>
          <w:szCs w:val="32"/>
        </w:rPr>
      </w:pPr>
      <w:r>
        <w:rPr>
          <w:rFonts w:eastAsia="仿宋_GB2312"/>
          <w:sz w:val="32"/>
          <w:szCs w:val="32"/>
        </w:rPr>
        <w:t>无。</w:t>
      </w:r>
    </w:p>
    <w:p w:rsidR="00EB6FF2" w:rsidRDefault="00EB6FF2">
      <w:pPr>
        <w:pStyle w:val="a0"/>
        <w:spacing w:before="93" w:line="600" w:lineRule="exact"/>
      </w:pPr>
    </w:p>
    <w:p w:rsidR="00EB6FF2" w:rsidRDefault="0011043E">
      <w:pPr>
        <w:pStyle w:val="22"/>
        <w:spacing w:after="0" w:line="600" w:lineRule="exact"/>
        <w:ind w:leftChars="0" w:left="0" w:firstLine="640"/>
        <w:rPr>
          <w:rFonts w:ascii="Times New Roman" w:eastAsia="仿宋_GB2312"/>
          <w:sz w:val="32"/>
          <w:lang w:val="zh-CN"/>
        </w:rPr>
      </w:pPr>
      <w:r>
        <w:rPr>
          <w:rFonts w:ascii="Times New Roman" w:eastAsia="仿宋_GB2312"/>
          <w:sz w:val="32"/>
          <w:lang w:val="zh-CN"/>
        </w:rPr>
        <w:t>附表：</w:t>
      </w:r>
      <w:r>
        <w:rPr>
          <w:rFonts w:ascii="Times New Roman" w:eastAsia="仿宋_GB2312"/>
          <w:sz w:val="32"/>
        </w:rPr>
        <w:t>部门预算项目支出绩效自评表（</w:t>
      </w:r>
      <w:r>
        <w:rPr>
          <w:rFonts w:ascii="Times New Roman" w:eastAsia="仿宋_GB2312"/>
          <w:sz w:val="32"/>
        </w:rPr>
        <w:t>2023</w:t>
      </w:r>
      <w:r>
        <w:rPr>
          <w:rFonts w:ascii="Times New Roman" w:eastAsia="仿宋_GB2312"/>
          <w:sz w:val="32"/>
        </w:rPr>
        <w:t>年度）</w:t>
      </w:r>
    </w:p>
    <w:p w:rsidR="00EB6FF2" w:rsidRDefault="00EB6FF2">
      <w:pPr>
        <w:pStyle w:val="22"/>
        <w:spacing w:line="560" w:lineRule="exact"/>
        <w:ind w:leftChars="0" w:left="0" w:firstLineChars="0" w:firstLine="0"/>
        <w:rPr>
          <w:rFonts w:ascii="Times New Roman" w:eastAsia="仿宋_GB2312"/>
          <w:sz w:val="32"/>
          <w:lang w:val="zh-CN"/>
        </w:rPr>
      </w:pPr>
    </w:p>
    <w:p w:rsidR="00EB6FF2" w:rsidRDefault="00EB6FF2">
      <w:pPr>
        <w:pStyle w:val="a0"/>
        <w:spacing w:before="93"/>
        <w:rPr>
          <w:rFonts w:ascii="Times New Roman"/>
          <w:sz w:val="32"/>
          <w:szCs w:val="32"/>
          <w:shd w:val="clear" w:color="auto" w:fill="FFFFFF"/>
          <w:lang w:val="zh-CN"/>
        </w:rPr>
      </w:pPr>
    </w:p>
    <w:p w:rsidR="00EB6FF2" w:rsidRDefault="00EB6FF2">
      <w:pPr>
        <w:pStyle w:val="a0"/>
        <w:spacing w:before="93"/>
        <w:rPr>
          <w:rFonts w:ascii="Times New Roman"/>
          <w:sz w:val="32"/>
          <w:szCs w:val="32"/>
          <w:shd w:val="clear" w:color="auto" w:fill="FFFFFF"/>
          <w:lang w:val="zh-CN"/>
        </w:rPr>
      </w:pPr>
    </w:p>
    <w:p w:rsidR="00EB6FF2" w:rsidRDefault="00EB6FF2">
      <w:pPr>
        <w:pStyle w:val="a0"/>
        <w:spacing w:before="93"/>
        <w:rPr>
          <w:rFonts w:ascii="Times New Roman"/>
          <w:sz w:val="32"/>
          <w:szCs w:val="32"/>
          <w:shd w:val="clear" w:color="auto" w:fill="FFFFFF"/>
          <w:lang w:val="zh-CN"/>
        </w:rPr>
      </w:pPr>
    </w:p>
    <w:p w:rsidR="00EB6FF2" w:rsidRDefault="00EB6FF2">
      <w:pPr>
        <w:pStyle w:val="a0"/>
        <w:spacing w:before="93"/>
        <w:rPr>
          <w:rFonts w:ascii="Times New Roman"/>
          <w:sz w:val="32"/>
          <w:szCs w:val="32"/>
          <w:shd w:val="clear" w:color="auto" w:fill="FFFFFF"/>
          <w:lang w:val="zh-CN"/>
        </w:rPr>
      </w:pPr>
    </w:p>
    <w:p w:rsidR="00EB6FF2" w:rsidRDefault="00EB6FF2">
      <w:pPr>
        <w:pStyle w:val="a0"/>
        <w:spacing w:before="93"/>
        <w:rPr>
          <w:rFonts w:ascii="Times New Roman"/>
          <w:sz w:val="32"/>
          <w:szCs w:val="32"/>
          <w:shd w:val="clear" w:color="auto" w:fill="FFFFFF"/>
          <w:lang w:val="zh-CN"/>
        </w:rPr>
      </w:pPr>
    </w:p>
    <w:p w:rsidR="00EB6FF2" w:rsidRDefault="0011043E">
      <w:pPr>
        <w:pStyle w:val="a0"/>
        <w:spacing w:before="93"/>
        <w:rPr>
          <w:rFonts w:ascii="Times New Roman" w:eastAsia="黑体"/>
          <w:sz w:val="32"/>
          <w:szCs w:val="32"/>
          <w:shd w:val="clear" w:color="auto" w:fill="FFFFFF"/>
        </w:rPr>
      </w:pPr>
      <w:r>
        <w:rPr>
          <w:rFonts w:ascii="Times New Roman" w:eastAsia="黑体"/>
          <w:sz w:val="32"/>
          <w:szCs w:val="32"/>
          <w:shd w:val="clear" w:color="auto" w:fill="FFFFFF"/>
          <w:lang w:val="zh-CN"/>
        </w:rPr>
        <w:lastRenderedPageBreak/>
        <w:t>附件</w:t>
      </w:r>
      <w:r>
        <w:rPr>
          <w:rFonts w:ascii="Times New Roman" w:eastAsia="黑体"/>
          <w:sz w:val="32"/>
          <w:szCs w:val="32"/>
          <w:shd w:val="clear" w:color="auto" w:fill="FFFFFF"/>
        </w:rPr>
        <w:t>2</w:t>
      </w:r>
    </w:p>
    <w:p w:rsidR="00EB6FF2" w:rsidRDefault="0011043E">
      <w:pPr>
        <w:pStyle w:val="af1"/>
        <w:spacing w:line="0" w:lineRule="atLeast"/>
        <w:jc w:val="center"/>
        <w:rPr>
          <w:rFonts w:ascii="Times New Roman" w:eastAsia="方正小标宋_GBK" w:hAnsi="Times New Roman"/>
          <w:sz w:val="44"/>
          <w:szCs w:val="44"/>
        </w:rPr>
      </w:pPr>
      <w:r>
        <w:rPr>
          <w:rFonts w:ascii="Times New Roman" w:eastAsia="方正小标宋_GBK" w:hAnsi="Times New Roman"/>
          <w:sz w:val="44"/>
          <w:szCs w:val="44"/>
        </w:rPr>
        <w:t>2023</w:t>
      </w:r>
      <w:r>
        <w:rPr>
          <w:rFonts w:ascii="Times New Roman" w:eastAsia="方正小标宋_GBK" w:hAnsi="Times New Roman"/>
          <w:sz w:val="44"/>
          <w:szCs w:val="44"/>
        </w:rPr>
        <w:t>年非税收缴暨财政电子化票据系统</w:t>
      </w:r>
    </w:p>
    <w:p w:rsidR="00EB6FF2" w:rsidRDefault="0011043E">
      <w:pPr>
        <w:pStyle w:val="af1"/>
        <w:spacing w:line="0" w:lineRule="atLeast"/>
        <w:jc w:val="center"/>
        <w:rPr>
          <w:rFonts w:ascii="Times New Roman" w:eastAsia="方正小标宋_GBK" w:hAnsi="Times New Roman"/>
          <w:sz w:val="44"/>
          <w:szCs w:val="44"/>
        </w:rPr>
      </w:pPr>
      <w:r>
        <w:rPr>
          <w:rFonts w:ascii="Times New Roman" w:eastAsia="方正小标宋_GBK" w:hAnsi="Times New Roman"/>
          <w:sz w:val="44"/>
          <w:szCs w:val="44"/>
        </w:rPr>
        <w:t>项目运维经费支出绩效自评报告</w:t>
      </w:r>
    </w:p>
    <w:p w:rsidR="00EB6FF2" w:rsidRDefault="00EB6FF2">
      <w:pPr>
        <w:suppressAutoHyphens/>
        <w:spacing w:line="578" w:lineRule="exact"/>
        <w:ind w:firstLine="640"/>
        <w:jc w:val="center"/>
        <w:rPr>
          <w:rFonts w:eastAsia="仿宋_GB2312"/>
          <w:sz w:val="32"/>
          <w:szCs w:val="32"/>
          <w:lang w:val="zh-CN"/>
        </w:rPr>
      </w:pPr>
    </w:p>
    <w:p w:rsidR="00EB6FF2" w:rsidRDefault="0011043E">
      <w:pPr>
        <w:suppressAutoHyphens/>
        <w:adjustRightInd w:val="0"/>
        <w:snapToGrid w:val="0"/>
        <w:spacing w:line="600" w:lineRule="exact"/>
        <w:ind w:firstLineChars="200" w:firstLine="643"/>
        <w:rPr>
          <w:rFonts w:eastAsia="黑体"/>
          <w:b/>
          <w:sz w:val="32"/>
          <w:szCs w:val="32"/>
          <w:lang w:val="zh-CN"/>
        </w:rPr>
      </w:pPr>
      <w:r>
        <w:rPr>
          <w:rFonts w:eastAsia="黑体"/>
          <w:b/>
          <w:sz w:val="32"/>
          <w:szCs w:val="32"/>
        </w:rPr>
        <w:t>一、</w:t>
      </w:r>
      <w:r>
        <w:rPr>
          <w:rFonts w:eastAsia="黑体"/>
          <w:b/>
          <w:sz w:val="32"/>
          <w:szCs w:val="32"/>
          <w:lang w:val="zh-CN"/>
        </w:rPr>
        <w:t>项目概况</w:t>
      </w:r>
    </w:p>
    <w:p w:rsidR="00EB6FF2" w:rsidRDefault="0011043E">
      <w:pPr>
        <w:adjustRightInd w:val="0"/>
        <w:snapToGrid w:val="0"/>
        <w:spacing w:line="600" w:lineRule="exact"/>
        <w:rPr>
          <w:rFonts w:eastAsia="楷体_GB2312"/>
          <w:sz w:val="32"/>
          <w:szCs w:val="32"/>
          <w:lang w:val="zh-CN"/>
        </w:rPr>
      </w:pPr>
      <w:r>
        <w:rPr>
          <w:rFonts w:eastAsia="楷体_GB2312"/>
          <w:b/>
          <w:sz w:val="32"/>
          <w:szCs w:val="32"/>
          <w:lang w:val="zh-CN"/>
        </w:rPr>
        <w:t xml:space="preserve">    </w:t>
      </w:r>
      <w:r>
        <w:rPr>
          <w:rFonts w:eastAsia="楷体_GB2312"/>
          <w:b/>
          <w:sz w:val="32"/>
          <w:szCs w:val="32"/>
          <w:lang w:val="zh-CN"/>
        </w:rPr>
        <w:t>（一）设立背景及基本情况。</w:t>
      </w:r>
    </w:p>
    <w:p w:rsidR="00EB6FF2" w:rsidRDefault="0011043E">
      <w:pPr>
        <w:adjustRightInd w:val="0"/>
        <w:snapToGrid w:val="0"/>
        <w:spacing w:line="600" w:lineRule="exact"/>
        <w:rPr>
          <w:rFonts w:eastAsia="仿宋_GB2312"/>
          <w:sz w:val="32"/>
          <w:szCs w:val="32"/>
          <w:lang w:val="zh-CN"/>
        </w:rPr>
      </w:pPr>
      <w:r>
        <w:rPr>
          <w:rFonts w:eastAsia="仿宋_GB2312"/>
          <w:sz w:val="32"/>
          <w:szCs w:val="32"/>
          <w:lang w:val="zh-CN"/>
        </w:rPr>
        <w:t xml:space="preserve">    1.</w:t>
      </w:r>
      <w:r>
        <w:rPr>
          <w:rFonts w:eastAsia="仿宋_GB2312"/>
          <w:b/>
          <w:sz w:val="32"/>
          <w:szCs w:val="32"/>
          <w:lang w:val="zh-CN"/>
        </w:rPr>
        <w:t>项目主要内容</w:t>
      </w:r>
      <w:r>
        <w:rPr>
          <w:rFonts w:eastAsia="仿宋_GB2312"/>
          <w:sz w:val="32"/>
          <w:szCs w:val="32"/>
          <w:lang w:val="zh-CN"/>
        </w:rPr>
        <w:t>：按照中央、省级的统一部署要求，全面使用非税收缴暨财政电子票据系统，主要达到财政票据电子化全覆盖，减少原财政纸质票据使用，并通过该系统实现非税收入的电子化征缴和对账工作，方便缴款人直接通过电子化收缴流程实现网上便捷缴款。该系统运维期间由软件公司派出专业技术人员进行驻点运维，主要保障系统的正常运行，并及时解决和处理相关系统问题。</w:t>
      </w:r>
    </w:p>
    <w:p w:rsidR="00EB6FF2" w:rsidRDefault="0011043E">
      <w:pPr>
        <w:adjustRightInd w:val="0"/>
        <w:snapToGrid w:val="0"/>
        <w:spacing w:line="600" w:lineRule="exact"/>
        <w:rPr>
          <w:rFonts w:eastAsia="仿宋_GB2312"/>
          <w:sz w:val="32"/>
          <w:szCs w:val="32"/>
          <w:lang w:val="zh-CN"/>
        </w:rPr>
      </w:pPr>
      <w:r>
        <w:rPr>
          <w:rFonts w:eastAsia="仿宋_GB2312" w:hint="eastAsia"/>
          <w:sz w:val="32"/>
          <w:szCs w:val="32"/>
          <w:lang w:val="zh-CN"/>
        </w:rPr>
        <w:t xml:space="preserve">    </w:t>
      </w:r>
      <w:r>
        <w:rPr>
          <w:rFonts w:eastAsia="仿宋_GB2312"/>
          <w:sz w:val="32"/>
          <w:szCs w:val="32"/>
          <w:lang w:val="zh-CN"/>
        </w:rPr>
        <w:t>2.</w:t>
      </w:r>
      <w:r>
        <w:rPr>
          <w:rFonts w:eastAsia="仿宋_GB2312"/>
          <w:b/>
          <w:sz w:val="32"/>
          <w:szCs w:val="32"/>
          <w:lang w:val="zh-CN"/>
        </w:rPr>
        <w:t>资金申报依据</w:t>
      </w:r>
      <w:r>
        <w:rPr>
          <w:rFonts w:eastAsia="仿宋_GB2312"/>
          <w:sz w:val="32"/>
          <w:szCs w:val="32"/>
          <w:lang w:val="zh-CN"/>
        </w:rPr>
        <w:t>：按照签订《攀枝花市财政电子票据管理系统软件实施服务合同》的相关约定需支付每年度运营维护费</w:t>
      </w:r>
      <w:r>
        <w:rPr>
          <w:rFonts w:eastAsia="仿宋_GB2312"/>
          <w:sz w:val="32"/>
          <w:szCs w:val="32"/>
          <w:lang w:val="zh-CN"/>
        </w:rPr>
        <w:t>20</w:t>
      </w:r>
      <w:r>
        <w:rPr>
          <w:rFonts w:eastAsia="仿宋_GB2312"/>
          <w:sz w:val="32"/>
          <w:szCs w:val="32"/>
          <w:lang w:val="zh-CN"/>
        </w:rPr>
        <w:t>万元。</w:t>
      </w:r>
    </w:p>
    <w:p w:rsidR="00EB6FF2" w:rsidRDefault="0011043E">
      <w:pPr>
        <w:adjustRightInd w:val="0"/>
        <w:snapToGrid w:val="0"/>
        <w:spacing w:line="600" w:lineRule="exact"/>
        <w:rPr>
          <w:rFonts w:eastAsia="仿宋_GB2312"/>
          <w:sz w:val="32"/>
          <w:szCs w:val="32"/>
          <w:lang w:val="zh-CN"/>
        </w:rPr>
      </w:pPr>
      <w:r>
        <w:rPr>
          <w:rFonts w:eastAsia="仿宋_GB2312" w:hint="eastAsia"/>
          <w:sz w:val="32"/>
          <w:szCs w:val="32"/>
          <w:lang w:val="zh-CN"/>
        </w:rPr>
        <w:t xml:space="preserve">    </w:t>
      </w:r>
      <w:r>
        <w:rPr>
          <w:rFonts w:eastAsia="仿宋_GB2312"/>
          <w:sz w:val="32"/>
          <w:szCs w:val="32"/>
          <w:lang w:val="zh-CN"/>
        </w:rPr>
        <w:t>3.</w:t>
      </w:r>
      <w:r>
        <w:rPr>
          <w:rFonts w:eastAsia="仿宋_GB2312"/>
          <w:b/>
          <w:sz w:val="32"/>
          <w:szCs w:val="32"/>
          <w:lang w:val="zh-CN"/>
        </w:rPr>
        <w:t>主管部门职能</w:t>
      </w:r>
      <w:r>
        <w:rPr>
          <w:rFonts w:eastAsia="仿宋_GB2312"/>
          <w:sz w:val="32"/>
          <w:szCs w:val="32"/>
          <w:lang w:val="zh-CN"/>
        </w:rPr>
        <w:t>：负责监督系统的平稳运行，评价运维工作的及时性和有效性。</w:t>
      </w:r>
    </w:p>
    <w:p w:rsidR="00EB6FF2" w:rsidRDefault="0011043E">
      <w:pPr>
        <w:suppressAutoHyphens/>
        <w:adjustRightInd w:val="0"/>
        <w:snapToGrid w:val="0"/>
        <w:spacing w:line="600" w:lineRule="exact"/>
        <w:rPr>
          <w:rFonts w:eastAsia="楷体_GB2312"/>
          <w:b/>
          <w:sz w:val="32"/>
          <w:szCs w:val="32"/>
        </w:rPr>
      </w:pPr>
      <w:r>
        <w:rPr>
          <w:rFonts w:eastAsia="楷体_GB2312"/>
          <w:b/>
          <w:sz w:val="32"/>
          <w:szCs w:val="32"/>
          <w:lang w:val="zh-CN"/>
        </w:rPr>
        <w:t xml:space="preserve">    </w:t>
      </w:r>
      <w:r>
        <w:rPr>
          <w:rFonts w:eastAsia="楷体_GB2312"/>
          <w:b/>
          <w:sz w:val="32"/>
          <w:szCs w:val="32"/>
          <w:lang w:val="zh-CN"/>
        </w:rPr>
        <w:t>（二）</w:t>
      </w:r>
      <w:r>
        <w:rPr>
          <w:rFonts w:eastAsia="楷体_GB2312"/>
          <w:b/>
          <w:sz w:val="32"/>
          <w:szCs w:val="32"/>
        </w:rPr>
        <w:t>实施目的及支持方向。</w:t>
      </w:r>
    </w:p>
    <w:p w:rsidR="00EB6FF2" w:rsidRDefault="0011043E">
      <w:pPr>
        <w:suppressAutoHyphens/>
        <w:adjustRightInd w:val="0"/>
        <w:snapToGrid w:val="0"/>
        <w:spacing w:line="600" w:lineRule="exact"/>
        <w:ind w:firstLineChars="200" w:firstLine="643"/>
        <w:rPr>
          <w:rFonts w:eastAsia="仿宋_GB2312"/>
          <w:sz w:val="32"/>
          <w:szCs w:val="32"/>
          <w:lang w:val="zh-CN"/>
        </w:rPr>
      </w:pPr>
      <w:r>
        <w:rPr>
          <w:rFonts w:eastAsia="仿宋_GB2312"/>
          <w:b/>
          <w:sz w:val="32"/>
          <w:szCs w:val="32"/>
        </w:rPr>
        <w:t>1.</w:t>
      </w:r>
      <w:r>
        <w:rPr>
          <w:rFonts w:eastAsia="仿宋_GB2312"/>
          <w:b/>
          <w:sz w:val="32"/>
          <w:szCs w:val="32"/>
        </w:rPr>
        <w:t>实施的主要目的：</w:t>
      </w:r>
      <w:r>
        <w:rPr>
          <w:rFonts w:eastAsia="仿宋_GB2312"/>
          <w:sz w:val="32"/>
          <w:szCs w:val="32"/>
          <w:lang w:val="zh-CN"/>
        </w:rPr>
        <w:t>做好全市用票单位的系统维保工作，全</w:t>
      </w:r>
      <w:r>
        <w:rPr>
          <w:rFonts w:eastAsia="仿宋_GB2312"/>
          <w:sz w:val="32"/>
          <w:szCs w:val="32"/>
          <w:lang w:val="zh-CN"/>
        </w:rPr>
        <w:lastRenderedPageBreak/>
        <w:t>天候及时处置各单位系统故障和相关问题，方便缴款人通过电子化流程进行线上缴款，保障非税收入的及时上缴和减少纸质票据使用。</w:t>
      </w:r>
    </w:p>
    <w:p w:rsidR="00EB6FF2" w:rsidRDefault="0011043E">
      <w:pPr>
        <w:suppressAutoHyphens/>
        <w:adjustRightInd w:val="0"/>
        <w:snapToGrid w:val="0"/>
        <w:spacing w:line="600" w:lineRule="exact"/>
        <w:ind w:firstLineChars="200" w:firstLine="640"/>
        <w:rPr>
          <w:rFonts w:eastAsia="仿宋_GB2312"/>
          <w:sz w:val="32"/>
          <w:szCs w:val="32"/>
          <w:lang w:val="zh-CN"/>
        </w:rPr>
      </w:pPr>
      <w:r>
        <w:rPr>
          <w:rFonts w:eastAsia="仿宋_GB2312"/>
          <w:sz w:val="32"/>
          <w:szCs w:val="32"/>
          <w:lang w:val="zh-CN"/>
        </w:rPr>
        <w:t>2.</w:t>
      </w:r>
      <w:r>
        <w:rPr>
          <w:rFonts w:eastAsia="仿宋_GB2312"/>
          <w:b/>
          <w:sz w:val="32"/>
          <w:szCs w:val="32"/>
          <w:lang w:val="zh-CN"/>
        </w:rPr>
        <w:t>项目支持方向</w:t>
      </w:r>
      <w:r>
        <w:rPr>
          <w:rFonts w:eastAsia="仿宋_GB2312"/>
          <w:sz w:val="32"/>
          <w:szCs w:val="32"/>
          <w:lang w:val="zh-CN"/>
        </w:rPr>
        <w:t>：支持全市电子票据系统的运维工作，保障电子票据系统的安全平稳运行。确保全市用票单位的正常使用。</w:t>
      </w:r>
    </w:p>
    <w:p w:rsidR="00EB6FF2" w:rsidRDefault="0011043E">
      <w:pPr>
        <w:adjustRightInd w:val="0"/>
        <w:snapToGrid w:val="0"/>
        <w:spacing w:line="600" w:lineRule="exact"/>
        <w:rPr>
          <w:rFonts w:eastAsia="仿宋_GB2312"/>
          <w:sz w:val="32"/>
          <w:szCs w:val="32"/>
          <w:lang w:val="zh-CN"/>
        </w:rPr>
      </w:pPr>
      <w:r>
        <w:rPr>
          <w:rFonts w:eastAsia="楷体_GB2312" w:hint="eastAsia"/>
          <w:b/>
          <w:sz w:val="32"/>
          <w:szCs w:val="32"/>
          <w:lang w:val="zh-CN"/>
        </w:rPr>
        <w:t xml:space="preserve">   </w:t>
      </w:r>
      <w:r>
        <w:rPr>
          <w:rFonts w:eastAsia="楷体_GB2312" w:hint="eastAsia"/>
          <w:b/>
          <w:sz w:val="32"/>
          <w:szCs w:val="32"/>
          <w:lang w:val="zh-CN"/>
        </w:rPr>
        <w:t xml:space="preserve"> </w:t>
      </w:r>
      <w:r>
        <w:rPr>
          <w:rFonts w:eastAsia="楷体_GB2312"/>
          <w:b/>
          <w:sz w:val="32"/>
          <w:szCs w:val="32"/>
          <w:lang w:val="zh-CN"/>
        </w:rPr>
        <w:t>（三）</w:t>
      </w:r>
      <w:r>
        <w:rPr>
          <w:rFonts w:eastAsia="楷体_GB2312"/>
          <w:b/>
          <w:sz w:val="32"/>
          <w:szCs w:val="32"/>
        </w:rPr>
        <w:t>预算安排及分配管理</w:t>
      </w:r>
      <w:r>
        <w:rPr>
          <w:rFonts w:eastAsia="楷体_GB2312"/>
          <w:b/>
          <w:sz w:val="32"/>
          <w:szCs w:val="32"/>
          <w:lang w:val="zh-CN"/>
        </w:rPr>
        <w:t>。</w:t>
      </w:r>
      <w:r>
        <w:rPr>
          <w:rFonts w:eastAsia="仿宋_GB2312"/>
          <w:sz w:val="32"/>
          <w:szCs w:val="32"/>
          <w:lang w:val="zh-CN"/>
        </w:rPr>
        <w:t>2023</w:t>
      </w:r>
      <w:r>
        <w:rPr>
          <w:rFonts w:eastAsia="仿宋_GB2312"/>
          <w:sz w:val="32"/>
          <w:szCs w:val="32"/>
          <w:lang w:val="zh-CN"/>
        </w:rPr>
        <w:t>年年初预算安排支付系统运维费</w:t>
      </w:r>
      <w:r>
        <w:rPr>
          <w:rFonts w:eastAsia="仿宋_GB2312"/>
          <w:sz w:val="32"/>
          <w:szCs w:val="32"/>
          <w:lang w:val="zh-CN"/>
        </w:rPr>
        <w:t>20</w:t>
      </w:r>
      <w:r>
        <w:rPr>
          <w:rFonts w:eastAsia="仿宋_GB2312"/>
          <w:sz w:val="32"/>
          <w:szCs w:val="32"/>
          <w:lang w:val="zh-CN"/>
        </w:rPr>
        <w:t>万元。全部为市级财政资金。资金到位及时，资金到位率</w:t>
      </w:r>
      <w:r>
        <w:rPr>
          <w:rFonts w:eastAsia="仿宋_GB2312"/>
          <w:sz w:val="32"/>
          <w:szCs w:val="32"/>
          <w:lang w:val="zh-CN"/>
        </w:rPr>
        <w:t>100%</w:t>
      </w:r>
      <w:r>
        <w:rPr>
          <w:rFonts w:eastAsia="仿宋_GB2312"/>
          <w:sz w:val="32"/>
          <w:szCs w:val="32"/>
          <w:lang w:val="zh-CN"/>
        </w:rPr>
        <w:t>。实际支出系统运维费</w:t>
      </w:r>
      <w:r>
        <w:rPr>
          <w:rFonts w:eastAsia="仿宋_GB2312"/>
          <w:sz w:val="32"/>
          <w:szCs w:val="32"/>
          <w:lang w:val="zh-CN"/>
        </w:rPr>
        <w:t>20</w:t>
      </w:r>
      <w:r>
        <w:rPr>
          <w:rFonts w:eastAsia="仿宋_GB2312"/>
          <w:sz w:val="32"/>
          <w:szCs w:val="32"/>
          <w:lang w:val="zh-CN"/>
        </w:rPr>
        <w:t>万元，全部用于系统年度运营维护。以上资金支付依据合规合法，资金支付与预算相符，不存在无预算超预算支出的情况。</w:t>
      </w:r>
    </w:p>
    <w:p w:rsidR="00EB6FF2" w:rsidRDefault="0011043E">
      <w:pPr>
        <w:suppressAutoHyphens/>
        <w:adjustRightInd w:val="0"/>
        <w:snapToGrid w:val="0"/>
        <w:spacing w:line="600" w:lineRule="exact"/>
        <w:ind w:firstLineChars="200" w:firstLine="643"/>
        <w:rPr>
          <w:rFonts w:eastAsia="仿宋_GB2312"/>
          <w:kern w:val="0"/>
          <w:sz w:val="32"/>
          <w:szCs w:val="32"/>
          <w:lang w:val="zh-CN"/>
        </w:rPr>
      </w:pPr>
      <w:r>
        <w:rPr>
          <w:rFonts w:eastAsia="楷体_GB2312"/>
          <w:b/>
          <w:sz w:val="32"/>
          <w:szCs w:val="32"/>
          <w:lang w:val="zh-CN"/>
        </w:rPr>
        <w:t>（四）项目绩效目标设置。</w:t>
      </w:r>
      <w:r>
        <w:rPr>
          <w:rFonts w:eastAsia="仿宋_GB2312"/>
          <w:kern w:val="0"/>
          <w:sz w:val="32"/>
          <w:szCs w:val="32"/>
          <w:lang w:val="zh-CN"/>
        </w:rPr>
        <w:t>根据电子票据系统的运行特点和方式，设置了产出、成本、效益和满意度等绩效指标，并对每项绩效指标进行细化分级，在每年末开展相关绩效目标的自评工作，经自评相关绩效指标均以达到预期目标。</w:t>
      </w:r>
    </w:p>
    <w:p w:rsidR="00EB6FF2" w:rsidRDefault="0011043E">
      <w:pPr>
        <w:suppressAutoHyphens/>
        <w:adjustRightInd w:val="0"/>
        <w:snapToGrid w:val="0"/>
        <w:spacing w:line="600" w:lineRule="exact"/>
        <w:ind w:firstLineChars="200" w:firstLine="643"/>
        <w:rPr>
          <w:rFonts w:eastAsia="黑体"/>
          <w:b/>
          <w:sz w:val="32"/>
          <w:szCs w:val="32"/>
        </w:rPr>
      </w:pPr>
      <w:r>
        <w:rPr>
          <w:rFonts w:eastAsia="黑体"/>
          <w:b/>
          <w:sz w:val="32"/>
          <w:szCs w:val="32"/>
        </w:rPr>
        <w:t>二、评价实施</w:t>
      </w:r>
    </w:p>
    <w:p w:rsidR="00EB6FF2" w:rsidRDefault="0011043E">
      <w:pPr>
        <w:suppressAutoHyphens/>
        <w:spacing w:line="600" w:lineRule="exact"/>
        <w:rPr>
          <w:rFonts w:eastAsia="仿宋_GB2312"/>
          <w:kern w:val="0"/>
          <w:sz w:val="32"/>
          <w:szCs w:val="32"/>
          <w:lang w:val="zh-CN"/>
        </w:rPr>
      </w:pPr>
      <w:r>
        <w:rPr>
          <w:rFonts w:eastAsia="楷体_GB2312"/>
          <w:b/>
          <w:sz w:val="32"/>
          <w:szCs w:val="32"/>
          <w:lang w:val="zh-CN"/>
        </w:rPr>
        <w:t xml:space="preserve">    </w:t>
      </w:r>
      <w:r>
        <w:rPr>
          <w:rFonts w:eastAsia="楷体_GB2312"/>
          <w:b/>
          <w:sz w:val="32"/>
          <w:szCs w:val="32"/>
          <w:lang w:val="zh-CN"/>
        </w:rPr>
        <w:t>（一）评价目的。</w:t>
      </w:r>
      <w:r>
        <w:rPr>
          <w:rFonts w:eastAsia="仿宋_GB2312"/>
          <w:color w:val="333333"/>
          <w:spacing w:val="8"/>
          <w:sz w:val="32"/>
          <w:szCs w:val="32"/>
          <w:shd w:val="clear" w:color="auto" w:fill="FFFFFF"/>
        </w:rPr>
        <w:t>通过电子票</w:t>
      </w:r>
      <w:r>
        <w:rPr>
          <w:rFonts w:eastAsia="仿宋_GB2312"/>
          <w:color w:val="333333"/>
          <w:spacing w:val="8"/>
          <w:sz w:val="32"/>
          <w:szCs w:val="32"/>
          <w:shd w:val="clear" w:color="auto" w:fill="FFFFFF"/>
        </w:rPr>
        <w:t>据系统财政部门可以实时监控</w:t>
      </w:r>
      <w:r>
        <w:rPr>
          <w:rFonts w:eastAsia="仿宋_GB2312" w:hint="eastAsia"/>
          <w:color w:val="333333"/>
          <w:spacing w:val="8"/>
          <w:sz w:val="32"/>
          <w:szCs w:val="32"/>
          <w:shd w:val="clear" w:color="auto" w:fill="FFFFFF"/>
        </w:rPr>
        <w:t>单</w:t>
      </w:r>
      <w:r>
        <w:rPr>
          <w:rFonts w:eastAsia="仿宋_GB2312"/>
          <w:color w:val="333333"/>
          <w:spacing w:val="8"/>
          <w:sz w:val="32"/>
          <w:szCs w:val="32"/>
          <w:shd w:val="clear" w:color="auto" w:fill="FFFFFF"/>
        </w:rPr>
        <w:t>位财政票据开具情况，实现电子票据全流程可控，将事后检查变为事前控制和事中监督，显著提升财政部门财政票据管理水平和财政票据监管效率</w:t>
      </w:r>
      <w:r>
        <w:rPr>
          <w:rFonts w:eastAsia="仿宋_GB2312"/>
          <w:kern w:val="0"/>
          <w:sz w:val="32"/>
          <w:szCs w:val="32"/>
          <w:lang w:val="zh-CN"/>
        </w:rPr>
        <w:t>。</w:t>
      </w:r>
    </w:p>
    <w:p w:rsidR="00EB6FF2" w:rsidRDefault="0011043E">
      <w:pPr>
        <w:adjustRightInd w:val="0"/>
        <w:snapToGrid w:val="0"/>
        <w:spacing w:line="600" w:lineRule="exact"/>
        <w:rPr>
          <w:rFonts w:eastAsia="仿宋_GB2312"/>
          <w:sz w:val="32"/>
          <w:szCs w:val="32"/>
          <w:lang w:val="zh-CN"/>
        </w:rPr>
      </w:pPr>
      <w:r>
        <w:rPr>
          <w:rFonts w:eastAsia="楷体_GB2312"/>
          <w:b/>
          <w:sz w:val="32"/>
          <w:szCs w:val="32"/>
          <w:lang w:val="zh-CN"/>
        </w:rPr>
        <w:t xml:space="preserve">    </w:t>
      </w:r>
      <w:r>
        <w:rPr>
          <w:rFonts w:eastAsia="楷体_GB2312"/>
          <w:b/>
          <w:sz w:val="32"/>
          <w:szCs w:val="32"/>
          <w:lang w:val="zh-CN"/>
        </w:rPr>
        <w:t>（二）预设问题及评价重点。</w:t>
      </w:r>
      <w:r>
        <w:rPr>
          <w:rFonts w:eastAsia="仿宋_GB2312"/>
          <w:sz w:val="32"/>
          <w:szCs w:val="32"/>
          <w:lang w:val="zh-CN"/>
        </w:rPr>
        <w:t>本项目通过维保单位数量，系统的正常稳定运行，群众便捷缴款和单位满意度等支出绩效指标</w:t>
      </w:r>
      <w:r>
        <w:rPr>
          <w:rFonts w:eastAsia="仿宋_GB2312"/>
          <w:sz w:val="32"/>
          <w:szCs w:val="32"/>
          <w:lang w:val="zh-CN"/>
        </w:rPr>
        <w:lastRenderedPageBreak/>
        <w:t>进行评价，完成率</w:t>
      </w:r>
      <w:r>
        <w:rPr>
          <w:rFonts w:eastAsia="仿宋_GB2312"/>
          <w:sz w:val="32"/>
          <w:szCs w:val="32"/>
          <w:lang w:val="zh-CN"/>
        </w:rPr>
        <w:t>100%</w:t>
      </w:r>
      <w:r>
        <w:rPr>
          <w:rFonts w:eastAsia="仿宋_GB2312"/>
          <w:sz w:val="32"/>
          <w:szCs w:val="32"/>
          <w:lang w:val="zh-CN"/>
        </w:rPr>
        <w:t>，</w:t>
      </w:r>
      <w:r>
        <w:rPr>
          <w:rFonts w:eastAsia="仿宋_GB2312"/>
          <w:sz w:val="32"/>
          <w:szCs w:val="32"/>
          <w:lang w:val="zh-CN"/>
        </w:rPr>
        <w:t>2023</w:t>
      </w:r>
      <w:r>
        <w:rPr>
          <w:rFonts w:eastAsia="仿宋_GB2312"/>
          <w:sz w:val="32"/>
          <w:szCs w:val="32"/>
          <w:lang w:val="zh-CN"/>
        </w:rPr>
        <w:t>年支付电子票据系统运维费</w:t>
      </w:r>
      <w:r>
        <w:rPr>
          <w:rFonts w:eastAsia="仿宋_GB2312"/>
          <w:sz w:val="32"/>
          <w:szCs w:val="32"/>
          <w:lang w:val="zh-CN"/>
        </w:rPr>
        <w:t>20</w:t>
      </w:r>
      <w:r>
        <w:rPr>
          <w:rFonts w:eastAsia="仿宋_GB2312"/>
          <w:sz w:val="32"/>
          <w:szCs w:val="32"/>
          <w:lang w:val="zh-CN"/>
        </w:rPr>
        <w:t>万元，资金全部用于系统日常运营维护保障方面。相关费用按照签订《攀枝花市财政电子票据管理系统软件实施服务合同》的相关约定进行支付，成本控制较好，项目无资金结余。</w:t>
      </w:r>
    </w:p>
    <w:p w:rsidR="00EB6FF2" w:rsidRDefault="0011043E">
      <w:pPr>
        <w:suppressAutoHyphens/>
        <w:adjustRightInd w:val="0"/>
        <w:snapToGrid w:val="0"/>
        <w:spacing w:line="600" w:lineRule="exact"/>
        <w:ind w:firstLineChars="200" w:firstLine="643"/>
        <w:rPr>
          <w:rFonts w:eastAsia="仿宋_GB2312"/>
          <w:kern w:val="0"/>
          <w:sz w:val="32"/>
          <w:szCs w:val="32"/>
          <w:lang w:val="zh-CN"/>
        </w:rPr>
      </w:pPr>
      <w:r>
        <w:rPr>
          <w:rFonts w:eastAsia="楷体_GB2312"/>
          <w:b/>
          <w:sz w:val="32"/>
          <w:szCs w:val="32"/>
          <w:lang w:val="zh-CN"/>
        </w:rPr>
        <w:t>（三）评价选点。</w:t>
      </w:r>
      <w:r>
        <w:rPr>
          <w:rFonts w:eastAsia="仿宋_GB2312"/>
          <w:sz w:val="32"/>
          <w:szCs w:val="32"/>
          <w:lang w:val="zh-CN"/>
        </w:rPr>
        <w:t>市财政局非税科</w:t>
      </w:r>
      <w:r>
        <w:rPr>
          <w:rFonts w:eastAsia="仿宋_GB2312"/>
          <w:kern w:val="0"/>
          <w:sz w:val="32"/>
          <w:szCs w:val="32"/>
          <w:lang w:val="zh-CN"/>
        </w:rPr>
        <w:t>按照</w:t>
      </w:r>
      <w:r>
        <w:rPr>
          <w:rFonts w:eastAsia="仿宋_GB2312"/>
          <w:kern w:val="0"/>
          <w:sz w:val="32"/>
          <w:szCs w:val="32"/>
          <w:lang w:val="zh-CN"/>
        </w:rPr>
        <w:t>“</w:t>
      </w:r>
      <w:r>
        <w:rPr>
          <w:rFonts w:eastAsia="仿宋_GB2312"/>
          <w:kern w:val="0"/>
          <w:sz w:val="32"/>
          <w:szCs w:val="32"/>
          <w:lang w:val="zh-CN"/>
        </w:rPr>
        <w:t>双随机</w:t>
      </w:r>
      <w:r>
        <w:rPr>
          <w:rFonts w:eastAsia="仿宋_GB2312"/>
          <w:kern w:val="0"/>
          <w:sz w:val="32"/>
          <w:szCs w:val="32"/>
          <w:lang w:val="zh-CN"/>
        </w:rPr>
        <w:t>”</w:t>
      </w:r>
      <w:r>
        <w:rPr>
          <w:rFonts w:eastAsia="仿宋_GB2312"/>
          <w:kern w:val="0"/>
          <w:sz w:val="32"/>
          <w:szCs w:val="32"/>
          <w:lang w:val="zh-CN"/>
        </w:rPr>
        <w:t>要求，每年随机选取市级</w:t>
      </w:r>
      <w:r>
        <w:rPr>
          <w:rFonts w:eastAsia="仿宋_GB2312"/>
          <w:kern w:val="0"/>
          <w:sz w:val="32"/>
          <w:szCs w:val="32"/>
          <w:lang w:val="zh-CN"/>
        </w:rPr>
        <w:t>15</w:t>
      </w:r>
      <w:r>
        <w:rPr>
          <w:rFonts w:eastAsia="仿宋_GB2312"/>
          <w:kern w:val="0"/>
          <w:sz w:val="32"/>
          <w:szCs w:val="32"/>
          <w:lang w:val="zh-CN"/>
        </w:rPr>
        <w:t>个单位和一个县区进行电子票据监督、管理和使用的实地检查。</w:t>
      </w:r>
    </w:p>
    <w:p w:rsidR="00EB6FF2" w:rsidRDefault="0011043E">
      <w:pPr>
        <w:suppressAutoHyphens/>
        <w:adjustRightInd w:val="0"/>
        <w:snapToGrid w:val="0"/>
        <w:spacing w:line="600" w:lineRule="exact"/>
        <w:ind w:firstLineChars="200" w:firstLine="643"/>
        <w:rPr>
          <w:rFonts w:eastAsia="仿宋_GB2312"/>
          <w:kern w:val="0"/>
          <w:sz w:val="32"/>
          <w:szCs w:val="32"/>
          <w:lang w:val="zh-CN"/>
        </w:rPr>
      </w:pPr>
      <w:r>
        <w:rPr>
          <w:rFonts w:eastAsia="楷体_GB2312"/>
          <w:b/>
          <w:sz w:val="32"/>
          <w:szCs w:val="32"/>
          <w:lang w:val="zh-CN"/>
        </w:rPr>
        <w:t>（四）评价方法。</w:t>
      </w:r>
      <w:r>
        <w:rPr>
          <w:rFonts w:eastAsia="仿宋_GB2312"/>
          <w:sz w:val="32"/>
          <w:szCs w:val="32"/>
          <w:lang w:val="zh-CN"/>
        </w:rPr>
        <w:t>市财政局非税科</w:t>
      </w:r>
      <w:r>
        <w:rPr>
          <w:rFonts w:eastAsia="仿宋_GB2312"/>
          <w:kern w:val="0"/>
          <w:sz w:val="32"/>
          <w:szCs w:val="32"/>
          <w:lang w:val="zh-CN"/>
        </w:rPr>
        <w:t>通过电子票据系统实时监控市级用票单位的票据开具情况，</w:t>
      </w:r>
      <w:r>
        <w:rPr>
          <w:rFonts w:eastAsia="仿宋_GB2312"/>
          <w:color w:val="333333"/>
          <w:spacing w:val="8"/>
          <w:sz w:val="32"/>
          <w:szCs w:val="32"/>
          <w:shd w:val="clear" w:color="auto" w:fill="FFFFFF"/>
        </w:rPr>
        <w:t>实现电子票据全流程可控，将事后检查变为事前控制和事中监督，每年随机选取</w:t>
      </w:r>
      <w:r>
        <w:rPr>
          <w:rFonts w:eastAsia="仿宋_GB2312"/>
          <w:kern w:val="0"/>
          <w:sz w:val="32"/>
          <w:szCs w:val="32"/>
          <w:lang w:val="zh-CN"/>
        </w:rPr>
        <w:t>15</w:t>
      </w:r>
      <w:r>
        <w:rPr>
          <w:rFonts w:eastAsia="仿宋_GB2312"/>
          <w:kern w:val="0"/>
          <w:sz w:val="32"/>
          <w:szCs w:val="32"/>
          <w:lang w:val="zh-CN"/>
        </w:rPr>
        <w:t>个单位和一个县区进行电子票据监督、管理和使用的实地检查。</w:t>
      </w:r>
    </w:p>
    <w:p w:rsidR="00EB6FF2" w:rsidRDefault="0011043E">
      <w:pPr>
        <w:suppressAutoHyphens/>
        <w:spacing w:line="600" w:lineRule="exact"/>
        <w:ind w:firstLine="640"/>
        <w:rPr>
          <w:rFonts w:eastAsia="仿宋_GB2312"/>
          <w:bCs/>
          <w:sz w:val="32"/>
          <w:szCs w:val="32"/>
        </w:rPr>
      </w:pPr>
      <w:r>
        <w:rPr>
          <w:rFonts w:eastAsia="楷体_GB2312"/>
          <w:b/>
          <w:sz w:val="32"/>
          <w:szCs w:val="32"/>
          <w:lang w:val="zh-CN"/>
        </w:rPr>
        <w:t>（五）评价组织。</w:t>
      </w:r>
      <w:r>
        <w:rPr>
          <w:rFonts w:eastAsia="仿宋_GB2312"/>
          <w:kern w:val="0"/>
          <w:sz w:val="32"/>
          <w:szCs w:val="32"/>
          <w:lang w:val="zh-CN"/>
        </w:rPr>
        <w:t>评价组由非税科相关人员组成，主要负责监控单位电子票据使用和管理，确保电子化非税收缴的</w:t>
      </w:r>
      <w:r>
        <w:rPr>
          <w:rFonts w:eastAsia="仿宋_GB2312"/>
          <w:kern w:val="0"/>
          <w:sz w:val="32"/>
          <w:szCs w:val="32"/>
          <w:lang w:val="zh-CN"/>
        </w:rPr>
        <w:t>“</w:t>
      </w:r>
      <w:r>
        <w:rPr>
          <w:rFonts w:eastAsia="仿宋_GB2312"/>
          <w:kern w:val="0"/>
          <w:sz w:val="32"/>
          <w:szCs w:val="32"/>
          <w:lang w:val="zh-CN"/>
        </w:rPr>
        <w:t>应收尽收</w:t>
      </w:r>
      <w:r>
        <w:rPr>
          <w:rFonts w:eastAsia="仿宋_GB2312"/>
          <w:kern w:val="0"/>
          <w:sz w:val="32"/>
          <w:szCs w:val="32"/>
          <w:lang w:val="zh-CN"/>
        </w:rPr>
        <w:t>”</w:t>
      </w:r>
      <w:r>
        <w:rPr>
          <w:rFonts w:eastAsia="仿宋_GB2312"/>
          <w:kern w:val="0"/>
          <w:sz w:val="32"/>
          <w:szCs w:val="32"/>
          <w:lang w:val="zh-CN"/>
        </w:rPr>
        <w:t>。</w:t>
      </w:r>
    </w:p>
    <w:p w:rsidR="00EB6FF2" w:rsidRDefault="0011043E">
      <w:pPr>
        <w:suppressAutoHyphens/>
        <w:adjustRightInd w:val="0"/>
        <w:snapToGrid w:val="0"/>
        <w:spacing w:line="600" w:lineRule="exact"/>
        <w:ind w:firstLineChars="98" w:firstLine="315"/>
        <w:rPr>
          <w:rFonts w:eastAsia="黑体"/>
          <w:b/>
          <w:sz w:val="32"/>
          <w:szCs w:val="32"/>
          <w:lang w:val="zh-CN"/>
        </w:rPr>
      </w:pPr>
      <w:r>
        <w:rPr>
          <w:rFonts w:eastAsia="黑体"/>
          <w:b/>
          <w:sz w:val="32"/>
          <w:szCs w:val="32"/>
        </w:rPr>
        <w:t xml:space="preserve">  </w:t>
      </w:r>
      <w:r>
        <w:rPr>
          <w:rFonts w:eastAsia="黑体"/>
          <w:b/>
          <w:sz w:val="32"/>
          <w:szCs w:val="32"/>
        </w:rPr>
        <w:t>三、绩效分析</w:t>
      </w:r>
      <w:r>
        <w:rPr>
          <w:rFonts w:eastAsia="黑体"/>
          <w:b/>
          <w:sz w:val="32"/>
          <w:szCs w:val="32"/>
          <w:lang w:val="zh-CN"/>
        </w:rPr>
        <w:tab/>
      </w:r>
    </w:p>
    <w:p w:rsidR="00EB6FF2" w:rsidRDefault="0011043E">
      <w:pPr>
        <w:suppressAutoHyphens/>
        <w:spacing w:line="600" w:lineRule="exact"/>
        <w:ind w:firstLine="640"/>
        <w:rPr>
          <w:rFonts w:eastAsia="仿宋_GB2312"/>
          <w:kern w:val="0"/>
          <w:sz w:val="32"/>
          <w:szCs w:val="32"/>
          <w:lang w:val="zh-CN"/>
        </w:rPr>
      </w:pPr>
      <w:r>
        <w:rPr>
          <w:rFonts w:eastAsia="仿宋_GB2312"/>
          <w:kern w:val="0"/>
          <w:sz w:val="32"/>
          <w:szCs w:val="32"/>
          <w:lang w:val="zh-CN"/>
        </w:rPr>
        <w:t>确保电子票据系统的平稳运行，确保各用票单位票据使用需求，</w:t>
      </w:r>
      <w:r>
        <w:rPr>
          <w:rFonts w:eastAsia="仿宋_GB2312"/>
          <w:sz w:val="32"/>
          <w:szCs w:val="32"/>
          <w:lang w:val="zh-CN"/>
        </w:rPr>
        <w:t>方便缴款人直接通过电子化收缴流程实现网上便捷缴款，并及时解决和处理相关系统问题。</w:t>
      </w:r>
      <w:r>
        <w:rPr>
          <w:rFonts w:eastAsia="仿宋_GB2312"/>
          <w:kern w:val="0"/>
          <w:sz w:val="32"/>
          <w:szCs w:val="32"/>
          <w:lang w:val="zh-CN"/>
        </w:rPr>
        <w:t>提高资金使用效益，并根据</w:t>
      </w:r>
      <w:r>
        <w:rPr>
          <w:rFonts w:eastAsia="仿宋_GB2312"/>
          <w:sz w:val="32"/>
          <w:szCs w:val="32"/>
          <w:lang w:val="zh-CN"/>
        </w:rPr>
        <w:t>《攀枝花市财政电子票据管理系统软件实施服务合同》的相关约定</w:t>
      </w:r>
      <w:r>
        <w:rPr>
          <w:rFonts w:eastAsia="仿宋_GB2312"/>
          <w:kern w:val="0"/>
          <w:sz w:val="32"/>
          <w:szCs w:val="32"/>
          <w:lang w:val="zh-CN"/>
        </w:rPr>
        <w:t>支付运营维护费用，对运营维护费用的绩效指标进行分析评价。</w:t>
      </w:r>
    </w:p>
    <w:p w:rsidR="00EB6FF2" w:rsidRDefault="0011043E">
      <w:pPr>
        <w:suppressAutoHyphens/>
        <w:spacing w:line="600" w:lineRule="exact"/>
        <w:ind w:firstLine="640"/>
        <w:rPr>
          <w:rFonts w:eastAsia="仿宋_GB2312"/>
          <w:kern w:val="0"/>
          <w:sz w:val="32"/>
          <w:szCs w:val="32"/>
          <w:lang w:val="zh-CN"/>
        </w:rPr>
      </w:pPr>
      <w:r>
        <w:rPr>
          <w:rFonts w:eastAsia="楷体_GB2312"/>
          <w:b/>
          <w:sz w:val="32"/>
          <w:szCs w:val="32"/>
          <w:lang w:val="zh-CN"/>
        </w:rPr>
        <w:t>（一）项目决策。</w:t>
      </w:r>
      <w:r>
        <w:rPr>
          <w:rFonts w:eastAsia="仿宋_GB2312"/>
          <w:sz w:val="32"/>
          <w:szCs w:val="32"/>
          <w:lang w:val="zh-CN"/>
        </w:rPr>
        <w:t>按照中央、省级的统一部署要求，全面使</w:t>
      </w:r>
      <w:r>
        <w:rPr>
          <w:rFonts w:eastAsia="仿宋_GB2312"/>
          <w:sz w:val="32"/>
          <w:szCs w:val="32"/>
          <w:lang w:val="zh-CN"/>
        </w:rPr>
        <w:lastRenderedPageBreak/>
        <w:t>用非税收缴暨财政电子票据系统，主要达到财政票据电子化全覆盖，减少原财政纸质票据使用，并通过该系统实现非税收入的电子化征缴和对账工作</w:t>
      </w:r>
    </w:p>
    <w:p w:rsidR="00EB6FF2" w:rsidRDefault="0011043E">
      <w:pPr>
        <w:suppressAutoHyphens/>
        <w:spacing w:line="600" w:lineRule="exact"/>
        <w:ind w:firstLine="640"/>
        <w:rPr>
          <w:rFonts w:eastAsia="仿宋_GB2312"/>
          <w:kern w:val="0"/>
          <w:sz w:val="32"/>
          <w:szCs w:val="32"/>
          <w:lang w:val="zh-CN"/>
        </w:rPr>
      </w:pPr>
      <w:r>
        <w:rPr>
          <w:rFonts w:eastAsia="楷体_GB2312"/>
          <w:b/>
          <w:sz w:val="32"/>
          <w:szCs w:val="32"/>
          <w:lang w:val="zh-CN"/>
        </w:rPr>
        <w:t>（</w:t>
      </w:r>
      <w:r>
        <w:rPr>
          <w:rFonts w:eastAsia="楷体_GB2312" w:hint="eastAsia"/>
          <w:b/>
          <w:sz w:val="32"/>
          <w:szCs w:val="32"/>
          <w:lang w:val="zh-CN"/>
        </w:rPr>
        <w:t>二</w:t>
      </w:r>
      <w:r>
        <w:rPr>
          <w:rFonts w:eastAsia="楷体_GB2312"/>
          <w:b/>
          <w:sz w:val="32"/>
          <w:szCs w:val="32"/>
          <w:lang w:val="zh-CN"/>
        </w:rPr>
        <w:t>）项目管理。</w:t>
      </w:r>
      <w:r>
        <w:rPr>
          <w:rFonts w:eastAsia="仿宋_GB2312"/>
          <w:sz w:val="32"/>
          <w:szCs w:val="32"/>
          <w:lang w:val="zh-CN"/>
        </w:rPr>
        <w:t>该系统运维期间由软件公司派出专业技术</w:t>
      </w:r>
      <w:r>
        <w:rPr>
          <w:rFonts w:eastAsia="仿宋_GB2312"/>
          <w:sz w:val="32"/>
          <w:szCs w:val="32"/>
          <w:lang w:val="zh-CN"/>
        </w:rPr>
        <w:t>人员进行驻点运维，市财政局非税科进行监督管理，保障好全市用票单位的系统维保工作，全天候及时处置各单位系统故障和相关问题，方便缴款人通过电子化流程进行线上缴款，减少纸质票据使用，并及时解决和处理相关系统问题，单位和缴款人满意度达到</w:t>
      </w:r>
      <w:r>
        <w:rPr>
          <w:rFonts w:eastAsia="仿宋_GB2312"/>
          <w:sz w:val="32"/>
          <w:szCs w:val="32"/>
          <w:lang w:val="zh-CN"/>
        </w:rPr>
        <w:t>100%</w:t>
      </w:r>
      <w:r>
        <w:rPr>
          <w:rFonts w:eastAsia="仿宋_GB2312"/>
          <w:sz w:val="32"/>
          <w:szCs w:val="32"/>
          <w:lang w:val="zh-CN"/>
        </w:rPr>
        <w:t>。</w:t>
      </w:r>
    </w:p>
    <w:p w:rsidR="00EB6FF2" w:rsidRDefault="0011043E">
      <w:pPr>
        <w:adjustRightInd w:val="0"/>
        <w:snapToGrid w:val="0"/>
        <w:spacing w:line="600" w:lineRule="exact"/>
        <w:ind w:firstLine="720"/>
        <w:rPr>
          <w:rFonts w:eastAsia="仿宋_GB2312"/>
          <w:sz w:val="32"/>
          <w:szCs w:val="32"/>
          <w:lang w:val="zh-CN"/>
        </w:rPr>
      </w:pPr>
      <w:r>
        <w:rPr>
          <w:rFonts w:eastAsia="楷体_GB2312"/>
          <w:b/>
          <w:sz w:val="32"/>
          <w:szCs w:val="32"/>
          <w:lang w:val="zh-CN"/>
        </w:rPr>
        <w:t>（</w:t>
      </w:r>
      <w:r>
        <w:rPr>
          <w:rFonts w:eastAsia="楷体_GB2312" w:hint="eastAsia"/>
          <w:b/>
          <w:sz w:val="32"/>
          <w:szCs w:val="32"/>
          <w:lang w:val="zh-CN"/>
        </w:rPr>
        <w:t>三</w:t>
      </w:r>
      <w:r>
        <w:rPr>
          <w:rFonts w:eastAsia="楷体_GB2312"/>
          <w:b/>
          <w:sz w:val="32"/>
          <w:szCs w:val="32"/>
          <w:lang w:val="zh-CN"/>
        </w:rPr>
        <w:t>）项目实施。</w:t>
      </w:r>
      <w:r>
        <w:rPr>
          <w:rFonts w:eastAsia="仿宋_GB2312"/>
          <w:sz w:val="32"/>
          <w:szCs w:val="32"/>
          <w:lang w:val="zh-CN"/>
        </w:rPr>
        <w:t>2023</w:t>
      </w:r>
      <w:r>
        <w:rPr>
          <w:rFonts w:eastAsia="仿宋_GB2312"/>
          <w:sz w:val="32"/>
          <w:szCs w:val="32"/>
          <w:lang w:val="zh-CN"/>
        </w:rPr>
        <w:t>年计划支付系统运维费</w:t>
      </w:r>
      <w:r>
        <w:rPr>
          <w:rFonts w:eastAsia="仿宋_GB2312"/>
          <w:sz w:val="32"/>
          <w:szCs w:val="32"/>
          <w:lang w:val="zh-CN"/>
        </w:rPr>
        <w:t>20</w:t>
      </w:r>
      <w:r>
        <w:rPr>
          <w:rFonts w:eastAsia="仿宋_GB2312"/>
          <w:sz w:val="32"/>
          <w:szCs w:val="32"/>
          <w:lang w:val="zh-CN"/>
        </w:rPr>
        <w:t>万元。截至评价时点实际到位资金</w:t>
      </w:r>
      <w:r>
        <w:rPr>
          <w:rFonts w:eastAsia="仿宋_GB2312"/>
          <w:sz w:val="32"/>
          <w:szCs w:val="32"/>
          <w:lang w:val="zh-CN"/>
        </w:rPr>
        <w:t>20</w:t>
      </w:r>
      <w:r>
        <w:rPr>
          <w:rFonts w:eastAsia="仿宋_GB2312"/>
          <w:sz w:val="32"/>
          <w:szCs w:val="32"/>
          <w:lang w:val="zh-CN"/>
        </w:rPr>
        <w:t>万元，全部为市级财政资金。资金到位及时，资金到位率</w:t>
      </w:r>
      <w:r>
        <w:rPr>
          <w:rFonts w:eastAsia="仿宋_GB2312"/>
          <w:sz w:val="32"/>
          <w:szCs w:val="32"/>
          <w:lang w:val="zh-CN"/>
        </w:rPr>
        <w:t>100%</w:t>
      </w:r>
      <w:r>
        <w:rPr>
          <w:rFonts w:eastAsia="仿宋_GB2312"/>
          <w:sz w:val="32"/>
          <w:szCs w:val="32"/>
          <w:lang w:val="zh-CN"/>
        </w:rPr>
        <w:t>。</w:t>
      </w:r>
      <w:r>
        <w:rPr>
          <w:rFonts w:eastAsia="仿宋_GB2312"/>
          <w:kern w:val="0"/>
          <w:sz w:val="32"/>
          <w:szCs w:val="32"/>
          <w:lang w:val="zh-CN"/>
        </w:rPr>
        <w:t>项目无资金结余。</w:t>
      </w:r>
    </w:p>
    <w:p w:rsidR="00EB6FF2" w:rsidRDefault="0011043E">
      <w:pPr>
        <w:suppressAutoHyphens/>
        <w:spacing w:line="600" w:lineRule="exact"/>
        <w:ind w:firstLineChars="200" w:firstLine="643"/>
        <w:rPr>
          <w:rFonts w:eastAsia="仿宋_GB2312"/>
          <w:kern w:val="0"/>
          <w:sz w:val="32"/>
          <w:szCs w:val="32"/>
          <w:lang w:val="zh-CN"/>
        </w:rPr>
      </w:pPr>
      <w:r>
        <w:rPr>
          <w:rFonts w:eastAsia="楷体_GB2312"/>
          <w:b/>
          <w:sz w:val="32"/>
          <w:szCs w:val="32"/>
          <w:lang w:val="zh-CN"/>
        </w:rPr>
        <w:t>（</w:t>
      </w:r>
      <w:r>
        <w:rPr>
          <w:rFonts w:eastAsia="楷体_GB2312" w:hint="eastAsia"/>
          <w:b/>
          <w:sz w:val="32"/>
          <w:szCs w:val="32"/>
          <w:lang w:val="zh-CN"/>
        </w:rPr>
        <w:t>四</w:t>
      </w:r>
      <w:r>
        <w:rPr>
          <w:rFonts w:eastAsia="楷体_GB2312"/>
          <w:b/>
          <w:sz w:val="32"/>
          <w:szCs w:val="32"/>
          <w:lang w:val="zh-CN"/>
        </w:rPr>
        <w:t>）项目结果。</w:t>
      </w:r>
      <w:r>
        <w:rPr>
          <w:rFonts w:eastAsia="仿宋_GB2312"/>
          <w:sz w:val="32"/>
          <w:szCs w:val="32"/>
        </w:rPr>
        <w:t>电子票据系统平稳运行，相关系统问题解决及时有效，保障了全市用票单位开票需求，方便了群众缴款，确保单位非税收入及时、足额上缴。</w:t>
      </w:r>
    </w:p>
    <w:p w:rsidR="00EB6FF2" w:rsidRDefault="0011043E">
      <w:pPr>
        <w:tabs>
          <w:tab w:val="left" w:pos="2160"/>
        </w:tabs>
        <w:suppressAutoHyphens/>
        <w:spacing w:line="600" w:lineRule="exact"/>
        <w:ind w:firstLineChars="98" w:firstLine="315"/>
        <w:rPr>
          <w:rFonts w:eastAsia="黑体"/>
          <w:b/>
          <w:sz w:val="32"/>
          <w:szCs w:val="32"/>
        </w:rPr>
      </w:pPr>
      <w:r>
        <w:rPr>
          <w:rFonts w:eastAsia="黑体"/>
          <w:b/>
          <w:sz w:val="32"/>
          <w:szCs w:val="32"/>
        </w:rPr>
        <w:t xml:space="preserve">  </w:t>
      </w:r>
      <w:r>
        <w:rPr>
          <w:rFonts w:eastAsia="黑体"/>
          <w:b/>
          <w:sz w:val="32"/>
          <w:szCs w:val="32"/>
        </w:rPr>
        <w:t>四、评价结论</w:t>
      </w:r>
    </w:p>
    <w:p w:rsidR="00EB6FF2" w:rsidRDefault="0011043E">
      <w:pPr>
        <w:tabs>
          <w:tab w:val="left" w:pos="2160"/>
        </w:tabs>
        <w:suppressAutoHyphens/>
        <w:spacing w:line="600" w:lineRule="exact"/>
        <w:rPr>
          <w:rFonts w:eastAsia="仿宋_GB2312"/>
          <w:color w:val="333333"/>
          <w:spacing w:val="8"/>
          <w:sz w:val="32"/>
          <w:szCs w:val="32"/>
          <w:shd w:val="clear" w:color="auto" w:fill="FFFFFF"/>
        </w:rPr>
      </w:pPr>
      <w:r>
        <w:rPr>
          <w:rFonts w:eastAsia="仿宋_GB2312"/>
          <w:sz w:val="32"/>
          <w:szCs w:val="32"/>
          <w:lang w:val="zh-CN"/>
        </w:rPr>
        <w:t xml:space="preserve">    </w:t>
      </w:r>
      <w:r>
        <w:rPr>
          <w:rFonts w:eastAsia="仿宋_GB2312"/>
          <w:sz w:val="32"/>
          <w:szCs w:val="32"/>
          <w:lang w:val="zh-CN"/>
        </w:rPr>
        <w:t>电子票据系统的稳步运营是</w:t>
      </w:r>
      <w:r>
        <w:rPr>
          <w:rStyle w:val="fontstyle01"/>
          <w:rFonts w:ascii="Times New Roman" w:hint="default"/>
        </w:rPr>
        <w:t>不断深化</w:t>
      </w:r>
      <w:r>
        <w:rPr>
          <w:rStyle w:val="fontstyle11"/>
          <w:rFonts w:ascii="Times New Roman" w:eastAsia="仿宋_GB2312" w:hAnsi="Times New Roman"/>
        </w:rPr>
        <w:t>“</w:t>
      </w:r>
      <w:r>
        <w:rPr>
          <w:rStyle w:val="fontstyle01"/>
          <w:rFonts w:ascii="Times New Roman" w:hint="default"/>
        </w:rPr>
        <w:t>放管服</w:t>
      </w:r>
      <w:r>
        <w:rPr>
          <w:rStyle w:val="fontstyle11"/>
          <w:rFonts w:ascii="Times New Roman" w:eastAsia="仿宋_GB2312" w:hAnsi="Times New Roman"/>
        </w:rPr>
        <w:t>”</w:t>
      </w:r>
      <w:r>
        <w:rPr>
          <w:rStyle w:val="fontstyle01"/>
          <w:rFonts w:ascii="Times New Roman" w:hint="default"/>
        </w:rPr>
        <w:t>改革，推进</w:t>
      </w:r>
      <w:r>
        <w:rPr>
          <w:rStyle w:val="fontstyle11"/>
          <w:rFonts w:ascii="Times New Roman" w:eastAsia="仿宋_GB2312" w:hAnsi="Times New Roman"/>
        </w:rPr>
        <w:t>“</w:t>
      </w:r>
      <w:r>
        <w:rPr>
          <w:rStyle w:val="fontstyle01"/>
          <w:rFonts w:ascii="Times New Roman" w:hint="default"/>
        </w:rPr>
        <w:t>数字政府</w:t>
      </w:r>
      <w:r>
        <w:rPr>
          <w:rStyle w:val="fontstyle11"/>
          <w:rFonts w:ascii="Times New Roman" w:eastAsia="仿宋_GB2312" w:hAnsi="Times New Roman"/>
        </w:rPr>
        <w:t>”</w:t>
      </w:r>
      <w:r>
        <w:rPr>
          <w:rStyle w:val="fontstyle01"/>
          <w:rFonts w:ascii="Times New Roman" w:hint="default"/>
        </w:rPr>
        <w:t>一体化建设进程，为老百姓提供便捷服务的重要举措，</w:t>
      </w:r>
      <w:r>
        <w:rPr>
          <w:rFonts w:eastAsia="仿宋_GB2312"/>
          <w:color w:val="333333"/>
          <w:spacing w:val="8"/>
          <w:sz w:val="32"/>
          <w:szCs w:val="32"/>
          <w:shd w:val="clear" w:color="auto" w:fill="FFFFFF"/>
        </w:rPr>
        <w:t>财政部门可以实时连接用票单位，实时监控财政票据开具情况，实现电子票据全流程可控，将事后检查变为事前控制和事中监督，显著提升财政部门财政票据管理水平和财政票据</w:t>
      </w:r>
      <w:r>
        <w:rPr>
          <w:rFonts w:eastAsia="仿宋_GB2312"/>
          <w:color w:val="333333"/>
          <w:spacing w:val="8"/>
          <w:sz w:val="32"/>
          <w:szCs w:val="32"/>
          <w:shd w:val="clear" w:color="auto" w:fill="FFFFFF"/>
        </w:rPr>
        <w:lastRenderedPageBreak/>
        <w:t>监管效率。与此同时，财政电子票据的实施，减少了纸质票据的打印、传递、整理和保管等环节，节省大</w:t>
      </w:r>
      <w:r>
        <w:rPr>
          <w:rFonts w:eastAsia="仿宋_GB2312"/>
          <w:color w:val="333333"/>
          <w:spacing w:val="8"/>
          <w:sz w:val="32"/>
          <w:szCs w:val="32"/>
          <w:shd w:val="clear" w:color="auto" w:fill="FFFFFF"/>
        </w:rPr>
        <w:t>量人力物力，避免了纸质票据流转、保管环节中容易出现的遗失损毁风险，显著降低了票据使用成本形成票据使用的闭环管理，有效杜绝了伪造票据问题的发生。</w:t>
      </w:r>
      <w:r>
        <w:rPr>
          <w:rFonts w:eastAsia="仿宋_GB2312"/>
          <w:color w:val="333333"/>
          <w:spacing w:val="8"/>
          <w:sz w:val="32"/>
          <w:szCs w:val="32"/>
          <w:shd w:val="clear" w:color="auto" w:fill="FFFFFF"/>
        </w:rPr>
        <w:t xml:space="preserve"> </w:t>
      </w:r>
    </w:p>
    <w:p w:rsidR="00EB6FF2" w:rsidRDefault="0011043E">
      <w:pPr>
        <w:tabs>
          <w:tab w:val="left" w:pos="2160"/>
        </w:tabs>
        <w:suppressAutoHyphens/>
        <w:spacing w:line="600" w:lineRule="exact"/>
        <w:rPr>
          <w:rFonts w:eastAsia="黑体"/>
          <w:b/>
          <w:sz w:val="32"/>
          <w:szCs w:val="32"/>
        </w:rPr>
      </w:pPr>
      <w:r>
        <w:rPr>
          <w:rFonts w:eastAsia="黑体"/>
          <w:b/>
          <w:sz w:val="32"/>
          <w:szCs w:val="32"/>
        </w:rPr>
        <w:t xml:space="preserve">    </w:t>
      </w:r>
      <w:r>
        <w:rPr>
          <w:rFonts w:eastAsia="黑体"/>
          <w:b/>
          <w:sz w:val="32"/>
          <w:szCs w:val="32"/>
        </w:rPr>
        <w:t>五、存在主要问题</w:t>
      </w:r>
    </w:p>
    <w:p w:rsidR="00EB6FF2" w:rsidRDefault="0011043E">
      <w:pPr>
        <w:tabs>
          <w:tab w:val="left" w:pos="2160"/>
        </w:tabs>
        <w:suppressAutoHyphens/>
        <w:spacing w:line="600" w:lineRule="exact"/>
        <w:ind w:firstLineChars="200" w:firstLine="640"/>
        <w:rPr>
          <w:rFonts w:eastAsia="仿宋_GB2312"/>
          <w:kern w:val="0"/>
          <w:position w:val="3"/>
          <w:sz w:val="32"/>
          <w:szCs w:val="32"/>
          <w:lang w:val="zh-CN"/>
        </w:rPr>
      </w:pPr>
      <w:r>
        <w:rPr>
          <w:rFonts w:eastAsia="仿宋_GB2312"/>
          <w:kern w:val="0"/>
          <w:position w:val="3"/>
          <w:sz w:val="32"/>
          <w:szCs w:val="32"/>
          <w:lang w:val="zh-CN"/>
        </w:rPr>
        <w:t>一是用票单位经办人员业务水平参差不齐对该系统操作还未熟练掌握。</w:t>
      </w:r>
    </w:p>
    <w:p w:rsidR="00EB6FF2" w:rsidRDefault="0011043E">
      <w:pPr>
        <w:tabs>
          <w:tab w:val="left" w:pos="2160"/>
        </w:tabs>
        <w:suppressAutoHyphens/>
        <w:spacing w:line="600" w:lineRule="exact"/>
        <w:ind w:firstLineChars="200" w:firstLine="640"/>
        <w:rPr>
          <w:rFonts w:eastAsia="仿宋_GB2312"/>
          <w:kern w:val="0"/>
          <w:position w:val="3"/>
          <w:sz w:val="32"/>
          <w:szCs w:val="32"/>
          <w:lang w:val="zh-CN"/>
        </w:rPr>
      </w:pPr>
      <w:r>
        <w:rPr>
          <w:rFonts w:eastAsia="仿宋_GB2312"/>
          <w:kern w:val="0"/>
          <w:position w:val="3"/>
          <w:sz w:val="32"/>
          <w:szCs w:val="32"/>
          <w:lang w:val="zh-CN"/>
        </w:rPr>
        <w:t>二是相关单位对电子票据使用宣传不够，导致群众对电子票据未全面了解。</w:t>
      </w:r>
    </w:p>
    <w:p w:rsidR="00EB6FF2" w:rsidRDefault="0011043E">
      <w:pPr>
        <w:tabs>
          <w:tab w:val="left" w:pos="2160"/>
        </w:tabs>
        <w:suppressAutoHyphens/>
        <w:spacing w:line="600" w:lineRule="exact"/>
        <w:ind w:firstLineChars="200" w:firstLine="643"/>
        <w:rPr>
          <w:rFonts w:eastAsia="黑体"/>
          <w:b/>
          <w:kern w:val="0"/>
          <w:position w:val="3"/>
          <w:sz w:val="32"/>
          <w:szCs w:val="32"/>
          <w:lang w:val="zh-CN"/>
        </w:rPr>
      </w:pPr>
      <w:r>
        <w:rPr>
          <w:rFonts w:eastAsia="黑体"/>
          <w:b/>
          <w:kern w:val="0"/>
          <w:position w:val="3"/>
          <w:sz w:val="32"/>
          <w:szCs w:val="32"/>
          <w:lang w:val="zh-CN"/>
        </w:rPr>
        <w:t>六、改进建议</w:t>
      </w:r>
    </w:p>
    <w:p w:rsidR="00EB6FF2" w:rsidRDefault="0011043E">
      <w:pPr>
        <w:tabs>
          <w:tab w:val="left" w:pos="1911"/>
        </w:tabs>
        <w:suppressAutoHyphens/>
        <w:spacing w:line="600" w:lineRule="exact"/>
        <w:jc w:val="left"/>
        <w:rPr>
          <w:rFonts w:eastAsia="仿宋_GB2312"/>
          <w:kern w:val="0"/>
          <w:sz w:val="32"/>
          <w:szCs w:val="32"/>
        </w:rPr>
      </w:pPr>
      <w:r>
        <w:rPr>
          <w:rFonts w:eastAsia="仿宋_GB2312"/>
          <w:kern w:val="0"/>
          <w:sz w:val="32"/>
          <w:szCs w:val="32"/>
        </w:rPr>
        <w:t xml:space="preserve">    </w:t>
      </w:r>
      <w:r>
        <w:rPr>
          <w:rFonts w:eastAsia="仿宋_GB2312"/>
          <w:kern w:val="0"/>
          <w:sz w:val="32"/>
          <w:szCs w:val="32"/>
        </w:rPr>
        <w:t>一是建议相关单位按照电子票据操作流程进行对具体经办人员进行业务的培训和指导。</w:t>
      </w:r>
    </w:p>
    <w:p w:rsidR="00EB6FF2" w:rsidRDefault="0011043E">
      <w:pPr>
        <w:tabs>
          <w:tab w:val="left" w:pos="1911"/>
        </w:tabs>
        <w:suppressAutoHyphens/>
        <w:spacing w:line="600" w:lineRule="exact"/>
        <w:jc w:val="left"/>
        <w:rPr>
          <w:rFonts w:eastAsia="仿宋_GB2312"/>
          <w:kern w:val="0"/>
          <w:sz w:val="32"/>
          <w:szCs w:val="32"/>
        </w:rPr>
      </w:pPr>
      <w:r>
        <w:rPr>
          <w:rFonts w:eastAsia="仿宋_GB2312"/>
          <w:kern w:val="0"/>
          <w:sz w:val="32"/>
          <w:szCs w:val="32"/>
        </w:rPr>
        <w:t xml:space="preserve">    </w:t>
      </w:r>
      <w:r>
        <w:rPr>
          <w:rFonts w:eastAsia="仿宋_GB2312"/>
          <w:kern w:val="0"/>
          <w:sz w:val="32"/>
          <w:szCs w:val="32"/>
        </w:rPr>
        <w:t>二是相关单位在日常工作中，加强对电子票据使用的宣传，让群众更加全面直观的了解电子票据和相关使用场景。</w:t>
      </w:r>
    </w:p>
    <w:p w:rsidR="00EB6FF2" w:rsidRDefault="00EB6FF2">
      <w:pPr>
        <w:suppressAutoHyphens/>
        <w:snapToGrid w:val="0"/>
        <w:spacing w:line="600" w:lineRule="exact"/>
        <w:ind w:firstLineChars="200" w:firstLine="420"/>
        <w:rPr>
          <w:rFonts w:eastAsia="仿宋_GB2312"/>
          <w:color w:val="000000"/>
          <w:kern w:val="0"/>
          <w:szCs w:val="32"/>
          <w:shd w:val="clear" w:color="auto" w:fill="FFFFFF"/>
          <w:lang w:val="zh-CN"/>
        </w:rPr>
      </w:pPr>
    </w:p>
    <w:p w:rsidR="00EB6FF2" w:rsidRDefault="00EB6FF2">
      <w:pPr>
        <w:suppressAutoHyphens/>
        <w:autoSpaceDE w:val="0"/>
        <w:autoSpaceDN w:val="0"/>
        <w:adjustRightInd w:val="0"/>
        <w:spacing w:line="600" w:lineRule="exact"/>
        <w:rPr>
          <w:rFonts w:eastAsia="仿宋_GB2312"/>
          <w:b/>
          <w:sz w:val="32"/>
          <w:szCs w:val="32"/>
        </w:rPr>
      </w:pPr>
    </w:p>
    <w:p w:rsidR="00EB6FF2" w:rsidRDefault="00EB6FF2">
      <w:pPr>
        <w:suppressAutoHyphens/>
        <w:spacing w:line="580" w:lineRule="exact"/>
        <w:rPr>
          <w:rFonts w:eastAsia="仿宋_GB2312"/>
          <w:bCs/>
          <w:kern w:val="44"/>
          <w:sz w:val="44"/>
          <w:szCs w:val="44"/>
        </w:rPr>
      </w:pPr>
    </w:p>
    <w:p w:rsidR="00EB6FF2" w:rsidRDefault="00EB6FF2">
      <w:pPr>
        <w:pStyle w:val="a0"/>
        <w:spacing w:before="93"/>
      </w:pPr>
    </w:p>
    <w:p w:rsidR="00EB6FF2" w:rsidRDefault="00EB6FF2">
      <w:pPr>
        <w:rPr>
          <w:rFonts w:eastAsia="仿宋_GB2312"/>
        </w:rPr>
      </w:pPr>
    </w:p>
    <w:p w:rsidR="00EB6FF2" w:rsidRDefault="00EB6FF2">
      <w:pPr>
        <w:pStyle w:val="a0"/>
        <w:spacing w:before="93"/>
      </w:pPr>
    </w:p>
    <w:p w:rsidR="00EB6FF2" w:rsidRDefault="0011043E">
      <w:pPr>
        <w:suppressAutoHyphens/>
        <w:spacing w:line="578" w:lineRule="exact"/>
        <w:jc w:val="center"/>
        <w:rPr>
          <w:rFonts w:eastAsia="方正小标宋_GBK"/>
          <w:sz w:val="44"/>
          <w:szCs w:val="44"/>
        </w:rPr>
      </w:pPr>
      <w:r>
        <w:rPr>
          <w:rFonts w:eastAsia="方正小标宋_GBK"/>
          <w:sz w:val="44"/>
          <w:szCs w:val="44"/>
        </w:rPr>
        <w:lastRenderedPageBreak/>
        <w:t>2023</w:t>
      </w:r>
      <w:r>
        <w:rPr>
          <w:rFonts w:eastAsia="方正小标宋_GBK"/>
          <w:sz w:val="44"/>
          <w:szCs w:val="44"/>
        </w:rPr>
        <w:t>年财政投资评审经费支出绩效评价报告</w:t>
      </w:r>
    </w:p>
    <w:p w:rsidR="00EB6FF2" w:rsidRDefault="00EB6FF2">
      <w:pPr>
        <w:suppressAutoHyphens/>
        <w:spacing w:line="578" w:lineRule="exact"/>
        <w:rPr>
          <w:rFonts w:eastAsia="仿宋_GB2312"/>
          <w:sz w:val="32"/>
          <w:szCs w:val="32"/>
          <w:lang w:val="zh-CN"/>
        </w:rPr>
      </w:pPr>
    </w:p>
    <w:p w:rsidR="00EB6FF2" w:rsidRDefault="0011043E">
      <w:pPr>
        <w:suppressAutoHyphens/>
        <w:adjustRightInd w:val="0"/>
        <w:snapToGrid w:val="0"/>
        <w:spacing w:line="600" w:lineRule="exact"/>
        <w:ind w:firstLineChars="200" w:firstLine="640"/>
        <w:rPr>
          <w:rFonts w:eastAsia="黑体"/>
          <w:sz w:val="32"/>
          <w:szCs w:val="32"/>
          <w:lang w:val="zh-CN"/>
        </w:rPr>
      </w:pPr>
      <w:r>
        <w:rPr>
          <w:rFonts w:eastAsia="黑体"/>
          <w:sz w:val="32"/>
          <w:szCs w:val="32"/>
        </w:rPr>
        <w:t>一、</w:t>
      </w:r>
      <w:r>
        <w:rPr>
          <w:rFonts w:eastAsia="黑体"/>
          <w:sz w:val="32"/>
          <w:szCs w:val="32"/>
          <w:lang w:val="zh-CN"/>
        </w:rPr>
        <w:t>项目概况</w:t>
      </w:r>
    </w:p>
    <w:p w:rsidR="00EB6FF2" w:rsidRDefault="0011043E">
      <w:pPr>
        <w:adjustRightInd w:val="0"/>
        <w:snapToGrid w:val="0"/>
        <w:spacing w:line="600" w:lineRule="exact"/>
        <w:rPr>
          <w:rFonts w:eastAsia="仿宋_GB2312"/>
          <w:kern w:val="0"/>
          <w:sz w:val="32"/>
          <w:szCs w:val="32"/>
        </w:rPr>
      </w:pPr>
      <w:r>
        <w:rPr>
          <w:rFonts w:eastAsia="楷体_GB2312"/>
          <w:b/>
          <w:sz w:val="32"/>
          <w:szCs w:val="32"/>
          <w:lang w:val="zh-CN"/>
        </w:rPr>
        <w:t xml:space="preserve">   </w:t>
      </w:r>
      <w:r>
        <w:rPr>
          <w:rFonts w:eastAsia="楷体_GB2312"/>
          <w:b/>
          <w:sz w:val="32"/>
          <w:szCs w:val="32"/>
          <w:lang w:val="zh-CN"/>
        </w:rPr>
        <w:t>（一）设立背景及基本情况。</w:t>
      </w:r>
      <w:r>
        <w:rPr>
          <w:rFonts w:eastAsia="仿宋_GB2312"/>
          <w:kern w:val="0"/>
          <w:sz w:val="32"/>
          <w:szCs w:val="32"/>
        </w:rPr>
        <w:t>本项目的主要内容是：市投资评审中心通过政府采购、随机抽选等方式，委托具备从事投资项目概、预算及其他财政专项资金评审工作的社会中介机构完成评审任务，在评审工作结束后，市投资评审中心按规定支付社会中介机构评审委托业务费；为保证投资评审质量，市投资评审中心聘用专业技术人员</w:t>
      </w:r>
      <w:r>
        <w:rPr>
          <w:rFonts w:eastAsia="仿宋_GB2312"/>
          <w:kern w:val="0"/>
          <w:sz w:val="32"/>
          <w:szCs w:val="32"/>
        </w:rPr>
        <w:t>3</w:t>
      </w:r>
      <w:r>
        <w:rPr>
          <w:rFonts w:eastAsia="仿宋_GB2312"/>
          <w:kern w:val="0"/>
          <w:sz w:val="32"/>
          <w:szCs w:val="32"/>
        </w:rPr>
        <w:t>名（其中</w:t>
      </w:r>
      <w:r>
        <w:rPr>
          <w:rFonts w:eastAsia="仿宋_GB2312"/>
          <w:kern w:val="0"/>
          <w:sz w:val="32"/>
          <w:szCs w:val="32"/>
        </w:rPr>
        <w:t>1</w:t>
      </w:r>
      <w:r>
        <w:rPr>
          <w:rFonts w:eastAsia="仿宋_GB2312"/>
          <w:kern w:val="0"/>
          <w:sz w:val="32"/>
          <w:szCs w:val="32"/>
        </w:rPr>
        <w:t>名已于</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月离职），负责财政性资金（含转下达中央省专项资金、债券资金、财政支出责任等资金）投资的基本建设项目概（预）算审核工作，并按双方签订的聘用（劳务）合同支付劳务费。</w:t>
      </w:r>
      <w:r>
        <w:rPr>
          <w:rFonts w:eastAsia="仿宋_GB2312"/>
          <w:kern w:val="0"/>
          <w:sz w:val="32"/>
          <w:szCs w:val="32"/>
        </w:rPr>
        <w:t>2023</w:t>
      </w:r>
      <w:r>
        <w:rPr>
          <w:rFonts w:eastAsia="仿宋_GB2312"/>
          <w:kern w:val="0"/>
          <w:sz w:val="32"/>
          <w:szCs w:val="32"/>
        </w:rPr>
        <w:t>年，共计支付财政投资评审经费</w:t>
      </w:r>
      <w:r>
        <w:rPr>
          <w:rFonts w:eastAsia="仿宋_GB2312"/>
          <w:kern w:val="0"/>
          <w:sz w:val="32"/>
          <w:szCs w:val="32"/>
        </w:rPr>
        <w:t>130.2314</w:t>
      </w:r>
      <w:r>
        <w:rPr>
          <w:rFonts w:eastAsia="仿宋_GB2312"/>
          <w:kern w:val="0"/>
          <w:sz w:val="32"/>
          <w:szCs w:val="32"/>
        </w:rPr>
        <w:t>万元</w:t>
      </w:r>
      <w:r>
        <w:rPr>
          <w:rFonts w:eastAsia="仿宋_GB2312"/>
          <w:kern w:val="0"/>
          <w:sz w:val="32"/>
          <w:szCs w:val="32"/>
        </w:rPr>
        <w:t>，其中评审委托业务费</w:t>
      </w:r>
      <w:r>
        <w:rPr>
          <w:rFonts w:eastAsia="仿宋_GB2312"/>
          <w:kern w:val="0"/>
          <w:sz w:val="32"/>
          <w:szCs w:val="32"/>
        </w:rPr>
        <w:t>87.2314</w:t>
      </w:r>
      <w:r>
        <w:rPr>
          <w:rFonts w:eastAsia="仿宋_GB2312"/>
          <w:kern w:val="0"/>
          <w:sz w:val="32"/>
          <w:szCs w:val="32"/>
        </w:rPr>
        <w:t>万元，专家劳务费</w:t>
      </w:r>
      <w:r>
        <w:rPr>
          <w:rFonts w:eastAsia="仿宋_GB2312"/>
          <w:kern w:val="0"/>
          <w:sz w:val="32"/>
          <w:szCs w:val="32"/>
        </w:rPr>
        <w:t>43</w:t>
      </w:r>
      <w:r>
        <w:rPr>
          <w:rFonts w:eastAsia="仿宋_GB2312"/>
          <w:kern w:val="0"/>
          <w:sz w:val="32"/>
          <w:szCs w:val="32"/>
        </w:rPr>
        <w:t>万元。</w:t>
      </w:r>
    </w:p>
    <w:p w:rsidR="00EB6FF2" w:rsidRDefault="0011043E">
      <w:pPr>
        <w:adjustRightInd w:val="0"/>
        <w:snapToGrid w:val="0"/>
        <w:spacing w:line="600" w:lineRule="exact"/>
        <w:ind w:firstLineChars="200" w:firstLine="643"/>
        <w:rPr>
          <w:rFonts w:eastAsia="仿宋_GB2312"/>
          <w:kern w:val="0"/>
          <w:sz w:val="32"/>
          <w:szCs w:val="32"/>
        </w:rPr>
      </w:pPr>
      <w:r>
        <w:rPr>
          <w:rFonts w:eastAsia="楷体_GB2312"/>
          <w:b/>
          <w:sz w:val="32"/>
          <w:szCs w:val="32"/>
          <w:lang w:val="zh-CN"/>
        </w:rPr>
        <w:t>（二）</w:t>
      </w:r>
      <w:r>
        <w:rPr>
          <w:rFonts w:eastAsia="楷体_GB2312"/>
          <w:b/>
          <w:sz w:val="32"/>
          <w:szCs w:val="32"/>
        </w:rPr>
        <w:t>实施目的及支持方向。</w:t>
      </w:r>
      <w:r>
        <w:rPr>
          <w:rFonts w:eastAsia="仿宋_GB2312"/>
          <w:kern w:val="0"/>
          <w:sz w:val="32"/>
          <w:szCs w:val="32"/>
        </w:rPr>
        <w:t>严格按照相关规定计算申报评审经费，截至评价时点，实际支出财政投资评审经费</w:t>
      </w:r>
      <w:r>
        <w:rPr>
          <w:rFonts w:eastAsia="仿宋_GB2312"/>
          <w:kern w:val="0"/>
          <w:sz w:val="32"/>
          <w:szCs w:val="32"/>
        </w:rPr>
        <w:t>130.2314</w:t>
      </w:r>
      <w:r>
        <w:rPr>
          <w:rFonts w:eastAsia="仿宋_GB2312"/>
          <w:kern w:val="0"/>
          <w:sz w:val="32"/>
          <w:szCs w:val="32"/>
        </w:rPr>
        <w:t>万元。其中评审委托业务费</w:t>
      </w:r>
      <w:r>
        <w:rPr>
          <w:rFonts w:eastAsia="仿宋_GB2312"/>
          <w:kern w:val="0"/>
          <w:sz w:val="32"/>
          <w:szCs w:val="32"/>
        </w:rPr>
        <w:t>87.2314</w:t>
      </w:r>
      <w:r>
        <w:rPr>
          <w:rFonts w:eastAsia="仿宋_GB2312"/>
          <w:kern w:val="0"/>
          <w:sz w:val="32"/>
          <w:szCs w:val="32"/>
        </w:rPr>
        <w:t>万元，由社会中介机构完成基本建设项目概（预）算评审任务后，按照《攀枝花市市本级财政投资预算评审协作机构管理规则》《攀枝花市投资评审中心</w:t>
      </w:r>
      <w:r>
        <w:rPr>
          <w:rFonts w:eastAsia="仿宋_GB2312"/>
          <w:kern w:val="0"/>
          <w:sz w:val="32"/>
          <w:szCs w:val="32"/>
        </w:rPr>
        <w:t>2019-2021</w:t>
      </w:r>
      <w:r>
        <w:rPr>
          <w:rFonts w:eastAsia="仿宋_GB2312"/>
          <w:kern w:val="0"/>
          <w:sz w:val="32"/>
          <w:szCs w:val="32"/>
        </w:rPr>
        <w:t>年度政府投资项目预算评审协作合同》《攀枝花市财政局政府投资项目预算评审委托协议书》等计算标准及支付方式</w:t>
      </w:r>
      <w:r>
        <w:rPr>
          <w:rFonts w:eastAsia="仿宋_GB2312"/>
          <w:kern w:val="0"/>
          <w:sz w:val="32"/>
          <w:szCs w:val="32"/>
        </w:rPr>
        <w:lastRenderedPageBreak/>
        <w:t>予以支付。评审专家劳务费</w:t>
      </w:r>
      <w:r>
        <w:rPr>
          <w:rFonts w:eastAsia="仿宋_GB2312"/>
          <w:kern w:val="0"/>
          <w:sz w:val="32"/>
          <w:szCs w:val="32"/>
        </w:rPr>
        <w:t>43</w:t>
      </w:r>
      <w:r>
        <w:rPr>
          <w:rFonts w:eastAsia="仿宋_GB2312"/>
          <w:kern w:val="0"/>
          <w:sz w:val="32"/>
          <w:szCs w:val="32"/>
        </w:rPr>
        <w:t>万元，为市投资评审中心聘用人员的工资薪酬，严格按照攀枝花市财政局《关于印下发〈攀枝花市投资评审中心聘用人</w:t>
      </w:r>
      <w:r>
        <w:rPr>
          <w:rFonts w:eastAsia="仿宋_GB2312"/>
          <w:kern w:val="0"/>
          <w:sz w:val="32"/>
          <w:szCs w:val="32"/>
        </w:rPr>
        <w:t>员工资及福利暂行规定〉的通知》（攀财评审〔</w:t>
      </w:r>
      <w:r>
        <w:rPr>
          <w:rFonts w:eastAsia="仿宋_GB2312"/>
          <w:kern w:val="0"/>
          <w:sz w:val="32"/>
          <w:szCs w:val="32"/>
        </w:rPr>
        <w:t>2009</w:t>
      </w:r>
      <w:r>
        <w:rPr>
          <w:rFonts w:eastAsia="仿宋_GB2312"/>
          <w:kern w:val="0"/>
          <w:sz w:val="32"/>
          <w:szCs w:val="32"/>
        </w:rPr>
        <w:t>〕</w:t>
      </w:r>
      <w:r>
        <w:rPr>
          <w:rFonts w:eastAsia="仿宋_GB2312"/>
          <w:kern w:val="0"/>
          <w:sz w:val="32"/>
          <w:szCs w:val="32"/>
        </w:rPr>
        <w:t>105</w:t>
      </w:r>
      <w:r>
        <w:rPr>
          <w:rFonts w:eastAsia="仿宋_GB2312"/>
          <w:kern w:val="0"/>
          <w:sz w:val="32"/>
          <w:szCs w:val="32"/>
        </w:rPr>
        <w:t>号）和《关于印下发〈攀枝花市投资评审中心聘用人员综合考评暂行办法〉的通知》（攀财评审〔</w:t>
      </w:r>
      <w:r>
        <w:rPr>
          <w:rFonts w:eastAsia="仿宋_GB2312"/>
          <w:kern w:val="0"/>
          <w:sz w:val="32"/>
          <w:szCs w:val="32"/>
        </w:rPr>
        <w:t>2009</w:t>
      </w:r>
      <w:r>
        <w:rPr>
          <w:rFonts w:eastAsia="仿宋_GB2312"/>
          <w:kern w:val="0"/>
          <w:sz w:val="32"/>
          <w:szCs w:val="32"/>
        </w:rPr>
        <w:t>〕</w:t>
      </w:r>
      <w:r>
        <w:rPr>
          <w:rFonts w:eastAsia="仿宋_GB2312"/>
          <w:kern w:val="0"/>
          <w:sz w:val="32"/>
          <w:szCs w:val="32"/>
        </w:rPr>
        <w:t>106</w:t>
      </w:r>
      <w:r>
        <w:rPr>
          <w:rFonts w:eastAsia="仿宋_GB2312"/>
          <w:kern w:val="0"/>
          <w:sz w:val="32"/>
          <w:szCs w:val="32"/>
        </w:rPr>
        <w:t>号）文件规定的工资标准和支付方式支出。</w:t>
      </w:r>
    </w:p>
    <w:p w:rsidR="00EB6FF2" w:rsidRDefault="0011043E">
      <w:pPr>
        <w:widowControl/>
        <w:suppressAutoHyphens/>
        <w:adjustRightInd w:val="0"/>
        <w:snapToGrid w:val="0"/>
        <w:spacing w:line="600" w:lineRule="exact"/>
        <w:ind w:firstLineChars="200" w:firstLine="643"/>
        <w:contextualSpacing/>
        <w:jc w:val="left"/>
        <w:rPr>
          <w:rFonts w:eastAsia="仿宋_GB2312"/>
          <w:kern w:val="0"/>
          <w:sz w:val="32"/>
          <w:szCs w:val="32"/>
          <w:lang w:val="zh-CN"/>
        </w:rPr>
      </w:pPr>
      <w:r>
        <w:rPr>
          <w:rFonts w:eastAsia="楷体_GB2312"/>
          <w:b/>
          <w:sz w:val="32"/>
          <w:szCs w:val="32"/>
          <w:lang w:val="zh-CN"/>
        </w:rPr>
        <w:t>（三）</w:t>
      </w:r>
      <w:r>
        <w:rPr>
          <w:rFonts w:eastAsia="楷体_GB2312"/>
          <w:b/>
          <w:sz w:val="32"/>
          <w:szCs w:val="32"/>
        </w:rPr>
        <w:t>预算安排及分配管理</w:t>
      </w:r>
      <w:r>
        <w:rPr>
          <w:rFonts w:eastAsia="楷体_GB2312"/>
          <w:b/>
          <w:sz w:val="32"/>
          <w:szCs w:val="32"/>
          <w:lang w:val="zh-CN"/>
        </w:rPr>
        <w:t>。</w:t>
      </w:r>
      <w:r>
        <w:rPr>
          <w:rFonts w:eastAsia="仿宋_GB2312"/>
          <w:kern w:val="0"/>
          <w:sz w:val="32"/>
          <w:szCs w:val="32"/>
        </w:rPr>
        <w:t>根据投资评审工作开展情况，市投资评审中心向主管部门市财政局申报年度预算资金。市财政局年初部门预算安排项目资金</w:t>
      </w:r>
      <w:r>
        <w:rPr>
          <w:rFonts w:eastAsia="仿宋_GB2312"/>
          <w:kern w:val="0"/>
          <w:sz w:val="32"/>
          <w:szCs w:val="32"/>
        </w:rPr>
        <w:t>36.8</w:t>
      </w:r>
      <w:r>
        <w:rPr>
          <w:rFonts w:eastAsia="仿宋_GB2312"/>
          <w:kern w:val="0"/>
          <w:sz w:val="32"/>
          <w:szCs w:val="32"/>
        </w:rPr>
        <w:t>万元，年度执行中，市财政局以《关于下达市财政有关项目经费的通知》（攀财资行〔</w:t>
      </w:r>
      <w:r>
        <w:rPr>
          <w:rFonts w:eastAsia="仿宋_GB2312"/>
          <w:kern w:val="0"/>
          <w:sz w:val="32"/>
          <w:szCs w:val="32"/>
        </w:rPr>
        <w:t>2023</w:t>
      </w:r>
      <w:r>
        <w:rPr>
          <w:rFonts w:eastAsia="仿宋_GB2312"/>
          <w:kern w:val="0"/>
          <w:sz w:val="32"/>
          <w:szCs w:val="32"/>
        </w:rPr>
        <w:t>〕</w:t>
      </w:r>
      <w:r>
        <w:rPr>
          <w:rFonts w:eastAsia="仿宋_GB2312"/>
          <w:kern w:val="0"/>
          <w:sz w:val="32"/>
          <w:szCs w:val="32"/>
        </w:rPr>
        <w:t>44</w:t>
      </w:r>
      <w:r>
        <w:rPr>
          <w:rFonts w:eastAsia="仿宋_GB2312"/>
          <w:kern w:val="0"/>
          <w:sz w:val="32"/>
          <w:szCs w:val="32"/>
        </w:rPr>
        <w:t>号）下达资金</w:t>
      </w:r>
      <w:r>
        <w:rPr>
          <w:rFonts w:eastAsia="仿宋_GB2312"/>
          <w:kern w:val="0"/>
          <w:sz w:val="32"/>
          <w:szCs w:val="32"/>
        </w:rPr>
        <w:t>8.8</w:t>
      </w:r>
      <w:r>
        <w:rPr>
          <w:rFonts w:eastAsia="仿宋_GB2312"/>
          <w:kern w:val="0"/>
          <w:sz w:val="32"/>
          <w:szCs w:val="32"/>
        </w:rPr>
        <w:t>万元，以《关于下达市财政局相关工作经费的通知》（攀财资行〔</w:t>
      </w:r>
      <w:r>
        <w:rPr>
          <w:rFonts w:eastAsia="仿宋_GB2312"/>
          <w:kern w:val="0"/>
          <w:sz w:val="32"/>
          <w:szCs w:val="32"/>
        </w:rPr>
        <w:t>20</w:t>
      </w:r>
      <w:r>
        <w:rPr>
          <w:rFonts w:eastAsia="仿宋_GB2312"/>
          <w:kern w:val="0"/>
          <w:sz w:val="32"/>
          <w:szCs w:val="32"/>
        </w:rPr>
        <w:t>23</w:t>
      </w:r>
      <w:r>
        <w:rPr>
          <w:rFonts w:eastAsia="仿宋_GB2312"/>
          <w:kern w:val="0"/>
          <w:sz w:val="32"/>
          <w:szCs w:val="32"/>
        </w:rPr>
        <w:t>〕</w:t>
      </w:r>
      <w:r>
        <w:rPr>
          <w:rFonts w:eastAsia="仿宋_GB2312"/>
          <w:kern w:val="0"/>
          <w:sz w:val="32"/>
          <w:szCs w:val="32"/>
        </w:rPr>
        <w:t>68</w:t>
      </w:r>
      <w:r>
        <w:rPr>
          <w:rFonts w:eastAsia="仿宋_GB2312"/>
          <w:kern w:val="0"/>
          <w:sz w:val="32"/>
          <w:szCs w:val="32"/>
        </w:rPr>
        <w:t>号）下达资金</w:t>
      </w:r>
      <w:r>
        <w:rPr>
          <w:rFonts w:eastAsia="仿宋_GB2312"/>
          <w:kern w:val="0"/>
          <w:sz w:val="32"/>
          <w:szCs w:val="32"/>
        </w:rPr>
        <w:t>84.6314</w:t>
      </w:r>
      <w:r>
        <w:rPr>
          <w:rFonts w:eastAsia="仿宋_GB2312"/>
          <w:kern w:val="0"/>
          <w:sz w:val="32"/>
          <w:szCs w:val="32"/>
        </w:rPr>
        <w:t>万元，共计安排预算资金</w:t>
      </w:r>
      <w:r>
        <w:rPr>
          <w:rFonts w:eastAsia="仿宋_GB2312"/>
          <w:kern w:val="0"/>
          <w:sz w:val="32"/>
          <w:szCs w:val="32"/>
        </w:rPr>
        <w:t>130.2314</w:t>
      </w:r>
      <w:r>
        <w:rPr>
          <w:rFonts w:eastAsia="仿宋_GB2312"/>
          <w:kern w:val="0"/>
          <w:sz w:val="32"/>
          <w:szCs w:val="32"/>
        </w:rPr>
        <w:t>万元。其中评审委托业务费</w:t>
      </w:r>
      <w:r>
        <w:rPr>
          <w:rFonts w:eastAsia="仿宋_GB2312"/>
          <w:kern w:val="0"/>
          <w:sz w:val="32"/>
          <w:szCs w:val="32"/>
        </w:rPr>
        <w:t>87.2314</w:t>
      </w:r>
      <w:r>
        <w:rPr>
          <w:rFonts w:eastAsia="仿宋_GB2312"/>
          <w:kern w:val="0"/>
          <w:sz w:val="32"/>
          <w:szCs w:val="32"/>
        </w:rPr>
        <w:t>万元，用于支付</w:t>
      </w:r>
      <w:r>
        <w:rPr>
          <w:rFonts w:eastAsia="仿宋_GB2312"/>
          <w:kern w:val="0"/>
          <w:sz w:val="32"/>
          <w:szCs w:val="32"/>
        </w:rPr>
        <w:t>10</w:t>
      </w:r>
      <w:r>
        <w:rPr>
          <w:rFonts w:eastAsia="仿宋_GB2312"/>
          <w:kern w:val="0"/>
          <w:sz w:val="32"/>
          <w:szCs w:val="32"/>
        </w:rPr>
        <w:t>家评审协作机构</w:t>
      </w:r>
      <w:r>
        <w:rPr>
          <w:rFonts w:eastAsia="仿宋_GB2312"/>
          <w:kern w:val="0"/>
          <w:sz w:val="32"/>
          <w:szCs w:val="32"/>
        </w:rPr>
        <w:t>18</w:t>
      </w:r>
      <w:r>
        <w:rPr>
          <w:rFonts w:eastAsia="仿宋_GB2312"/>
          <w:kern w:val="0"/>
          <w:sz w:val="32"/>
          <w:szCs w:val="32"/>
        </w:rPr>
        <w:t>个项目评审服务费。评审专家劳务费</w:t>
      </w:r>
      <w:r>
        <w:rPr>
          <w:rFonts w:eastAsia="仿宋_GB2312"/>
          <w:kern w:val="0"/>
          <w:sz w:val="32"/>
          <w:szCs w:val="32"/>
        </w:rPr>
        <w:t>43</w:t>
      </w:r>
      <w:r>
        <w:rPr>
          <w:rFonts w:eastAsia="仿宋_GB2312"/>
          <w:kern w:val="0"/>
          <w:sz w:val="32"/>
          <w:szCs w:val="32"/>
        </w:rPr>
        <w:t>万元，全部用于</w:t>
      </w:r>
      <w:r>
        <w:rPr>
          <w:rFonts w:eastAsia="仿宋_GB2312"/>
          <w:kern w:val="0"/>
          <w:sz w:val="32"/>
          <w:szCs w:val="32"/>
        </w:rPr>
        <w:t>3</w:t>
      </w:r>
      <w:r>
        <w:rPr>
          <w:rFonts w:eastAsia="仿宋_GB2312"/>
          <w:kern w:val="0"/>
          <w:sz w:val="32"/>
          <w:szCs w:val="32"/>
        </w:rPr>
        <w:t>名聘用人员工资薪酬发放。</w:t>
      </w:r>
    </w:p>
    <w:p w:rsidR="00EB6FF2" w:rsidRDefault="0011043E">
      <w:pPr>
        <w:adjustRightInd w:val="0"/>
        <w:snapToGrid w:val="0"/>
        <w:spacing w:line="600" w:lineRule="exact"/>
        <w:ind w:firstLine="720"/>
        <w:rPr>
          <w:rFonts w:eastAsia="仿宋_GB2312"/>
          <w:kern w:val="0"/>
          <w:sz w:val="32"/>
          <w:szCs w:val="32"/>
        </w:rPr>
      </w:pPr>
      <w:r>
        <w:rPr>
          <w:rFonts w:eastAsia="楷体_GB2312"/>
          <w:b/>
          <w:sz w:val="32"/>
          <w:szCs w:val="32"/>
          <w:lang w:val="zh-CN"/>
        </w:rPr>
        <w:t>（四）项目绩效目标设置。</w:t>
      </w:r>
      <w:r>
        <w:rPr>
          <w:rFonts w:eastAsia="仿宋_GB2312"/>
          <w:kern w:val="0"/>
          <w:sz w:val="32"/>
          <w:szCs w:val="32"/>
        </w:rPr>
        <w:t>该项目绩效目标为：完成市财政局相关业务科室委托的市级财政性资金（含转下达中央省专项资金、债券资金、财政支出责任等资金）投资的基本建设项目概（预）算审核工作。计划完成评审项目</w:t>
      </w:r>
      <w:r>
        <w:rPr>
          <w:rFonts w:eastAsia="仿宋_GB2312"/>
          <w:kern w:val="0"/>
          <w:sz w:val="32"/>
          <w:szCs w:val="32"/>
        </w:rPr>
        <w:t>20</w:t>
      </w:r>
      <w:r>
        <w:rPr>
          <w:rFonts w:eastAsia="仿宋_GB2312"/>
          <w:kern w:val="0"/>
          <w:sz w:val="32"/>
          <w:szCs w:val="32"/>
        </w:rPr>
        <w:t>个，评审结论合格率</w:t>
      </w:r>
      <w:r>
        <w:rPr>
          <w:rFonts w:eastAsia="仿宋_GB2312"/>
          <w:kern w:val="0"/>
          <w:sz w:val="32"/>
          <w:szCs w:val="32"/>
        </w:rPr>
        <w:t>≥95%</w:t>
      </w:r>
      <w:r>
        <w:rPr>
          <w:rFonts w:eastAsia="仿宋_GB2312"/>
          <w:kern w:val="0"/>
          <w:sz w:val="32"/>
          <w:szCs w:val="32"/>
        </w:rPr>
        <w:t>，项目主管部门满意度</w:t>
      </w:r>
      <w:r>
        <w:rPr>
          <w:rFonts w:eastAsia="仿宋_GB2312"/>
          <w:kern w:val="0"/>
          <w:sz w:val="32"/>
          <w:szCs w:val="32"/>
        </w:rPr>
        <w:t>≥90%</w:t>
      </w:r>
      <w:r>
        <w:rPr>
          <w:rFonts w:eastAsia="仿宋_GB2312"/>
          <w:kern w:val="0"/>
          <w:sz w:val="32"/>
          <w:szCs w:val="32"/>
        </w:rPr>
        <w:t>。各项目送审后，按照《攀枝花市级</w:t>
      </w:r>
      <w:r>
        <w:rPr>
          <w:rFonts w:eastAsia="仿宋_GB2312"/>
          <w:kern w:val="0"/>
          <w:sz w:val="32"/>
          <w:szCs w:val="32"/>
        </w:rPr>
        <w:t>财政投资评审操作规程》规定的评审时限完成相应的评审</w:t>
      </w:r>
      <w:r>
        <w:rPr>
          <w:rFonts w:eastAsia="仿宋_GB2312"/>
          <w:kern w:val="0"/>
          <w:sz w:val="32"/>
          <w:szCs w:val="32"/>
        </w:rPr>
        <w:lastRenderedPageBreak/>
        <w:t>任务。实际完成评审项目</w:t>
      </w:r>
      <w:r>
        <w:rPr>
          <w:rFonts w:eastAsia="仿宋_GB2312"/>
          <w:kern w:val="0"/>
          <w:sz w:val="32"/>
          <w:szCs w:val="32"/>
        </w:rPr>
        <w:t>22</w:t>
      </w:r>
      <w:r>
        <w:rPr>
          <w:rFonts w:eastAsia="仿宋_GB2312"/>
          <w:kern w:val="0"/>
          <w:sz w:val="32"/>
          <w:szCs w:val="32"/>
        </w:rPr>
        <w:t>个，</w:t>
      </w:r>
      <w:r>
        <w:rPr>
          <w:rFonts w:eastAsia="仿宋_GB2312"/>
          <w:kern w:val="0"/>
          <w:sz w:val="32"/>
          <w:szCs w:val="32"/>
        </w:rPr>
        <w:t xml:space="preserve"> 22</w:t>
      </w:r>
      <w:r>
        <w:rPr>
          <w:rFonts w:eastAsia="仿宋_GB2312"/>
          <w:kern w:val="0"/>
          <w:sz w:val="32"/>
          <w:szCs w:val="32"/>
        </w:rPr>
        <w:t>个项目全部按计划时间完成评审，评审结论合格率</w:t>
      </w:r>
      <w:r>
        <w:rPr>
          <w:rFonts w:eastAsia="仿宋_GB2312"/>
          <w:kern w:val="0"/>
          <w:sz w:val="32"/>
          <w:szCs w:val="32"/>
        </w:rPr>
        <w:t>100%</w:t>
      </w:r>
      <w:r>
        <w:rPr>
          <w:rFonts w:eastAsia="仿宋_GB2312"/>
          <w:kern w:val="0"/>
          <w:sz w:val="32"/>
          <w:szCs w:val="32"/>
        </w:rPr>
        <w:t>。评审经费按照相关文件计算和支付，成本控制较好，项目无资金结余。</w:t>
      </w:r>
    </w:p>
    <w:p w:rsidR="00EB6FF2" w:rsidRDefault="0011043E">
      <w:pPr>
        <w:suppressAutoHyphens/>
        <w:adjustRightInd w:val="0"/>
        <w:snapToGrid w:val="0"/>
        <w:spacing w:line="600" w:lineRule="exact"/>
        <w:ind w:firstLineChars="200" w:firstLine="640"/>
        <w:rPr>
          <w:rFonts w:eastAsia="黑体"/>
          <w:sz w:val="32"/>
          <w:szCs w:val="32"/>
        </w:rPr>
      </w:pPr>
      <w:r>
        <w:rPr>
          <w:rFonts w:eastAsia="黑体"/>
          <w:sz w:val="32"/>
          <w:szCs w:val="32"/>
        </w:rPr>
        <w:t>二、评价实施</w:t>
      </w:r>
    </w:p>
    <w:p w:rsidR="00EB6FF2" w:rsidRDefault="0011043E">
      <w:pPr>
        <w:adjustRightInd w:val="0"/>
        <w:snapToGrid w:val="0"/>
        <w:spacing w:line="600" w:lineRule="exact"/>
        <w:ind w:firstLine="720"/>
        <w:rPr>
          <w:rFonts w:eastAsia="仿宋_GB2312"/>
          <w:b/>
          <w:lang w:val="zh-CN"/>
        </w:rPr>
      </w:pPr>
      <w:r>
        <w:rPr>
          <w:rFonts w:eastAsia="楷体_GB2312"/>
          <w:b/>
          <w:sz w:val="32"/>
          <w:szCs w:val="32"/>
          <w:lang w:val="zh-CN"/>
        </w:rPr>
        <w:t>（一）评价目的。</w:t>
      </w:r>
      <w:r>
        <w:rPr>
          <w:rFonts w:eastAsia="仿宋_GB2312"/>
          <w:kern w:val="0"/>
          <w:sz w:val="32"/>
          <w:szCs w:val="32"/>
        </w:rPr>
        <w:t>项目的实施是有效落实国家对项目预算评审的管理要求，为财政预算管理提供技术支撑，为工程建设提供技术咨询，严格控制项目投资，节约财政资金，有效提高资金使用效率。</w:t>
      </w:r>
    </w:p>
    <w:p w:rsidR="00EB6FF2" w:rsidRDefault="0011043E">
      <w:pPr>
        <w:adjustRightInd w:val="0"/>
        <w:snapToGrid w:val="0"/>
        <w:spacing w:line="600" w:lineRule="exact"/>
        <w:ind w:firstLine="720"/>
        <w:rPr>
          <w:rFonts w:eastAsia="仿宋_GB2312"/>
          <w:lang w:val="zh-CN"/>
        </w:rPr>
      </w:pPr>
      <w:r>
        <w:rPr>
          <w:rFonts w:eastAsia="楷体_GB2312"/>
          <w:b/>
          <w:sz w:val="32"/>
          <w:szCs w:val="32"/>
          <w:lang w:val="zh-CN"/>
        </w:rPr>
        <w:t>（二）预设问题及评价重点。</w:t>
      </w:r>
      <w:r>
        <w:rPr>
          <w:rFonts w:eastAsia="仿宋_GB2312"/>
          <w:kern w:val="0"/>
          <w:sz w:val="32"/>
          <w:szCs w:val="32"/>
          <w:lang w:val="zh-CN"/>
        </w:rPr>
        <w:t>市投资评审中心财务未独立核算，由主管部门市财政局统一核算。评审经费申报及批复下达均符合财政资金管理有关规定，资金到位及时，资金到位率</w:t>
      </w:r>
      <w:r>
        <w:rPr>
          <w:rFonts w:eastAsia="仿宋_GB2312"/>
          <w:kern w:val="0"/>
          <w:sz w:val="32"/>
          <w:szCs w:val="32"/>
          <w:lang w:val="zh-CN"/>
        </w:rPr>
        <w:t>100%</w:t>
      </w:r>
      <w:r>
        <w:rPr>
          <w:rFonts w:eastAsia="仿宋_GB2312"/>
          <w:kern w:val="0"/>
          <w:sz w:val="32"/>
          <w:szCs w:val="32"/>
          <w:lang w:val="zh-CN"/>
        </w:rPr>
        <w:t>，资金支付依据合规合法，资金支付与预算相符，不存在无预算超预算支出的情况。</w:t>
      </w:r>
    </w:p>
    <w:p w:rsidR="00EB6FF2" w:rsidRDefault="0011043E">
      <w:pPr>
        <w:suppressAutoHyphens/>
        <w:adjustRightInd w:val="0"/>
        <w:snapToGrid w:val="0"/>
        <w:spacing w:line="600" w:lineRule="exact"/>
        <w:ind w:firstLineChars="200" w:firstLine="643"/>
        <w:rPr>
          <w:rFonts w:eastAsia="仿宋_GB2312"/>
          <w:kern w:val="0"/>
          <w:sz w:val="32"/>
          <w:szCs w:val="32"/>
          <w:lang w:val="zh-CN"/>
        </w:rPr>
      </w:pPr>
      <w:r>
        <w:rPr>
          <w:rFonts w:eastAsia="楷体_GB2312"/>
          <w:b/>
          <w:sz w:val="32"/>
          <w:szCs w:val="32"/>
          <w:lang w:val="zh-CN"/>
        </w:rPr>
        <w:t>（三）评价选点。</w:t>
      </w:r>
      <w:r>
        <w:rPr>
          <w:rFonts w:eastAsia="仿宋_GB2312"/>
          <w:kern w:val="0"/>
          <w:sz w:val="32"/>
          <w:szCs w:val="32"/>
          <w:lang w:val="zh-CN"/>
        </w:rPr>
        <w:t>项目资金申报内容与具体实施内容相符，均为市级财政资金，全部用于支付评审委托业务费和专家劳务费。</w:t>
      </w:r>
    </w:p>
    <w:p w:rsidR="00EB6FF2" w:rsidRDefault="0011043E">
      <w:pPr>
        <w:suppressAutoHyphens/>
        <w:spacing w:line="600" w:lineRule="exact"/>
        <w:ind w:firstLine="640"/>
        <w:rPr>
          <w:rFonts w:eastAsia="仿宋_GB2312"/>
          <w:kern w:val="0"/>
          <w:sz w:val="32"/>
          <w:szCs w:val="32"/>
          <w:lang w:val="zh-CN"/>
        </w:rPr>
      </w:pPr>
      <w:r>
        <w:rPr>
          <w:rFonts w:eastAsia="楷体_GB2312"/>
          <w:b/>
          <w:sz w:val="32"/>
          <w:szCs w:val="32"/>
          <w:lang w:val="zh-CN"/>
        </w:rPr>
        <w:t>（四）评价方法。</w:t>
      </w:r>
      <w:r>
        <w:rPr>
          <w:rFonts w:eastAsia="仿宋_GB2312"/>
          <w:kern w:val="0"/>
          <w:sz w:val="32"/>
          <w:szCs w:val="32"/>
          <w:lang w:val="zh-CN"/>
        </w:rPr>
        <w:t>市投资评审中心建立评审委托业务费计取和支付台账，根据年度评审工作开展情况向市财政局申报预算，按照项目实际送审金额、基本付费率等进行计算，严格按照市财政局财务管理制度审批</w:t>
      </w:r>
      <w:r>
        <w:rPr>
          <w:rFonts w:eastAsia="仿宋_GB2312"/>
          <w:kern w:val="0"/>
          <w:sz w:val="32"/>
          <w:szCs w:val="32"/>
          <w:lang w:val="zh-CN"/>
        </w:rPr>
        <w:t>和支付评审委托业务费。</w:t>
      </w:r>
      <w:r>
        <w:rPr>
          <w:rFonts w:eastAsia="仿宋_GB2312"/>
          <w:kern w:val="0"/>
          <w:sz w:val="32"/>
          <w:szCs w:val="32"/>
          <w:lang w:val="zh-CN"/>
        </w:rPr>
        <w:t>3</w:t>
      </w:r>
      <w:r>
        <w:rPr>
          <w:rFonts w:eastAsia="仿宋_GB2312"/>
          <w:kern w:val="0"/>
          <w:sz w:val="32"/>
          <w:szCs w:val="32"/>
          <w:lang w:val="zh-CN"/>
        </w:rPr>
        <w:t>名聘用人员的月工资由市财政局按月支付，绩效工资由市投资评审中心会同市财政局人事科对聘用人员进行综合考评，根据考评结果计算发放</w:t>
      </w:r>
      <w:r>
        <w:rPr>
          <w:rFonts w:eastAsia="仿宋_GB2312"/>
          <w:kern w:val="0"/>
          <w:sz w:val="32"/>
          <w:szCs w:val="32"/>
          <w:lang w:val="zh-CN"/>
        </w:rPr>
        <w:lastRenderedPageBreak/>
        <w:t>金额，并报市财政局批准后发放。</w:t>
      </w:r>
    </w:p>
    <w:p w:rsidR="00EB6FF2" w:rsidRDefault="0011043E">
      <w:pPr>
        <w:suppressAutoHyphens/>
        <w:spacing w:line="600" w:lineRule="exact"/>
        <w:ind w:firstLine="640"/>
        <w:rPr>
          <w:rFonts w:eastAsia="仿宋_GB2312"/>
          <w:bCs/>
        </w:rPr>
      </w:pPr>
      <w:r>
        <w:rPr>
          <w:rFonts w:eastAsia="楷体_GB2312"/>
          <w:b/>
          <w:sz w:val="32"/>
          <w:szCs w:val="32"/>
          <w:lang w:val="zh-CN"/>
        </w:rPr>
        <w:t>（五）评价组织。</w:t>
      </w:r>
      <w:r>
        <w:rPr>
          <w:rFonts w:eastAsia="仿宋_GB2312"/>
          <w:kern w:val="0"/>
          <w:sz w:val="32"/>
          <w:szCs w:val="32"/>
          <w:lang w:val="zh-CN"/>
        </w:rPr>
        <w:t>评价组由评审中心相关人员组成，主要职责为相关资料收集、评审经费自评、评价报告撰写等。</w:t>
      </w:r>
    </w:p>
    <w:p w:rsidR="00EB6FF2" w:rsidRDefault="0011043E">
      <w:pPr>
        <w:suppressAutoHyphens/>
        <w:adjustRightInd w:val="0"/>
        <w:snapToGrid w:val="0"/>
        <w:spacing w:line="600" w:lineRule="exact"/>
        <w:ind w:firstLineChars="200" w:firstLine="640"/>
        <w:rPr>
          <w:rFonts w:eastAsia="黑体"/>
          <w:sz w:val="32"/>
          <w:szCs w:val="32"/>
          <w:lang w:val="zh-CN"/>
        </w:rPr>
      </w:pPr>
      <w:r>
        <w:rPr>
          <w:rFonts w:eastAsia="黑体"/>
          <w:sz w:val="32"/>
          <w:szCs w:val="32"/>
        </w:rPr>
        <w:t>三、绩效分析</w:t>
      </w:r>
      <w:r>
        <w:rPr>
          <w:rFonts w:eastAsia="黑体"/>
          <w:sz w:val="32"/>
          <w:szCs w:val="32"/>
          <w:lang w:val="zh-CN"/>
        </w:rPr>
        <w:tab/>
      </w:r>
    </w:p>
    <w:p w:rsidR="00EB6FF2" w:rsidRDefault="0011043E">
      <w:pPr>
        <w:suppressAutoHyphens/>
        <w:spacing w:line="600" w:lineRule="exact"/>
        <w:ind w:firstLine="640"/>
        <w:rPr>
          <w:rFonts w:eastAsia="仿宋_GB2312"/>
          <w:kern w:val="0"/>
          <w:sz w:val="32"/>
          <w:szCs w:val="32"/>
          <w:lang w:val="zh-CN"/>
        </w:rPr>
      </w:pPr>
      <w:r>
        <w:rPr>
          <w:rFonts w:eastAsia="仿宋_GB2312"/>
          <w:kern w:val="0"/>
          <w:sz w:val="32"/>
          <w:szCs w:val="32"/>
          <w:lang w:val="zh-CN"/>
        </w:rPr>
        <w:t>完成市财政局相关业务科室委托的财政评审任务，为业务科室安排项目预算资金提供技术支撑，提高资金使用效益，并根据相关规定计算和支付评审经费，对评审经费的绩效指标进行分析评价。</w:t>
      </w:r>
    </w:p>
    <w:p w:rsidR="00EB6FF2" w:rsidRDefault="0011043E">
      <w:pPr>
        <w:suppressAutoHyphens/>
        <w:spacing w:line="600" w:lineRule="exact"/>
        <w:ind w:firstLine="640"/>
        <w:rPr>
          <w:rFonts w:eastAsia="仿宋_GB2312"/>
          <w:kern w:val="0"/>
          <w:sz w:val="32"/>
          <w:szCs w:val="32"/>
          <w:lang w:val="zh-CN"/>
        </w:rPr>
      </w:pPr>
      <w:r>
        <w:rPr>
          <w:rFonts w:ascii="楷体_GB2312" w:eastAsia="楷体_GB2312" w:hint="eastAsia"/>
          <w:b/>
          <w:sz w:val="32"/>
          <w:szCs w:val="32"/>
        </w:rPr>
        <w:t>（一）项目决策。</w:t>
      </w:r>
      <w:r>
        <w:rPr>
          <w:rFonts w:eastAsia="仿宋_GB2312"/>
          <w:kern w:val="0"/>
          <w:sz w:val="32"/>
          <w:szCs w:val="32"/>
          <w:lang w:val="zh-CN"/>
        </w:rPr>
        <w:t>严格按照《攀枝花市级财政投</w:t>
      </w:r>
      <w:r>
        <w:rPr>
          <w:rFonts w:eastAsia="仿宋_GB2312"/>
          <w:kern w:val="0"/>
          <w:sz w:val="32"/>
          <w:szCs w:val="32"/>
          <w:lang w:val="zh-CN"/>
        </w:rPr>
        <w:t>资评审操作规程》规定的评审时限完成市财政局相关业务科室委托的财政评审任务，委托科室满意度</w:t>
      </w:r>
      <w:r>
        <w:rPr>
          <w:rFonts w:eastAsia="仿宋_GB2312"/>
          <w:kern w:val="0"/>
          <w:sz w:val="32"/>
          <w:szCs w:val="32"/>
          <w:lang w:val="zh-CN"/>
        </w:rPr>
        <w:t>100%</w:t>
      </w:r>
      <w:r>
        <w:rPr>
          <w:rFonts w:eastAsia="仿宋_GB2312"/>
          <w:kern w:val="0"/>
          <w:sz w:val="32"/>
          <w:szCs w:val="32"/>
          <w:lang w:val="zh-CN"/>
        </w:rPr>
        <w:t>。</w:t>
      </w:r>
    </w:p>
    <w:p w:rsidR="00EB6FF2" w:rsidRDefault="0011043E">
      <w:pPr>
        <w:adjustRightInd w:val="0"/>
        <w:snapToGrid w:val="0"/>
        <w:spacing w:line="600" w:lineRule="exact"/>
        <w:ind w:firstLine="720"/>
        <w:rPr>
          <w:rFonts w:eastAsia="仿宋_GB2312"/>
          <w:lang w:val="zh-CN"/>
        </w:rPr>
      </w:pPr>
      <w:r>
        <w:rPr>
          <w:rFonts w:ascii="楷体_GB2312" w:eastAsia="楷体_GB2312" w:hint="eastAsia"/>
          <w:b/>
          <w:sz w:val="32"/>
          <w:szCs w:val="32"/>
        </w:rPr>
        <w:t>（二）项目管理。</w:t>
      </w:r>
      <w:r>
        <w:rPr>
          <w:rFonts w:eastAsia="仿宋_GB2312"/>
          <w:kern w:val="0"/>
          <w:sz w:val="32"/>
          <w:szCs w:val="32"/>
          <w:lang w:val="zh-CN"/>
        </w:rPr>
        <w:t>市投资评审中心严格按照</w:t>
      </w:r>
      <w:r>
        <w:rPr>
          <w:rFonts w:eastAsia="仿宋_GB2312"/>
          <w:kern w:val="0"/>
          <w:sz w:val="32"/>
          <w:szCs w:val="32"/>
          <w:lang w:val="zh-CN"/>
        </w:rPr>
        <w:t>“</w:t>
      </w:r>
      <w:r>
        <w:rPr>
          <w:rFonts w:eastAsia="仿宋_GB2312"/>
          <w:kern w:val="0"/>
          <w:sz w:val="32"/>
          <w:szCs w:val="32"/>
          <w:lang w:val="zh-CN"/>
        </w:rPr>
        <w:t>一个项目一委托</w:t>
      </w:r>
      <w:r>
        <w:rPr>
          <w:rFonts w:eastAsia="仿宋_GB2312"/>
          <w:kern w:val="0"/>
          <w:sz w:val="32"/>
          <w:szCs w:val="32"/>
          <w:lang w:val="zh-CN"/>
        </w:rPr>
        <w:t>”</w:t>
      </w:r>
      <w:r>
        <w:rPr>
          <w:rFonts w:eastAsia="仿宋_GB2312"/>
          <w:kern w:val="0"/>
          <w:sz w:val="32"/>
          <w:szCs w:val="32"/>
          <w:lang w:val="zh-CN"/>
        </w:rPr>
        <w:t>的方式开展评审工作。单个项目评审服务费未达到政府采购限额标准的，采取</w:t>
      </w:r>
      <w:r>
        <w:rPr>
          <w:rFonts w:eastAsia="仿宋_GB2312"/>
          <w:kern w:val="0"/>
          <w:sz w:val="32"/>
          <w:szCs w:val="32"/>
          <w:lang w:val="zh-CN"/>
        </w:rPr>
        <w:t>“</w:t>
      </w:r>
      <w:r>
        <w:rPr>
          <w:rFonts w:eastAsia="仿宋_GB2312"/>
          <w:kern w:val="0"/>
          <w:sz w:val="32"/>
          <w:szCs w:val="32"/>
          <w:lang w:val="zh-CN"/>
        </w:rPr>
        <w:t>一项一抽、随机抽签、共同监督</w:t>
      </w:r>
      <w:r>
        <w:rPr>
          <w:rFonts w:eastAsia="仿宋_GB2312"/>
          <w:kern w:val="0"/>
          <w:sz w:val="32"/>
          <w:szCs w:val="32"/>
          <w:lang w:val="zh-CN"/>
        </w:rPr>
        <w:t>”</w:t>
      </w:r>
      <w:r>
        <w:rPr>
          <w:rFonts w:eastAsia="仿宋_GB2312"/>
          <w:kern w:val="0"/>
          <w:sz w:val="32"/>
          <w:szCs w:val="32"/>
          <w:lang w:val="zh-CN"/>
        </w:rPr>
        <w:t>的方式，在通过资格审核的若干具备从事财政投资项目评审工作的协作机构中抽取机构或是安排聘用人员进行评审；单个项目评审服务费达到政府采购限额标准的，通过政府采购方式确定服务单位开展评审。确定评审服务机构后，通过签订委托协议书或服务合同约定评审范围、评审要求、评</w:t>
      </w:r>
      <w:r>
        <w:rPr>
          <w:rFonts w:eastAsia="仿宋_GB2312"/>
          <w:kern w:val="0"/>
          <w:sz w:val="32"/>
          <w:szCs w:val="32"/>
          <w:lang w:val="zh-CN"/>
        </w:rPr>
        <w:t>审时限、评审服务费计取及支付方式等内容，并按合同约定支付评审服务费。</w:t>
      </w:r>
    </w:p>
    <w:p w:rsidR="00EB6FF2" w:rsidRDefault="0011043E">
      <w:pPr>
        <w:adjustRightInd w:val="0"/>
        <w:snapToGrid w:val="0"/>
        <w:spacing w:line="600" w:lineRule="exact"/>
        <w:ind w:firstLine="720"/>
        <w:rPr>
          <w:rFonts w:eastAsia="仿宋_GB2312"/>
          <w:lang w:val="zh-CN"/>
        </w:rPr>
      </w:pPr>
      <w:r>
        <w:rPr>
          <w:rFonts w:ascii="楷体_GB2312" w:eastAsia="楷体_GB2312" w:hint="eastAsia"/>
          <w:b/>
          <w:sz w:val="32"/>
          <w:szCs w:val="32"/>
        </w:rPr>
        <w:t>（三）项目实施</w:t>
      </w:r>
      <w:r>
        <w:rPr>
          <w:rFonts w:ascii="楷体_GB2312" w:eastAsia="楷体_GB2312" w:hint="eastAsia"/>
          <w:b/>
          <w:kern w:val="0"/>
          <w:sz w:val="32"/>
          <w:szCs w:val="32"/>
          <w:lang w:val="zh-CN"/>
        </w:rPr>
        <w:t>。</w:t>
      </w:r>
      <w:r>
        <w:rPr>
          <w:rFonts w:eastAsia="仿宋_GB2312"/>
          <w:kern w:val="0"/>
          <w:sz w:val="32"/>
          <w:szCs w:val="32"/>
          <w:lang w:val="zh-CN"/>
        </w:rPr>
        <w:t>2023</w:t>
      </w:r>
      <w:r>
        <w:rPr>
          <w:rFonts w:eastAsia="仿宋_GB2312"/>
          <w:kern w:val="0"/>
          <w:sz w:val="32"/>
          <w:szCs w:val="32"/>
          <w:lang w:val="zh-CN"/>
        </w:rPr>
        <w:t>年安排预算资金</w:t>
      </w:r>
      <w:r>
        <w:rPr>
          <w:rFonts w:eastAsia="仿宋_GB2312"/>
          <w:kern w:val="0"/>
          <w:sz w:val="32"/>
          <w:szCs w:val="32"/>
          <w:lang w:val="zh-CN"/>
        </w:rPr>
        <w:t>130.2314</w:t>
      </w:r>
      <w:r>
        <w:rPr>
          <w:rFonts w:eastAsia="仿宋_GB2312"/>
          <w:kern w:val="0"/>
          <w:sz w:val="32"/>
          <w:szCs w:val="32"/>
          <w:lang w:val="zh-CN"/>
        </w:rPr>
        <w:t>万元用于</w:t>
      </w:r>
      <w:r>
        <w:rPr>
          <w:rFonts w:eastAsia="仿宋_GB2312"/>
          <w:kern w:val="0"/>
          <w:sz w:val="32"/>
          <w:szCs w:val="32"/>
          <w:lang w:val="zh-CN"/>
        </w:rPr>
        <w:lastRenderedPageBreak/>
        <w:t>支付评审经费，截至评价时点实际到位资金</w:t>
      </w:r>
      <w:r>
        <w:rPr>
          <w:rFonts w:eastAsia="仿宋_GB2312"/>
          <w:kern w:val="0"/>
          <w:sz w:val="32"/>
          <w:szCs w:val="32"/>
          <w:lang w:val="zh-CN"/>
        </w:rPr>
        <w:t>130.2314</w:t>
      </w:r>
      <w:r>
        <w:rPr>
          <w:rFonts w:eastAsia="仿宋_GB2312"/>
          <w:kern w:val="0"/>
          <w:sz w:val="32"/>
          <w:szCs w:val="32"/>
          <w:lang w:val="zh-CN"/>
        </w:rPr>
        <w:t>万元，资金到位及时，资金到位率</w:t>
      </w:r>
      <w:r>
        <w:rPr>
          <w:rFonts w:eastAsia="仿宋_GB2312"/>
          <w:kern w:val="0"/>
          <w:sz w:val="32"/>
          <w:szCs w:val="32"/>
          <w:lang w:val="zh-CN"/>
        </w:rPr>
        <w:t>100%</w:t>
      </w:r>
      <w:r>
        <w:rPr>
          <w:rFonts w:eastAsia="仿宋_GB2312"/>
          <w:kern w:val="0"/>
          <w:sz w:val="32"/>
          <w:szCs w:val="32"/>
          <w:lang w:val="zh-CN"/>
        </w:rPr>
        <w:t>。全部资金用于支付评审委托业务费</w:t>
      </w:r>
      <w:r>
        <w:rPr>
          <w:rFonts w:eastAsia="仿宋_GB2312"/>
          <w:kern w:val="0"/>
          <w:sz w:val="32"/>
          <w:szCs w:val="32"/>
          <w:lang w:val="zh-CN"/>
        </w:rPr>
        <w:t>87.2314</w:t>
      </w:r>
      <w:r>
        <w:rPr>
          <w:rFonts w:eastAsia="仿宋_GB2312"/>
          <w:kern w:val="0"/>
          <w:sz w:val="32"/>
          <w:szCs w:val="32"/>
          <w:lang w:val="zh-CN"/>
        </w:rPr>
        <w:t>万元，评审专家劳务费</w:t>
      </w:r>
      <w:r>
        <w:rPr>
          <w:rFonts w:eastAsia="仿宋_GB2312"/>
          <w:kern w:val="0"/>
          <w:sz w:val="32"/>
          <w:szCs w:val="32"/>
          <w:lang w:val="zh-CN"/>
        </w:rPr>
        <w:t>43</w:t>
      </w:r>
      <w:r>
        <w:rPr>
          <w:rFonts w:eastAsia="仿宋_GB2312"/>
          <w:kern w:val="0"/>
          <w:sz w:val="32"/>
          <w:szCs w:val="32"/>
          <w:lang w:val="zh-CN"/>
        </w:rPr>
        <w:t>万元，项目无资金结余。</w:t>
      </w:r>
    </w:p>
    <w:p w:rsidR="00EB6FF2" w:rsidRDefault="0011043E">
      <w:pPr>
        <w:adjustRightInd w:val="0"/>
        <w:snapToGrid w:val="0"/>
        <w:spacing w:line="600" w:lineRule="exact"/>
        <w:ind w:firstLine="720"/>
        <w:rPr>
          <w:rFonts w:eastAsia="仿宋_GB2312"/>
          <w:b/>
          <w:lang w:val="zh-CN"/>
        </w:rPr>
      </w:pPr>
      <w:r>
        <w:rPr>
          <w:rFonts w:ascii="楷体_GB2312" w:eastAsia="楷体_GB2312" w:hint="eastAsia"/>
          <w:b/>
          <w:sz w:val="32"/>
          <w:szCs w:val="32"/>
        </w:rPr>
        <w:t>（四）项目结果。</w:t>
      </w:r>
      <w:r>
        <w:rPr>
          <w:rFonts w:eastAsia="仿宋_GB2312"/>
          <w:kern w:val="0"/>
          <w:sz w:val="32"/>
          <w:szCs w:val="32"/>
          <w:lang w:val="zh-CN"/>
        </w:rPr>
        <w:t>预算评审结论为整个项目实施阶段提供投资控制参考，政府投资项目主管部门满意度</w:t>
      </w:r>
      <w:r>
        <w:rPr>
          <w:rFonts w:eastAsia="仿宋_GB2312"/>
          <w:kern w:val="0"/>
          <w:sz w:val="32"/>
          <w:szCs w:val="32"/>
          <w:lang w:val="zh-CN"/>
        </w:rPr>
        <w:t>100%</w:t>
      </w:r>
      <w:r>
        <w:rPr>
          <w:rFonts w:eastAsia="仿宋_GB2312"/>
          <w:kern w:val="0"/>
          <w:sz w:val="32"/>
          <w:szCs w:val="32"/>
          <w:lang w:val="zh-CN"/>
        </w:rPr>
        <w:t>。</w:t>
      </w:r>
    </w:p>
    <w:p w:rsidR="00EB6FF2" w:rsidRDefault="0011043E">
      <w:pPr>
        <w:suppressAutoHyphens/>
        <w:adjustRightInd w:val="0"/>
        <w:snapToGrid w:val="0"/>
        <w:spacing w:line="600" w:lineRule="exact"/>
        <w:ind w:firstLineChars="200" w:firstLine="640"/>
        <w:rPr>
          <w:rFonts w:eastAsia="黑体"/>
          <w:sz w:val="32"/>
          <w:szCs w:val="32"/>
        </w:rPr>
      </w:pPr>
      <w:r>
        <w:rPr>
          <w:rFonts w:eastAsia="黑体"/>
          <w:sz w:val="32"/>
          <w:szCs w:val="32"/>
        </w:rPr>
        <w:t>四、评价结论</w:t>
      </w:r>
    </w:p>
    <w:p w:rsidR="00EB6FF2" w:rsidRDefault="0011043E">
      <w:pPr>
        <w:adjustRightInd w:val="0"/>
        <w:snapToGrid w:val="0"/>
        <w:spacing w:line="600" w:lineRule="exact"/>
        <w:ind w:firstLineChars="200" w:firstLine="640"/>
        <w:rPr>
          <w:rFonts w:eastAsia="仿宋_GB2312"/>
          <w:kern w:val="0"/>
          <w:sz w:val="32"/>
          <w:szCs w:val="32"/>
          <w:lang w:val="zh-CN"/>
        </w:rPr>
      </w:pPr>
      <w:r>
        <w:rPr>
          <w:rFonts w:eastAsia="仿宋_GB2312"/>
          <w:kern w:val="0"/>
          <w:sz w:val="32"/>
          <w:szCs w:val="32"/>
          <w:lang w:val="zh-CN"/>
        </w:rPr>
        <w:t>市财政局财务机构设置合理，财务制度健全完善，项目支出会计核算及账务处理规范。市评审中心根据投资评审工作开展情况，向主管部门市财政局申报评审经费，申报及批复下达均符合财政资金管理有关规定，资金到位及时，支付计算依据合规，资金支付与预算相符，不存在无预算超预算支出的情况。</w:t>
      </w:r>
    </w:p>
    <w:p w:rsidR="00EB6FF2" w:rsidRDefault="0011043E">
      <w:pPr>
        <w:suppressAutoHyphens/>
        <w:adjustRightInd w:val="0"/>
        <w:snapToGrid w:val="0"/>
        <w:spacing w:line="600" w:lineRule="exact"/>
        <w:ind w:firstLineChars="200" w:firstLine="640"/>
        <w:rPr>
          <w:rFonts w:eastAsia="黑体"/>
          <w:sz w:val="32"/>
          <w:szCs w:val="32"/>
        </w:rPr>
      </w:pPr>
      <w:r>
        <w:rPr>
          <w:rFonts w:eastAsia="黑体"/>
          <w:sz w:val="32"/>
          <w:szCs w:val="32"/>
        </w:rPr>
        <w:t>五、存在主要问题</w:t>
      </w:r>
    </w:p>
    <w:p w:rsidR="00EB6FF2" w:rsidRDefault="0011043E">
      <w:pPr>
        <w:adjustRightInd w:val="0"/>
        <w:snapToGrid w:val="0"/>
        <w:spacing w:line="600" w:lineRule="exact"/>
        <w:ind w:firstLine="720"/>
        <w:rPr>
          <w:rFonts w:eastAsia="仿宋_GB2312"/>
          <w:kern w:val="0"/>
          <w:sz w:val="32"/>
          <w:szCs w:val="32"/>
          <w:lang w:val="zh-CN"/>
        </w:rPr>
      </w:pPr>
      <w:r>
        <w:rPr>
          <w:rFonts w:eastAsia="仿宋_GB2312"/>
          <w:kern w:val="0"/>
          <w:sz w:val="32"/>
          <w:szCs w:val="32"/>
          <w:lang w:val="zh-CN"/>
        </w:rPr>
        <w:t>一是财政投资评审工作主要依靠专业技术人员利用专业技术手段对工程项目进行评审，由于市投资评审中心人员编制少，专业力量薄弱，聘用人员流动性大，中介机构实力良莠不齐，一定程度上影响了评审时效与评审质量。</w:t>
      </w:r>
    </w:p>
    <w:p w:rsidR="00EB6FF2" w:rsidRDefault="0011043E">
      <w:pPr>
        <w:adjustRightInd w:val="0"/>
        <w:snapToGrid w:val="0"/>
        <w:spacing w:line="600" w:lineRule="exact"/>
        <w:ind w:firstLineChars="200" w:firstLine="640"/>
        <w:rPr>
          <w:rFonts w:eastAsia="仿宋_GB2312"/>
          <w:kern w:val="0"/>
          <w:sz w:val="32"/>
          <w:szCs w:val="32"/>
          <w:lang w:val="zh-CN"/>
        </w:rPr>
      </w:pPr>
      <w:r>
        <w:rPr>
          <w:rFonts w:eastAsia="仿宋_GB2312"/>
          <w:kern w:val="0"/>
          <w:sz w:val="32"/>
          <w:szCs w:val="32"/>
          <w:lang w:val="zh-CN"/>
        </w:rPr>
        <w:t>二是年度所需评审经费未全额</w:t>
      </w:r>
      <w:r>
        <w:rPr>
          <w:rFonts w:eastAsia="仿宋_GB2312"/>
          <w:kern w:val="0"/>
          <w:sz w:val="32"/>
          <w:szCs w:val="32"/>
          <w:lang w:val="zh-CN"/>
        </w:rPr>
        <w:t>纳入年初部门预算予以保障。</w:t>
      </w:r>
    </w:p>
    <w:p w:rsidR="00EB6FF2" w:rsidRDefault="0011043E">
      <w:pPr>
        <w:tabs>
          <w:tab w:val="left" w:pos="2160"/>
        </w:tabs>
        <w:suppressAutoHyphens/>
        <w:spacing w:line="600" w:lineRule="exact"/>
        <w:ind w:firstLineChars="200" w:firstLine="640"/>
        <w:rPr>
          <w:rFonts w:eastAsia="黑体"/>
          <w:kern w:val="0"/>
          <w:position w:val="3"/>
          <w:sz w:val="32"/>
          <w:szCs w:val="32"/>
          <w:lang w:val="zh-CN"/>
        </w:rPr>
      </w:pPr>
      <w:r>
        <w:rPr>
          <w:rFonts w:eastAsia="黑体"/>
          <w:kern w:val="0"/>
          <w:position w:val="3"/>
          <w:sz w:val="32"/>
          <w:szCs w:val="32"/>
          <w:lang w:val="zh-CN"/>
        </w:rPr>
        <w:t>六、改进建议</w:t>
      </w:r>
    </w:p>
    <w:p w:rsidR="00EB6FF2" w:rsidRDefault="0011043E">
      <w:pPr>
        <w:adjustRightInd w:val="0"/>
        <w:snapToGrid w:val="0"/>
        <w:spacing w:line="600" w:lineRule="exact"/>
        <w:ind w:firstLine="720"/>
        <w:rPr>
          <w:rFonts w:eastAsia="仿宋_GB2312"/>
          <w:kern w:val="0"/>
          <w:sz w:val="32"/>
          <w:szCs w:val="32"/>
          <w:lang w:val="zh-CN"/>
        </w:rPr>
      </w:pPr>
      <w:r>
        <w:rPr>
          <w:rFonts w:eastAsia="仿宋_GB2312"/>
          <w:kern w:val="0"/>
          <w:sz w:val="32"/>
          <w:szCs w:val="32"/>
          <w:lang w:val="zh-CN"/>
        </w:rPr>
        <w:t>一是相关部门重视财政投资评审工作，充实市级财政评审专业力量，加强评审人才的培养，不断提升评审人员的综合素质水平。</w:t>
      </w:r>
    </w:p>
    <w:p w:rsidR="00EB6FF2" w:rsidRDefault="0011043E">
      <w:pPr>
        <w:adjustRightInd w:val="0"/>
        <w:snapToGrid w:val="0"/>
        <w:spacing w:line="600" w:lineRule="exact"/>
        <w:ind w:firstLine="720"/>
        <w:rPr>
          <w:rFonts w:eastAsia="仿宋_GB2312"/>
          <w:kern w:val="0"/>
          <w:sz w:val="32"/>
          <w:szCs w:val="32"/>
          <w:lang w:val="zh-CN"/>
        </w:rPr>
      </w:pPr>
      <w:r>
        <w:rPr>
          <w:rFonts w:eastAsia="仿宋_GB2312"/>
          <w:kern w:val="0"/>
          <w:sz w:val="32"/>
          <w:szCs w:val="32"/>
          <w:lang w:val="zh-CN"/>
        </w:rPr>
        <w:lastRenderedPageBreak/>
        <w:t>二是市财政局结合财力情况，将年度所需评审经费纳入年初部门预算足额保障。</w:t>
      </w:r>
    </w:p>
    <w:p w:rsidR="00EB6FF2" w:rsidRDefault="00EB6FF2">
      <w:pPr>
        <w:tabs>
          <w:tab w:val="left" w:pos="1911"/>
        </w:tabs>
        <w:suppressAutoHyphens/>
        <w:spacing w:line="600" w:lineRule="exact"/>
        <w:jc w:val="left"/>
        <w:rPr>
          <w:rFonts w:eastAsia="仿宋_GB2312"/>
          <w:color w:val="000000"/>
          <w:kern w:val="0"/>
          <w:szCs w:val="32"/>
          <w:shd w:val="clear" w:color="auto" w:fill="FFFFFF"/>
        </w:rPr>
      </w:pPr>
    </w:p>
    <w:p w:rsidR="00EB6FF2" w:rsidRDefault="00EB6FF2">
      <w:pPr>
        <w:suppressAutoHyphens/>
        <w:autoSpaceDE w:val="0"/>
        <w:autoSpaceDN w:val="0"/>
        <w:adjustRightInd w:val="0"/>
        <w:spacing w:line="600" w:lineRule="exact"/>
        <w:ind w:firstLineChars="200" w:firstLine="643"/>
        <w:rPr>
          <w:rFonts w:eastAsia="仿宋_GB2312"/>
          <w:b/>
          <w:sz w:val="32"/>
          <w:szCs w:val="32"/>
        </w:rPr>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EB6FF2">
      <w:pPr>
        <w:pStyle w:val="a0"/>
        <w:spacing w:before="93"/>
      </w:pPr>
    </w:p>
    <w:p w:rsidR="00EB6FF2" w:rsidRDefault="0011043E">
      <w:pPr>
        <w:suppressAutoHyphens/>
        <w:spacing w:line="578" w:lineRule="exact"/>
        <w:jc w:val="center"/>
        <w:rPr>
          <w:rFonts w:eastAsia="方正小标宋_GBK"/>
          <w:sz w:val="44"/>
          <w:szCs w:val="44"/>
        </w:rPr>
      </w:pPr>
      <w:r>
        <w:rPr>
          <w:rFonts w:eastAsia="方正小标宋_GBK"/>
          <w:sz w:val="44"/>
          <w:szCs w:val="44"/>
        </w:rPr>
        <w:lastRenderedPageBreak/>
        <w:t>市本级资产项目评估费和法律尽调费</w:t>
      </w:r>
    </w:p>
    <w:p w:rsidR="00EB6FF2" w:rsidRDefault="0011043E">
      <w:pPr>
        <w:suppressAutoHyphens/>
        <w:spacing w:line="578" w:lineRule="exact"/>
        <w:jc w:val="center"/>
        <w:rPr>
          <w:rFonts w:eastAsia="方正小标宋_GBK"/>
          <w:sz w:val="44"/>
          <w:szCs w:val="44"/>
        </w:rPr>
      </w:pPr>
      <w:r>
        <w:rPr>
          <w:rFonts w:eastAsia="方正小标宋_GBK"/>
          <w:sz w:val="44"/>
          <w:szCs w:val="44"/>
        </w:rPr>
        <w:t>专项预算项目绩效评价报告</w:t>
      </w:r>
    </w:p>
    <w:p w:rsidR="00EB6FF2" w:rsidRDefault="00EB6FF2">
      <w:pPr>
        <w:suppressAutoHyphens/>
        <w:spacing w:line="578" w:lineRule="exact"/>
        <w:ind w:firstLine="640"/>
        <w:jc w:val="center"/>
        <w:rPr>
          <w:rFonts w:eastAsia="仿宋_GB2312"/>
          <w:sz w:val="32"/>
          <w:szCs w:val="32"/>
        </w:rPr>
      </w:pPr>
    </w:p>
    <w:p w:rsidR="00EB6FF2" w:rsidRDefault="0011043E">
      <w:pPr>
        <w:suppressAutoHyphens/>
        <w:adjustRightInd w:val="0"/>
        <w:snapToGrid w:val="0"/>
        <w:spacing w:line="600" w:lineRule="exact"/>
        <w:ind w:firstLineChars="200" w:firstLine="640"/>
        <w:rPr>
          <w:rFonts w:eastAsia="黑体"/>
          <w:sz w:val="32"/>
          <w:szCs w:val="32"/>
          <w:lang w:val="zh-CN"/>
        </w:rPr>
      </w:pPr>
      <w:r>
        <w:rPr>
          <w:rFonts w:eastAsia="黑体"/>
          <w:sz w:val="32"/>
          <w:szCs w:val="32"/>
        </w:rPr>
        <w:t>一、</w:t>
      </w:r>
      <w:r>
        <w:rPr>
          <w:rFonts w:eastAsia="黑体"/>
          <w:sz w:val="32"/>
          <w:szCs w:val="32"/>
          <w:lang w:val="zh-CN"/>
        </w:rPr>
        <w:t>项目概况</w:t>
      </w:r>
    </w:p>
    <w:p w:rsidR="00EB6FF2" w:rsidRDefault="0011043E">
      <w:pPr>
        <w:spacing w:line="600" w:lineRule="exact"/>
        <w:ind w:firstLineChars="200" w:firstLine="643"/>
        <w:rPr>
          <w:rFonts w:eastAsia="仿宋_GB2312"/>
          <w:sz w:val="32"/>
          <w:szCs w:val="32"/>
        </w:rPr>
      </w:pPr>
      <w:r>
        <w:rPr>
          <w:rFonts w:eastAsia="楷体_GB2312"/>
          <w:b/>
          <w:sz w:val="32"/>
          <w:szCs w:val="32"/>
          <w:lang w:val="zh-CN"/>
        </w:rPr>
        <w:t>（一）设立背景及基本情况。</w:t>
      </w:r>
      <w:r>
        <w:rPr>
          <w:rFonts w:eastAsia="仿宋_GB2312"/>
          <w:sz w:val="32"/>
          <w:szCs w:val="32"/>
          <w:lang w:val="zh-CN"/>
        </w:rPr>
        <w:t>为合法合规处置国有资产以及为市委、市政府出让特许经营权提供参考。</w:t>
      </w:r>
      <w:r>
        <w:rPr>
          <w:rFonts w:eastAsia="仿宋_GB2312"/>
          <w:sz w:val="32"/>
          <w:szCs w:val="32"/>
        </w:rPr>
        <w:t>按照资产处置工作安排，通过竞争性磋商，分别聘请了选取</w:t>
      </w:r>
      <w:r>
        <w:rPr>
          <w:rFonts w:eastAsia="仿宋_GB2312"/>
          <w:color w:val="000000"/>
          <w:sz w:val="32"/>
          <w:szCs w:val="28"/>
        </w:rPr>
        <w:t>四川正元信房地产土地资产评估有限公司为</w:t>
      </w:r>
      <w:r>
        <w:rPr>
          <w:rFonts w:eastAsia="仿宋_GB2312"/>
          <w:bCs/>
          <w:color w:val="000000"/>
          <w:kern w:val="0"/>
          <w:sz w:val="32"/>
          <w:szCs w:val="28"/>
        </w:rPr>
        <w:t>攀枝花市国家物流枢纽充换电基础设施项目</w:t>
      </w:r>
      <w:r>
        <w:rPr>
          <w:rFonts w:eastAsia="仿宋_GB2312"/>
          <w:sz w:val="32"/>
          <w:szCs w:val="32"/>
        </w:rPr>
        <w:t>资产评估，四川华光房地产评估有限公司（现更名为</w:t>
      </w:r>
      <w:r>
        <w:rPr>
          <w:rFonts w:eastAsia="仿宋_GB2312"/>
          <w:sz w:val="32"/>
          <w:szCs w:val="32"/>
        </w:rPr>
        <w:t>“</w:t>
      </w:r>
      <w:r>
        <w:rPr>
          <w:rFonts w:eastAsia="仿宋_GB2312"/>
          <w:sz w:val="32"/>
          <w:szCs w:val="32"/>
        </w:rPr>
        <w:t>四川华光房地产土地资产评估有限公司</w:t>
      </w:r>
      <w:r>
        <w:rPr>
          <w:rFonts w:eastAsia="仿宋_GB2312"/>
          <w:sz w:val="32"/>
          <w:szCs w:val="32"/>
        </w:rPr>
        <w:t>”</w:t>
      </w:r>
      <w:r>
        <w:rPr>
          <w:rFonts w:eastAsia="仿宋_GB2312"/>
          <w:sz w:val="32"/>
          <w:szCs w:val="32"/>
        </w:rPr>
        <w:t>）开展</w:t>
      </w:r>
      <w:r>
        <w:rPr>
          <w:rFonts w:eastAsia="仿宋_GB2312"/>
          <w:sz w:val="32"/>
          <w:szCs w:val="32"/>
        </w:rPr>
        <w:t>“9.06”</w:t>
      </w:r>
      <w:r>
        <w:rPr>
          <w:rFonts w:eastAsia="仿宋_GB2312"/>
          <w:sz w:val="32"/>
          <w:szCs w:val="32"/>
        </w:rPr>
        <w:t>涉黑案件罚没资产法律尽调。</w:t>
      </w:r>
      <w:r>
        <w:rPr>
          <w:rFonts w:eastAsia="仿宋_GB2312"/>
          <w:kern w:val="0"/>
          <w:sz w:val="32"/>
          <w:szCs w:val="32"/>
        </w:rPr>
        <w:t>市财政局作为项目主管部门，实施该项目。</w:t>
      </w:r>
    </w:p>
    <w:p w:rsidR="00EB6FF2" w:rsidRDefault="0011043E">
      <w:pPr>
        <w:suppressAutoHyphens/>
        <w:adjustRightInd w:val="0"/>
        <w:snapToGrid w:val="0"/>
        <w:spacing w:line="600" w:lineRule="exact"/>
        <w:ind w:firstLineChars="200" w:firstLine="643"/>
        <w:rPr>
          <w:rFonts w:eastAsia="仿宋_GB2312"/>
          <w:kern w:val="0"/>
          <w:sz w:val="32"/>
          <w:szCs w:val="32"/>
          <w:lang w:val="zh-CN"/>
        </w:rPr>
      </w:pPr>
      <w:r>
        <w:rPr>
          <w:rFonts w:eastAsia="楷体_GB2312"/>
          <w:b/>
          <w:sz w:val="32"/>
          <w:szCs w:val="32"/>
          <w:lang w:val="zh-CN"/>
        </w:rPr>
        <w:t>（二）</w:t>
      </w:r>
      <w:r>
        <w:rPr>
          <w:rFonts w:eastAsia="楷体_GB2312"/>
          <w:b/>
          <w:sz w:val="32"/>
          <w:szCs w:val="32"/>
        </w:rPr>
        <w:t>实施目的及支持方向。</w:t>
      </w:r>
      <w:r>
        <w:rPr>
          <w:rFonts w:eastAsia="仿宋_GB2312"/>
          <w:kern w:val="0"/>
          <w:sz w:val="32"/>
          <w:szCs w:val="32"/>
        </w:rPr>
        <w:t>项目资金</w:t>
      </w:r>
      <w:r>
        <w:rPr>
          <w:rFonts w:eastAsia="仿宋_GB2312"/>
          <w:kern w:val="0"/>
          <w:sz w:val="32"/>
          <w:szCs w:val="32"/>
          <w:lang w:val="zh-CN"/>
        </w:rPr>
        <w:t>管理按市财政局财务管理制度，严格资金分配。</w:t>
      </w:r>
      <w:r>
        <w:rPr>
          <w:rFonts w:eastAsia="仿宋_GB2312"/>
          <w:kern w:val="0"/>
          <w:sz w:val="32"/>
          <w:szCs w:val="32"/>
        </w:rPr>
        <w:t>四川华光房地产评估有限公司及四川正元信房地产土地资产评估有限公司按合同要求按时完成绩效目标，完成对攀枝花市国家物流枢纽充换电基础设施项目特许经营权资产评估及</w:t>
      </w:r>
      <w:r>
        <w:rPr>
          <w:rFonts w:eastAsia="仿宋_GB2312"/>
          <w:kern w:val="0"/>
          <w:sz w:val="32"/>
          <w:szCs w:val="32"/>
        </w:rPr>
        <w:t>“9.06”</w:t>
      </w:r>
      <w:r>
        <w:rPr>
          <w:rFonts w:eastAsia="仿宋_GB2312"/>
          <w:kern w:val="0"/>
          <w:sz w:val="32"/>
          <w:szCs w:val="32"/>
        </w:rPr>
        <w:t>涉黑案件罚没资产法律尽调</w:t>
      </w:r>
      <w:r>
        <w:rPr>
          <w:rFonts w:eastAsia="仿宋_GB2312"/>
          <w:kern w:val="0"/>
          <w:sz w:val="32"/>
          <w:szCs w:val="32"/>
        </w:rPr>
        <w:t>项目，并出具评估报告</w:t>
      </w:r>
      <w:r>
        <w:rPr>
          <w:rFonts w:eastAsia="仿宋_GB2312"/>
          <w:kern w:val="0"/>
          <w:sz w:val="32"/>
          <w:szCs w:val="32"/>
        </w:rPr>
        <w:t>2</w:t>
      </w:r>
      <w:r>
        <w:rPr>
          <w:rFonts w:eastAsia="仿宋_GB2312"/>
          <w:kern w:val="0"/>
          <w:sz w:val="32"/>
          <w:szCs w:val="32"/>
        </w:rPr>
        <w:t>个。</w:t>
      </w:r>
    </w:p>
    <w:p w:rsidR="00EB6FF2" w:rsidRDefault="0011043E">
      <w:pPr>
        <w:spacing w:line="600" w:lineRule="exact"/>
        <w:ind w:firstLineChars="200" w:firstLine="643"/>
        <w:rPr>
          <w:rFonts w:eastAsia="仿宋_GB2312"/>
          <w:sz w:val="32"/>
          <w:szCs w:val="32"/>
        </w:rPr>
      </w:pPr>
      <w:r>
        <w:rPr>
          <w:rFonts w:eastAsia="楷体_GB2312"/>
          <w:b/>
          <w:sz w:val="32"/>
          <w:szCs w:val="32"/>
          <w:lang w:val="zh-CN"/>
        </w:rPr>
        <w:t>（三）</w:t>
      </w:r>
      <w:r>
        <w:rPr>
          <w:rFonts w:eastAsia="楷体_GB2312"/>
          <w:b/>
          <w:sz w:val="32"/>
          <w:szCs w:val="32"/>
        </w:rPr>
        <w:t>预算安排及分配管理</w:t>
      </w:r>
      <w:r>
        <w:rPr>
          <w:rFonts w:eastAsia="楷体_GB2312"/>
          <w:b/>
          <w:sz w:val="32"/>
          <w:szCs w:val="32"/>
          <w:lang w:val="zh-CN"/>
        </w:rPr>
        <w:t>。</w:t>
      </w:r>
      <w:r>
        <w:rPr>
          <w:rFonts w:eastAsia="仿宋_GB2312"/>
          <w:bCs/>
          <w:color w:val="000000"/>
          <w:kern w:val="0"/>
          <w:sz w:val="32"/>
          <w:szCs w:val="28"/>
        </w:rPr>
        <w:t>攀枝花市国家物流枢纽充换电基础设施项目</w:t>
      </w:r>
      <w:r>
        <w:rPr>
          <w:rFonts w:eastAsia="仿宋_GB2312"/>
          <w:sz w:val="32"/>
          <w:szCs w:val="32"/>
        </w:rPr>
        <w:t>资产评估已完成并出具评估报告，相关评估费用</w:t>
      </w:r>
      <w:r>
        <w:rPr>
          <w:rFonts w:eastAsia="仿宋_GB2312"/>
          <w:sz w:val="32"/>
          <w:szCs w:val="32"/>
        </w:rPr>
        <w:t>16.2</w:t>
      </w:r>
      <w:r>
        <w:rPr>
          <w:rFonts w:eastAsia="仿宋_GB2312"/>
          <w:sz w:val="32"/>
          <w:szCs w:val="32"/>
        </w:rPr>
        <w:t>万元，根据相关合同约定本次安排</w:t>
      </w:r>
      <w:r>
        <w:rPr>
          <w:rFonts w:eastAsia="仿宋_GB2312"/>
          <w:sz w:val="32"/>
          <w:szCs w:val="32"/>
        </w:rPr>
        <w:t>8.2</w:t>
      </w:r>
      <w:r>
        <w:rPr>
          <w:rFonts w:eastAsia="仿宋_GB2312"/>
          <w:sz w:val="32"/>
          <w:szCs w:val="32"/>
        </w:rPr>
        <w:t>万元；</w:t>
      </w:r>
      <w:r>
        <w:rPr>
          <w:rFonts w:eastAsia="仿宋_GB2312"/>
          <w:sz w:val="32"/>
          <w:szCs w:val="32"/>
        </w:rPr>
        <w:t>“9.06”</w:t>
      </w:r>
      <w:r>
        <w:rPr>
          <w:rFonts w:eastAsia="仿宋_GB2312"/>
          <w:sz w:val="32"/>
          <w:szCs w:val="32"/>
        </w:rPr>
        <w:t>涉黑案件罚没资产法律尽调已完成并出具尽调报告，相关法律尽调费用</w:t>
      </w:r>
      <w:r>
        <w:rPr>
          <w:rFonts w:eastAsia="仿宋_GB2312"/>
          <w:sz w:val="32"/>
          <w:szCs w:val="32"/>
        </w:rPr>
        <w:lastRenderedPageBreak/>
        <w:t>合同总金额</w:t>
      </w:r>
      <w:r>
        <w:rPr>
          <w:rFonts w:eastAsia="仿宋_GB2312"/>
          <w:sz w:val="32"/>
          <w:szCs w:val="32"/>
        </w:rPr>
        <w:t>29</w:t>
      </w:r>
      <w:r>
        <w:rPr>
          <w:rFonts w:eastAsia="仿宋_GB2312"/>
          <w:sz w:val="32"/>
          <w:szCs w:val="32"/>
        </w:rPr>
        <w:t>万元，按照相关合同约定本次安排</w:t>
      </w:r>
      <w:r>
        <w:rPr>
          <w:rFonts w:eastAsia="仿宋_GB2312"/>
          <w:sz w:val="32"/>
          <w:szCs w:val="32"/>
        </w:rPr>
        <w:t>25</w:t>
      </w:r>
      <w:r>
        <w:rPr>
          <w:rFonts w:eastAsia="仿宋_GB2312"/>
          <w:sz w:val="32"/>
          <w:szCs w:val="32"/>
        </w:rPr>
        <w:t>万元。以上两项评估费共计</w:t>
      </w:r>
      <w:r>
        <w:rPr>
          <w:rFonts w:eastAsia="仿宋_GB2312"/>
          <w:sz w:val="32"/>
          <w:szCs w:val="32"/>
        </w:rPr>
        <w:t>33.2</w:t>
      </w:r>
      <w:r>
        <w:rPr>
          <w:rFonts w:eastAsia="仿宋_GB2312"/>
          <w:sz w:val="32"/>
          <w:szCs w:val="32"/>
        </w:rPr>
        <w:t>万元，并于</w:t>
      </w:r>
      <w:r>
        <w:rPr>
          <w:rFonts w:eastAsia="仿宋_GB2312"/>
          <w:sz w:val="32"/>
          <w:szCs w:val="32"/>
        </w:rPr>
        <w:t>2023</w:t>
      </w:r>
      <w:r>
        <w:rPr>
          <w:rFonts w:eastAsia="仿宋_GB2312"/>
          <w:sz w:val="32"/>
          <w:szCs w:val="32"/>
        </w:rPr>
        <w:t>年报经市财政局党组会议同意安排。</w:t>
      </w:r>
    </w:p>
    <w:p w:rsidR="00EB6FF2" w:rsidRDefault="0011043E">
      <w:pPr>
        <w:spacing w:line="600" w:lineRule="exact"/>
        <w:ind w:firstLineChars="200" w:firstLine="643"/>
        <w:rPr>
          <w:rFonts w:eastAsia="仿宋_GB2312"/>
          <w:sz w:val="32"/>
          <w:szCs w:val="32"/>
          <w:lang w:val="zh-CN"/>
        </w:rPr>
      </w:pPr>
      <w:r>
        <w:rPr>
          <w:rFonts w:eastAsia="楷体_GB2312"/>
          <w:b/>
          <w:sz w:val="32"/>
          <w:szCs w:val="32"/>
          <w:lang w:val="zh-CN"/>
        </w:rPr>
        <w:t>（四）项目绩效目标设置。</w:t>
      </w:r>
      <w:r>
        <w:rPr>
          <w:rFonts w:eastAsia="仿宋_GB2312"/>
          <w:bCs/>
          <w:color w:val="000000"/>
          <w:kern w:val="0"/>
          <w:sz w:val="32"/>
          <w:szCs w:val="28"/>
        </w:rPr>
        <w:t>攀枝花市国家物流枢纽充换电基础设施项目</w:t>
      </w:r>
      <w:r>
        <w:rPr>
          <w:rFonts w:eastAsia="仿宋_GB2312"/>
          <w:sz w:val="32"/>
          <w:szCs w:val="32"/>
        </w:rPr>
        <w:t>资产评估完成并出具评估报告；</w:t>
      </w:r>
      <w:r>
        <w:rPr>
          <w:rFonts w:eastAsia="仿宋_GB2312"/>
          <w:sz w:val="32"/>
          <w:szCs w:val="32"/>
        </w:rPr>
        <w:t>“9.06”</w:t>
      </w:r>
      <w:r>
        <w:rPr>
          <w:rFonts w:eastAsia="仿宋_GB2312"/>
          <w:sz w:val="32"/>
          <w:szCs w:val="32"/>
        </w:rPr>
        <w:t>涉黑案件罚没资产法律</w:t>
      </w:r>
      <w:r>
        <w:rPr>
          <w:rFonts w:eastAsia="仿宋_GB2312"/>
          <w:sz w:val="32"/>
          <w:szCs w:val="32"/>
        </w:rPr>
        <w:t>尽调出具尽调报告</w:t>
      </w:r>
      <w:r>
        <w:rPr>
          <w:rFonts w:eastAsia="仿宋_GB2312"/>
          <w:sz w:val="32"/>
          <w:szCs w:val="32"/>
          <w:lang w:val="zh-CN"/>
        </w:rPr>
        <w:t>。出具报告采用率</w:t>
      </w:r>
      <w:r>
        <w:rPr>
          <w:rFonts w:eastAsia="仿宋_GB2312"/>
          <w:sz w:val="32"/>
          <w:szCs w:val="32"/>
          <w:lang w:val="zh-CN"/>
        </w:rPr>
        <w:t>95%</w:t>
      </w:r>
      <w:r>
        <w:rPr>
          <w:rFonts w:eastAsia="仿宋_GB2312"/>
          <w:sz w:val="32"/>
          <w:szCs w:val="32"/>
          <w:lang w:val="zh-CN"/>
        </w:rPr>
        <w:t>以上。</w:t>
      </w:r>
    </w:p>
    <w:p w:rsidR="00EB6FF2" w:rsidRDefault="0011043E">
      <w:pPr>
        <w:suppressAutoHyphens/>
        <w:adjustRightInd w:val="0"/>
        <w:snapToGrid w:val="0"/>
        <w:spacing w:line="600" w:lineRule="exact"/>
        <w:ind w:firstLineChars="200" w:firstLine="640"/>
        <w:rPr>
          <w:rFonts w:eastAsia="黑体"/>
          <w:sz w:val="32"/>
          <w:szCs w:val="32"/>
        </w:rPr>
      </w:pPr>
      <w:r>
        <w:rPr>
          <w:rFonts w:eastAsia="黑体"/>
          <w:sz w:val="32"/>
          <w:szCs w:val="32"/>
        </w:rPr>
        <w:t>二、评价实施</w:t>
      </w:r>
    </w:p>
    <w:p w:rsidR="00EB6FF2" w:rsidRDefault="0011043E">
      <w:pPr>
        <w:suppressAutoHyphens/>
        <w:spacing w:line="600" w:lineRule="exact"/>
        <w:ind w:firstLine="640"/>
        <w:rPr>
          <w:rFonts w:eastAsia="仿宋_GB2312"/>
          <w:kern w:val="0"/>
          <w:sz w:val="32"/>
          <w:szCs w:val="32"/>
          <w:lang w:val="zh-CN"/>
        </w:rPr>
      </w:pPr>
      <w:r>
        <w:rPr>
          <w:rFonts w:eastAsia="楷体_GB2312"/>
          <w:b/>
          <w:sz w:val="32"/>
          <w:szCs w:val="32"/>
          <w:lang w:val="zh-CN"/>
        </w:rPr>
        <w:t>（一）评价目的。</w:t>
      </w:r>
      <w:r>
        <w:rPr>
          <w:rFonts w:eastAsia="仿宋_GB2312"/>
          <w:kern w:val="0"/>
          <w:sz w:val="32"/>
          <w:szCs w:val="32"/>
          <w:lang w:val="zh-CN"/>
        </w:rPr>
        <w:t>通过项目绩效自评，监控项目实施是否达到预计效果。</w:t>
      </w:r>
    </w:p>
    <w:p w:rsidR="00EB6FF2" w:rsidRDefault="0011043E">
      <w:pPr>
        <w:suppressAutoHyphens/>
        <w:adjustRightInd w:val="0"/>
        <w:snapToGrid w:val="0"/>
        <w:spacing w:line="600" w:lineRule="exact"/>
        <w:ind w:firstLineChars="200" w:firstLine="643"/>
        <w:rPr>
          <w:rFonts w:eastAsia="仿宋_GB2312"/>
          <w:kern w:val="0"/>
          <w:sz w:val="32"/>
          <w:szCs w:val="32"/>
          <w:lang w:val="zh-CN"/>
        </w:rPr>
      </w:pPr>
      <w:r>
        <w:rPr>
          <w:rFonts w:eastAsia="楷体_GB2312"/>
          <w:b/>
          <w:sz w:val="32"/>
          <w:szCs w:val="32"/>
          <w:lang w:val="zh-CN"/>
        </w:rPr>
        <w:t>（二）预设问题及评价重点。</w:t>
      </w:r>
      <w:r>
        <w:rPr>
          <w:rFonts w:eastAsia="仿宋_GB2312"/>
          <w:kern w:val="0"/>
          <w:sz w:val="32"/>
          <w:szCs w:val="32"/>
          <w:lang w:val="zh-CN"/>
        </w:rPr>
        <w:t>按照绩效评价指标体系，对资金支出使用全过程中，资金拨付与项目进度匹配，项目最终实施是否达到原计划。</w:t>
      </w:r>
    </w:p>
    <w:p w:rsidR="00EB6FF2" w:rsidRDefault="0011043E">
      <w:pPr>
        <w:adjustRightInd w:val="0"/>
        <w:snapToGrid w:val="0"/>
        <w:spacing w:line="600" w:lineRule="exact"/>
        <w:rPr>
          <w:rFonts w:eastAsia="仿宋_GB2312"/>
          <w:b/>
          <w:sz w:val="32"/>
          <w:szCs w:val="32"/>
          <w:lang w:val="zh-CN"/>
        </w:rPr>
      </w:pPr>
      <w:r>
        <w:rPr>
          <w:rFonts w:eastAsia="楷体_GB2312"/>
          <w:b/>
          <w:sz w:val="32"/>
          <w:szCs w:val="32"/>
          <w:lang w:val="zh-CN"/>
        </w:rPr>
        <w:t xml:space="preserve">    </w:t>
      </w:r>
      <w:r>
        <w:rPr>
          <w:rFonts w:eastAsia="楷体_GB2312"/>
          <w:b/>
          <w:sz w:val="32"/>
          <w:szCs w:val="32"/>
          <w:lang w:val="zh-CN"/>
        </w:rPr>
        <w:t>（三）评价选点。</w:t>
      </w:r>
      <w:r>
        <w:rPr>
          <w:rFonts w:eastAsia="仿宋_GB2312"/>
          <w:kern w:val="0"/>
          <w:sz w:val="32"/>
          <w:szCs w:val="32"/>
          <w:lang w:val="zh-CN"/>
        </w:rPr>
        <w:t>项目绩效自评所抽两个评估报告。</w:t>
      </w:r>
    </w:p>
    <w:p w:rsidR="00EB6FF2" w:rsidRDefault="0011043E">
      <w:pPr>
        <w:suppressAutoHyphens/>
        <w:spacing w:line="600" w:lineRule="exact"/>
        <w:ind w:firstLine="640"/>
        <w:rPr>
          <w:rFonts w:eastAsia="仿宋_GB2312"/>
          <w:kern w:val="0"/>
          <w:sz w:val="32"/>
          <w:szCs w:val="32"/>
          <w:lang w:val="zh-CN"/>
        </w:rPr>
      </w:pPr>
      <w:r>
        <w:rPr>
          <w:rFonts w:eastAsia="楷体_GB2312"/>
          <w:b/>
          <w:sz w:val="32"/>
          <w:szCs w:val="32"/>
          <w:lang w:val="zh-CN"/>
        </w:rPr>
        <w:t>（四）评价方法。</w:t>
      </w:r>
      <w:r>
        <w:rPr>
          <w:rFonts w:eastAsia="仿宋_GB2312"/>
          <w:kern w:val="0"/>
          <w:sz w:val="32"/>
          <w:szCs w:val="32"/>
          <w:lang w:val="zh-CN"/>
        </w:rPr>
        <w:t>根据项目情况和评价重点，用来收集相关材料和开展具体评价的方法。包括：采用成本效益分析法、单位自评法、实地勘察法、座谈调研法等多种方法。</w:t>
      </w:r>
    </w:p>
    <w:p w:rsidR="00EB6FF2" w:rsidRDefault="0011043E">
      <w:pPr>
        <w:suppressAutoHyphens/>
        <w:spacing w:line="600" w:lineRule="exact"/>
        <w:ind w:firstLine="640"/>
        <w:rPr>
          <w:rFonts w:eastAsia="仿宋_GB2312"/>
          <w:bCs/>
        </w:rPr>
      </w:pPr>
      <w:r>
        <w:rPr>
          <w:rFonts w:eastAsia="仿宋_GB2312"/>
          <w:b/>
          <w:sz w:val="32"/>
          <w:szCs w:val="32"/>
          <w:lang w:val="zh-CN"/>
        </w:rPr>
        <w:t>（五）评价组织。</w:t>
      </w:r>
      <w:r>
        <w:rPr>
          <w:rFonts w:eastAsia="仿宋_GB2312"/>
          <w:kern w:val="0"/>
          <w:sz w:val="32"/>
          <w:szCs w:val="32"/>
          <w:lang w:val="zh-CN"/>
        </w:rPr>
        <w:t>评价组人员由实施该项目的具体负责科室构成。</w:t>
      </w:r>
    </w:p>
    <w:p w:rsidR="00EB6FF2" w:rsidRDefault="0011043E">
      <w:pPr>
        <w:suppressAutoHyphens/>
        <w:adjustRightInd w:val="0"/>
        <w:snapToGrid w:val="0"/>
        <w:spacing w:line="600" w:lineRule="exact"/>
        <w:ind w:firstLineChars="200" w:firstLine="640"/>
        <w:rPr>
          <w:rFonts w:eastAsia="黑体"/>
          <w:sz w:val="32"/>
          <w:szCs w:val="32"/>
          <w:lang w:val="zh-CN"/>
        </w:rPr>
      </w:pPr>
      <w:r>
        <w:rPr>
          <w:rFonts w:eastAsia="黑体"/>
          <w:sz w:val="32"/>
          <w:szCs w:val="32"/>
        </w:rPr>
        <w:t>三、绩效分析</w:t>
      </w:r>
      <w:r>
        <w:rPr>
          <w:rFonts w:eastAsia="黑体"/>
          <w:sz w:val="32"/>
          <w:szCs w:val="32"/>
          <w:lang w:val="zh-CN"/>
        </w:rPr>
        <w:tab/>
      </w:r>
    </w:p>
    <w:p w:rsidR="00EB6FF2" w:rsidRDefault="0011043E">
      <w:pPr>
        <w:suppressAutoHyphens/>
        <w:spacing w:line="600" w:lineRule="exact"/>
        <w:ind w:firstLine="640"/>
        <w:rPr>
          <w:rFonts w:eastAsia="楷体_GB2312"/>
          <w:b/>
          <w:sz w:val="32"/>
          <w:szCs w:val="32"/>
        </w:rPr>
      </w:pPr>
      <w:r>
        <w:rPr>
          <w:rFonts w:eastAsia="楷体_GB2312"/>
          <w:b/>
          <w:sz w:val="32"/>
          <w:szCs w:val="32"/>
          <w:lang w:val="zh-CN"/>
        </w:rPr>
        <w:t>（一）</w:t>
      </w:r>
      <w:r>
        <w:rPr>
          <w:rFonts w:eastAsia="楷体_GB2312"/>
          <w:b/>
          <w:sz w:val="32"/>
          <w:szCs w:val="32"/>
        </w:rPr>
        <w:t>通用指标</w:t>
      </w:r>
      <w:r>
        <w:rPr>
          <w:rFonts w:eastAsia="楷体_GB2312"/>
          <w:b/>
          <w:bCs/>
          <w:color w:val="000000"/>
          <w:kern w:val="0"/>
          <w:sz w:val="32"/>
          <w:szCs w:val="32"/>
          <w:shd w:val="clear" w:color="auto" w:fill="FFFFFF"/>
          <w:lang w:val="zh-CN"/>
        </w:rPr>
        <w:t>绩效分析。</w:t>
      </w:r>
    </w:p>
    <w:p w:rsidR="00EB6FF2" w:rsidRDefault="0011043E">
      <w:pPr>
        <w:suppressAutoHyphens/>
        <w:spacing w:line="600" w:lineRule="exact"/>
        <w:ind w:firstLine="640"/>
        <w:rPr>
          <w:rFonts w:eastAsia="仿宋_GB2312"/>
          <w:kern w:val="0"/>
          <w:sz w:val="32"/>
          <w:szCs w:val="32"/>
          <w:lang w:val="zh-CN"/>
        </w:rPr>
      </w:pPr>
      <w:r>
        <w:rPr>
          <w:rFonts w:eastAsia="仿宋_GB2312"/>
          <w:sz w:val="32"/>
          <w:szCs w:val="32"/>
        </w:rPr>
        <w:t>1.</w:t>
      </w:r>
      <w:r>
        <w:rPr>
          <w:rFonts w:eastAsia="仿宋_GB2312"/>
          <w:sz w:val="32"/>
          <w:szCs w:val="32"/>
        </w:rPr>
        <w:t>项目决策。</w:t>
      </w:r>
      <w:r>
        <w:rPr>
          <w:rFonts w:eastAsia="仿宋_GB2312"/>
          <w:kern w:val="0"/>
          <w:sz w:val="32"/>
          <w:szCs w:val="32"/>
          <w:lang w:val="zh-CN"/>
        </w:rPr>
        <w:t>该项目立项通过局党组会审议，资金使用于支</w:t>
      </w:r>
      <w:r>
        <w:rPr>
          <w:rFonts w:eastAsia="仿宋_GB2312"/>
          <w:kern w:val="0"/>
          <w:sz w:val="32"/>
          <w:szCs w:val="32"/>
          <w:lang w:val="zh-CN"/>
        </w:rPr>
        <w:lastRenderedPageBreak/>
        <w:t>付项目评估及法律尽调。</w:t>
      </w:r>
    </w:p>
    <w:p w:rsidR="00EB6FF2" w:rsidRDefault="0011043E">
      <w:pPr>
        <w:suppressAutoHyphens/>
        <w:spacing w:line="600" w:lineRule="exact"/>
        <w:ind w:firstLine="640"/>
        <w:rPr>
          <w:rFonts w:eastAsia="仿宋_GB2312"/>
          <w:kern w:val="0"/>
          <w:sz w:val="32"/>
          <w:szCs w:val="32"/>
          <w:lang w:val="zh-CN"/>
        </w:rPr>
      </w:pPr>
      <w:r>
        <w:rPr>
          <w:rFonts w:eastAsia="仿宋_GB2312"/>
          <w:sz w:val="32"/>
          <w:szCs w:val="32"/>
        </w:rPr>
        <w:t>2.</w:t>
      </w:r>
      <w:r>
        <w:rPr>
          <w:rFonts w:eastAsia="仿宋_GB2312"/>
          <w:sz w:val="32"/>
          <w:szCs w:val="32"/>
        </w:rPr>
        <w:t>项目管理。</w:t>
      </w:r>
      <w:r>
        <w:rPr>
          <w:rFonts w:eastAsia="仿宋_GB2312"/>
          <w:kern w:val="0"/>
          <w:sz w:val="32"/>
          <w:szCs w:val="32"/>
          <w:lang w:val="zh-CN"/>
        </w:rPr>
        <w:t>该项目严格遵守市财政局财务管理制度，严格资金分配，项目支出会计核算及账务处理规范。</w:t>
      </w:r>
    </w:p>
    <w:p w:rsidR="00EB6FF2" w:rsidRDefault="0011043E">
      <w:pPr>
        <w:suppressAutoHyphens/>
        <w:spacing w:line="600" w:lineRule="exact"/>
        <w:ind w:firstLineChars="200" w:firstLine="640"/>
        <w:rPr>
          <w:rFonts w:eastAsia="仿宋_GB2312"/>
          <w:kern w:val="0"/>
          <w:sz w:val="32"/>
          <w:szCs w:val="32"/>
          <w:lang w:val="zh-CN"/>
        </w:rPr>
      </w:pPr>
      <w:r>
        <w:rPr>
          <w:rFonts w:eastAsia="仿宋_GB2312"/>
          <w:sz w:val="32"/>
          <w:szCs w:val="32"/>
        </w:rPr>
        <w:t>3.</w:t>
      </w:r>
      <w:r>
        <w:rPr>
          <w:rFonts w:eastAsia="仿宋_GB2312"/>
          <w:sz w:val="32"/>
          <w:szCs w:val="32"/>
        </w:rPr>
        <w:t>项目实施。</w:t>
      </w:r>
      <w:r>
        <w:rPr>
          <w:rFonts w:eastAsia="仿宋_GB2312"/>
          <w:kern w:val="0"/>
          <w:sz w:val="32"/>
          <w:szCs w:val="32"/>
          <w:lang w:val="zh-CN"/>
        </w:rPr>
        <w:t>该项目</w:t>
      </w:r>
      <w:r>
        <w:rPr>
          <w:rFonts w:eastAsia="仿宋_GB2312"/>
          <w:kern w:val="0"/>
          <w:sz w:val="32"/>
          <w:szCs w:val="32"/>
          <w:lang w:val="zh-CN"/>
        </w:rPr>
        <w:t>2022</w:t>
      </w:r>
      <w:r>
        <w:rPr>
          <w:rFonts w:eastAsia="仿宋_GB2312"/>
          <w:kern w:val="0"/>
          <w:sz w:val="32"/>
          <w:szCs w:val="32"/>
          <w:lang w:val="zh-CN"/>
        </w:rPr>
        <w:t>年起建立，按项目进度及资金实际情况分年度拨付，资金使用规范</w:t>
      </w:r>
      <w:r>
        <w:rPr>
          <w:rFonts w:eastAsia="仿宋_GB2312"/>
          <w:sz w:val="32"/>
          <w:szCs w:val="32"/>
        </w:rPr>
        <w:t>。</w:t>
      </w:r>
    </w:p>
    <w:p w:rsidR="00EB6FF2" w:rsidRDefault="0011043E">
      <w:pPr>
        <w:suppressAutoHyphens/>
        <w:spacing w:line="600" w:lineRule="exact"/>
        <w:ind w:firstLineChars="200" w:firstLine="640"/>
        <w:rPr>
          <w:rFonts w:eastAsia="仿宋_GB2312"/>
          <w:kern w:val="0"/>
          <w:sz w:val="32"/>
          <w:szCs w:val="32"/>
          <w:lang w:val="zh-CN"/>
        </w:rPr>
      </w:pPr>
      <w:r>
        <w:rPr>
          <w:rFonts w:eastAsia="仿宋_GB2312"/>
          <w:sz w:val="32"/>
          <w:szCs w:val="32"/>
        </w:rPr>
        <w:t>4.</w:t>
      </w:r>
      <w:r>
        <w:rPr>
          <w:rFonts w:eastAsia="仿宋_GB2312"/>
          <w:sz w:val="32"/>
          <w:szCs w:val="32"/>
        </w:rPr>
        <w:t>项目结果。</w:t>
      </w:r>
      <w:r>
        <w:rPr>
          <w:rFonts w:eastAsia="仿宋_GB2312"/>
          <w:kern w:val="0"/>
          <w:sz w:val="32"/>
          <w:szCs w:val="32"/>
          <w:lang w:val="zh-CN"/>
        </w:rPr>
        <w:t>该项目目标完成情况好，时效可控。</w:t>
      </w:r>
    </w:p>
    <w:p w:rsidR="00EB6FF2" w:rsidRDefault="0011043E">
      <w:pPr>
        <w:adjustRightInd w:val="0"/>
        <w:snapToGrid w:val="0"/>
        <w:spacing w:line="600" w:lineRule="exact"/>
        <w:ind w:firstLineChars="200" w:firstLine="643"/>
        <w:rPr>
          <w:rFonts w:eastAsia="楷体_GB2312"/>
          <w:kern w:val="0"/>
          <w:sz w:val="32"/>
          <w:szCs w:val="32"/>
          <w:lang w:val="zh-CN"/>
        </w:rPr>
      </w:pPr>
      <w:r>
        <w:rPr>
          <w:rFonts w:eastAsia="楷体_GB2312"/>
          <w:b/>
          <w:sz w:val="32"/>
          <w:szCs w:val="32"/>
          <w:lang w:val="zh-CN"/>
        </w:rPr>
        <w:t>（二）</w:t>
      </w:r>
      <w:r>
        <w:rPr>
          <w:rFonts w:eastAsia="楷体_GB2312"/>
          <w:b/>
          <w:sz w:val="32"/>
          <w:szCs w:val="32"/>
        </w:rPr>
        <w:t>专用指标</w:t>
      </w:r>
      <w:r>
        <w:rPr>
          <w:rFonts w:eastAsia="楷体_GB2312"/>
          <w:b/>
          <w:bCs/>
          <w:color w:val="000000"/>
          <w:kern w:val="0"/>
          <w:sz w:val="32"/>
          <w:szCs w:val="32"/>
          <w:shd w:val="clear" w:color="auto" w:fill="FFFFFF"/>
          <w:lang w:val="zh-CN"/>
        </w:rPr>
        <w:t>绩效分析。</w:t>
      </w:r>
    </w:p>
    <w:p w:rsidR="00EB6FF2" w:rsidRDefault="0011043E">
      <w:pPr>
        <w:widowControl/>
        <w:spacing w:line="600" w:lineRule="exact"/>
        <w:ind w:firstLineChars="200" w:firstLine="640"/>
        <w:rPr>
          <w:rFonts w:eastAsia="仿宋_GB2312"/>
          <w:sz w:val="32"/>
          <w:szCs w:val="32"/>
          <w:lang w:val="zh-CN"/>
        </w:rPr>
      </w:pPr>
      <w:r>
        <w:rPr>
          <w:rFonts w:eastAsia="仿宋_GB2312"/>
          <w:sz w:val="32"/>
          <w:szCs w:val="32"/>
        </w:rPr>
        <w:t>1.</w:t>
      </w:r>
      <w:r>
        <w:rPr>
          <w:rFonts w:eastAsia="仿宋_GB2312"/>
          <w:sz w:val="32"/>
          <w:szCs w:val="32"/>
        </w:rPr>
        <w:t>产业发展。</w:t>
      </w:r>
      <w:r>
        <w:rPr>
          <w:rFonts w:eastAsia="仿宋_GB2312"/>
          <w:sz w:val="32"/>
          <w:szCs w:val="32"/>
          <w:lang w:val="zh-CN"/>
        </w:rPr>
        <w:t>根据攀枝花市国家物流枢纽充换电基础设施项目特许经营权资产项目评估及法律尽调项目的实施，促进了对经营权资产及罚没资产变现。</w:t>
      </w:r>
    </w:p>
    <w:p w:rsidR="00EB6FF2" w:rsidRDefault="0011043E">
      <w:pPr>
        <w:widowControl/>
        <w:spacing w:line="600" w:lineRule="exact"/>
        <w:rPr>
          <w:rFonts w:eastAsia="仿宋_GB2312"/>
          <w:kern w:val="0"/>
          <w:sz w:val="32"/>
          <w:szCs w:val="32"/>
        </w:rPr>
      </w:pPr>
      <w:r>
        <w:rPr>
          <w:rFonts w:eastAsia="仿宋_GB2312"/>
          <w:kern w:val="0"/>
          <w:sz w:val="32"/>
          <w:szCs w:val="32"/>
        </w:rPr>
        <w:t>围绕符合性、成长性、经济性进行绩效分析。</w:t>
      </w:r>
    </w:p>
    <w:p w:rsidR="00EB6FF2" w:rsidRDefault="0011043E">
      <w:pPr>
        <w:widowControl/>
        <w:spacing w:line="600" w:lineRule="exact"/>
        <w:ind w:firstLineChars="200" w:firstLine="640"/>
        <w:rPr>
          <w:rFonts w:eastAsia="仿宋_GB2312"/>
          <w:kern w:val="0"/>
          <w:sz w:val="24"/>
        </w:rPr>
      </w:pPr>
      <w:r>
        <w:rPr>
          <w:rFonts w:eastAsia="仿宋_GB2312"/>
          <w:sz w:val="32"/>
          <w:szCs w:val="32"/>
        </w:rPr>
        <w:t>2.</w:t>
      </w:r>
      <w:r>
        <w:rPr>
          <w:rFonts w:eastAsia="仿宋_GB2312"/>
          <w:sz w:val="32"/>
          <w:szCs w:val="32"/>
          <w:lang w:val="zh-CN"/>
        </w:rPr>
        <w:t>民生保障。攀枝花市国家物流枢纽充换电基础设施项目特许经营权资产对充换电基础设施完善起到了促进作用，群众满意。</w:t>
      </w:r>
    </w:p>
    <w:p w:rsidR="00EB6FF2" w:rsidRDefault="0011043E">
      <w:pPr>
        <w:suppressAutoHyphens/>
        <w:spacing w:line="600" w:lineRule="exact"/>
        <w:ind w:firstLineChars="200" w:firstLine="640"/>
        <w:rPr>
          <w:rFonts w:eastAsia="仿宋_GB2312"/>
          <w:sz w:val="32"/>
          <w:szCs w:val="32"/>
          <w:lang w:val="zh-CN"/>
        </w:rPr>
      </w:pPr>
      <w:r>
        <w:rPr>
          <w:rFonts w:eastAsia="仿宋_GB2312"/>
          <w:sz w:val="32"/>
          <w:szCs w:val="32"/>
        </w:rPr>
        <w:t>3.</w:t>
      </w:r>
      <w:r>
        <w:rPr>
          <w:rFonts w:eastAsia="仿宋_GB2312"/>
          <w:sz w:val="32"/>
          <w:szCs w:val="32"/>
        </w:rPr>
        <w:t>基础设施。</w:t>
      </w:r>
      <w:r>
        <w:rPr>
          <w:rFonts w:eastAsia="仿宋_GB2312"/>
          <w:sz w:val="32"/>
          <w:szCs w:val="32"/>
          <w:lang w:val="zh-CN"/>
        </w:rPr>
        <w:t>项目单位在合同规定的时效内完成项目评估，并出具相关评估报告，评估报告合格率</w:t>
      </w:r>
      <w:r>
        <w:rPr>
          <w:rFonts w:eastAsia="仿宋_GB2312"/>
          <w:sz w:val="32"/>
          <w:szCs w:val="32"/>
          <w:lang w:val="zh-CN"/>
        </w:rPr>
        <w:t>100%</w:t>
      </w:r>
      <w:r>
        <w:rPr>
          <w:rFonts w:eastAsia="仿宋_GB2312"/>
          <w:sz w:val="32"/>
          <w:szCs w:val="32"/>
          <w:lang w:val="zh-CN"/>
        </w:rPr>
        <w:t>，均被有效采用。</w:t>
      </w:r>
    </w:p>
    <w:p w:rsidR="00EB6FF2" w:rsidRDefault="0011043E">
      <w:pPr>
        <w:suppressAutoHyphens/>
        <w:spacing w:line="600" w:lineRule="exact"/>
        <w:ind w:firstLineChars="200" w:firstLine="640"/>
        <w:rPr>
          <w:rFonts w:eastAsia="仿宋_GB2312"/>
          <w:b/>
          <w:sz w:val="32"/>
          <w:szCs w:val="32"/>
          <w:lang w:val="zh-CN"/>
        </w:rPr>
      </w:pPr>
      <w:r>
        <w:rPr>
          <w:rFonts w:eastAsia="仿宋_GB2312"/>
          <w:sz w:val="32"/>
          <w:szCs w:val="32"/>
        </w:rPr>
        <w:t>4.</w:t>
      </w:r>
      <w:r>
        <w:rPr>
          <w:rFonts w:eastAsia="仿宋_GB2312"/>
          <w:sz w:val="32"/>
          <w:szCs w:val="32"/>
          <w:lang w:val="zh-CN"/>
        </w:rPr>
        <w:t>行政运转。</w:t>
      </w:r>
      <w:r>
        <w:rPr>
          <w:rFonts w:eastAsia="仿宋_GB2312"/>
          <w:sz w:val="32"/>
          <w:szCs w:val="21"/>
        </w:rPr>
        <w:t>项目资金不存在违规记录</w:t>
      </w:r>
      <w:r>
        <w:rPr>
          <w:rFonts w:eastAsia="仿宋_GB2312"/>
          <w:sz w:val="32"/>
          <w:szCs w:val="32"/>
          <w:lang w:val="zh-CN"/>
        </w:rPr>
        <w:t>等情况，截至评价时点项目任务量完成、质量标准、进度计划、成本控制目标实现程度好。</w:t>
      </w:r>
    </w:p>
    <w:p w:rsidR="00EB6FF2" w:rsidRDefault="0011043E">
      <w:pPr>
        <w:suppressAutoHyphens/>
        <w:spacing w:line="600" w:lineRule="exact"/>
        <w:ind w:firstLineChars="200" w:firstLine="643"/>
        <w:rPr>
          <w:rFonts w:eastAsia="仿宋_GB2312"/>
          <w:kern w:val="0"/>
          <w:sz w:val="32"/>
          <w:szCs w:val="32"/>
        </w:rPr>
      </w:pPr>
      <w:r>
        <w:rPr>
          <w:rFonts w:eastAsia="楷体_GB2312"/>
          <w:b/>
          <w:sz w:val="32"/>
          <w:szCs w:val="32"/>
          <w:lang w:val="zh-CN"/>
        </w:rPr>
        <w:t>（三）</w:t>
      </w:r>
      <w:r>
        <w:rPr>
          <w:rFonts w:eastAsia="楷体_GB2312"/>
          <w:b/>
          <w:sz w:val="32"/>
          <w:szCs w:val="32"/>
        </w:rPr>
        <w:t>个性指标</w:t>
      </w:r>
      <w:r>
        <w:rPr>
          <w:rFonts w:eastAsia="楷体_GB2312"/>
          <w:b/>
          <w:bCs/>
          <w:color w:val="000000"/>
          <w:kern w:val="0"/>
          <w:sz w:val="32"/>
          <w:szCs w:val="32"/>
          <w:shd w:val="clear" w:color="auto" w:fill="FFFFFF"/>
          <w:lang w:val="zh-CN"/>
        </w:rPr>
        <w:t>绩效分析。</w:t>
      </w:r>
      <w:r>
        <w:rPr>
          <w:rFonts w:eastAsia="仿宋_GB2312"/>
          <w:kern w:val="0"/>
          <w:sz w:val="32"/>
          <w:szCs w:val="32"/>
          <w:lang w:val="zh-CN"/>
        </w:rPr>
        <w:t>该项目均需专业机构及人员对报告质量及法律效力负责，经评价，报告质量高。</w:t>
      </w:r>
    </w:p>
    <w:p w:rsidR="00EB6FF2" w:rsidRDefault="0011043E">
      <w:pPr>
        <w:tabs>
          <w:tab w:val="left" w:pos="2160"/>
        </w:tabs>
        <w:suppressAutoHyphens/>
        <w:spacing w:line="600" w:lineRule="exact"/>
        <w:ind w:firstLineChars="200" w:firstLine="640"/>
        <w:rPr>
          <w:rFonts w:eastAsia="黑体"/>
          <w:sz w:val="32"/>
          <w:szCs w:val="32"/>
        </w:rPr>
      </w:pPr>
      <w:r>
        <w:rPr>
          <w:rFonts w:eastAsia="黑体"/>
          <w:sz w:val="32"/>
          <w:szCs w:val="32"/>
        </w:rPr>
        <w:t>四、评价结论</w:t>
      </w:r>
    </w:p>
    <w:p w:rsidR="00EB6FF2" w:rsidRDefault="0011043E">
      <w:pPr>
        <w:tabs>
          <w:tab w:val="left" w:pos="2160"/>
        </w:tabs>
        <w:suppressAutoHyphens/>
        <w:spacing w:line="600" w:lineRule="exact"/>
        <w:ind w:firstLineChars="200" w:firstLine="640"/>
        <w:rPr>
          <w:rFonts w:eastAsia="仿宋_GB2312"/>
          <w:kern w:val="0"/>
          <w:sz w:val="32"/>
          <w:szCs w:val="32"/>
        </w:rPr>
      </w:pPr>
      <w:r>
        <w:rPr>
          <w:rFonts w:eastAsia="仿宋_GB2312"/>
          <w:kern w:val="0"/>
          <w:sz w:val="32"/>
          <w:szCs w:val="32"/>
        </w:rPr>
        <w:lastRenderedPageBreak/>
        <w:t>根据项目自身情况特点及评估内容看，该项目立项必要且依据充分，绩效目标明确。具备实施条件。评价得分</w:t>
      </w:r>
      <w:r>
        <w:rPr>
          <w:rFonts w:eastAsia="仿宋_GB2312"/>
          <w:kern w:val="0"/>
          <w:sz w:val="32"/>
          <w:szCs w:val="32"/>
        </w:rPr>
        <w:t>88</w:t>
      </w:r>
      <w:r>
        <w:rPr>
          <w:rFonts w:eastAsia="仿宋_GB2312"/>
          <w:kern w:val="0"/>
          <w:sz w:val="32"/>
          <w:szCs w:val="32"/>
        </w:rPr>
        <w:t>分，项目实施正常进行</w:t>
      </w:r>
      <w:r>
        <w:rPr>
          <w:rFonts w:eastAsia="仿宋_GB2312"/>
          <w:kern w:val="0"/>
          <w:sz w:val="32"/>
          <w:szCs w:val="32"/>
          <w:lang w:val="zh-CN"/>
        </w:rPr>
        <w:t>。</w:t>
      </w:r>
    </w:p>
    <w:p w:rsidR="00EB6FF2" w:rsidRDefault="0011043E">
      <w:pPr>
        <w:tabs>
          <w:tab w:val="left" w:pos="2160"/>
        </w:tabs>
        <w:suppressAutoHyphens/>
        <w:spacing w:line="600" w:lineRule="exact"/>
        <w:ind w:firstLineChars="200" w:firstLine="640"/>
        <w:rPr>
          <w:rFonts w:eastAsia="黑体"/>
          <w:sz w:val="32"/>
          <w:szCs w:val="32"/>
        </w:rPr>
      </w:pPr>
      <w:r>
        <w:rPr>
          <w:rFonts w:eastAsia="黑体"/>
          <w:sz w:val="32"/>
          <w:szCs w:val="32"/>
        </w:rPr>
        <w:t>五、存在主要问题</w:t>
      </w:r>
    </w:p>
    <w:p w:rsidR="00EB6FF2" w:rsidRDefault="0011043E">
      <w:pPr>
        <w:tabs>
          <w:tab w:val="left" w:pos="2160"/>
        </w:tabs>
        <w:suppressAutoHyphens/>
        <w:spacing w:line="600" w:lineRule="exact"/>
        <w:ind w:firstLineChars="200" w:firstLine="640"/>
        <w:rPr>
          <w:rFonts w:eastAsia="仿宋_GB2312"/>
          <w:kern w:val="0"/>
          <w:sz w:val="32"/>
          <w:szCs w:val="32"/>
        </w:rPr>
      </w:pPr>
      <w:r>
        <w:rPr>
          <w:rFonts w:eastAsia="仿宋_GB2312"/>
          <w:kern w:val="0"/>
          <w:sz w:val="32"/>
          <w:szCs w:val="32"/>
        </w:rPr>
        <w:t>项目受客观条件限制，环节多，时限较长。</w:t>
      </w:r>
    </w:p>
    <w:p w:rsidR="00EB6FF2" w:rsidRDefault="0011043E">
      <w:pPr>
        <w:tabs>
          <w:tab w:val="left" w:pos="2160"/>
        </w:tabs>
        <w:suppressAutoHyphens/>
        <w:spacing w:line="600" w:lineRule="exact"/>
        <w:ind w:firstLineChars="200" w:firstLine="640"/>
        <w:rPr>
          <w:rFonts w:eastAsia="黑体"/>
          <w:kern w:val="0"/>
          <w:position w:val="3"/>
          <w:sz w:val="32"/>
          <w:szCs w:val="32"/>
          <w:lang w:val="zh-CN"/>
        </w:rPr>
      </w:pPr>
      <w:r>
        <w:rPr>
          <w:rFonts w:eastAsia="黑体"/>
          <w:kern w:val="0"/>
          <w:position w:val="3"/>
          <w:sz w:val="32"/>
          <w:szCs w:val="32"/>
          <w:lang w:val="zh-CN"/>
        </w:rPr>
        <w:t>六、改进建议</w:t>
      </w:r>
    </w:p>
    <w:p w:rsidR="00EB6FF2" w:rsidRDefault="0011043E">
      <w:pPr>
        <w:tabs>
          <w:tab w:val="left" w:pos="1911"/>
        </w:tabs>
        <w:suppressAutoHyphens/>
        <w:spacing w:line="600" w:lineRule="exact"/>
        <w:jc w:val="left"/>
        <w:rPr>
          <w:rFonts w:eastAsia="仿宋_GB2312"/>
          <w:b/>
          <w:color w:val="FF0000"/>
          <w:sz w:val="32"/>
          <w:szCs w:val="32"/>
        </w:rPr>
      </w:pPr>
      <w:r>
        <w:rPr>
          <w:rFonts w:eastAsia="仿宋_GB2312"/>
          <w:kern w:val="0"/>
          <w:sz w:val="32"/>
          <w:szCs w:val="32"/>
          <w:lang w:val="zh-CN"/>
        </w:rPr>
        <w:t xml:space="preserve"> </w:t>
      </w:r>
      <w:r>
        <w:rPr>
          <w:rFonts w:eastAsia="仿宋_GB2312"/>
          <w:kern w:val="0"/>
          <w:sz w:val="32"/>
          <w:szCs w:val="32"/>
        </w:rPr>
        <w:t xml:space="preserve">   </w:t>
      </w:r>
      <w:r>
        <w:rPr>
          <w:rFonts w:eastAsia="仿宋_GB2312"/>
          <w:kern w:val="0"/>
          <w:sz w:val="32"/>
          <w:szCs w:val="32"/>
        </w:rPr>
        <w:t>下一步此类项目，将进一步优化完善实施方案和绩效目标，加强运行监控，节约财政资金并提升资金效益，提升预算绩效管理水平。</w:t>
      </w:r>
    </w:p>
    <w:p w:rsidR="00EB6FF2" w:rsidRDefault="00EB6FF2">
      <w:pPr>
        <w:suppressAutoHyphens/>
        <w:autoSpaceDE w:val="0"/>
        <w:autoSpaceDN w:val="0"/>
        <w:adjustRightInd w:val="0"/>
        <w:spacing w:line="600" w:lineRule="exact"/>
        <w:ind w:firstLineChars="200" w:firstLine="643"/>
        <w:rPr>
          <w:rFonts w:eastAsia="仿宋_GB2312"/>
          <w:b/>
          <w:sz w:val="32"/>
          <w:szCs w:val="32"/>
        </w:rPr>
      </w:pPr>
    </w:p>
    <w:p w:rsidR="00EB6FF2" w:rsidRDefault="00EB6FF2">
      <w:pPr>
        <w:pStyle w:val="a0"/>
        <w:spacing w:beforeLines="0" w:line="600" w:lineRule="exact"/>
        <w:rPr>
          <w:rFonts w:ascii="Times New Roman"/>
        </w:rPr>
      </w:pPr>
    </w:p>
    <w:p w:rsidR="00EB6FF2" w:rsidRDefault="00EB6FF2">
      <w:pPr>
        <w:pStyle w:val="a0"/>
        <w:spacing w:beforeLines="0" w:line="600" w:lineRule="exact"/>
        <w:rPr>
          <w:rFonts w:ascii="Times New Roman"/>
        </w:rPr>
      </w:pPr>
    </w:p>
    <w:p w:rsidR="00EB6FF2" w:rsidRDefault="00EB6FF2">
      <w:pPr>
        <w:pStyle w:val="a0"/>
        <w:spacing w:beforeLines="0" w:line="600" w:lineRule="exact"/>
        <w:rPr>
          <w:rFonts w:ascii="Times New Roman"/>
        </w:rPr>
      </w:pPr>
    </w:p>
    <w:p w:rsidR="00EB6FF2" w:rsidRDefault="00EB6FF2">
      <w:pPr>
        <w:pStyle w:val="a0"/>
        <w:spacing w:before="93" w:line="600" w:lineRule="exact"/>
        <w:rPr>
          <w:rFonts w:ascii="Times New Roman"/>
        </w:rPr>
      </w:pPr>
    </w:p>
    <w:p w:rsidR="00EB6FF2" w:rsidRDefault="00EB6FF2">
      <w:pPr>
        <w:pStyle w:val="a0"/>
        <w:spacing w:before="93" w:line="600" w:lineRule="exact"/>
        <w:rPr>
          <w:rFonts w:ascii="Times New Roman"/>
        </w:rPr>
      </w:pPr>
    </w:p>
    <w:p w:rsidR="00EB6FF2" w:rsidRDefault="00EB6FF2">
      <w:pPr>
        <w:pStyle w:val="a0"/>
        <w:spacing w:before="93" w:line="600" w:lineRule="exact"/>
        <w:rPr>
          <w:rFonts w:ascii="Times New Roman"/>
        </w:rPr>
      </w:pPr>
    </w:p>
    <w:p w:rsidR="00EB6FF2" w:rsidRDefault="00EB6FF2">
      <w:pPr>
        <w:pStyle w:val="a0"/>
        <w:spacing w:before="93" w:line="600" w:lineRule="exact"/>
        <w:rPr>
          <w:rFonts w:ascii="Times New Roman"/>
        </w:rPr>
      </w:pPr>
    </w:p>
    <w:p w:rsidR="00EB6FF2" w:rsidRDefault="00EB6FF2">
      <w:pPr>
        <w:pStyle w:val="a0"/>
        <w:spacing w:before="93" w:line="600" w:lineRule="exact"/>
        <w:rPr>
          <w:rFonts w:ascii="Times New Roman"/>
        </w:rPr>
      </w:pPr>
    </w:p>
    <w:p w:rsidR="00EB6FF2" w:rsidRDefault="00EB6FF2">
      <w:pPr>
        <w:pStyle w:val="a0"/>
        <w:spacing w:before="93" w:line="600" w:lineRule="exact"/>
        <w:rPr>
          <w:rFonts w:ascii="Times New Roman"/>
        </w:rPr>
      </w:pPr>
    </w:p>
    <w:p w:rsidR="00EB6FF2" w:rsidRDefault="00EB6FF2">
      <w:pPr>
        <w:pStyle w:val="a0"/>
        <w:spacing w:before="93" w:line="600" w:lineRule="exact"/>
        <w:rPr>
          <w:rFonts w:ascii="Times New Roman"/>
        </w:rPr>
      </w:pPr>
    </w:p>
    <w:p w:rsidR="00EB6FF2" w:rsidRDefault="0011043E">
      <w:pPr>
        <w:spacing w:line="600" w:lineRule="exact"/>
        <w:jc w:val="center"/>
        <w:outlineLvl w:val="0"/>
        <w:rPr>
          <w:rStyle w:val="10"/>
          <w:rFonts w:eastAsia="黑体"/>
          <w:b w:val="0"/>
        </w:rPr>
      </w:pPr>
      <w:bookmarkStart w:id="54" w:name="_Toc15396618"/>
      <w:r>
        <w:rPr>
          <w:rFonts w:eastAsia="黑体"/>
          <w:sz w:val="44"/>
          <w:szCs w:val="44"/>
        </w:rPr>
        <w:lastRenderedPageBreak/>
        <w:t>第</w:t>
      </w:r>
      <w:r>
        <w:rPr>
          <w:rStyle w:val="10"/>
          <w:rFonts w:eastAsia="黑体"/>
          <w:b w:val="0"/>
        </w:rPr>
        <w:t>五部分</w:t>
      </w:r>
      <w:r>
        <w:rPr>
          <w:rStyle w:val="10"/>
          <w:rFonts w:eastAsia="黑体"/>
          <w:b w:val="0"/>
        </w:rPr>
        <w:t xml:space="preserve"> </w:t>
      </w:r>
      <w:r>
        <w:rPr>
          <w:rStyle w:val="10"/>
          <w:rFonts w:eastAsia="黑体"/>
          <w:b w:val="0"/>
        </w:rPr>
        <w:t>附表</w:t>
      </w:r>
      <w:bookmarkStart w:id="55" w:name="_Toc15396619"/>
      <w:bookmarkEnd w:id="53"/>
      <w:bookmarkEnd w:id="54"/>
    </w:p>
    <w:p w:rsidR="00EB6FF2" w:rsidRDefault="00EB6FF2">
      <w:pPr>
        <w:pStyle w:val="a0"/>
        <w:spacing w:before="93"/>
      </w:pPr>
    </w:p>
    <w:p w:rsidR="00EB6FF2" w:rsidRDefault="0011043E">
      <w:pPr>
        <w:pStyle w:val="2"/>
        <w:rPr>
          <w:rFonts w:ascii="Times New Roman" w:eastAsia="仿宋_GB2312" w:hAnsi="Times New Roman" w:cs="Times New Roman"/>
        </w:rPr>
      </w:pPr>
      <w:r>
        <w:rPr>
          <w:rFonts w:ascii="Times New Roman" w:eastAsia="仿宋_GB2312" w:hAnsi="Times New Roman" w:cs="Times New Roman"/>
          <w:b w:val="0"/>
        </w:rPr>
        <w:t>一、收</w:t>
      </w:r>
      <w:r>
        <w:rPr>
          <w:rStyle w:val="20"/>
          <w:rFonts w:ascii="Times New Roman" w:eastAsia="仿宋_GB2312" w:hAnsi="Times New Roman" w:cs="Times New Roman"/>
        </w:rPr>
        <w:t>入支出决算总表</w:t>
      </w:r>
      <w:bookmarkEnd w:id="55"/>
    </w:p>
    <w:p w:rsidR="00EB6FF2" w:rsidRDefault="0011043E">
      <w:pPr>
        <w:pStyle w:val="2"/>
        <w:rPr>
          <w:rFonts w:ascii="Times New Roman" w:eastAsia="仿宋_GB2312" w:hAnsi="Times New Roman" w:cs="Times New Roman"/>
        </w:rPr>
      </w:pPr>
      <w:bookmarkStart w:id="56" w:name="_Toc15396620"/>
      <w:r>
        <w:rPr>
          <w:rFonts w:ascii="Times New Roman" w:eastAsia="仿宋_GB2312" w:hAnsi="Times New Roman" w:cs="Times New Roman"/>
          <w:b w:val="0"/>
        </w:rPr>
        <w:t>二、收</w:t>
      </w:r>
      <w:r>
        <w:rPr>
          <w:rStyle w:val="20"/>
          <w:rFonts w:ascii="Times New Roman" w:eastAsia="仿宋_GB2312" w:hAnsi="Times New Roman" w:cs="Times New Roman"/>
        </w:rPr>
        <w:t>入决算表</w:t>
      </w:r>
      <w:bookmarkEnd w:id="56"/>
    </w:p>
    <w:p w:rsidR="00EB6FF2" w:rsidRDefault="0011043E">
      <w:pPr>
        <w:pStyle w:val="2"/>
        <w:rPr>
          <w:rFonts w:ascii="Times New Roman" w:eastAsia="仿宋_GB2312" w:hAnsi="Times New Roman" w:cs="Times New Roman"/>
        </w:rPr>
      </w:pPr>
      <w:bookmarkStart w:id="57" w:name="_Toc15396621"/>
      <w:r>
        <w:rPr>
          <w:rStyle w:val="20"/>
          <w:rFonts w:ascii="Times New Roman" w:eastAsia="仿宋_GB2312" w:hAnsi="Times New Roman" w:cs="Times New Roman"/>
        </w:rPr>
        <w:t>三、</w:t>
      </w:r>
      <w:r>
        <w:rPr>
          <w:rFonts w:ascii="Times New Roman" w:eastAsia="仿宋_GB2312" w:hAnsi="Times New Roman" w:cs="Times New Roman"/>
          <w:b w:val="0"/>
        </w:rPr>
        <w:t>支</w:t>
      </w:r>
      <w:r>
        <w:rPr>
          <w:rStyle w:val="20"/>
          <w:rFonts w:ascii="Times New Roman" w:eastAsia="仿宋_GB2312" w:hAnsi="Times New Roman" w:cs="Times New Roman"/>
        </w:rPr>
        <w:t>出决算表</w:t>
      </w:r>
      <w:bookmarkEnd w:id="57"/>
    </w:p>
    <w:p w:rsidR="00EB6FF2" w:rsidRDefault="0011043E">
      <w:pPr>
        <w:pStyle w:val="2"/>
        <w:rPr>
          <w:rFonts w:ascii="Times New Roman" w:eastAsia="仿宋_GB2312" w:hAnsi="Times New Roman" w:cs="Times New Roman"/>
          <w:b w:val="0"/>
        </w:rPr>
      </w:pPr>
      <w:bookmarkStart w:id="58" w:name="_Toc15396622"/>
      <w:r>
        <w:rPr>
          <w:rStyle w:val="20"/>
          <w:rFonts w:ascii="Times New Roman" w:eastAsia="仿宋_GB2312" w:hAnsi="Times New Roman" w:cs="Times New Roman"/>
        </w:rPr>
        <w:t>四、</w:t>
      </w:r>
      <w:r>
        <w:rPr>
          <w:rFonts w:ascii="Times New Roman" w:eastAsia="仿宋_GB2312" w:hAnsi="Times New Roman" w:cs="Times New Roman"/>
          <w:b w:val="0"/>
        </w:rPr>
        <w:t>财</w:t>
      </w:r>
      <w:r>
        <w:rPr>
          <w:rStyle w:val="20"/>
          <w:rFonts w:ascii="Times New Roman" w:eastAsia="仿宋_GB2312" w:hAnsi="Times New Roman" w:cs="Times New Roman"/>
        </w:rPr>
        <w:t>政拨款收入支出决算总表</w:t>
      </w:r>
      <w:bookmarkEnd w:id="58"/>
    </w:p>
    <w:p w:rsidR="00EB6FF2" w:rsidRDefault="0011043E">
      <w:pPr>
        <w:pStyle w:val="2"/>
        <w:rPr>
          <w:rStyle w:val="20"/>
          <w:rFonts w:ascii="Times New Roman" w:eastAsia="仿宋_GB2312" w:hAnsi="Times New Roman" w:cs="Times New Roman"/>
        </w:rPr>
      </w:pPr>
      <w:bookmarkStart w:id="59" w:name="_Toc15396623"/>
      <w:r>
        <w:rPr>
          <w:rStyle w:val="20"/>
          <w:rFonts w:ascii="Times New Roman" w:eastAsia="仿宋_GB2312" w:hAnsi="Times New Roman" w:cs="Times New Roman"/>
        </w:rPr>
        <w:t>五、</w:t>
      </w:r>
      <w:r>
        <w:rPr>
          <w:rFonts w:ascii="Times New Roman" w:eastAsia="仿宋_GB2312" w:hAnsi="Times New Roman" w:cs="Times New Roman"/>
          <w:b w:val="0"/>
        </w:rPr>
        <w:t>财</w:t>
      </w:r>
      <w:r>
        <w:rPr>
          <w:rStyle w:val="20"/>
          <w:rFonts w:ascii="Times New Roman" w:eastAsia="仿宋_GB2312" w:hAnsi="Times New Roman" w:cs="Times New Roman"/>
        </w:rPr>
        <w:t>政拨款支出决算明细表</w:t>
      </w:r>
      <w:bookmarkStart w:id="60" w:name="_Toc15396624"/>
      <w:bookmarkEnd w:id="59"/>
    </w:p>
    <w:p w:rsidR="00EB6FF2" w:rsidRDefault="0011043E">
      <w:pPr>
        <w:pStyle w:val="2"/>
        <w:rPr>
          <w:rFonts w:ascii="Times New Roman" w:eastAsia="仿宋_GB2312" w:hAnsi="Times New Roman" w:cs="Times New Roman"/>
        </w:rPr>
      </w:pPr>
      <w:r>
        <w:rPr>
          <w:rStyle w:val="20"/>
          <w:rFonts w:ascii="Times New Roman" w:eastAsia="仿宋_GB2312" w:hAnsi="Times New Roman" w:cs="Times New Roman"/>
        </w:rPr>
        <w:t>六、</w:t>
      </w:r>
      <w:r>
        <w:rPr>
          <w:rFonts w:ascii="Times New Roman" w:eastAsia="仿宋_GB2312" w:hAnsi="Times New Roman" w:cs="Times New Roman"/>
          <w:b w:val="0"/>
        </w:rPr>
        <w:t>一</w:t>
      </w:r>
      <w:r>
        <w:rPr>
          <w:rStyle w:val="20"/>
          <w:rFonts w:ascii="Times New Roman" w:eastAsia="仿宋_GB2312" w:hAnsi="Times New Roman" w:cs="Times New Roman"/>
        </w:rPr>
        <w:t>般公共预算财政拨款支出决算表</w:t>
      </w:r>
      <w:bookmarkEnd w:id="60"/>
    </w:p>
    <w:p w:rsidR="00EB6FF2" w:rsidRDefault="0011043E">
      <w:pPr>
        <w:pStyle w:val="2"/>
        <w:rPr>
          <w:rFonts w:ascii="Times New Roman" w:eastAsia="仿宋_GB2312" w:hAnsi="Times New Roman" w:cs="Times New Roman"/>
        </w:rPr>
      </w:pPr>
      <w:bookmarkStart w:id="61" w:name="_Toc15396625"/>
      <w:r>
        <w:rPr>
          <w:rStyle w:val="20"/>
          <w:rFonts w:ascii="Times New Roman" w:eastAsia="仿宋_GB2312" w:hAnsi="Times New Roman" w:cs="Times New Roman"/>
        </w:rPr>
        <w:t>七、</w:t>
      </w:r>
      <w:r>
        <w:rPr>
          <w:rFonts w:ascii="Times New Roman" w:eastAsia="仿宋_GB2312" w:hAnsi="Times New Roman" w:cs="Times New Roman"/>
          <w:b w:val="0"/>
        </w:rPr>
        <w:t>一</w:t>
      </w:r>
      <w:r>
        <w:rPr>
          <w:rStyle w:val="20"/>
          <w:rFonts w:ascii="Times New Roman" w:eastAsia="仿宋_GB2312" w:hAnsi="Times New Roman" w:cs="Times New Roman"/>
        </w:rPr>
        <w:t>般公共预算财政拨款支出决算明细表</w:t>
      </w:r>
      <w:bookmarkEnd w:id="61"/>
    </w:p>
    <w:p w:rsidR="00EB6FF2" w:rsidRDefault="0011043E">
      <w:pPr>
        <w:pStyle w:val="2"/>
        <w:rPr>
          <w:rFonts w:ascii="Times New Roman" w:eastAsia="仿宋_GB2312" w:hAnsi="Times New Roman" w:cs="Times New Roman"/>
        </w:rPr>
      </w:pPr>
      <w:bookmarkStart w:id="62" w:name="_Toc15396626"/>
      <w:r>
        <w:rPr>
          <w:rStyle w:val="20"/>
          <w:rFonts w:ascii="Times New Roman" w:eastAsia="仿宋_GB2312" w:hAnsi="Times New Roman" w:cs="Times New Roman"/>
        </w:rPr>
        <w:t>八、</w:t>
      </w:r>
      <w:r>
        <w:rPr>
          <w:rFonts w:ascii="Times New Roman" w:eastAsia="仿宋_GB2312" w:hAnsi="Times New Roman" w:cs="Times New Roman"/>
          <w:b w:val="0"/>
        </w:rPr>
        <w:t>一</w:t>
      </w:r>
      <w:r>
        <w:rPr>
          <w:rStyle w:val="20"/>
          <w:rFonts w:ascii="Times New Roman" w:eastAsia="仿宋_GB2312" w:hAnsi="Times New Roman" w:cs="Times New Roman"/>
        </w:rPr>
        <w:t>般公共预算财政拨款基本支出决算表</w:t>
      </w:r>
      <w:bookmarkEnd w:id="62"/>
    </w:p>
    <w:p w:rsidR="00EB6FF2" w:rsidRDefault="0011043E">
      <w:pPr>
        <w:pStyle w:val="2"/>
        <w:rPr>
          <w:rFonts w:ascii="Times New Roman" w:eastAsia="仿宋_GB2312" w:hAnsi="Times New Roman" w:cs="Times New Roman"/>
        </w:rPr>
      </w:pPr>
      <w:bookmarkStart w:id="63" w:name="_Toc15396627"/>
      <w:r>
        <w:rPr>
          <w:rStyle w:val="20"/>
          <w:rFonts w:ascii="Times New Roman" w:eastAsia="仿宋_GB2312" w:hAnsi="Times New Roman" w:cs="Times New Roman"/>
        </w:rPr>
        <w:t>九、</w:t>
      </w:r>
      <w:r>
        <w:rPr>
          <w:rFonts w:ascii="Times New Roman" w:eastAsia="仿宋_GB2312" w:hAnsi="Times New Roman" w:cs="Times New Roman"/>
          <w:b w:val="0"/>
        </w:rPr>
        <w:t>一</w:t>
      </w:r>
      <w:r>
        <w:rPr>
          <w:rStyle w:val="20"/>
          <w:rFonts w:ascii="Times New Roman" w:eastAsia="仿宋_GB2312" w:hAnsi="Times New Roman" w:cs="Times New Roman"/>
        </w:rPr>
        <w:t>般公共预算财政拨款项目支出决算表</w:t>
      </w:r>
      <w:bookmarkEnd w:id="63"/>
    </w:p>
    <w:p w:rsidR="00EB6FF2" w:rsidRDefault="0011043E">
      <w:pPr>
        <w:pStyle w:val="2"/>
        <w:rPr>
          <w:rFonts w:ascii="Times New Roman" w:eastAsia="仿宋_GB2312" w:hAnsi="Times New Roman" w:cs="Times New Roman"/>
        </w:rPr>
      </w:pPr>
      <w:bookmarkStart w:id="64" w:name="_Toc15396628"/>
      <w:r>
        <w:rPr>
          <w:rStyle w:val="20"/>
          <w:rFonts w:ascii="Times New Roman" w:eastAsia="仿宋_GB2312" w:hAnsi="Times New Roman" w:cs="Times New Roman"/>
        </w:rPr>
        <w:t>十、</w:t>
      </w:r>
      <w:bookmarkEnd w:id="64"/>
      <w:r>
        <w:rPr>
          <w:rFonts w:ascii="Times New Roman" w:eastAsia="仿宋_GB2312" w:hAnsi="Times New Roman" w:cs="Times New Roman"/>
          <w:b w:val="0"/>
        </w:rPr>
        <w:t>政</w:t>
      </w:r>
      <w:r>
        <w:rPr>
          <w:rStyle w:val="20"/>
          <w:rFonts w:ascii="Times New Roman" w:eastAsia="仿宋_GB2312" w:hAnsi="Times New Roman" w:cs="Times New Roman"/>
        </w:rPr>
        <w:t>府性基金预算财政拨款收入支出决算表</w:t>
      </w:r>
    </w:p>
    <w:p w:rsidR="00EB6FF2" w:rsidRDefault="0011043E">
      <w:pPr>
        <w:pStyle w:val="2"/>
        <w:rPr>
          <w:rFonts w:ascii="Times New Roman" w:eastAsia="仿宋_GB2312" w:hAnsi="Times New Roman" w:cs="Times New Roman"/>
        </w:rPr>
      </w:pPr>
      <w:bookmarkStart w:id="65" w:name="_Toc15396629"/>
      <w:r>
        <w:rPr>
          <w:rStyle w:val="20"/>
          <w:rFonts w:ascii="Times New Roman" w:eastAsia="仿宋_GB2312" w:hAnsi="Times New Roman" w:cs="Times New Roman"/>
        </w:rPr>
        <w:t>十一、</w:t>
      </w:r>
      <w:bookmarkEnd w:id="65"/>
      <w:r>
        <w:rPr>
          <w:rFonts w:ascii="Times New Roman" w:eastAsia="仿宋_GB2312" w:hAnsi="Times New Roman" w:cs="Times New Roman"/>
          <w:b w:val="0"/>
        </w:rPr>
        <w:t>国</w:t>
      </w:r>
      <w:r>
        <w:rPr>
          <w:rStyle w:val="20"/>
          <w:rFonts w:ascii="Times New Roman" w:eastAsia="仿宋_GB2312" w:hAnsi="Times New Roman" w:cs="Times New Roman"/>
        </w:rPr>
        <w:t>有资本经营预算财政拨款收入支出决算表</w:t>
      </w:r>
    </w:p>
    <w:p w:rsidR="00EB6FF2" w:rsidRDefault="0011043E">
      <w:pPr>
        <w:pStyle w:val="2"/>
        <w:rPr>
          <w:rFonts w:ascii="Times New Roman" w:eastAsia="仿宋_GB2312" w:hAnsi="Times New Roman" w:cs="Times New Roman"/>
        </w:rPr>
      </w:pPr>
      <w:bookmarkStart w:id="66" w:name="_Toc15396630"/>
      <w:r>
        <w:rPr>
          <w:rStyle w:val="20"/>
          <w:rFonts w:ascii="Times New Roman" w:eastAsia="仿宋_GB2312" w:hAnsi="Times New Roman" w:cs="Times New Roman"/>
        </w:rPr>
        <w:t>十二、</w:t>
      </w:r>
      <w:bookmarkEnd w:id="66"/>
      <w:r>
        <w:rPr>
          <w:rStyle w:val="20"/>
          <w:rFonts w:ascii="Times New Roman" w:eastAsia="仿宋_GB2312" w:hAnsi="Times New Roman" w:cs="Times New Roman"/>
        </w:rPr>
        <w:t>国有资本经营预算财政拨款支出决算表</w:t>
      </w:r>
    </w:p>
    <w:p w:rsidR="00EB6FF2" w:rsidRDefault="0011043E">
      <w:pPr>
        <w:pStyle w:val="2"/>
        <w:rPr>
          <w:rFonts w:ascii="Times New Roman" w:eastAsia="仿宋_GB2312" w:hAnsi="Times New Roman" w:cs="Times New Roman"/>
        </w:rPr>
      </w:pPr>
      <w:bookmarkStart w:id="67" w:name="_Toc15396631"/>
      <w:r>
        <w:rPr>
          <w:rStyle w:val="20"/>
          <w:rFonts w:ascii="Times New Roman" w:eastAsia="仿宋_GB2312" w:hAnsi="Times New Roman" w:cs="Times New Roman"/>
        </w:rPr>
        <w:t>十三、</w:t>
      </w:r>
      <w:bookmarkEnd w:id="67"/>
      <w:r>
        <w:rPr>
          <w:rStyle w:val="20"/>
          <w:rFonts w:ascii="Times New Roman" w:eastAsia="仿宋_GB2312" w:hAnsi="Times New Roman" w:cs="Times New Roman"/>
        </w:rPr>
        <w:t>财政拨款</w:t>
      </w:r>
      <w:r>
        <w:rPr>
          <w:rStyle w:val="20"/>
          <w:rFonts w:ascii="Times New Roman" w:eastAsia="仿宋_GB2312" w:hAnsi="Times New Roman" w:cs="Times New Roman"/>
        </w:rPr>
        <w:t>“</w:t>
      </w:r>
      <w:r>
        <w:rPr>
          <w:rStyle w:val="20"/>
          <w:rFonts w:ascii="Times New Roman" w:eastAsia="仿宋_GB2312" w:hAnsi="Times New Roman" w:cs="Times New Roman"/>
        </w:rPr>
        <w:t>三公</w:t>
      </w:r>
      <w:r>
        <w:rPr>
          <w:rStyle w:val="20"/>
          <w:rFonts w:ascii="Times New Roman" w:eastAsia="仿宋_GB2312" w:hAnsi="Times New Roman" w:cs="Times New Roman"/>
        </w:rPr>
        <w:t>”</w:t>
      </w:r>
      <w:r>
        <w:rPr>
          <w:rStyle w:val="20"/>
          <w:rFonts w:ascii="Times New Roman" w:eastAsia="仿宋_GB2312" w:hAnsi="Times New Roman" w:cs="Times New Roman"/>
        </w:rPr>
        <w:t>经费支出决算表</w:t>
      </w:r>
    </w:p>
    <w:sectPr w:rsidR="00EB6FF2">
      <w:pgSz w:w="11906" w:h="16838"/>
      <w:pgMar w:top="2098" w:right="1474" w:bottom="1985"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43E" w:rsidRDefault="0011043E">
      <w:r>
        <w:separator/>
      </w:r>
    </w:p>
  </w:endnote>
  <w:endnote w:type="continuationSeparator" w:id="0">
    <w:p w:rsidR="0011043E" w:rsidRDefault="00110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altName w:val="DejaVu Sans"/>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altName w:val="FreeSerif"/>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仿宋"/>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altName w:val="黑体"/>
    <w:panose1 w:val="020B0503020204020204"/>
    <w:charset w:val="86"/>
    <w:family w:val="swiss"/>
    <w:pitch w:val="variable"/>
    <w:sig w:usb0="80000287" w:usb1="280F3C52" w:usb2="00000016" w:usb3="00000000" w:csb0="0004001F" w:csb1="00000000"/>
  </w:font>
  <w:font w:name="TimesNewRoman">
    <w:altName w:val="Times New Roman"/>
    <w:charset w:val="00"/>
    <w:family w:val="roman"/>
    <w:pitch w:val="default"/>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4298996"/>
      <w:docPartObj>
        <w:docPartGallery w:val="AutoText"/>
      </w:docPartObj>
    </w:sdtPr>
    <w:sdtEndPr>
      <w:rPr>
        <w:rFonts w:asciiTheme="minorEastAsia" w:eastAsiaTheme="minorEastAsia" w:hAnsiTheme="minorEastAsia"/>
        <w:sz w:val="28"/>
      </w:rPr>
    </w:sdtEndPr>
    <w:sdtContent>
      <w:p w:rsidR="00EB6FF2" w:rsidRDefault="0011043E">
        <w:pPr>
          <w:pStyle w:val="a8"/>
          <w:jc w:val="center"/>
          <w:rPr>
            <w:rFonts w:asciiTheme="minorEastAsia" w:eastAsiaTheme="minorEastAsia" w:hAnsiTheme="minorEastAsia"/>
            <w:sz w:val="28"/>
          </w:rPr>
        </w:pPr>
        <w:r>
          <w:rPr>
            <w:rFonts w:asciiTheme="minorEastAsia" w:eastAsiaTheme="minorEastAsia" w:hAnsiTheme="minorEastAsia" w:hint="eastAsia"/>
            <w:sz w:val="28"/>
          </w:rPr>
          <w:t>—</w:t>
        </w:r>
        <w:r>
          <w:rPr>
            <w:rFonts w:asciiTheme="minorEastAsia" w:eastAsiaTheme="minorEastAsia" w:hAnsiTheme="minorEastAsia"/>
            <w:sz w:val="28"/>
          </w:rPr>
          <w:fldChar w:fldCharType="begin"/>
        </w:r>
        <w:r>
          <w:rPr>
            <w:rFonts w:asciiTheme="minorEastAsia" w:eastAsiaTheme="minorEastAsia" w:hAnsiTheme="minorEastAsia"/>
            <w:sz w:val="28"/>
          </w:rPr>
          <w:instrText>PAGE   \* MERGEFORMAT</w:instrText>
        </w:r>
        <w:r>
          <w:rPr>
            <w:rFonts w:asciiTheme="minorEastAsia" w:eastAsiaTheme="minorEastAsia" w:hAnsiTheme="minorEastAsia"/>
            <w:sz w:val="28"/>
          </w:rPr>
          <w:fldChar w:fldCharType="separate"/>
        </w:r>
        <w:r w:rsidR="009F533A" w:rsidRPr="009F533A">
          <w:rPr>
            <w:rFonts w:asciiTheme="minorEastAsia" w:eastAsiaTheme="minorEastAsia" w:hAnsiTheme="minorEastAsia"/>
            <w:noProof/>
            <w:sz w:val="28"/>
            <w:lang w:val="zh-CN"/>
          </w:rPr>
          <w:t>6</w:t>
        </w:r>
        <w:r>
          <w:rPr>
            <w:rFonts w:asciiTheme="minorEastAsia" w:eastAsiaTheme="minorEastAsia" w:hAnsiTheme="minorEastAsia"/>
            <w:sz w:val="28"/>
          </w:rPr>
          <w:fldChar w:fldCharType="end"/>
        </w:r>
        <w:r>
          <w:rPr>
            <w:rFonts w:asciiTheme="minorEastAsia" w:eastAsiaTheme="minorEastAsia" w:hAnsiTheme="minorEastAsia" w:hint="eastAsia"/>
            <w:sz w:val="28"/>
          </w:rPr>
          <w:t>—</w:t>
        </w:r>
      </w:p>
    </w:sdtContent>
  </w:sdt>
  <w:p w:rsidR="00EB6FF2" w:rsidRDefault="00EB6FF2">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7774665"/>
      <w:docPartObj>
        <w:docPartGallery w:val="AutoText"/>
      </w:docPartObj>
    </w:sdtPr>
    <w:sdtEndPr/>
    <w:sdtContent>
      <w:p w:rsidR="00EB6FF2" w:rsidRDefault="0011043E">
        <w:pPr>
          <w:pStyle w:val="a8"/>
          <w:jc w:val="center"/>
        </w:pPr>
        <w:r>
          <w:rPr>
            <w:rFonts w:asciiTheme="minorEastAsia" w:eastAsiaTheme="minorEastAsia" w:hAnsiTheme="minorEastAsia" w:hint="eastAsia"/>
            <w:sz w:val="28"/>
          </w:rPr>
          <w:t>—</w:t>
        </w:r>
        <w:r>
          <w:rPr>
            <w:rFonts w:asciiTheme="minorEastAsia" w:eastAsiaTheme="minorEastAsia" w:hAnsiTheme="minorEastAsia"/>
            <w:sz w:val="28"/>
          </w:rPr>
          <w:fldChar w:fldCharType="begin"/>
        </w:r>
        <w:r>
          <w:rPr>
            <w:rFonts w:asciiTheme="minorEastAsia" w:eastAsiaTheme="minorEastAsia" w:hAnsiTheme="minorEastAsia"/>
            <w:sz w:val="28"/>
          </w:rPr>
          <w:instrText>PAGE   \* MERGEFORMAT</w:instrText>
        </w:r>
        <w:r>
          <w:rPr>
            <w:rFonts w:asciiTheme="minorEastAsia" w:eastAsiaTheme="minorEastAsia" w:hAnsiTheme="minorEastAsia"/>
            <w:sz w:val="28"/>
          </w:rPr>
          <w:fldChar w:fldCharType="separate"/>
        </w:r>
        <w:r w:rsidR="009F533A" w:rsidRPr="009F533A">
          <w:rPr>
            <w:rFonts w:asciiTheme="minorEastAsia" w:eastAsiaTheme="minorEastAsia" w:hAnsiTheme="minorEastAsia"/>
            <w:noProof/>
            <w:sz w:val="28"/>
            <w:lang w:val="zh-CN"/>
          </w:rPr>
          <w:t>1</w:t>
        </w:r>
        <w:r>
          <w:rPr>
            <w:rFonts w:asciiTheme="minorEastAsia" w:eastAsiaTheme="minorEastAsia" w:hAnsiTheme="minorEastAsia"/>
            <w:sz w:val="28"/>
          </w:rPr>
          <w:fldChar w:fldCharType="end"/>
        </w:r>
        <w:r>
          <w:rPr>
            <w:rFonts w:asciiTheme="minorEastAsia" w:eastAsiaTheme="minorEastAsia" w:hAnsiTheme="minorEastAsia" w:hint="eastAsia"/>
            <w:sz w:val="28"/>
          </w:rPr>
          <w:t>—</w:t>
        </w:r>
      </w:p>
    </w:sdtContent>
  </w:sdt>
  <w:p w:rsidR="00EB6FF2" w:rsidRDefault="00EB6FF2">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43E" w:rsidRDefault="0011043E">
      <w:r>
        <w:separator/>
      </w:r>
    </w:p>
  </w:footnote>
  <w:footnote w:type="continuationSeparator" w:id="0">
    <w:p w:rsidR="0011043E" w:rsidRDefault="001104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F2" w:rsidRDefault="00EB6FF2">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1"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2" w15:restartNumberingAfterBreak="0">
    <w:nsid w:val="FFF674BC"/>
    <w:multiLevelType w:val="singleLevel"/>
    <w:tmpl w:val="FFF674BC"/>
    <w:lvl w:ilvl="0">
      <w:start w:val="1"/>
      <w:numFmt w:val="chineseCounting"/>
      <w:suff w:val="nothing"/>
      <w:lvlText w:val="%1、"/>
      <w:lvlJc w:val="left"/>
      <w:rPr>
        <w:rFonts w:hint="eastAsia"/>
      </w:rPr>
    </w:lvl>
  </w:abstractNum>
  <w:abstractNum w:abstractNumId="3"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TMxMDk4MzZkYmM5NDc3MzVkNDdlZDAzMWEzNmYifQ=="/>
  </w:docVars>
  <w:rsids>
    <w:rsidRoot w:val="00F1361C"/>
    <w:rsid w:val="D8D6DB89"/>
    <w:rsid w:val="DB6F4CAB"/>
    <w:rsid w:val="DF6F9789"/>
    <w:rsid w:val="00004A5E"/>
    <w:rsid w:val="00006715"/>
    <w:rsid w:val="000135BF"/>
    <w:rsid w:val="00013BC9"/>
    <w:rsid w:val="000167EF"/>
    <w:rsid w:val="000222C6"/>
    <w:rsid w:val="0002549F"/>
    <w:rsid w:val="00032D1F"/>
    <w:rsid w:val="00036046"/>
    <w:rsid w:val="000468DB"/>
    <w:rsid w:val="00047025"/>
    <w:rsid w:val="00047398"/>
    <w:rsid w:val="000641EF"/>
    <w:rsid w:val="0006487A"/>
    <w:rsid w:val="00065F8F"/>
    <w:rsid w:val="000660F3"/>
    <w:rsid w:val="00070A43"/>
    <w:rsid w:val="000730B0"/>
    <w:rsid w:val="000768F2"/>
    <w:rsid w:val="000823D8"/>
    <w:rsid w:val="0009184B"/>
    <w:rsid w:val="00094236"/>
    <w:rsid w:val="0009593C"/>
    <w:rsid w:val="00097322"/>
    <w:rsid w:val="000A144D"/>
    <w:rsid w:val="000A6A92"/>
    <w:rsid w:val="000A6ECF"/>
    <w:rsid w:val="000A74EB"/>
    <w:rsid w:val="000B047F"/>
    <w:rsid w:val="000B3D79"/>
    <w:rsid w:val="000B5923"/>
    <w:rsid w:val="000B5A48"/>
    <w:rsid w:val="000B6FF3"/>
    <w:rsid w:val="000C1920"/>
    <w:rsid w:val="000C3467"/>
    <w:rsid w:val="000C3CA6"/>
    <w:rsid w:val="000D1267"/>
    <w:rsid w:val="000D1D50"/>
    <w:rsid w:val="000D4436"/>
    <w:rsid w:val="000D5782"/>
    <w:rsid w:val="000E6613"/>
    <w:rsid w:val="000E7119"/>
    <w:rsid w:val="001006BD"/>
    <w:rsid w:val="0011043E"/>
    <w:rsid w:val="0011101C"/>
    <w:rsid w:val="00114E9B"/>
    <w:rsid w:val="00120ABE"/>
    <w:rsid w:val="00136D0C"/>
    <w:rsid w:val="001405E6"/>
    <w:rsid w:val="00142216"/>
    <w:rsid w:val="00144D6A"/>
    <w:rsid w:val="0014729F"/>
    <w:rsid w:val="00157BAB"/>
    <w:rsid w:val="0016192C"/>
    <w:rsid w:val="001654D1"/>
    <w:rsid w:val="00165C47"/>
    <w:rsid w:val="00170E29"/>
    <w:rsid w:val="00174518"/>
    <w:rsid w:val="0017635E"/>
    <w:rsid w:val="0018106D"/>
    <w:rsid w:val="00184967"/>
    <w:rsid w:val="001877A7"/>
    <w:rsid w:val="00191536"/>
    <w:rsid w:val="00196687"/>
    <w:rsid w:val="001A0800"/>
    <w:rsid w:val="001B20B3"/>
    <w:rsid w:val="001C0962"/>
    <w:rsid w:val="001D7531"/>
    <w:rsid w:val="001E2E1F"/>
    <w:rsid w:val="001E2FF1"/>
    <w:rsid w:val="001E737D"/>
    <w:rsid w:val="001F0592"/>
    <w:rsid w:val="001F0F62"/>
    <w:rsid w:val="001F2927"/>
    <w:rsid w:val="001F7506"/>
    <w:rsid w:val="002006CD"/>
    <w:rsid w:val="00202B36"/>
    <w:rsid w:val="00204B7A"/>
    <w:rsid w:val="00204CDE"/>
    <w:rsid w:val="0021101A"/>
    <w:rsid w:val="00217081"/>
    <w:rsid w:val="00220536"/>
    <w:rsid w:val="00235629"/>
    <w:rsid w:val="0023725E"/>
    <w:rsid w:val="00247B82"/>
    <w:rsid w:val="00260C38"/>
    <w:rsid w:val="002616C0"/>
    <w:rsid w:val="00262BD4"/>
    <w:rsid w:val="00265372"/>
    <w:rsid w:val="002662AA"/>
    <w:rsid w:val="0027023B"/>
    <w:rsid w:val="00271139"/>
    <w:rsid w:val="002747C4"/>
    <w:rsid w:val="00280496"/>
    <w:rsid w:val="00281BC9"/>
    <w:rsid w:val="00294DC9"/>
    <w:rsid w:val="00295495"/>
    <w:rsid w:val="002A31DE"/>
    <w:rsid w:val="002B2613"/>
    <w:rsid w:val="002C191C"/>
    <w:rsid w:val="002D6D05"/>
    <w:rsid w:val="002F1818"/>
    <w:rsid w:val="002F4C64"/>
    <w:rsid w:val="002F567B"/>
    <w:rsid w:val="003216A9"/>
    <w:rsid w:val="0032267D"/>
    <w:rsid w:val="00332AEA"/>
    <w:rsid w:val="00335A74"/>
    <w:rsid w:val="00340DFB"/>
    <w:rsid w:val="0034570E"/>
    <w:rsid w:val="00352BC3"/>
    <w:rsid w:val="0035633F"/>
    <w:rsid w:val="0036561B"/>
    <w:rsid w:val="003678DE"/>
    <w:rsid w:val="0037013F"/>
    <w:rsid w:val="00380C92"/>
    <w:rsid w:val="00383745"/>
    <w:rsid w:val="0039505D"/>
    <w:rsid w:val="003A3B5F"/>
    <w:rsid w:val="003A484F"/>
    <w:rsid w:val="003A4883"/>
    <w:rsid w:val="003B0BE0"/>
    <w:rsid w:val="003B0C1B"/>
    <w:rsid w:val="003B688C"/>
    <w:rsid w:val="003C0291"/>
    <w:rsid w:val="003C39AE"/>
    <w:rsid w:val="003C780E"/>
    <w:rsid w:val="003C7B60"/>
    <w:rsid w:val="003D0C0F"/>
    <w:rsid w:val="003D1FB2"/>
    <w:rsid w:val="003D2703"/>
    <w:rsid w:val="003D66DA"/>
    <w:rsid w:val="003D73FB"/>
    <w:rsid w:val="003E1310"/>
    <w:rsid w:val="003E6F55"/>
    <w:rsid w:val="003F0618"/>
    <w:rsid w:val="003F50E0"/>
    <w:rsid w:val="00406254"/>
    <w:rsid w:val="00407EBA"/>
    <w:rsid w:val="00413996"/>
    <w:rsid w:val="004209EA"/>
    <w:rsid w:val="004223DE"/>
    <w:rsid w:val="00425D8C"/>
    <w:rsid w:val="00426E94"/>
    <w:rsid w:val="00434489"/>
    <w:rsid w:val="00435285"/>
    <w:rsid w:val="00435819"/>
    <w:rsid w:val="00437085"/>
    <w:rsid w:val="004376C5"/>
    <w:rsid w:val="00443880"/>
    <w:rsid w:val="004464F4"/>
    <w:rsid w:val="00446E63"/>
    <w:rsid w:val="00451611"/>
    <w:rsid w:val="004623B5"/>
    <w:rsid w:val="004652DC"/>
    <w:rsid w:val="00467094"/>
    <w:rsid w:val="00471401"/>
    <w:rsid w:val="00473F31"/>
    <w:rsid w:val="00482256"/>
    <w:rsid w:val="00482612"/>
    <w:rsid w:val="0048263A"/>
    <w:rsid w:val="00483C52"/>
    <w:rsid w:val="00487E5D"/>
    <w:rsid w:val="00490893"/>
    <w:rsid w:val="004A711F"/>
    <w:rsid w:val="004B199D"/>
    <w:rsid w:val="004B4690"/>
    <w:rsid w:val="004C1FE6"/>
    <w:rsid w:val="004E0A2D"/>
    <w:rsid w:val="004E206B"/>
    <w:rsid w:val="004E6DF7"/>
    <w:rsid w:val="004F0FBD"/>
    <w:rsid w:val="004F1747"/>
    <w:rsid w:val="00503474"/>
    <w:rsid w:val="00505A47"/>
    <w:rsid w:val="00511C76"/>
    <w:rsid w:val="00512FDA"/>
    <w:rsid w:val="00520DA0"/>
    <w:rsid w:val="00525E15"/>
    <w:rsid w:val="0053797A"/>
    <w:rsid w:val="005555B9"/>
    <w:rsid w:val="005664BB"/>
    <w:rsid w:val="00566FFA"/>
    <w:rsid w:val="0057481D"/>
    <w:rsid w:val="0058486E"/>
    <w:rsid w:val="00585B33"/>
    <w:rsid w:val="0059014D"/>
    <w:rsid w:val="005A50E2"/>
    <w:rsid w:val="005B39EA"/>
    <w:rsid w:val="005B5C64"/>
    <w:rsid w:val="005B67C6"/>
    <w:rsid w:val="005B6D7F"/>
    <w:rsid w:val="005B745A"/>
    <w:rsid w:val="005C38E3"/>
    <w:rsid w:val="005C3A6A"/>
    <w:rsid w:val="005C5337"/>
    <w:rsid w:val="005C6BD0"/>
    <w:rsid w:val="005D1C8B"/>
    <w:rsid w:val="005D468D"/>
    <w:rsid w:val="005D5AED"/>
    <w:rsid w:val="005D5CED"/>
    <w:rsid w:val="005D7D8C"/>
    <w:rsid w:val="005E2617"/>
    <w:rsid w:val="005E26CA"/>
    <w:rsid w:val="005F0233"/>
    <w:rsid w:val="005F1A4C"/>
    <w:rsid w:val="005F72AA"/>
    <w:rsid w:val="00600DE5"/>
    <w:rsid w:val="00605688"/>
    <w:rsid w:val="006070AF"/>
    <w:rsid w:val="00607E6C"/>
    <w:rsid w:val="006101B1"/>
    <w:rsid w:val="00614E44"/>
    <w:rsid w:val="00621631"/>
    <w:rsid w:val="0062270A"/>
    <w:rsid w:val="00622830"/>
    <w:rsid w:val="00623DA0"/>
    <w:rsid w:val="00624575"/>
    <w:rsid w:val="00630AEF"/>
    <w:rsid w:val="006325F8"/>
    <w:rsid w:val="00633463"/>
    <w:rsid w:val="00634C9A"/>
    <w:rsid w:val="00637566"/>
    <w:rsid w:val="006440E4"/>
    <w:rsid w:val="00650D98"/>
    <w:rsid w:val="0066343B"/>
    <w:rsid w:val="00664777"/>
    <w:rsid w:val="00666A80"/>
    <w:rsid w:val="00666AB2"/>
    <w:rsid w:val="0067280B"/>
    <w:rsid w:val="006730CD"/>
    <w:rsid w:val="006748A4"/>
    <w:rsid w:val="00681162"/>
    <w:rsid w:val="00681A31"/>
    <w:rsid w:val="00683E73"/>
    <w:rsid w:val="00687479"/>
    <w:rsid w:val="00692665"/>
    <w:rsid w:val="00693EE8"/>
    <w:rsid w:val="006A0A61"/>
    <w:rsid w:val="006A1AE8"/>
    <w:rsid w:val="006A3141"/>
    <w:rsid w:val="006A5E34"/>
    <w:rsid w:val="006B2422"/>
    <w:rsid w:val="006B2B9A"/>
    <w:rsid w:val="006B4F31"/>
    <w:rsid w:val="006C1937"/>
    <w:rsid w:val="006C20C4"/>
    <w:rsid w:val="006C761A"/>
    <w:rsid w:val="006D26A3"/>
    <w:rsid w:val="006E3008"/>
    <w:rsid w:val="006E5521"/>
    <w:rsid w:val="006F020C"/>
    <w:rsid w:val="006F0B85"/>
    <w:rsid w:val="006F26DB"/>
    <w:rsid w:val="006F2CDA"/>
    <w:rsid w:val="00701802"/>
    <w:rsid w:val="00711178"/>
    <w:rsid w:val="007127B7"/>
    <w:rsid w:val="0071798E"/>
    <w:rsid w:val="00722A82"/>
    <w:rsid w:val="007237D8"/>
    <w:rsid w:val="007416B6"/>
    <w:rsid w:val="00743911"/>
    <w:rsid w:val="00746F48"/>
    <w:rsid w:val="00747931"/>
    <w:rsid w:val="0075200E"/>
    <w:rsid w:val="007539BF"/>
    <w:rsid w:val="0075404D"/>
    <w:rsid w:val="00760AAD"/>
    <w:rsid w:val="0076182A"/>
    <w:rsid w:val="00767B7E"/>
    <w:rsid w:val="007770C3"/>
    <w:rsid w:val="00777D23"/>
    <w:rsid w:val="00782FE8"/>
    <w:rsid w:val="0078384D"/>
    <w:rsid w:val="00784D24"/>
    <w:rsid w:val="00784D51"/>
    <w:rsid w:val="00785FBA"/>
    <w:rsid w:val="00786E4A"/>
    <w:rsid w:val="007875EB"/>
    <w:rsid w:val="00791F13"/>
    <w:rsid w:val="0079426B"/>
    <w:rsid w:val="007A11FF"/>
    <w:rsid w:val="007B5B3E"/>
    <w:rsid w:val="007D1682"/>
    <w:rsid w:val="007D312A"/>
    <w:rsid w:val="007D3F19"/>
    <w:rsid w:val="007E0245"/>
    <w:rsid w:val="007E23B0"/>
    <w:rsid w:val="007E23E5"/>
    <w:rsid w:val="007F1991"/>
    <w:rsid w:val="007F2C2F"/>
    <w:rsid w:val="007F55FC"/>
    <w:rsid w:val="007F5665"/>
    <w:rsid w:val="00800112"/>
    <w:rsid w:val="00811A11"/>
    <w:rsid w:val="00813348"/>
    <w:rsid w:val="00822338"/>
    <w:rsid w:val="00824BD7"/>
    <w:rsid w:val="00825166"/>
    <w:rsid w:val="008253BB"/>
    <w:rsid w:val="00825C91"/>
    <w:rsid w:val="008311D7"/>
    <w:rsid w:val="0083706E"/>
    <w:rsid w:val="008408F6"/>
    <w:rsid w:val="008423A5"/>
    <w:rsid w:val="00843700"/>
    <w:rsid w:val="00845744"/>
    <w:rsid w:val="00850625"/>
    <w:rsid w:val="00853718"/>
    <w:rsid w:val="00855221"/>
    <w:rsid w:val="00857663"/>
    <w:rsid w:val="00860645"/>
    <w:rsid w:val="008613FD"/>
    <w:rsid w:val="0087060B"/>
    <w:rsid w:val="00871F71"/>
    <w:rsid w:val="00872FD8"/>
    <w:rsid w:val="00885AF4"/>
    <w:rsid w:val="0089052B"/>
    <w:rsid w:val="00890C1D"/>
    <w:rsid w:val="008939CD"/>
    <w:rsid w:val="008A2B71"/>
    <w:rsid w:val="008B46AE"/>
    <w:rsid w:val="008B768C"/>
    <w:rsid w:val="008C210B"/>
    <w:rsid w:val="008C4DB1"/>
    <w:rsid w:val="008C4EAF"/>
    <w:rsid w:val="008C5176"/>
    <w:rsid w:val="008C7FD0"/>
    <w:rsid w:val="008D06A0"/>
    <w:rsid w:val="008E1DE7"/>
    <w:rsid w:val="008E707C"/>
    <w:rsid w:val="008F4838"/>
    <w:rsid w:val="00900B08"/>
    <w:rsid w:val="00902155"/>
    <w:rsid w:val="00902FA3"/>
    <w:rsid w:val="009118F1"/>
    <w:rsid w:val="00923564"/>
    <w:rsid w:val="0092392E"/>
    <w:rsid w:val="009271FE"/>
    <w:rsid w:val="009315F9"/>
    <w:rsid w:val="00933499"/>
    <w:rsid w:val="00935C98"/>
    <w:rsid w:val="00943D65"/>
    <w:rsid w:val="00943DCE"/>
    <w:rsid w:val="009468AF"/>
    <w:rsid w:val="00946945"/>
    <w:rsid w:val="00951248"/>
    <w:rsid w:val="0095152F"/>
    <w:rsid w:val="00954C49"/>
    <w:rsid w:val="00955E37"/>
    <w:rsid w:val="0097099F"/>
    <w:rsid w:val="00971997"/>
    <w:rsid w:val="00971FFC"/>
    <w:rsid w:val="009808DC"/>
    <w:rsid w:val="00985428"/>
    <w:rsid w:val="0098660A"/>
    <w:rsid w:val="00990947"/>
    <w:rsid w:val="009931C3"/>
    <w:rsid w:val="00996B27"/>
    <w:rsid w:val="009A6D65"/>
    <w:rsid w:val="009B0DAD"/>
    <w:rsid w:val="009B2C43"/>
    <w:rsid w:val="009B4EAE"/>
    <w:rsid w:val="009B7573"/>
    <w:rsid w:val="009C22F4"/>
    <w:rsid w:val="009C2A4B"/>
    <w:rsid w:val="009C2E98"/>
    <w:rsid w:val="009C48F8"/>
    <w:rsid w:val="009C4975"/>
    <w:rsid w:val="009D3447"/>
    <w:rsid w:val="009D4711"/>
    <w:rsid w:val="009E4DB6"/>
    <w:rsid w:val="009F1185"/>
    <w:rsid w:val="009F18CD"/>
    <w:rsid w:val="009F2A13"/>
    <w:rsid w:val="009F4013"/>
    <w:rsid w:val="009F5210"/>
    <w:rsid w:val="009F533A"/>
    <w:rsid w:val="009F5540"/>
    <w:rsid w:val="009F7494"/>
    <w:rsid w:val="009F7527"/>
    <w:rsid w:val="00A04EB0"/>
    <w:rsid w:val="00A13CC1"/>
    <w:rsid w:val="00A16847"/>
    <w:rsid w:val="00A237D8"/>
    <w:rsid w:val="00A268C4"/>
    <w:rsid w:val="00A307CD"/>
    <w:rsid w:val="00A331C8"/>
    <w:rsid w:val="00A40A00"/>
    <w:rsid w:val="00A4142F"/>
    <w:rsid w:val="00A414FF"/>
    <w:rsid w:val="00A422EB"/>
    <w:rsid w:val="00A45BB7"/>
    <w:rsid w:val="00A56DF2"/>
    <w:rsid w:val="00A56E6E"/>
    <w:rsid w:val="00A67AB5"/>
    <w:rsid w:val="00A70C11"/>
    <w:rsid w:val="00A733B2"/>
    <w:rsid w:val="00A7402A"/>
    <w:rsid w:val="00A741C2"/>
    <w:rsid w:val="00A750D5"/>
    <w:rsid w:val="00A91760"/>
    <w:rsid w:val="00A93B00"/>
    <w:rsid w:val="00A93C21"/>
    <w:rsid w:val="00AA164B"/>
    <w:rsid w:val="00AB42F5"/>
    <w:rsid w:val="00AB64C9"/>
    <w:rsid w:val="00AC3C6A"/>
    <w:rsid w:val="00AD5620"/>
    <w:rsid w:val="00AD656B"/>
    <w:rsid w:val="00AD7C1B"/>
    <w:rsid w:val="00AE16BA"/>
    <w:rsid w:val="00AE1EBE"/>
    <w:rsid w:val="00AE340F"/>
    <w:rsid w:val="00AF0A50"/>
    <w:rsid w:val="00AF2C03"/>
    <w:rsid w:val="00AF40CE"/>
    <w:rsid w:val="00AF46D8"/>
    <w:rsid w:val="00B03C9D"/>
    <w:rsid w:val="00B060AE"/>
    <w:rsid w:val="00B10517"/>
    <w:rsid w:val="00B13AA9"/>
    <w:rsid w:val="00B14621"/>
    <w:rsid w:val="00B1485D"/>
    <w:rsid w:val="00B1493D"/>
    <w:rsid w:val="00B14E76"/>
    <w:rsid w:val="00B161B8"/>
    <w:rsid w:val="00B2048C"/>
    <w:rsid w:val="00B23FB1"/>
    <w:rsid w:val="00B310B9"/>
    <w:rsid w:val="00B35F3F"/>
    <w:rsid w:val="00B36447"/>
    <w:rsid w:val="00B36CBB"/>
    <w:rsid w:val="00B425E0"/>
    <w:rsid w:val="00B440AA"/>
    <w:rsid w:val="00B44B70"/>
    <w:rsid w:val="00B525CE"/>
    <w:rsid w:val="00B53C56"/>
    <w:rsid w:val="00B53E79"/>
    <w:rsid w:val="00B57DAF"/>
    <w:rsid w:val="00B72CB2"/>
    <w:rsid w:val="00B77EA6"/>
    <w:rsid w:val="00B81598"/>
    <w:rsid w:val="00B841F1"/>
    <w:rsid w:val="00B84DE4"/>
    <w:rsid w:val="00B84EAC"/>
    <w:rsid w:val="00B944D6"/>
    <w:rsid w:val="00B94C4E"/>
    <w:rsid w:val="00BA0B6A"/>
    <w:rsid w:val="00BB12F5"/>
    <w:rsid w:val="00BB4DF0"/>
    <w:rsid w:val="00BC289F"/>
    <w:rsid w:val="00BC2D50"/>
    <w:rsid w:val="00BC48AC"/>
    <w:rsid w:val="00BC5361"/>
    <w:rsid w:val="00BC5460"/>
    <w:rsid w:val="00BC67F0"/>
    <w:rsid w:val="00BC6B50"/>
    <w:rsid w:val="00BD0E25"/>
    <w:rsid w:val="00BD6727"/>
    <w:rsid w:val="00BF5ABB"/>
    <w:rsid w:val="00BF5BD6"/>
    <w:rsid w:val="00C03E31"/>
    <w:rsid w:val="00C04F38"/>
    <w:rsid w:val="00C232CC"/>
    <w:rsid w:val="00C27763"/>
    <w:rsid w:val="00C33E72"/>
    <w:rsid w:val="00C354B2"/>
    <w:rsid w:val="00C35554"/>
    <w:rsid w:val="00C42709"/>
    <w:rsid w:val="00C52575"/>
    <w:rsid w:val="00C533CC"/>
    <w:rsid w:val="00C5751C"/>
    <w:rsid w:val="00C61BFC"/>
    <w:rsid w:val="00C62B85"/>
    <w:rsid w:val="00C65438"/>
    <w:rsid w:val="00C659F0"/>
    <w:rsid w:val="00C679D7"/>
    <w:rsid w:val="00C717EE"/>
    <w:rsid w:val="00C757EE"/>
    <w:rsid w:val="00C83DD2"/>
    <w:rsid w:val="00C87FD8"/>
    <w:rsid w:val="00C91381"/>
    <w:rsid w:val="00C91ADE"/>
    <w:rsid w:val="00C91CBB"/>
    <w:rsid w:val="00CA0684"/>
    <w:rsid w:val="00CA2D80"/>
    <w:rsid w:val="00CB4E70"/>
    <w:rsid w:val="00CC09B6"/>
    <w:rsid w:val="00CC666F"/>
    <w:rsid w:val="00CC6BAC"/>
    <w:rsid w:val="00CD1E3F"/>
    <w:rsid w:val="00CE3E71"/>
    <w:rsid w:val="00CE44F6"/>
    <w:rsid w:val="00CE49DA"/>
    <w:rsid w:val="00CE7B61"/>
    <w:rsid w:val="00CF72A7"/>
    <w:rsid w:val="00CF7F21"/>
    <w:rsid w:val="00D00095"/>
    <w:rsid w:val="00D114F0"/>
    <w:rsid w:val="00D135D9"/>
    <w:rsid w:val="00D20620"/>
    <w:rsid w:val="00D254F7"/>
    <w:rsid w:val="00D26091"/>
    <w:rsid w:val="00D2685C"/>
    <w:rsid w:val="00D305EE"/>
    <w:rsid w:val="00D32FCD"/>
    <w:rsid w:val="00D34E7C"/>
    <w:rsid w:val="00D34F17"/>
    <w:rsid w:val="00D35489"/>
    <w:rsid w:val="00D36AFE"/>
    <w:rsid w:val="00D44561"/>
    <w:rsid w:val="00D51276"/>
    <w:rsid w:val="00D7035F"/>
    <w:rsid w:val="00D71D3F"/>
    <w:rsid w:val="00D83FBD"/>
    <w:rsid w:val="00D869AB"/>
    <w:rsid w:val="00DA301E"/>
    <w:rsid w:val="00DA634F"/>
    <w:rsid w:val="00DA65AC"/>
    <w:rsid w:val="00DA7502"/>
    <w:rsid w:val="00DB1913"/>
    <w:rsid w:val="00DB61D5"/>
    <w:rsid w:val="00DC410D"/>
    <w:rsid w:val="00DC4B63"/>
    <w:rsid w:val="00DC5A81"/>
    <w:rsid w:val="00DC68CA"/>
    <w:rsid w:val="00DC7CBA"/>
    <w:rsid w:val="00DD73B7"/>
    <w:rsid w:val="00DE0F47"/>
    <w:rsid w:val="00DF06E2"/>
    <w:rsid w:val="00DF1069"/>
    <w:rsid w:val="00DF28BC"/>
    <w:rsid w:val="00DF34B9"/>
    <w:rsid w:val="00E01053"/>
    <w:rsid w:val="00E040C3"/>
    <w:rsid w:val="00E07ACF"/>
    <w:rsid w:val="00E1118B"/>
    <w:rsid w:val="00E1262C"/>
    <w:rsid w:val="00E167A2"/>
    <w:rsid w:val="00E22135"/>
    <w:rsid w:val="00E32242"/>
    <w:rsid w:val="00E331A1"/>
    <w:rsid w:val="00E33202"/>
    <w:rsid w:val="00E336A9"/>
    <w:rsid w:val="00E372F2"/>
    <w:rsid w:val="00E3748D"/>
    <w:rsid w:val="00E431E0"/>
    <w:rsid w:val="00E472B1"/>
    <w:rsid w:val="00E50624"/>
    <w:rsid w:val="00E5285B"/>
    <w:rsid w:val="00E53A02"/>
    <w:rsid w:val="00E568DF"/>
    <w:rsid w:val="00E61C5C"/>
    <w:rsid w:val="00E64269"/>
    <w:rsid w:val="00E663A9"/>
    <w:rsid w:val="00E75E4D"/>
    <w:rsid w:val="00E81107"/>
    <w:rsid w:val="00E81269"/>
    <w:rsid w:val="00E82267"/>
    <w:rsid w:val="00E853CE"/>
    <w:rsid w:val="00E867B6"/>
    <w:rsid w:val="00E87C39"/>
    <w:rsid w:val="00E910F4"/>
    <w:rsid w:val="00EA010F"/>
    <w:rsid w:val="00EA2E41"/>
    <w:rsid w:val="00EB2BFA"/>
    <w:rsid w:val="00EB5224"/>
    <w:rsid w:val="00EB6FF2"/>
    <w:rsid w:val="00ED1B63"/>
    <w:rsid w:val="00ED36B1"/>
    <w:rsid w:val="00ED3C1F"/>
    <w:rsid w:val="00ED4085"/>
    <w:rsid w:val="00ED420E"/>
    <w:rsid w:val="00ED6FBE"/>
    <w:rsid w:val="00EE2F57"/>
    <w:rsid w:val="00EE530F"/>
    <w:rsid w:val="00EF39C0"/>
    <w:rsid w:val="00EF4C34"/>
    <w:rsid w:val="00EF77C6"/>
    <w:rsid w:val="00F05438"/>
    <w:rsid w:val="00F1361C"/>
    <w:rsid w:val="00F156F0"/>
    <w:rsid w:val="00F160C7"/>
    <w:rsid w:val="00F2408F"/>
    <w:rsid w:val="00F240E9"/>
    <w:rsid w:val="00F26018"/>
    <w:rsid w:val="00F30964"/>
    <w:rsid w:val="00F36D8F"/>
    <w:rsid w:val="00F417B1"/>
    <w:rsid w:val="00F4343D"/>
    <w:rsid w:val="00F43BCB"/>
    <w:rsid w:val="00F45853"/>
    <w:rsid w:val="00F46061"/>
    <w:rsid w:val="00F53434"/>
    <w:rsid w:val="00F602DF"/>
    <w:rsid w:val="00F754A1"/>
    <w:rsid w:val="00F81FD9"/>
    <w:rsid w:val="00F841AA"/>
    <w:rsid w:val="00F8494E"/>
    <w:rsid w:val="00F84A94"/>
    <w:rsid w:val="00F87E96"/>
    <w:rsid w:val="00F928A2"/>
    <w:rsid w:val="00FA23E8"/>
    <w:rsid w:val="00FA6CF3"/>
    <w:rsid w:val="00FA7D73"/>
    <w:rsid w:val="00FD3CC1"/>
    <w:rsid w:val="00FD6A5F"/>
    <w:rsid w:val="00FD75B1"/>
    <w:rsid w:val="00FE2D21"/>
    <w:rsid w:val="00FE47F3"/>
    <w:rsid w:val="00FF1E02"/>
    <w:rsid w:val="00FF22B2"/>
    <w:rsid w:val="00FF30B4"/>
    <w:rsid w:val="00FF3CC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9600676"/>
    <w:rsid w:val="3C642EE2"/>
    <w:rsid w:val="3D136C08"/>
    <w:rsid w:val="3D98207C"/>
    <w:rsid w:val="3E78745D"/>
    <w:rsid w:val="40DF1F6F"/>
    <w:rsid w:val="443D2864"/>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6D1495"/>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2843048B"/>
  <w15:docId w15:val="{A5FB0E83-7C40-4176-B429-061EAD1DD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beforeLines="30"/>
    </w:pPr>
    <w:rPr>
      <w:rFonts w:ascii="仿宋_GB2312" w:eastAsia="仿宋_GB2312"/>
      <w:kern w:val="0"/>
      <w:sz w:val="30"/>
    </w:rPr>
  </w:style>
  <w:style w:type="paragraph" w:styleId="a5">
    <w:name w:val="Body Text Indent"/>
    <w:basedOn w:val="a"/>
    <w:qFormat/>
    <w:pPr>
      <w:spacing w:after="120"/>
      <w:ind w:leftChars="200" w:left="200"/>
    </w:pPr>
    <w:rPr>
      <w:rFonts w:ascii="仿宋_GB2312"/>
      <w:szCs w:val="32"/>
    </w:rPr>
  </w:style>
  <w:style w:type="paragraph" w:styleId="31">
    <w:name w:val="toc 3"/>
    <w:basedOn w:val="a"/>
    <w:next w:val="a"/>
    <w:uiPriority w:val="39"/>
    <w:unhideWhenUsed/>
    <w:qFormat/>
    <w:pPr>
      <w:tabs>
        <w:tab w:val="right" w:leader="dot" w:pos="8296"/>
      </w:tabs>
      <w:ind w:leftChars="400" w:left="84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18"/>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paragraph" w:styleId="ac">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22">
    <w:name w:val="Body Text First Indent 2"/>
    <w:basedOn w:val="a5"/>
    <w:uiPriority w:val="99"/>
    <w:unhideWhenUsed/>
    <w:qFormat/>
    <w:pPr>
      <w:ind w:firstLineChars="200" w:firstLine="420"/>
    </w:pPr>
  </w:style>
  <w:style w:type="character" w:styleId="ad">
    <w:name w:val="Strong"/>
    <w:basedOn w:val="a1"/>
    <w:uiPriority w:val="99"/>
    <w:qFormat/>
    <w:rPr>
      <w:b/>
    </w:rPr>
  </w:style>
  <w:style w:type="character" w:styleId="ae">
    <w:name w:val="FollowedHyperlink"/>
    <w:basedOn w:val="a1"/>
    <w:uiPriority w:val="99"/>
    <w:semiHidden/>
    <w:unhideWhenUsed/>
    <w:qFormat/>
    <w:rPr>
      <w:color w:val="954F72"/>
      <w:u w:val="single"/>
    </w:rPr>
  </w:style>
  <w:style w:type="character" w:styleId="af">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b">
    <w:name w:val="页眉 字符"/>
    <w:link w:val="aa"/>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9">
    <w:name w:val="页脚 字符"/>
    <w:link w:val="a8"/>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4">
    <w:name w:val="正文文本 字符"/>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0">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7">
    <w:name w:val="批注框文本 字符"/>
    <w:basedOn w:val="a1"/>
    <w:link w:val="a6"/>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1">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qFormat/>
    <w:rPr>
      <w:rFonts w:ascii="仿宋_GB2312" w:eastAsia="仿宋_GB2312" w:hint="eastAsia"/>
      <w:color w:val="000000"/>
      <w:sz w:val="32"/>
      <w:szCs w:val="32"/>
    </w:rPr>
  </w:style>
  <w:style w:type="character" w:customStyle="1" w:styleId="fontstyle11">
    <w:name w:val="fontstyle11"/>
    <w:basedOn w:val="a1"/>
    <w:qFormat/>
    <w:rPr>
      <w:rFonts w:ascii="TimesNewRoman" w:hAnsi="TimesNewRoman" w:hint="default"/>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2022</a:t>
            </a:r>
            <a:r>
              <a:rPr lang="zh-CN" altLang="en-US"/>
              <a:t>年与</a:t>
            </a:r>
            <a:r>
              <a:rPr lang="en-US" altLang="zh-CN"/>
              <a:t>2023</a:t>
            </a:r>
            <a:r>
              <a:rPr lang="zh-CN" altLang="en-US"/>
              <a:t>年收、支决算总计对比图</a:t>
            </a:r>
            <a:endParaRPr lang="en-US" altLang="zh-CN"/>
          </a:p>
          <a:p>
            <a:pPr>
              <a:defRPr lang="zh-CN" sz="1400" b="0" i="0" u="none" strike="noStrike" kern="1200" spc="0" baseline="0">
                <a:solidFill>
                  <a:schemeClr val="tx1">
                    <a:lumMod val="65000"/>
                    <a:lumOff val="35000"/>
                  </a:schemeClr>
                </a:solidFill>
                <a:latin typeface="+mn-lt"/>
                <a:ea typeface="+mn-ea"/>
                <a:cs typeface="+mn-cs"/>
              </a:defRPr>
            </a:pPr>
            <a:r>
              <a:rPr lang="zh-CN" altLang="en-US"/>
              <a:t>单位：万元</a:t>
            </a:r>
          </a:p>
        </c:rich>
      </c:tx>
      <c:overlay val="0"/>
      <c:spPr>
        <a:noFill/>
        <a:ln>
          <a:noFill/>
        </a:ln>
        <a:effectLst/>
      </c:spPr>
    </c:title>
    <c:autoTitleDeleted val="0"/>
    <c:plotArea>
      <c:layout/>
      <c:barChart>
        <c:barDir val="col"/>
        <c:grouping val="stacked"/>
        <c:varyColors val="0"/>
        <c:ser>
          <c:idx val="0"/>
          <c:order val="0"/>
          <c:tx>
            <c:strRef>
              <c:f>Sheet1!$B$1</c:f>
              <c:strCache>
                <c:ptCount val="1"/>
                <c:pt idx="0">
                  <c:v>收、支总计</c:v>
                </c:pt>
              </c:strCache>
            </c:strRef>
          </c:tx>
          <c:spPr>
            <a:solidFill>
              <a:schemeClr val="accent1"/>
            </a:solidFill>
            <a:ln>
              <a:noFill/>
            </a:ln>
            <a:effectLst/>
          </c:spPr>
          <c:invertIfNegative val="0"/>
          <c:dLbls>
            <c:delete val="1"/>
          </c:dLbls>
          <c:cat>
            <c:strRef>
              <c:f>Sheet1!$A$2:$A$3</c:f>
              <c:strCache>
                <c:ptCount val="2"/>
                <c:pt idx="0">
                  <c:v>2022年</c:v>
                </c:pt>
                <c:pt idx="1">
                  <c:v>2023年</c:v>
                </c:pt>
              </c:strCache>
            </c:strRef>
          </c:cat>
          <c:val>
            <c:numRef>
              <c:f>Sheet1!$B$2:$B$3</c:f>
              <c:numCache>
                <c:formatCode>General</c:formatCode>
                <c:ptCount val="2"/>
                <c:pt idx="0">
                  <c:v>3837.3</c:v>
                </c:pt>
                <c:pt idx="1">
                  <c:v>4037.2</c:v>
                </c:pt>
              </c:numCache>
            </c:numRef>
          </c:val>
          <c:extLst>
            <c:ext xmlns:c16="http://schemas.microsoft.com/office/drawing/2014/chart" uri="{C3380CC4-5D6E-409C-BE32-E72D297353CC}">
              <c16:uniqueId val="{00000000-4ADC-4909-9132-DF6E5DA43D5D}"/>
            </c:ext>
          </c:extLst>
        </c:ser>
        <c:dLbls>
          <c:showLegendKey val="0"/>
          <c:showVal val="1"/>
          <c:showCatName val="0"/>
          <c:showSerName val="0"/>
          <c:showPercent val="0"/>
          <c:showBubbleSize val="0"/>
        </c:dLbls>
        <c:gapWidth val="150"/>
        <c:overlap val="100"/>
        <c:axId val="335563776"/>
        <c:axId val="335581952"/>
      </c:barChart>
      <c:catAx>
        <c:axId val="3355637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5581952"/>
        <c:crosses val="autoZero"/>
        <c:auto val="1"/>
        <c:lblAlgn val="ctr"/>
        <c:lblOffset val="100"/>
        <c:noMultiLvlLbl val="0"/>
      </c:catAx>
      <c:valAx>
        <c:axId val="33558195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55637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2023收入决算结构图</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25B-49C4-8525-FAE86031FCD2}"/>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cap="flat" cmpd="sng" algn="ctr">
                  <a:solidFill>
                    <a:schemeClr val="dk1">
                      <a:lumMod val="50000"/>
                      <a:lumOff val="50000"/>
                    </a:schemeClr>
                  </a:solidFill>
                  <a:prstDash val="solid"/>
                  <a:round/>
                </a:ln>
                <a:effectLst/>
              </c:spPr>
            </c:leaderLines>
            <c:extLst>
              <c:ext xmlns:c15="http://schemas.microsoft.com/office/drawing/2012/chart" uri="{CE6537A1-D6FC-4f65-9D91-7224C49458BB}"/>
            </c:extLst>
          </c:dLbls>
          <c:cat>
            <c:strRef>
              <c:f>Sheet1!$A$2</c:f>
              <c:strCache>
                <c:ptCount val="1"/>
                <c:pt idx="0">
                  <c:v>一般公共预算财政拨款收入</c:v>
                </c:pt>
              </c:strCache>
            </c:strRef>
          </c:cat>
          <c:val>
            <c:numRef>
              <c:f>Sheet1!$B$2</c:f>
              <c:numCache>
                <c:formatCode>General</c:formatCode>
                <c:ptCount val="1"/>
                <c:pt idx="0">
                  <c:v>3837.13</c:v>
                </c:pt>
              </c:numCache>
            </c:numRef>
          </c:val>
          <c:extLst>
            <c:ext xmlns:c16="http://schemas.microsoft.com/office/drawing/2014/chart" uri="{C3380CC4-5D6E-409C-BE32-E72D297353CC}">
              <c16:uniqueId val="{00000002-925B-49C4-8525-FAE86031FCD2}"/>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r>
              <a:rPr lang="en-US"/>
              <a:t>2023</a:t>
            </a:r>
            <a:r>
              <a:rPr lang="zh-CN"/>
              <a:t>年支出决算结构图</a:t>
            </a:r>
            <a:endParaRPr lang="en-US"/>
          </a:p>
        </c:rich>
      </c:tx>
      <c:overlay val="0"/>
      <c:spPr>
        <a:noFill/>
        <a:ln>
          <a:noFill/>
        </a:ln>
        <a:effectLst/>
      </c:spPr>
    </c:title>
    <c:autoTitleDeleted val="0"/>
    <c:plotArea>
      <c:layout/>
      <c:pieChart>
        <c:varyColors val="1"/>
        <c:ser>
          <c:idx val="0"/>
          <c:order val="0"/>
          <c:tx>
            <c:strRef>
              <c:f>Sheet1!$B$1</c:f>
              <c:strCache>
                <c:ptCount val="1"/>
                <c:pt idx="0">
                  <c:v>2023年支出决算结构图</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02C4-4713-A9D9-46D2B6C367E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2C4-4713-A9D9-46D2B6C367EE}"/>
              </c:ext>
            </c:extLst>
          </c:dPt>
          <c:dLbls>
            <c:numFmt formatCode="0.00%"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endParaRPr lang="zh-CN"/>
              </a:p>
            </c:txPr>
            <c:dLblPos val="ctr"/>
            <c:showLegendKey val="0"/>
            <c:showVal val="0"/>
            <c:showCatName val="1"/>
            <c:showSerName val="0"/>
            <c:showPercent val="1"/>
            <c:showBubbleSize val="0"/>
            <c:showLeaderLines val="1"/>
            <c:leaderLines>
              <c:spPr>
                <a:ln w="9525" cap="flat" cmpd="sng" algn="ctr">
                  <a:solidFill>
                    <a:schemeClr val="dk1">
                      <a:lumMod val="50000"/>
                      <a:lumOff val="50000"/>
                    </a:schemeClr>
                  </a:solidFill>
                  <a:prstDash val="solid"/>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3191.48</c:v>
                </c:pt>
                <c:pt idx="1">
                  <c:v>645.82000000000005</c:v>
                </c:pt>
              </c:numCache>
            </c:numRef>
          </c:val>
          <c:extLst>
            <c:ext xmlns:c16="http://schemas.microsoft.com/office/drawing/2014/chart" uri="{C3380CC4-5D6E-409C-BE32-E72D297353CC}">
              <c16:uniqueId val="{00000004-02C4-4713-A9D9-46D2B6C367EE}"/>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t>2022</a:t>
            </a:r>
            <a:r>
              <a:rPr lang="zh-CN"/>
              <a:t>年与</a:t>
            </a:r>
            <a:r>
              <a:rPr lang="en-US"/>
              <a:t>2023</a:t>
            </a:r>
            <a:r>
              <a:rPr lang="zh-CN"/>
              <a:t>年财政拨款收、支决算总计变动情况</a:t>
            </a:r>
            <a:endParaRPr lang="en-US"/>
          </a:p>
          <a:p>
            <a:pPr>
              <a:defRPr lang="zh-CN" sz="1400" b="0" i="0" u="none" strike="noStrike" kern="1200" spc="0" baseline="0">
                <a:solidFill>
                  <a:schemeClr val="tx1">
                    <a:lumMod val="65000"/>
                    <a:lumOff val="35000"/>
                  </a:schemeClr>
                </a:solidFill>
                <a:latin typeface="+mn-lt"/>
                <a:ea typeface="+mn-ea"/>
                <a:cs typeface="+mn-cs"/>
              </a:defRPr>
            </a:pPr>
            <a:r>
              <a:rPr lang="zh-CN"/>
              <a:t>单位：万元</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人员经费</c:v>
                </c:pt>
              </c:strCache>
            </c:strRef>
          </c:tx>
          <c:spPr>
            <a:solidFill>
              <a:schemeClr val="accent1"/>
            </a:solidFill>
            <a:ln>
              <a:noFill/>
            </a:ln>
            <a:effectLst/>
          </c:spPr>
          <c:invertIfNegative val="0"/>
          <c:cat>
            <c:strRef>
              <c:f>Sheet1!$A$2:$A$3</c:f>
              <c:strCache>
                <c:ptCount val="2"/>
                <c:pt idx="0">
                  <c:v>2022年</c:v>
                </c:pt>
                <c:pt idx="1">
                  <c:v>2023年</c:v>
                </c:pt>
              </c:strCache>
            </c:strRef>
          </c:cat>
          <c:val>
            <c:numRef>
              <c:f>Sheet1!$B$2:$B$3</c:f>
              <c:numCache>
                <c:formatCode>General</c:formatCode>
                <c:ptCount val="2"/>
                <c:pt idx="0">
                  <c:v>2785.2</c:v>
                </c:pt>
                <c:pt idx="1">
                  <c:v>2831.81</c:v>
                </c:pt>
              </c:numCache>
            </c:numRef>
          </c:val>
          <c:extLst>
            <c:ext xmlns:c16="http://schemas.microsoft.com/office/drawing/2014/chart" uri="{C3380CC4-5D6E-409C-BE32-E72D297353CC}">
              <c16:uniqueId val="{00000000-A7C6-43C3-AB5D-EFDAB15060F6}"/>
            </c:ext>
          </c:extLst>
        </c:ser>
        <c:ser>
          <c:idx val="1"/>
          <c:order val="1"/>
          <c:tx>
            <c:strRef>
              <c:f>Sheet1!$C$1</c:f>
              <c:strCache>
                <c:ptCount val="1"/>
                <c:pt idx="0">
                  <c:v>公用经费</c:v>
                </c:pt>
              </c:strCache>
            </c:strRef>
          </c:tx>
          <c:spPr>
            <a:solidFill>
              <a:schemeClr val="accent2"/>
            </a:solidFill>
            <a:ln>
              <a:noFill/>
            </a:ln>
            <a:effectLst/>
          </c:spPr>
          <c:invertIfNegative val="0"/>
          <c:cat>
            <c:strRef>
              <c:f>Sheet1!$A$2:$A$3</c:f>
              <c:strCache>
                <c:ptCount val="2"/>
                <c:pt idx="0">
                  <c:v>2022年</c:v>
                </c:pt>
                <c:pt idx="1">
                  <c:v>2023年</c:v>
                </c:pt>
              </c:strCache>
            </c:strRef>
          </c:cat>
          <c:val>
            <c:numRef>
              <c:f>Sheet1!$C$2:$C$3</c:f>
              <c:numCache>
                <c:formatCode>General</c:formatCode>
                <c:ptCount val="2"/>
                <c:pt idx="0">
                  <c:v>353.48</c:v>
                </c:pt>
                <c:pt idx="1">
                  <c:v>359.56</c:v>
                </c:pt>
              </c:numCache>
            </c:numRef>
          </c:val>
          <c:extLst>
            <c:ext xmlns:c16="http://schemas.microsoft.com/office/drawing/2014/chart" uri="{C3380CC4-5D6E-409C-BE32-E72D297353CC}">
              <c16:uniqueId val="{00000001-A7C6-43C3-AB5D-EFDAB15060F6}"/>
            </c:ext>
          </c:extLst>
        </c:ser>
        <c:ser>
          <c:idx val="2"/>
          <c:order val="2"/>
          <c:tx>
            <c:strRef>
              <c:f>Sheet1!$D$1</c:f>
              <c:strCache>
                <c:ptCount val="1"/>
                <c:pt idx="0">
                  <c:v>项目经费</c:v>
                </c:pt>
              </c:strCache>
            </c:strRef>
          </c:tx>
          <c:spPr>
            <a:solidFill>
              <a:schemeClr val="accent3"/>
            </a:solidFill>
            <a:ln>
              <a:noFill/>
            </a:ln>
            <a:effectLst/>
          </c:spPr>
          <c:invertIfNegative val="0"/>
          <c:cat>
            <c:strRef>
              <c:f>Sheet1!$A$2:$A$3</c:f>
              <c:strCache>
                <c:ptCount val="2"/>
                <c:pt idx="0">
                  <c:v>2022年</c:v>
                </c:pt>
                <c:pt idx="1">
                  <c:v>2023年</c:v>
                </c:pt>
              </c:strCache>
            </c:strRef>
          </c:cat>
          <c:val>
            <c:numRef>
              <c:f>Sheet1!$D$2:$D$3</c:f>
              <c:numCache>
                <c:formatCode>General</c:formatCode>
                <c:ptCount val="2"/>
                <c:pt idx="0">
                  <c:v>898.4</c:v>
                </c:pt>
                <c:pt idx="1">
                  <c:v>645.82000000000005</c:v>
                </c:pt>
              </c:numCache>
            </c:numRef>
          </c:val>
          <c:extLst>
            <c:ext xmlns:c16="http://schemas.microsoft.com/office/drawing/2014/chart" uri="{C3380CC4-5D6E-409C-BE32-E72D297353CC}">
              <c16:uniqueId val="{00000002-A7C6-43C3-AB5D-EFDAB15060F6}"/>
            </c:ext>
          </c:extLst>
        </c:ser>
        <c:dLbls>
          <c:showLegendKey val="0"/>
          <c:showVal val="0"/>
          <c:showCatName val="0"/>
          <c:showSerName val="0"/>
          <c:showPercent val="0"/>
          <c:showBubbleSize val="0"/>
        </c:dLbls>
        <c:gapWidth val="219"/>
        <c:overlap val="-27"/>
        <c:axId val="148804352"/>
        <c:axId val="148805888"/>
      </c:barChart>
      <c:catAx>
        <c:axId val="148804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8805888"/>
        <c:crosses val="autoZero"/>
        <c:auto val="1"/>
        <c:lblAlgn val="ctr"/>
        <c:lblOffset val="100"/>
        <c:noMultiLvlLbl val="0"/>
      </c:catAx>
      <c:valAx>
        <c:axId val="14880588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8804352"/>
        <c:crosses val="autoZero"/>
        <c:crossBetween val="between"/>
      </c:valAx>
      <c:dTable>
        <c:showHorzBorder val="1"/>
        <c:showVertBorder val="1"/>
        <c:showOutline val="1"/>
        <c:showKeys val="1"/>
        <c:spPr>
          <a:noFill/>
          <a:ln w="9525" cap="flat" cmpd="sng" algn="ctr">
            <a:solidFill>
              <a:schemeClr val="tx1">
                <a:lumMod val="15000"/>
                <a:lumOff val="85000"/>
              </a:schemeClr>
            </a:solidFill>
            <a:prstDash val="solid"/>
            <a:round/>
          </a:ln>
          <a:effectLst/>
        </c:spPr>
        <c:txPr>
          <a:bodyPr rot="0" spcFirstLastPara="1" vertOverflow="ellipsis" vert="horz" wrap="square" anchor="ctr" anchorCtr="1"/>
          <a:lstStyle/>
          <a:p>
            <a:pPr rtl="0">
              <a:defRPr lang="zh-CN" sz="900" b="0" i="0" u="none" strike="noStrike" kern="1200" baseline="0">
                <a:solidFill>
                  <a:schemeClr val="tx1">
                    <a:lumMod val="65000"/>
                    <a:lumOff val="35000"/>
                  </a:schemeClr>
                </a:solidFill>
                <a:latin typeface="+mn-lt"/>
                <a:ea typeface="+mn-ea"/>
                <a:cs typeface="+mn-cs"/>
              </a:defRPr>
            </a:pPr>
            <a:endParaRPr lang="zh-CN"/>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一般公共预算财政拨款支出决算变动情况</a:t>
            </a:r>
            <a:endParaRPr lang="en-US" altLang="zh-CN"/>
          </a:p>
          <a:p>
            <a:pPr>
              <a:defRPr lang="zh-CN" sz="1400" b="0" i="0" u="none" strike="noStrike" kern="1200" spc="0" baseline="0">
                <a:solidFill>
                  <a:schemeClr val="tx1">
                    <a:lumMod val="65000"/>
                    <a:lumOff val="35000"/>
                  </a:schemeClr>
                </a:solidFill>
                <a:latin typeface="+mn-lt"/>
                <a:ea typeface="+mn-ea"/>
                <a:cs typeface="+mn-cs"/>
              </a:defRPr>
            </a:pPr>
            <a:r>
              <a:rPr lang="zh-CN" altLang="en-US"/>
              <a:t>单位：万元</a:t>
            </a:r>
          </a:p>
        </c:rich>
      </c:tx>
      <c:overlay val="0"/>
      <c:spPr>
        <a:noFill/>
        <a:ln>
          <a:noFill/>
        </a:ln>
        <a:effectLst/>
      </c:spPr>
    </c:title>
    <c:autoTitleDeleted val="0"/>
    <c:plotArea>
      <c:layout/>
      <c:barChart>
        <c:barDir val="col"/>
        <c:grouping val="clustered"/>
        <c:varyColors val="0"/>
        <c:ser>
          <c:idx val="0"/>
          <c:order val="0"/>
          <c:tx>
            <c:strRef>
              <c:f>Sheet1!$B$1</c:f>
              <c:strCache>
                <c:ptCount val="1"/>
                <c:pt idx="0">
                  <c:v>人员经费</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2785.2</c:v>
                </c:pt>
                <c:pt idx="1">
                  <c:v>2831.81</c:v>
                </c:pt>
              </c:numCache>
            </c:numRef>
          </c:val>
          <c:extLst>
            <c:ext xmlns:c16="http://schemas.microsoft.com/office/drawing/2014/chart" uri="{C3380CC4-5D6E-409C-BE32-E72D297353CC}">
              <c16:uniqueId val="{00000000-6F74-4113-A36B-9E2845BD9C7F}"/>
            </c:ext>
          </c:extLst>
        </c:ser>
        <c:ser>
          <c:idx val="1"/>
          <c:order val="1"/>
          <c:tx>
            <c:strRef>
              <c:f>Sheet1!$C$1</c:f>
              <c:strCache>
                <c:ptCount val="1"/>
                <c:pt idx="0">
                  <c:v>公用经费</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353.48</c:v>
                </c:pt>
                <c:pt idx="1">
                  <c:v>359.56</c:v>
                </c:pt>
              </c:numCache>
            </c:numRef>
          </c:val>
          <c:extLst>
            <c:ext xmlns:c16="http://schemas.microsoft.com/office/drawing/2014/chart" uri="{C3380CC4-5D6E-409C-BE32-E72D297353CC}">
              <c16:uniqueId val="{00000001-6F74-4113-A36B-9E2845BD9C7F}"/>
            </c:ext>
          </c:extLst>
        </c:ser>
        <c:ser>
          <c:idx val="2"/>
          <c:order val="2"/>
          <c:tx>
            <c:strRef>
              <c:f>Sheet1!$D$1</c:f>
              <c:strCache>
                <c:ptCount val="1"/>
                <c:pt idx="0">
                  <c:v>项目经费</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2022年</c:v>
                </c:pt>
                <c:pt idx="1">
                  <c:v>2023年</c:v>
                </c:pt>
              </c:strCache>
            </c:strRef>
          </c:cat>
          <c:val>
            <c:numRef>
              <c:f>Sheet1!$D$2:$D$3</c:f>
              <c:numCache>
                <c:formatCode>General</c:formatCode>
                <c:ptCount val="2"/>
                <c:pt idx="0">
                  <c:v>898.34</c:v>
                </c:pt>
                <c:pt idx="1">
                  <c:v>645.82000000000005</c:v>
                </c:pt>
              </c:numCache>
            </c:numRef>
          </c:val>
          <c:extLst>
            <c:ext xmlns:c16="http://schemas.microsoft.com/office/drawing/2014/chart" uri="{C3380CC4-5D6E-409C-BE32-E72D297353CC}">
              <c16:uniqueId val="{00000002-6F74-4113-A36B-9E2845BD9C7F}"/>
            </c:ext>
          </c:extLst>
        </c:ser>
        <c:dLbls>
          <c:showLegendKey val="0"/>
          <c:showVal val="1"/>
          <c:showCatName val="0"/>
          <c:showSerName val="0"/>
          <c:showPercent val="0"/>
          <c:showBubbleSize val="0"/>
        </c:dLbls>
        <c:gapWidth val="219"/>
        <c:overlap val="-27"/>
        <c:axId val="162111488"/>
        <c:axId val="162113024"/>
      </c:barChart>
      <c:catAx>
        <c:axId val="162111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2113024"/>
        <c:crosses val="autoZero"/>
        <c:auto val="1"/>
        <c:lblAlgn val="ctr"/>
        <c:lblOffset val="100"/>
        <c:noMultiLvlLbl val="0"/>
      </c:catAx>
      <c:valAx>
        <c:axId val="16211302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2111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r>
              <a:rPr lang="zh-CN"/>
              <a:t>一般公共预算财政拨款支出决算结构图</a:t>
            </a:r>
          </a:p>
        </c:rich>
      </c:tx>
      <c:overlay val="0"/>
      <c:spPr>
        <a:noFill/>
        <a:ln>
          <a:noFill/>
        </a:ln>
        <a:effectLst/>
      </c:spPr>
    </c:title>
    <c:autoTitleDeleted val="0"/>
    <c:plotArea>
      <c:layout/>
      <c:pieChart>
        <c:varyColors val="1"/>
        <c:ser>
          <c:idx val="0"/>
          <c:order val="0"/>
          <c:tx>
            <c:strRef>
              <c:f>Sheet1!$B$1</c:f>
              <c:strCache>
                <c:ptCount val="1"/>
                <c:pt idx="0">
                  <c:v>销售额</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3AD1-444D-B548-F76E4F5C881C}"/>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3AD1-444D-B548-F76E4F5C881C}"/>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3AD1-444D-B548-F76E4F5C881C}"/>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3AD1-444D-B548-F76E4F5C881C}"/>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3AD1-444D-B548-F76E4F5C881C}"/>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3AD1-444D-B548-F76E4F5C881C}"/>
              </c:ext>
            </c:extLst>
          </c:dPt>
          <c:dLbls>
            <c:dLbl>
              <c:idx val="0"/>
              <c:tx>
                <c:rich>
                  <a:bodyPr/>
                  <a:lstStyle/>
                  <a:p>
                    <a:r>
                      <a:rPr lang="en-US" altLang="zh-CN"/>
                      <a:t>72.86%</a:t>
                    </a:r>
                  </a:p>
                </c:rich>
              </c:tx>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AD1-444D-B548-F76E4F5C881C}"/>
                </c:ext>
              </c:extLst>
            </c:dLbl>
            <c:numFmt formatCode="0.00%" sourceLinked="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zh-CN" sz="1000" b="1" i="0" u="none" strike="noStrike" kern="1200" baseline="0">
                    <a:solidFill>
                      <a:schemeClr val="lt1"/>
                    </a:solidFill>
                    <a:latin typeface="+mn-lt"/>
                    <a:ea typeface="+mn-ea"/>
                    <a:cs typeface="+mn-cs"/>
                  </a:defRPr>
                </a:pPr>
                <a:endParaRPr lang="zh-CN"/>
              </a:p>
            </c:txPr>
            <c:dLblPos val="bestFit"/>
            <c:showLegendKey val="0"/>
            <c:showVal val="0"/>
            <c:showCatName val="0"/>
            <c:showSerName val="0"/>
            <c:showPercent val="1"/>
            <c:showBubbleSize val="0"/>
            <c:showLeaderLines val="1"/>
            <c:leaderLines>
              <c:spPr>
                <a:ln w="9525" cap="flat" cmpd="sng" algn="ctr">
                  <a:solidFill>
                    <a:schemeClr val="dk1">
                      <a:lumMod val="50000"/>
                      <a:lumOff val="50000"/>
                    </a:schemeClr>
                  </a:solidFill>
                  <a:prstDash val="solid"/>
                  <a:round/>
                </a:ln>
                <a:effectLst/>
              </c:spPr>
            </c:leaderLines>
            <c:extLst>
              <c:ext xmlns:c15="http://schemas.microsoft.com/office/drawing/2012/chart" uri="{CE6537A1-D6FC-4f65-9D91-7224C49458BB}"/>
            </c:extLst>
          </c:dLbls>
          <c:cat>
            <c:strRef>
              <c:f>Sheet1!$A$2:$A$7</c:f>
              <c:strCache>
                <c:ptCount val="6"/>
                <c:pt idx="0">
                  <c:v>一般公共服务支出</c:v>
                </c:pt>
                <c:pt idx="1">
                  <c:v>社会保障和就业支出</c:v>
                </c:pt>
                <c:pt idx="2">
                  <c:v>卫生健康支出</c:v>
                </c:pt>
                <c:pt idx="3">
                  <c:v>农林水支出</c:v>
                </c:pt>
                <c:pt idx="4">
                  <c:v>资源勘探工业信息等支出</c:v>
                </c:pt>
                <c:pt idx="5">
                  <c:v>住房保障支出</c:v>
                </c:pt>
              </c:strCache>
            </c:strRef>
          </c:cat>
          <c:val>
            <c:numRef>
              <c:f>Sheet1!$B$2:$B$7</c:f>
              <c:numCache>
                <c:formatCode>General</c:formatCode>
                <c:ptCount val="6"/>
                <c:pt idx="0">
                  <c:v>2796</c:v>
                </c:pt>
                <c:pt idx="1">
                  <c:v>655.43</c:v>
                </c:pt>
                <c:pt idx="2">
                  <c:v>171.62</c:v>
                </c:pt>
                <c:pt idx="3">
                  <c:v>2.17</c:v>
                </c:pt>
                <c:pt idx="4">
                  <c:v>3</c:v>
                </c:pt>
                <c:pt idx="5">
                  <c:v>208.97</c:v>
                </c:pt>
              </c:numCache>
            </c:numRef>
          </c:val>
          <c:extLst>
            <c:ext xmlns:c16="http://schemas.microsoft.com/office/drawing/2014/chart" uri="{C3380CC4-5D6E-409C-BE32-E72D297353CC}">
              <c16:uniqueId val="{0000000C-3AD1-444D-B548-F76E4F5C881C}"/>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prstDash val="solid"/>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lang="zh-CN" sz="1600" b="1" i="0" u="none" strike="noStrike" kern="1200" spc="0" normalizeH="0" baseline="0">
              <a:solidFill>
                <a:schemeClr val="dk1">
                  <a:lumMod val="50000"/>
                  <a:lumOff val="50000"/>
                </a:schemeClr>
              </a:solidFill>
              <a:latin typeface="+mj-lt"/>
              <a:ea typeface="+mj-ea"/>
              <a:cs typeface="+mj-cs"/>
            </a:defRPr>
          </a:pPr>
          <a:endParaRPr lang="zh-CN"/>
        </a:p>
      </c:txPr>
    </c:title>
    <c:autoTitleDeleted val="0"/>
    <c:plotArea>
      <c:layout/>
      <c:pieChart>
        <c:varyColors val="1"/>
        <c:ser>
          <c:idx val="0"/>
          <c:order val="0"/>
          <c:tx>
            <c:strRef>
              <c:f>Sheet1!$B$1</c:f>
              <c:strCache>
                <c:ptCount val="1"/>
                <c:pt idx="0">
                  <c:v>“三公”经费财政拨款支出结构图</c:v>
                </c:pt>
              </c:strCache>
            </c:strRef>
          </c:tx>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extLst>
              <c:ext xmlns:c16="http://schemas.microsoft.com/office/drawing/2014/chart" uri="{C3380CC4-5D6E-409C-BE32-E72D297353CC}">
                <c16:uniqueId val="{00000001-3855-4ADB-880A-ABC24DBB8D24}"/>
              </c:ext>
            </c:extLst>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extLst>
              <c:ext xmlns:c16="http://schemas.microsoft.com/office/drawing/2014/chart" uri="{C3380CC4-5D6E-409C-BE32-E72D297353CC}">
                <c16:uniqueId val="{00000003-3855-4ADB-880A-ABC24DBB8D24}"/>
              </c:ext>
            </c:extLst>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5-3855-4ADB-880A-ABC24DBB8D24}"/>
              </c:ext>
            </c:extLst>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dk1">
                        <a:lumMod val="75000"/>
                        <a:lumOff val="25000"/>
                      </a:schemeClr>
                    </a:solidFill>
                    <a:latin typeface="+mn-lt"/>
                    <a:ea typeface="+mn-ea"/>
                    <a:cs typeface="+mn-cs"/>
                  </a:defRPr>
                </a:pPr>
                <a:endParaRPr lang="zh-CN"/>
              </a:p>
            </c:txPr>
            <c:dLblPos val="bestFit"/>
            <c:showLegendKey val="0"/>
            <c:showVal val="0"/>
            <c:showCatName val="0"/>
            <c:showSerName val="0"/>
            <c:showPercent val="1"/>
            <c:showBubbleSize val="0"/>
            <c:showLeaderLines val="1"/>
            <c:leaderLines>
              <c:spPr>
                <a:ln w="9525" cap="flat" cmpd="sng" algn="ctr">
                  <a:solidFill>
                    <a:schemeClr val="dk1">
                      <a:lumMod val="35000"/>
                      <a:lumOff val="65000"/>
                    </a:schemeClr>
                  </a:solidFill>
                  <a:prstDash val="solid"/>
                  <a:round/>
                </a:ln>
                <a:effectLst/>
              </c:spPr>
            </c:leaderLines>
            <c:extLs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10.61</c:v>
                </c:pt>
                <c:pt idx="2">
                  <c:v>0.7</c:v>
                </c:pt>
              </c:numCache>
            </c:numRef>
          </c:val>
          <c:extLst>
            <c:ext xmlns:c16="http://schemas.microsoft.com/office/drawing/2014/chart" uri="{C3380CC4-5D6E-409C-BE32-E72D297353CC}">
              <c16:uniqueId val="{00000006-3855-4ADB-880A-ABC24DBB8D24}"/>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solidFill>
          <a:schemeClr val="lt1">
            <a:alpha val="50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endParaRPr lang="zh-CN"/>
        </a:p>
      </c:txPr>
    </c:legend>
    <c:plotVisOnly val="1"/>
    <c:dispBlanksAs val="gap"/>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48</Pages>
  <Words>3096</Words>
  <Characters>17652</Characters>
  <Application>Microsoft Office Word</Application>
  <DocSecurity>0</DocSecurity>
  <Lines>147</Lines>
  <Paragraphs>41</Paragraphs>
  <ScaleCrop>false</ScaleCrop>
  <Company>四川省财政厅</Company>
  <LinksUpToDate>false</LinksUpToDate>
  <CharactersWithSpaces>20707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姚丽</cp:lastModifiedBy>
  <cp:revision>25</cp:revision>
  <cp:lastPrinted>2023-07-31T10:35:00Z</cp:lastPrinted>
  <dcterms:created xsi:type="dcterms:W3CDTF">2024-09-11T10:50:00Z</dcterms:created>
  <dcterms:modified xsi:type="dcterms:W3CDTF">2024-09-23T01:37:00Z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EDBF763635AD45078BDA9342E24546DA_12</vt:lpwstr>
  </property>
</Properties>
</file>