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3BA050">
      <w:pPr>
        <w:keepNext w:val="0"/>
        <w:keepLines w:val="0"/>
        <w:pageBreakBefore w:val="0"/>
        <w:tabs>
          <w:tab w:val="left" w:pos="8820"/>
        </w:tabs>
        <w:kinsoku w:val="0"/>
        <w:wordWrap/>
        <w:overflowPunct/>
        <w:topLinePunct w:val="0"/>
        <w:autoSpaceDE w:val="0"/>
        <w:autoSpaceDN w:val="0"/>
        <w:bidi w:val="0"/>
        <w:spacing w:line="640" w:lineRule="exact"/>
        <w:ind w:right="320" w:firstLine="640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</w:p>
    <w:p w14:paraId="354D22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Times New Roman" w:hAnsi="Times New Roman" w:eastAsia="方正小标宋简体" w:cs="Times New Roman"/>
          <w:snapToGrid/>
          <w:kern w:val="2"/>
          <w:sz w:val="44"/>
          <w:szCs w:val="44"/>
        </w:rPr>
      </w:pPr>
      <w:r>
        <w:rPr>
          <w:rFonts w:ascii="Times New Roman" w:hAnsi="Times New Roman" w:eastAsia="方正小标宋简体" w:cs="Times New Roman"/>
          <w:snapToGrid/>
          <w:kern w:val="2"/>
          <w:sz w:val="44"/>
          <w:szCs w:val="44"/>
        </w:rPr>
        <w:t>攀枝花市生态环境局</w:t>
      </w:r>
    </w:p>
    <w:p w14:paraId="5EF3BB83">
      <w:pPr>
        <w:keepNext w:val="0"/>
        <w:keepLines w:val="0"/>
        <w:pageBreakBefore w:val="0"/>
        <w:tabs>
          <w:tab w:val="left" w:pos="2091"/>
          <w:tab w:val="center" w:pos="4213"/>
        </w:tabs>
        <w:wordWrap/>
        <w:overflowPunct/>
        <w:topLinePunct w:val="0"/>
        <w:bidi w:val="0"/>
        <w:spacing w:line="560" w:lineRule="exact"/>
        <w:jc w:val="center"/>
        <w:rPr>
          <w:rFonts w:hint="default" w:ascii="Times New Roman" w:hAnsi="Times New Roman" w:eastAsia="方正小标宋_GBK" w:cs="Times New Roman"/>
          <w:bCs/>
          <w:sz w:val="44"/>
          <w:szCs w:val="44"/>
          <w:lang w:val="en-US" w:eastAsia="zh-CN"/>
        </w:rPr>
      </w:pPr>
      <w:r>
        <w:rPr>
          <w:rFonts w:ascii="Times New Roman" w:hAnsi="Times New Roman" w:eastAsia="方正小标宋_GBK" w:cs="Times New Roman"/>
          <w:bCs/>
          <w:sz w:val="44"/>
          <w:szCs w:val="44"/>
        </w:rPr>
        <w:t>关于</w:t>
      </w:r>
      <w:r>
        <w:rPr>
          <w:rFonts w:hint="eastAsia" w:ascii="Times New Roman" w:hAnsi="Times New Roman" w:eastAsia="方正小标宋_GBK" w:cs="Times New Roman"/>
          <w:bCs/>
          <w:sz w:val="44"/>
          <w:szCs w:val="44"/>
        </w:rPr>
        <w:t>攀枝花钢城集团瑞矿工业有</w:t>
      </w:r>
      <w:r>
        <w:rPr>
          <w:rFonts w:hint="eastAsia" w:ascii="Times New Roman" w:hAnsi="Times New Roman" w:eastAsia="方正小标宋_GBK" w:cs="Times New Roman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Times New Roman" w:hAnsi="Times New Roman" w:eastAsia="方正小标宋_GBK" w:cs="Times New Roman"/>
          <w:bCs/>
          <w:sz w:val="44"/>
          <w:szCs w:val="44"/>
        </w:rPr>
        <w:t>限公司</w:t>
      </w:r>
    </w:p>
    <w:p w14:paraId="17085389">
      <w:pPr>
        <w:keepNext w:val="0"/>
        <w:keepLines w:val="0"/>
        <w:pageBreakBefore w:val="0"/>
        <w:tabs>
          <w:tab w:val="left" w:pos="2091"/>
          <w:tab w:val="center" w:pos="4213"/>
        </w:tabs>
        <w:wordWrap/>
        <w:overflowPunct/>
        <w:topLinePunct w:val="0"/>
        <w:bidi w:val="0"/>
        <w:spacing w:line="560" w:lineRule="exact"/>
        <w:jc w:val="center"/>
        <w:rPr>
          <w:rFonts w:ascii="Times New Roman" w:hAnsi="Times New Roman" w:eastAsia="方正小标宋_GBK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Times New Roman" w:hAnsi="Times New Roman" w:eastAsia="方正小标宋_GBK" w:cs="Times New Roman"/>
          <w:bCs/>
          <w:sz w:val="44"/>
          <w:szCs w:val="44"/>
        </w:rPr>
        <w:t>钒钛磁铁尾矿减量综合利用</w:t>
      </w:r>
      <w:r>
        <w:rPr>
          <w:rFonts w:ascii="Times New Roman" w:hAnsi="Times New Roman" w:eastAsia="方正小标宋_GBK" w:cs="Times New Roman"/>
          <w:bCs/>
          <w:sz w:val="44"/>
          <w:szCs w:val="44"/>
        </w:rPr>
        <w:t>环境影响</w:t>
      </w:r>
    </w:p>
    <w:p w14:paraId="5984A952">
      <w:pPr>
        <w:keepNext w:val="0"/>
        <w:keepLines w:val="0"/>
        <w:pageBreakBefore w:val="0"/>
        <w:tabs>
          <w:tab w:val="left" w:pos="2091"/>
          <w:tab w:val="center" w:pos="4213"/>
        </w:tabs>
        <w:wordWrap/>
        <w:overflowPunct/>
        <w:topLinePunct w:val="0"/>
        <w:bidi w:val="0"/>
        <w:spacing w:line="560" w:lineRule="exact"/>
        <w:jc w:val="center"/>
        <w:rPr>
          <w:rFonts w:ascii="Times New Roman" w:hAnsi="Times New Roman" w:eastAsia="方正小标宋_GBK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bCs/>
          <w:sz w:val="44"/>
          <w:szCs w:val="44"/>
          <w:lang w:eastAsia="zh-CN"/>
        </w:rPr>
        <w:t>报告表</w:t>
      </w:r>
      <w:r>
        <w:rPr>
          <w:rFonts w:ascii="Times New Roman" w:hAnsi="Times New Roman" w:eastAsia="方正小标宋_GBK" w:cs="Times New Roman"/>
          <w:bCs/>
          <w:sz w:val="44"/>
          <w:szCs w:val="44"/>
        </w:rPr>
        <w:t>的批复</w:t>
      </w:r>
    </w:p>
    <w:p w14:paraId="761E9045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spacing w:line="560" w:lineRule="exact"/>
        <w:jc w:val="both"/>
        <w:rPr>
          <w:rFonts w:ascii="Times New Roman" w:hAnsi="Times New Roman" w:eastAsia="仿宋_GB2312" w:cs="Times New Roman"/>
          <w:sz w:val="32"/>
          <w:szCs w:val="32"/>
        </w:rPr>
      </w:pPr>
    </w:p>
    <w:p w14:paraId="31D90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攀枝花钢城集团瑞矿工业有限公司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：</w:t>
      </w:r>
    </w:p>
    <w:p w14:paraId="10FF20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你公司《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钒钛磁铁尾矿减量综合利用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环境影响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报告表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》（以下简称“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报告表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”）收悉，经研究，批复如下。</w:t>
      </w:r>
    </w:p>
    <w:p w14:paraId="14993D64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4812030</wp:posOffset>
                </wp:positionH>
                <wp:positionV relativeFrom="paragraph">
                  <wp:posOffset>4596130</wp:posOffset>
                </wp:positionV>
                <wp:extent cx="533400" cy="228600"/>
                <wp:effectExtent l="0" t="0" r="0" b="0"/>
                <wp:wrapNone/>
                <wp:docPr id="1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9" o:spid="_x0000_s1026" o:spt="1" style="position:absolute;left:0pt;margin-left:378.9pt;margin-top:361.9pt;height:18pt;width:42pt;z-index:251660288;mso-width-relative:page;mso-height-relative:page;" fillcolor="#FFFFFF" filled="t" stroked="f" coordsize="21600,21600" o:gfxdata="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K6V5ELX&#10;AAAACwEAAA8AAAAAAAAAAQAgAAAAIgAAAGRycy9kb3ducmV2LnhtbFBLAQIUABQAAAAIAIdO4kDL&#10;yHharwEAAF4DAAAOAAAAAAAAAAEAIAAAACYBAABkcnMvZTJvRG9jLnhtbFBLBQYAAAAABgAGAFkB&#10;AABH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 xml:space="preserve">        一、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项目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位于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攀枝花东区银江镇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，综合利用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江南选厂选别后尾矿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管道运输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作为原料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，通过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螺旋重选工艺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，生产后的尾矿通过管道输送至江南选厂尾矿系统。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主要建设内容为：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建设1#综合厂区，设置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调浆搅拌槽、螺旋溜槽、渣浆泵等生产设备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；建设2#综合厂区，设置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盘式真空过滤机、渣浆泵、皮带运输机等生产设备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配套建设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化验室、原料输送系统、尾矿输送系统（设置浓密机、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浓密池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尾矿泵房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）、回水泵站（设置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底流泵房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加药间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及半地下式回水池）、给排水等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公辅工程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及危废暂存间等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。项目建成后，年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利用尾矿700万吨，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产次钛中矿5万吨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。项目总投资5498.771万元，其中环保投资219万元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。</w:t>
      </w:r>
    </w:p>
    <w:p w14:paraId="3DDDCA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 w:bidi="ar-SA"/>
        </w:rPr>
        <w:t>攀枝花明升环境科技有限公司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受你公司委托对该项目开展环境影响评价，编制环境影响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报告表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报告表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认为项目符合国家产业政策，选址符合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当地规划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要求。在严格落实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报告表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”提出的环保对策及措施，确保项目污染物达标排放，认真落实环境风险防范措施的前提下，该项目的建设从生态环境保护角度可行，我局原则同意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报告表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”的环境影响评价总体结论和拟采取的各项生态环境保护措施。你公司应严格按照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报告表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”中所列项目的建设性质、规模、工艺、地点和拟采取的环境保护措施进行建设和运行，以确保对环境的不利影响能够得到缓解和控制。</w:t>
      </w:r>
    </w:p>
    <w:p w14:paraId="0C0B2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三、本项目未批先建，主体工艺设备基本建成，我局已对该违法行为实施了行政处罚。你公司应深刻吸取教训，增强守法意识，杜绝此类违法行为再次发生。</w:t>
      </w:r>
    </w:p>
    <w:p w14:paraId="0D717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四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、项目应做好以下工作</w:t>
      </w:r>
    </w:p>
    <w:p w14:paraId="6D27C8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（一）严格按照报告表要求，核实施工期污染防治措施落实情况，加强施工期环境管理，采取有效措施减轻或消除施工期废水、废渣、噪声、扬尘等对周围环境的影响。</w:t>
      </w:r>
    </w:p>
    <w:p w14:paraId="07B27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（二）严格落实运营期各项大气污染防治措施。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落实全市货运脏车整治要求，密闭运输物料、设置车辆冲洗区、建立车辆清洗台账，做到脏车不出厂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7BE154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jc w:val="both"/>
        <w:textAlignment w:val="auto"/>
        <w:rPr>
          <w:rFonts w:ascii="Times New Roman" w:hAnsi="Times New Roman" w:cs="Times New Roman"/>
          <w:color w:val="FF0000"/>
          <w:lang w:eastAsia="zh-CN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三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严格落实运营期各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项水污染防治措施。项目区域实行“雨污分流”，初期雨水经收集沉淀后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用于生产补水或厂区洒水降尘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选矿废水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地面冲洗废水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车辆冲洗废水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收集至回水池后回用于生产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生活污水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经一体化污水系统处理后用于厂区绿化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。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严格落实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危废暂存间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成品油储存室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回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水池、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事故应急池、浓密机及斜边浓缩机周边地坪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等区域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的重点防渗措施，防止污染地下水和土壤环境。</w:t>
      </w:r>
    </w:p>
    <w:p w14:paraId="16782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四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）严格落实运营期各项固废处置措施。按照“减量化、资源化、无害化”原则进行合理、规范处置。项目产生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尾矿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经管道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输送至江南选厂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尾矿系统，再通过管道输送至中沟湾尾矿库堆存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；废滤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经收集后暂存至一般固废暂存间，由原厂家回收处置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沉淀池沉砂回用于选矿工序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废包装材料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外售；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生活垃圾交环卫部门统一清运处置。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废润滑油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、废油桶、废酸、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含油抹布及手套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危险废物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收集暂存于危废暂存间，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定期交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由</w:t>
      </w:r>
      <w:r>
        <w:rPr>
          <w:rFonts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有资质单位处置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 w:bidi="ar-SA"/>
        </w:rPr>
        <w:t>。</w:t>
      </w:r>
    </w:p>
    <w:p w14:paraId="6EC6A5C3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560" w:lineRule="exact"/>
        <w:ind w:left="0" w:right="0" w:firstLine="640" w:firstLineChars="200"/>
        <w:jc w:val="both"/>
        <w:textAlignment w:val="auto"/>
        <w:rPr>
          <w:rFonts w:cs="Times New Roman"/>
        </w:rPr>
      </w:pPr>
      <w:r>
        <w:rPr>
          <w:rFonts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eastAsia="zh-CN"/>
        </w:rPr>
        <w:t>五</w:t>
      </w:r>
      <w:r>
        <w:rPr>
          <w:rFonts w:eastAsia="仿宋_GB2312" w:cs="Times New Roman"/>
          <w:color w:val="auto"/>
          <w:kern w:val="0"/>
          <w:sz w:val="32"/>
          <w:szCs w:val="32"/>
          <w:lang w:eastAsia="zh-CN"/>
        </w:rPr>
        <w:t>）严格落实运营期各项噪声防治措施。</w:t>
      </w:r>
      <w:r>
        <w:rPr>
          <w:rFonts w:eastAsia="仿宋_GB2312" w:cs="Times New Roman"/>
          <w:color w:val="auto"/>
          <w:sz w:val="32"/>
          <w:szCs w:val="32"/>
        </w:rPr>
        <w:t>项目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设备</w:t>
      </w:r>
      <w:r>
        <w:rPr>
          <w:rFonts w:eastAsia="仿宋_GB2312" w:cs="Times New Roman"/>
          <w:color w:val="auto"/>
          <w:sz w:val="32"/>
          <w:szCs w:val="32"/>
        </w:rPr>
        <w:t>通过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 w:bidi="ar-SA"/>
        </w:rPr>
        <w:t>采取基</w:t>
      </w:r>
      <w:r>
        <w:rPr>
          <w:rFonts w:hint="default" w:eastAsia="仿宋_GB2312" w:cs="Times New Roman"/>
          <w:color w:val="auto"/>
          <w:kern w:val="0"/>
          <w:sz w:val="32"/>
          <w:szCs w:val="32"/>
          <w:lang w:eastAsia="zh-CN"/>
        </w:rPr>
        <w:t>础减震、选用低噪设备、合理布局、定期维护保养</w:t>
      </w:r>
      <w:r>
        <w:rPr>
          <w:rFonts w:eastAsia="仿宋_GB2312" w:cs="Times New Roman"/>
          <w:color w:val="auto"/>
          <w:kern w:val="0"/>
          <w:sz w:val="32"/>
          <w:szCs w:val="32"/>
          <w:lang w:eastAsia="zh-CN"/>
        </w:rPr>
        <w:t>等</w:t>
      </w:r>
      <w:r>
        <w:rPr>
          <w:rFonts w:eastAsia="仿宋_GB2312" w:cs="Times New Roman"/>
          <w:color w:val="auto"/>
          <w:sz w:val="32"/>
          <w:szCs w:val="32"/>
        </w:rPr>
        <w:t>措施降低噪声对周围环境的影响。</w:t>
      </w:r>
    </w:p>
    <w:p w14:paraId="3E3905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六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）高度重视环境风险防范工作。</w:t>
      </w:r>
      <w:r>
        <w:rPr>
          <w:rFonts w:hint="eastAsia" w:ascii="Times New Roman" w:hAnsi="Times New Roman" w:eastAsia="仿宋_GB2312"/>
          <w:snapToGrid w:val="0"/>
          <w:color w:val="000000"/>
          <w:kern w:val="0"/>
          <w:sz w:val="32"/>
          <w:szCs w:val="32"/>
          <w:u w:val="none"/>
          <w:lang w:val="en-US" w:eastAsia="zh-CN"/>
        </w:rPr>
        <w:t>严格</w:t>
      </w:r>
      <w:r>
        <w:rPr>
          <w:rFonts w:ascii="Times New Roman" w:hAnsi="Times New Roman" w:eastAsia="仿宋_GB2312"/>
          <w:snapToGrid w:val="0"/>
          <w:color w:val="000000"/>
          <w:kern w:val="0"/>
          <w:sz w:val="32"/>
          <w:szCs w:val="32"/>
          <w:u w:val="none"/>
        </w:rPr>
        <w:t>落实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“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none"/>
          <w:lang w:eastAsia="zh-CN"/>
        </w:rPr>
        <w:t>报告表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”</w:t>
      </w:r>
      <w:r>
        <w:rPr>
          <w:rFonts w:ascii="Times New Roman" w:hAnsi="Times New Roman" w:eastAsia="仿宋_GB2312"/>
          <w:snapToGrid w:val="0"/>
          <w:color w:val="000000"/>
          <w:kern w:val="0"/>
          <w:sz w:val="32"/>
          <w:szCs w:val="32"/>
          <w:u w:val="none"/>
        </w:rPr>
        <w:t>提出的各项风险防范措施，</w:t>
      </w:r>
      <w:r>
        <w:rPr>
          <w:rFonts w:hint="eastAsia" w:ascii="Times New Roman" w:hAnsi="Times New Roman" w:eastAsia="仿宋_GB2312"/>
          <w:snapToGrid w:val="0"/>
          <w:color w:val="000000"/>
          <w:kern w:val="0"/>
          <w:sz w:val="32"/>
          <w:szCs w:val="32"/>
          <w:u w:val="none"/>
        </w:rPr>
        <w:t>制定完善应急预案，落实应急设施、措施，</w:t>
      </w:r>
      <w:r>
        <w:rPr>
          <w:rFonts w:ascii="Times New Roman" w:hAnsi="Times New Roman" w:eastAsia="仿宋_GB2312"/>
          <w:snapToGrid w:val="0"/>
          <w:color w:val="000000"/>
          <w:kern w:val="0"/>
          <w:sz w:val="32"/>
          <w:szCs w:val="32"/>
          <w:u w:val="none"/>
        </w:rPr>
        <w:t>保证出现事故能得到及时、有效处理。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严格落实环境监测计划，建立健全环境管理机制和环保规章制度，落实岗位环保责任制，加强污染治理设施的日常运行及维护管理，提升环境保护管理水平，确保污染物稳定达标排放。</w:t>
      </w:r>
    </w:p>
    <w:p w14:paraId="3C4CFB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七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）加强公众参与。项目在建设及运行管理中，应根据公众的反映，进一步加强与公众的沟通，以适当、稳妥、有效的方式，切实做好宣传、解释、维稳工作，及时解决公众提出的合理环境诉求，避免因公众参与工作落实不到位、相关环保措施不落实，导致环境纠纷和社会稳定问题。</w:t>
      </w:r>
    </w:p>
    <w:p w14:paraId="2C3B75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40" w:firstLineChars="200"/>
        <w:jc w:val="both"/>
        <w:textAlignment w:val="auto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八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其他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应注意的事项按国家相关法律法规和“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报告表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”提出的相关要求落实。</w:t>
      </w:r>
    </w:p>
    <w:p w14:paraId="33681C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五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项目必须严格执行排污许可制度，调试排污前必须按照国家排污许可证有关规定，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依法申领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排污许可证，不得无证排污或不按证排污。项目竣工后，必须按规定程序开展竣工环境保护验收，验收合格后方可投入使用。</w:t>
      </w:r>
    </w:p>
    <w:p w14:paraId="2C9DA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六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、项目环境影响评价文件经批准后，</w:t>
      </w:r>
      <w:r>
        <w:rPr>
          <w:rFonts w:ascii="Times New Roman" w:hAnsi="Times New Roman" w:eastAsia="仿宋_GB2312" w:cs="Times New Roman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/>
        </w:rPr>
        <w:t>如项目的性质、规模、工艺、地点或者防治污染、防止生态破坏的措施发生重大变动的，建设单位应当重新报批环境影响评价文件，否则不得实施。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自环评文件批准之日起，超过5年方决定该项目开工建设的，环境影响评价文件应当报我局重新审核。</w:t>
      </w:r>
    </w:p>
    <w:p w14:paraId="67135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40" w:firstLineChars="200"/>
        <w:jc w:val="both"/>
        <w:textAlignment w:val="auto"/>
        <w:rPr>
          <w:rFonts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七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、请市生态环境保护综合行政执法支队和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东区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生态环境局负责开展该项目日常监督管理工作。</w:t>
      </w:r>
    </w:p>
    <w:p w14:paraId="0C8FB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firstLine="640" w:firstLineChars="200"/>
        <w:jc w:val="both"/>
        <w:textAlignment w:val="auto"/>
        <w:rPr>
          <w:lang w:eastAsia="zh-CN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你公司应在收到本批复15个工作日内将批准后的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报告表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”送达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东区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生态环境局备案，并接受各级生态环境主管部门的监管。</w:t>
      </w:r>
    </w:p>
    <w:p w14:paraId="77DE2A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40" w:firstLineChars="200"/>
        <w:jc w:val="both"/>
        <w:textAlignment w:val="auto"/>
        <w:rPr>
          <w:lang w:val="en-US" w:eastAsia="zh-CN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      </w:t>
      </w:r>
    </w:p>
    <w:p w14:paraId="7670F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         </w:t>
      </w:r>
    </w:p>
    <w:p w14:paraId="12A6FD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0" w:firstLine="4160" w:firstLineChars="1300"/>
        <w:jc w:val="both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eastAsia="zh-CN"/>
        </w:rPr>
        <w:t>攀枝花市生态环境局</w:t>
      </w:r>
    </w:p>
    <w:p w14:paraId="66BC93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firstLine="640" w:firstLineChars="200"/>
        <w:jc w:val="both"/>
        <w:textAlignment w:val="auto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                                           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18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日</w:t>
      </w:r>
    </w:p>
    <w:p w14:paraId="32F89DC6">
      <w:pPr>
        <w:pStyle w:val="2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</w:p>
    <w:p w14:paraId="322B5DFD">
      <w:pPr>
        <w:pStyle w:val="3"/>
        <w:rPr>
          <w:rFonts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7" w:h="16840"/>
      <w:pgMar w:top="1440" w:right="1803" w:bottom="1440" w:left="1803" w:header="0" w:footer="883" w:gutter="0"/>
      <w:pgNumType w:fmt="decimal"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ABC9FF">
    <w:pPr>
      <w:spacing w:before="1" w:line="187" w:lineRule="auto"/>
      <w:rPr>
        <w:rFonts w:ascii="宋体" w:eastAsia="宋体" w:cs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3A9694">
                          <w:pPr>
                            <w:pStyle w:val="15"/>
                            <w:rPr>
                              <w:rFonts w:hint="eastAsia" w:eastAsia="SimSun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eastAsia="SimSun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3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eastAsia="SimSun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8bSus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pt6IoSxy0O/PLzx+XXn8vv72SZ&#10;5ekD1Jh1HzAvDe/8gEsz+wGdmfWgos1f5EMwjuKer+LKIRGRH61X63WFIYGx+YL47OF5iJDeS29J&#10;NhoacXpFVH76CGlMnVNyNefvtDFlgsb940DM7GG597HHbKVhP0yE9r49I58eB99Qh3tOifngUNe8&#10;I7MRZ2M/G8cQ9aErS5TrQbg9Jmyi9JYrjLBTYZxYYTdtV16Jx/eS9fBHb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PfG0rr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A3A9694">
                    <w:pPr>
                      <w:pStyle w:val="15"/>
                      <w:rPr>
                        <w:rFonts w:hint="eastAsia" w:eastAsia="SimSun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eastAsia="SimSun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3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eastAsia="SimSun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sz w:val="24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posOffset>5194300</wp:posOffset>
              </wp:positionH>
              <wp:positionV relativeFrom="paragraph">
                <wp:posOffset>0</wp:posOffset>
              </wp:positionV>
              <wp:extent cx="76200" cy="226060"/>
              <wp:effectExtent l="0" t="0" r="0" b="0"/>
              <wp:wrapNone/>
              <wp:docPr id="18" name="_x0000_s20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200" cy="226059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 w14:paraId="086731E8">
                          <w:pPr>
                            <w:pStyle w:val="15"/>
                            <w:rPr>
                              <w:rFonts w:hint="eastAsia" w:ascii="宋体" w:eastAsia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eastAsia="宋体" w:cs="宋体"/>
                              <w:sz w:val="24"/>
                              <w:szCs w:val="24"/>
                              <w:lang w:eastAsia="zh-CN"/>
                            </w:rPr>
                            <w:t>———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2057" o:spid="_x0000_s1026" o:spt="1" style="position:absolute;left:0pt;margin-left:409pt;margin-top:0pt;height:17.8pt;width:6pt;mso-position-horizontal-relative:margin;z-index:251659264;mso-width-relative:page;mso-height-relative:page;" filled="f" stroked="f" coordsize="21600,21600" o:gfxdata="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W7p9w2AAAAAcBAAAPAAAAAAAAAAEAIAAAACIAAABkcnMvZG93bnJldi54bWxQ&#10;SwECFAAUAAAACACHTuJAKhwXo/cBAAD3AwAADgAAAAAAAAABACAAAAAnAQAAZHJzL2Uyb0RvYy54&#10;bWxQSwUGAAAAAAYABgBZAQAAkAUAAAAA&#10;">
              <v:fill on="f" focussize="0,0"/>
              <v:stroke on="f" joinstyle="miter"/>
              <v:imagedata o:title=""/>
              <o:lock v:ext="edit" aspectratio="f"/>
              <v:textbox inset="0mm,0mm,0mm,0mm">
                <w:txbxContent>
                  <w:p w14:paraId="086731E8">
                    <w:pPr>
                      <w:pStyle w:val="15"/>
                      <w:rPr>
                        <w:rFonts w:hint="eastAsia" w:ascii="宋体" w:eastAsia="宋体" w:cs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eastAsia="宋体" w:cs="宋体"/>
                        <w:sz w:val="24"/>
                        <w:szCs w:val="24"/>
                        <w:lang w:eastAsia="zh-CN"/>
                      </w:rPr>
                      <w:t>———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2E4D73">
    <w:pPr>
      <w:spacing w:before="1" w:line="187" w:lineRule="auto"/>
      <w:rPr>
        <w:rFonts w:ascii="宋体" w:eastAsia="宋体" w:cs="宋体"/>
        <w:sz w:val="24"/>
        <w:szCs w:val="24"/>
      </w:rPr>
    </w:pPr>
    <w:r>
      <w:rPr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61342CA">
                          <w:pPr>
                            <w:pStyle w:val="15"/>
                            <w:rPr>
                              <w:rFonts w:hint="eastAsia" w:eastAsia="SimSun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eastAsia="SimSun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eastAsia="SimSun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SrDu8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X1DieMWB37++eP86/H88J0s&#10;sz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FKsO7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61342CA">
                    <w:pPr>
                      <w:pStyle w:val="15"/>
                      <w:rPr>
                        <w:rFonts w:hint="eastAsia" w:eastAsia="SimSun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eastAsia="SimSun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eastAsia="SimSun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sz w:val="24"/>
        <w:szCs w:val="24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posOffset>5194300</wp:posOffset>
              </wp:positionH>
              <wp:positionV relativeFrom="paragraph">
                <wp:posOffset>0</wp:posOffset>
              </wp:positionV>
              <wp:extent cx="76200" cy="226060"/>
              <wp:effectExtent l="0" t="0" r="0" b="0"/>
              <wp:wrapNone/>
              <wp:docPr id="21" name="_x0000_s20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200" cy="226059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 w14:paraId="1708B12E">
                          <w:pPr>
                            <w:pStyle w:val="15"/>
                            <w:rPr>
                              <w:rFonts w:ascii="宋体" w:eastAsia="宋体" w:cs="宋体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2057" o:spid="_x0000_s1026" o:spt="1" style="position:absolute;left:0pt;margin-left:409pt;margin-top:0pt;height:17.8pt;width:6pt;mso-position-horizontal-relative:margin;z-index:251659264;mso-width-relative:page;mso-height-relative:page;" filled="f" stroked="f" coordsize="21600,21600" o:gfxdata="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Vu6fcNgAAAAHAQAADwAAAAAAAAABACAAAAAiAAAAZHJzL2Rvd25yZXYueG1s&#10;UEsBAhQAFAAAAAgAh07iQCX6IXf4AQAA9wMAAA4AAAAAAAAAAQAgAAAAJwEAAGRycy9lMm9Eb2Mu&#10;eG1sUEsFBgAAAAAGAAYAWQEAAJEFAAAAAA==&#10;">
              <v:fill on="f" focussize="0,0"/>
              <v:stroke on="f" joinstyle="miter"/>
              <v:imagedata o:title=""/>
              <o:lock v:ext="edit" aspectratio="f"/>
              <v:textbox inset="0mm,0mm,0mm,0mm">
                <w:txbxContent>
                  <w:p w14:paraId="1708B12E">
                    <w:pPr>
                      <w:pStyle w:val="15"/>
                      <w:rPr>
                        <w:rFonts w:ascii="宋体" w:eastAsia="宋体" w:cs="宋体"/>
                        <w:sz w:val="24"/>
                        <w:szCs w:val="24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78D7F7">
    <w:pPr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925CC7"/>
    <w:multiLevelType w:val="singleLevel"/>
    <w:tmpl w:val="51925CC7"/>
    <w:lvl w:ilvl="0" w:tentative="0">
      <w:start w:val="1"/>
      <w:numFmt w:val="bullet"/>
      <w:pStyle w:val="14"/>
      <w:lvlText w:val=""/>
      <w:lvlJc w:val="left"/>
      <w:pPr>
        <w:ind w:left="204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dit="readOnly"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hdrShapeDefaults>
    <o:shapelayout v:ext="edit">
      <o:idmap v:ext="edit" data="2"/>
    </o:shapelayout>
  </w:hdrShapeDefaults>
  <w:compat>
    <w:spaceForUL/>
    <w:ulTrailSpace/>
    <w:doNotExpandShiftReturn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wNDIzMDg0Njc4ZjI3MmQzYmJkMDlkM2NkMzAxOTkifQ=="/>
  </w:docVars>
  <w:rsids>
    <w:rsidRoot w:val="00000000"/>
    <w:rsid w:val="00ED3346"/>
    <w:rsid w:val="0B5C2480"/>
    <w:rsid w:val="16FBC2DD"/>
    <w:rsid w:val="171400B4"/>
    <w:rsid w:val="185D039E"/>
    <w:rsid w:val="19B73633"/>
    <w:rsid w:val="19FEF78B"/>
    <w:rsid w:val="1BFD8C64"/>
    <w:rsid w:val="1F5F458F"/>
    <w:rsid w:val="1FE6A0A4"/>
    <w:rsid w:val="1FEF5E96"/>
    <w:rsid w:val="1FFDFFA4"/>
    <w:rsid w:val="23080740"/>
    <w:rsid w:val="2FFB5DFB"/>
    <w:rsid w:val="2FFD32D2"/>
    <w:rsid w:val="3FAF2048"/>
    <w:rsid w:val="3FD7E3F2"/>
    <w:rsid w:val="3FE17F4E"/>
    <w:rsid w:val="3FE54589"/>
    <w:rsid w:val="43E7D05B"/>
    <w:rsid w:val="494F62DF"/>
    <w:rsid w:val="4EF78ED5"/>
    <w:rsid w:val="4FF4340B"/>
    <w:rsid w:val="55CD5F53"/>
    <w:rsid w:val="56750822"/>
    <w:rsid w:val="56A7FF42"/>
    <w:rsid w:val="56EF6D89"/>
    <w:rsid w:val="56FFF27B"/>
    <w:rsid w:val="5A34B198"/>
    <w:rsid w:val="5B2F9156"/>
    <w:rsid w:val="5BCE5A9B"/>
    <w:rsid w:val="5BE52938"/>
    <w:rsid w:val="5DCF26D2"/>
    <w:rsid w:val="5E5F6942"/>
    <w:rsid w:val="5E9CAF3E"/>
    <w:rsid w:val="5EFC553D"/>
    <w:rsid w:val="5EFFF4F9"/>
    <w:rsid w:val="5F6F2DF9"/>
    <w:rsid w:val="5FD7706D"/>
    <w:rsid w:val="5FFD2438"/>
    <w:rsid w:val="6079F5EC"/>
    <w:rsid w:val="63BEA251"/>
    <w:rsid w:val="63FCEB60"/>
    <w:rsid w:val="65FB061D"/>
    <w:rsid w:val="66F366A2"/>
    <w:rsid w:val="69FBCE60"/>
    <w:rsid w:val="6AB7D2AE"/>
    <w:rsid w:val="6D533C39"/>
    <w:rsid w:val="6DFB3F95"/>
    <w:rsid w:val="6FB44B03"/>
    <w:rsid w:val="6FC7F7CA"/>
    <w:rsid w:val="6FD18386"/>
    <w:rsid w:val="6FE77537"/>
    <w:rsid w:val="6FF6B85B"/>
    <w:rsid w:val="6FF9F0CE"/>
    <w:rsid w:val="6FFA0B61"/>
    <w:rsid w:val="739FC9C4"/>
    <w:rsid w:val="75BDD411"/>
    <w:rsid w:val="766BC671"/>
    <w:rsid w:val="76B83839"/>
    <w:rsid w:val="774D00FD"/>
    <w:rsid w:val="7776315A"/>
    <w:rsid w:val="77782D3C"/>
    <w:rsid w:val="777F1AE7"/>
    <w:rsid w:val="77AF3F9B"/>
    <w:rsid w:val="77C875A5"/>
    <w:rsid w:val="77DF230D"/>
    <w:rsid w:val="77DF6436"/>
    <w:rsid w:val="7AEF1E29"/>
    <w:rsid w:val="7AFE4519"/>
    <w:rsid w:val="7B550B93"/>
    <w:rsid w:val="7BBBC6EC"/>
    <w:rsid w:val="7BBF96C2"/>
    <w:rsid w:val="7BDF1DD9"/>
    <w:rsid w:val="7BEE698A"/>
    <w:rsid w:val="7BFE7BA2"/>
    <w:rsid w:val="7BFF9211"/>
    <w:rsid w:val="7C6F653A"/>
    <w:rsid w:val="7CFF4B60"/>
    <w:rsid w:val="7D4B4B34"/>
    <w:rsid w:val="7D75FF0F"/>
    <w:rsid w:val="7DF7CAA4"/>
    <w:rsid w:val="7DFAF930"/>
    <w:rsid w:val="7DFE5119"/>
    <w:rsid w:val="7E3EC95A"/>
    <w:rsid w:val="7E5666AD"/>
    <w:rsid w:val="7EAD63DD"/>
    <w:rsid w:val="7ED6750B"/>
    <w:rsid w:val="7EF7E596"/>
    <w:rsid w:val="7EFAD1F2"/>
    <w:rsid w:val="7F175AC6"/>
    <w:rsid w:val="7F3984D2"/>
    <w:rsid w:val="7FAE970D"/>
    <w:rsid w:val="7FB762F2"/>
    <w:rsid w:val="7FCA81DC"/>
    <w:rsid w:val="7FDFEDD2"/>
    <w:rsid w:val="7FF778C2"/>
    <w:rsid w:val="82ED7E16"/>
    <w:rsid w:val="8FBF9290"/>
    <w:rsid w:val="A34FF74D"/>
    <w:rsid w:val="A7AFDD7A"/>
    <w:rsid w:val="AA9E490B"/>
    <w:rsid w:val="ACFFEF38"/>
    <w:rsid w:val="ADF66A32"/>
    <w:rsid w:val="AEBA1FC4"/>
    <w:rsid w:val="AF4F9F9B"/>
    <w:rsid w:val="B6BBD5F4"/>
    <w:rsid w:val="B7AB0190"/>
    <w:rsid w:val="B7F08EE1"/>
    <w:rsid w:val="B7F6B03B"/>
    <w:rsid w:val="B7FF6682"/>
    <w:rsid w:val="BA59CDBE"/>
    <w:rsid w:val="BD77CD46"/>
    <w:rsid w:val="BD7F6F44"/>
    <w:rsid w:val="BDBEA4D0"/>
    <w:rsid w:val="BDF9F8E2"/>
    <w:rsid w:val="BEBF4A47"/>
    <w:rsid w:val="BEFF46C9"/>
    <w:rsid w:val="BFB92F70"/>
    <w:rsid w:val="BFE584C7"/>
    <w:rsid w:val="BFFEDF59"/>
    <w:rsid w:val="BFFFDA5F"/>
    <w:rsid w:val="C79C394A"/>
    <w:rsid w:val="CFFF9E0B"/>
    <w:rsid w:val="D3FBB41A"/>
    <w:rsid w:val="D7EFEF41"/>
    <w:rsid w:val="D87F657E"/>
    <w:rsid w:val="D90E927F"/>
    <w:rsid w:val="DABF619F"/>
    <w:rsid w:val="DAFC15B2"/>
    <w:rsid w:val="DC9232E6"/>
    <w:rsid w:val="DDFBDF25"/>
    <w:rsid w:val="DDFFE258"/>
    <w:rsid w:val="DEBF81D5"/>
    <w:rsid w:val="DFCD9091"/>
    <w:rsid w:val="DFEDE824"/>
    <w:rsid w:val="DFFC6FEE"/>
    <w:rsid w:val="E6FF3109"/>
    <w:rsid w:val="E7AFC403"/>
    <w:rsid w:val="E9F5C44E"/>
    <w:rsid w:val="E9FF17A6"/>
    <w:rsid w:val="EBEC6533"/>
    <w:rsid w:val="ED675A8A"/>
    <w:rsid w:val="EEF26DF7"/>
    <w:rsid w:val="EFECC05D"/>
    <w:rsid w:val="EFEF6657"/>
    <w:rsid w:val="F14F3A29"/>
    <w:rsid w:val="F38E1BDA"/>
    <w:rsid w:val="F3EE6E97"/>
    <w:rsid w:val="F3FD73B6"/>
    <w:rsid w:val="F3FF78C9"/>
    <w:rsid w:val="F59B40B7"/>
    <w:rsid w:val="F5AF345D"/>
    <w:rsid w:val="F77FF6EB"/>
    <w:rsid w:val="F7F746AC"/>
    <w:rsid w:val="F7F7E474"/>
    <w:rsid w:val="F7FDA31A"/>
    <w:rsid w:val="F7FFF350"/>
    <w:rsid w:val="F85F949A"/>
    <w:rsid w:val="F9FE1261"/>
    <w:rsid w:val="FA7F5936"/>
    <w:rsid w:val="FAFFAB2D"/>
    <w:rsid w:val="FB9E5C5E"/>
    <w:rsid w:val="FBB7DF80"/>
    <w:rsid w:val="FBB9B49E"/>
    <w:rsid w:val="FBCA590E"/>
    <w:rsid w:val="FBEA6399"/>
    <w:rsid w:val="FC7FBD65"/>
    <w:rsid w:val="FCBC821D"/>
    <w:rsid w:val="FCE61B2B"/>
    <w:rsid w:val="FD9B639D"/>
    <w:rsid w:val="FDDBEF00"/>
    <w:rsid w:val="FE6DCDD8"/>
    <w:rsid w:val="FEDE0AC3"/>
    <w:rsid w:val="FEEF2E29"/>
    <w:rsid w:val="FEFF0F33"/>
    <w:rsid w:val="FF2E591C"/>
    <w:rsid w:val="FF74A6E3"/>
    <w:rsid w:val="FF9CDBD2"/>
    <w:rsid w:val="FFC72C83"/>
    <w:rsid w:val="FFCE3615"/>
    <w:rsid w:val="FFDC4F84"/>
    <w:rsid w:val="FFFD4971"/>
    <w:rsid w:val="FFFECF6A"/>
    <w:rsid w:val="FFFF349F"/>
    <w:rsid w:val="FFFF72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paragraph" w:styleId="8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9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10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22">
    <w:name w:val="Default Paragraph Font"/>
    <w:qFormat/>
    <w:uiPriority w:val="0"/>
  </w:style>
  <w:style w:type="table" w:default="1" w:styleId="2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宋体" w:hAnsi="宋体"/>
      <w:kern w:val="0"/>
    </w:rPr>
  </w:style>
  <w:style w:type="paragraph" w:customStyle="1" w:styleId="3">
    <w:name w:val="Default"/>
    <w:basedOn w:val="4"/>
    <w:next w:val="5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4">
    <w:name w:val="纯文本1"/>
    <w:qFormat/>
    <w:uiPriority w:val="0"/>
    <w:pPr>
      <w:widowControl w:val="0"/>
      <w:adjustRightInd w:val="0"/>
      <w:spacing w:line="360" w:lineRule="auto"/>
      <w:ind w:firstLine="465"/>
      <w:jc w:val="both"/>
    </w:pPr>
    <w:rPr>
      <w:rFonts w:ascii="宋体" w:hAnsi="Times New Roman" w:eastAsia="宋体" w:cs="Times New Roman"/>
      <w:kern w:val="2"/>
      <w:sz w:val="24"/>
      <w:szCs w:val="20"/>
      <w:lang w:val="en-US" w:eastAsia="zh-CN" w:bidi="ar-SA"/>
    </w:rPr>
  </w:style>
  <w:style w:type="paragraph" w:customStyle="1" w:styleId="5">
    <w:name w:val="样式1"/>
    <w:basedOn w:val="6"/>
    <w:next w:val="1"/>
    <w:qFormat/>
    <w:uiPriority w:val="0"/>
    <w:pPr>
      <w:keepLines/>
      <w:kinsoku w:val="0"/>
      <w:overflowPunct/>
      <w:autoSpaceDE w:val="0"/>
      <w:autoSpaceDN w:val="0"/>
      <w:adjustRightInd w:val="0"/>
      <w:snapToGrid/>
      <w:spacing w:before="100" w:beforeLines="100" w:after="100" w:afterLines="100" w:line="360" w:lineRule="auto"/>
      <w:ind w:left="0" w:firstLine="0"/>
    </w:pPr>
    <w:rPr>
      <w:rFonts w:ascii="Times New Roman" w:hAnsi="Times New Roman" w:eastAsia="黑体" w:cs="Times New Roman"/>
      <w:b w:val="0"/>
      <w:kern w:val="44"/>
      <w:sz w:val="36"/>
      <w:szCs w:val="36"/>
    </w:rPr>
  </w:style>
  <w:style w:type="paragraph" w:styleId="6">
    <w:name w:val="index heading"/>
    <w:basedOn w:val="1"/>
    <w:next w:val="7"/>
    <w:qFormat/>
    <w:uiPriority w:val="0"/>
    <w:rPr>
      <w:rFonts w:ascii="Arial" w:hAnsi="Arial" w:cs="Arial"/>
      <w:b/>
      <w:bCs/>
    </w:rPr>
  </w:style>
  <w:style w:type="paragraph" w:styleId="7">
    <w:name w:val="index 1"/>
    <w:basedOn w:val="1"/>
    <w:next w:val="1"/>
    <w:qFormat/>
    <w:uiPriority w:val="0"/>
    <w:pPr>
      <w:tabs>
        <w:tab w:val="left" w:pos="5580"/>
      </w:tabs>
      <w:spacing w:line="280" w:lineRule="exact"/>
    </w:pPr>
    <w:rPr>
      <w:rFonts w:ascii="宋体" w:hAnsi="宋体"/>
      <w:spacing w:val="10"/>
    </w:rPr>
  </w:style>
  <w:style w:type="paragraph" w:styleId="11">
    <w:name w:val="Normal Indent"/>
    <w:basedOn w:val="1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324" w:lineRule="auto"/>
      <w:ind w:left="0" w:right="0" w:firstLine="200" w:firstLineChars="200"/>
      <w:jc w:val="both"/>
    </w:pPr>
    <w:rPr>
      <w:rFonts w:ascii="Calibri" w:hAnsi="Calibri" w:eastAsia="宋体" w:cs="Times New Roman"/>
      <w:kern w:val="2"/>
      <w:sz w:val="24"/>
      <w:szCs w:val="20"/>
      <w:lang w:val="en-US" w:eastAsia="zh-CN" w:bidi="ar"/>
    </w:rPr>
  </w:style>
  <w:style w:type="paragraph" w:styleId="12">
    <w:name w:val="Body Text"/>
    <w:basedOn w:val="1"/>
    <w:next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/>
    </w:rPr>
  </w:style>
  <w:style w:type="paragraph" w:styleId="1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14">
    <w:name w:val="List Bullet 5"/>
    <w:basedOn w:val="1"/>
    <w:next w:val="1"/>
    <w:qFormat/>
    <w:uiPriority w:val="0"/>
    <w:pPr>
      <w:numPr>
        <w:ilvl w:val="0"/>
        <w:numId w:val="1"/>
      </w:numPr>
      <w:spacing w:line="360" w:lineRule="auto"/>
      <w:ind w:left="0" w:firstLine="200" w:firstLineChars="200"/>
    </w:pPr>
    <w:rPr>
      <w:rFonts w:ascii="Times New Roman" w:hAnsi="Times New Roman" w:eastAsia="宋体"/>
    </w:rPr>
  </w:style>
  <w:style w:type="paragraph" w:styleId="15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1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7">
    <w:name w:val="toc 2"/>
    <w:basedOn w:val="1"/>
    <w:next w:val="1"/>
    <w:qFormat/>
    <w:uiPriority w:val="0"/>
    <w:pPr>
      <w:tabs>
        <w:tab w:val="right" w:leader="dot" w:pos="8296"/>
      </w:tabs>
      <w:ind w:left="200" w:leftChars="200" w:firstLine="0"/>
    </w:pPr>
  </w:style>
  <w:style w:type="paragraph" w:styleId="18">
    <w:name w:val="Body Text 2"/>
    <w:basedOn w:val="1"/>
    <w:qFormat/>
    <w:uiPriority w:val="0"/>
    <w:pPr>
      <w:spacing w:after="120" w:line="480" w:lineRule="auto"/>
    </w:pPr>
    <w:rPr>
      <w:rFonts w:ascii="Calibri" w:hAnsi="Calibri" w:cs="Calibri"/>
    </w:rPr>
  </w:style>
  <w:style w:type="paragraph" w:styleId="19">
    <w:name w:val="Body Text First Indent"/>
    <w:basedOn w:val="12"/>
    <w:qFormat/>
    <w:uiPriority w:val="0"/>
    <w:pPr>
      <w:widowControl w:val="0"/>
      <w:adjustRightInd w:val="0"/>
      <w:snapToGrid/>
      <w:spacing w:before="0" w:after="120" w:line="240" w:lineRule="auto"/>
      <w:ind w:right="0" w:firstLine="100" w:firstLineChars="100"/>
    </w:pPr>
    <w:rPr>
      <w:kern w:val="2"/>
      <w:sz w:val="21"/>
      <w:szCs w:val="24"/>
    </w:rPr>
  </w:style>
  <w:style w:type="paragraph" w:styleId="20">
    <w:name w:val="Body Text First Indent 2"/>
    <w:basedOn w:val="13"/>
    <w:unhideWhenUsed/>
    <w:qFormat/>
    <w:uiPriority w:val="99"/>
    <w:pPr>
      <w:ind w:firstLine="420" w:firstLineChars="200"/>
    </w:pPr>
  </w:style>
  <w:style w:type="character" w:styleId="23">
    <w:name w:val="page number"/>
    <w:basedOn w:val="2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4</Pages>
  <Words>2155</Words>
  <Characters>2229</Characters>
  <Lines>144</Lines>
  <Paragraphs>26</Paragraphs>
  <TotalTime>7</TotalTime>
  <ScaleCrop>false</ScaleCrop>
  <LinksUpToDate>false</LinksUpToDate>
  <CharactersWithSpaces>2355</CharactersWithSpaces>
  <Application>WPS Office_12.8.2.18605_F1E327BC-269C-435d-A152-05C5408002CA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2022-05-27T22:13:00Z</dcterms:created>
  <dc:creator>USER</dc:creator>
  <cp:keywords>USER</cp:keywords>
  <cp:lastModifiedBy>user</cp:lastModifiedBy>
  <cp:lastPrinted>2024-11-19T02:25:00Z</cp:lastPrinted>
  <dcterms:modified xsi:type="dcterms:W3CDTF">2024-11-19T17:12:18Z</dcterms:modified>
  <dc:subject>USER</dc:subject>
  <dc:title>攀枝花市环境保护局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2022-06-21T16:00:00Z</vt:filetime>
  </property>
  <property fmtid="{D5CDD505-2E9C-101B-9397-08002B2CF9AE}" pid="4" name="KSOProductBuildVer">
    <vt:lpwstr>2052-12.8.2.18605</vt:lpwstr>
  </property>
  <property fmtid="{D5CDD505-2E9C-101B-9397-08002B2CF9AE}" pid="5" name="ICV">
    <vt:lpwstr>20EDF9BF31F3EA6872563C67490160B8_43</vt:lpwstr>
  </property>
</Properties>
</file>