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0A56805">
      <w:pPr>
        <w:spacing w:line="600" w:lineRule="exact"/>
        <w:jc w:val="center"/>
        <w:rPr>
          <w:rFonts w:ascii="方正小标宋简体" w:hAnsi="宋体" w:eastAsia="方正小标宋简体"/>
          <w:color w:val="000000" w:themeColor="text1"/>
          <w:sz w:val="44"/>
          <w:szCs w:val="44"/>
          <w14:textFill>
            <w14:solidFill>
              <w14:schemeClr w14:val="tx1"/>
            </w14:solidFill>
          </w14:textFill>
        </w:rPr>
      </w:pPr>
      <w:r>
        <w:rPr>
          <w:rFonts w:hint="eastAsia" w:ascii="方正小标宋简体" w:hAnsi="宋体" w:eastAsia="方正小标宋简体"/>
          <w:color w:val="000000" w:themeColor="text1"/>
          <w:sz w:val="44"/>
          <w:szCs w:val="44"/>
          <w14:textFill>
            <w14:solidFill>
              <w14:schemeClr w14:val="tx1"/>
            </w14:solidFill>
          </w14:textFill>
        </w:rPr>
        <w:t>攀枝花市人力资源和社会保障局</w:t>
      </w:r>
    </w:p>
    <w:p w14:paraId="4FA86522">
      <w:pPr>
        <w:spacing w:line="600" w:lineRule="exact"/>
        <w:jc w:val="center"/>
        <w:rPr>
          <w:rFonts w:ascii="方正小标宋简体" w:hAnsi="宋体" w:eastAsia="方正小标宋简体"/>
          <w:color w:val="000000" w:themeColor="text1"/>
          <w:sz w:val="44"/>
          <w:szCs w:val="44"/>
          <w:u w:val="single"/>
          <w14:textFill>
            <w14:solidFill>
              <w14:schemeClr w14:val="tx1"/>
            </w14:solidFill>
          </w14:textFill>
        </w:rPr>
      </w:pPr>
      <w:r>
        <w:rPr>
          <w:rFonts w:hint="eastAsia" w:ascii="方正小标宋简体" w:hAnsi="宋体" w:eastAsia="方正小标宋简体"/>
          <w:color w:val="000000" w:themeColor="text1"/>
          <w:sz w:val="44"/>
          <w:szCs w:val="44"/>
          <w14:textFill>
            <w14:solidFill>
              <w14:schemeClr w14:val="tx1"/>
            </w14:solidFill>
          </w14:textFill>
        </w:rPr>
        <w:t>2020年部门预算编制说明</w:t>
      </w:r>
    </w:p>
    <w:p w14:paraId="2F9868C8">
      <w:pPr>
        <w:spacing w:line="600" w:lineRule="exact"/>
        <w:ind w:firstLine="640" w:firstLineChars="200"/>
        <w:rPr>
          <w:rFonts w:ascii="黑体" w:eastAsia="黑体"/>
          <w:color w:val="000000" w:themeColor="text1"/>
          <w14:textFill>
            <w14:solidFill>
              <w14:schemeClr w14:val="tx1"/>
            </w14:solidFill>
          </w14:textFill>
        </w:rPr>
      </w:pPr>
    </w:p>
    <w:p w14:paraId="66406B90">
      <w:pPr>
        <w:spacing w:line="360" w:lineRule="auto"/>
        <w:ind w:firstLine="640" w:firstLineChars="200"/>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一、基本职能及主要工作</w:t>
      </w:r>
    </w:p>
    <w:p w14:paraId="6305DC32">
      <w:pPr>
        <w:pStyle w:val="2"/>
        <w:adjustRightInd w:val="0"/>
        <w:spacing w:before="0" w:beforeLines="0" w:line="360" w:lineRule="auto"/>
        <w:ind w:firstLine="643" w:firstLineChars="200"/>
        <w:rPr>
          <w:rFonts w:asciiTheme="minorEastAsia" w:hAnsiTheme="minorEastAsia" w:eastAsiaTheme="minorEastAsia"/>
          <w:b/>
          <w:color w:val="000000" w:themeColor="text1"/>
          <w:sz w:val="32"/>
          <w14:textFill>
            <w14:solidFill>
              <w14:schemeClr w14:val="tx1"/>
            </w14:solidFill>
          </w14:textFill>
        </w:rPr>
      </w:pPr>
      <w:r>
        <w:rPr>
          <w:rFonts w:hint="eastAsia" w:asciiTheme="minorEastAsia" w:hAnsiTheme="minorEastAsia" w:eastAsiaTheme="minorEastAsia"/>
          <w:b/>
          <w:color w:val="000000" w:themeColor="text1"/>
          <w:sz w:val="32"/>
          <w14:textFill>
            <w14:solidFill>
              <w14:schemeClr w14:val="tx1"/>
            </w14:solidFill>
          </w14:textFill>
        </w:rPr>
        <w:t>（一）市人力资源社会保障局职能简介。</w:t>
      </w:r>
    </w:p>
    <w:p w14:paraId="6CB3A327">
      <w:pPr>
        <w:pStyle w:val="6"/>
        <w:spacing w:before="0" w:beforeAutospacing="0" w:after="0" w:afterAutospacing="0" w:line="360" w:lineRule="auto"/>
        <w:ind w:firstLine="640" w:firstLineChars="200"/>
        <w:jc w:val="both"/>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攀枝花市人力资源和社会保障局(简称市人力资源社会保障局)是攀枝花市人民政府工作部门，为正县级。</w:t>
      </w:r>
    </w:p>
    <w:p w14:paraId="36BB3907">
      <w:pPr>
        <w:pStyle w:val="6"/>
        <w:spacing w:before="0" w:beforeAutospacing="0" w:after="0" w:afterAutospacing="0" w:line="360" w:lineRule="auto"/>
        <w:ind w:firstLine="640" w:firstLineChars="200"/>
        <w:jc w:val="both"/>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市人力资源社会保障局贯彻落实党中央关于人力资源和社会保障工作的方针政策和省委、市委的决策部署，在履行职责过程中坚持和加强党对人力资源和社会保障工作的统一领导。主要职责是:</w:t>
      </w:r>
    </w:p>
    <w:p w14:paraId="4CA21AF3">
      <w:pPr>
        <w:spacing w:line="360" w:lineRule="auto"/>
        <w:ind w:firstLine="640" w:firstLineChars="200"/>
        <w:rPr>
          <w:rFonts w:cs="方正仿宋_GBK" w:asciiTheme="minorEastAsia" w:hAnsiTheme="minorEastAsia" w:eastAsiaTheme="minorEastAsia"/>
          <w:color w:val="000000" w:themeColor="text1"/>
          <w14:textFill>
            <w14:solidFill>
              <w14:schemeClr w14:val="tx1"/>
            </w14:solidFill>
          </w14:textFill>
        </w:rPr>
      </w:pPr>
      <w:r>
        <w:rPr>
          <w:rFonts w:hint="eastAsia" w:cs="方正仿宋_GBK" w:asciiTheme="minorEastAsia" w:hAnsiTheme="minorEastAsia" w:eastAsiaTheme="minorEastAsia"/>
          <w:color w:val="000000" w:themeColor="text1"/>
          <w14:textFill>
            <w14:solidFill>
              <w14:schemeClr w14:val="tx1"/>
            </w14:solidFill>
          </w14:textFill>
        </w:rPr>
        <w:t>1．贯彻执行国家、省人力资源和社会保障工作的法律、法规、规章和政策，拟订全市人力资源和社会保障事业发展规划、政策并组织实施，统筹推进人力资源和社会保障事业发展。</w:t>
      </w:r>
    </w:p>
    <w:p w14:paraId="1BFD9B1F">
      <w:pPr>
        <w:spacing w:line="360" w:lineRule="auto"/>
        <w:ind w:firstLine="640" w:firstLineChars="200"/>
        <w:rPr>
          <w:rFonts w:cs="方正仿宋_GBK" w:asciiTheme="minorEastAsia" w:hAnsiTheme="minorEastAsia" w:eastAsiaTheme="minorEastAsia"/>
          <w:color w:val="000000" w:themeColor="text1"/>
          <w14:textFill>
            <w14:solidFill>
              <w14:schemeClr w14:val="tx1"/>
            </w14:solidFill>
          </w14:textFill>
        </w:rPr>
      </w:pPr>
      <w:r>
        <w:rPr>
          <w:rFonts w:hint="eastAsia" w:cs="方正仿宋_GBK" w:asciiTheme="minorEastAsia" w:hAnsiTheme="minorEastAsia" w:eastAsiaTheme="minorEastAsia"/>
          <w:color w:val="000000" w:themeColor="text1"/>
          <w14:textFill>
            <w14:solidFill>
              <w14:schemeClr w14:val="tx1"/>
            </w14:solidFill>
          </w14:textFill>
        </w:rPr>
        <w:t>2．拟订并组织实施全市人力资源市场发展规划和人力资源服务业发展、人力资源流动政策，促进人力资源合理流动，有效配置。</w:t>
      </w:r>
    </w:p>
    <w:p w14:paraId="219039A3">
      <w:pPr>
        <w:spacing w:line="360" w:lineRule="auto"/>
        <w:ind w:firstLine="640" w:firstLineChars="200"/>
        <w:rPr>
          <w:rFonts w:cs="方正仿宋_GBK" w:asciiTheme="minorEastAsia" w:hAnsiTheme="minorEastAsia" w:eastAsiaTheme="minorEastAsia"/>
          <w:color w:val="000000" w:themeColor="text1"/>
          <w14:textFill>
            <w14:solidFill>
              <w14:schemeClr w14:val="tx1"/>
            </w14:solidFill>
          </w14:textFill>
        </w:rPr>
      </w:pPr>
      <w:r>
        <w:rPr>
          <w:rFonts w:hint="eastAsia" w:cs="方正仿宋_GBK" w:asciiTheme="minorEastAsia" w:hAnsiTheme="minorEastAsia" w:eastAsiaTheme="minorEastAsia"/>
          <w:color w:val="000000" w:themeColor="text1"/>
          <w14:textFill>
            <w14:solidFill>
              <w14:schemeClr w14:val="tx1"/>
            </w14:solidFill>
          </w14:textFill>
        </w:rPr>
        <w:t>3．负责促进就业工作，拟订统筹全市城乡就业发展规划和政策，完善公共就业创业服务体系，统筹建立面向城乡劳动者的职业技能培训制度，拟订并组织落实创业、就业援助制度，提出就业资金安排计划并组织实施，牵头拟订高校毕业生就业政策，组织实施高校毕业生就业创业服务工作。</w:t>
      </w:r>
    </w:p>
    <w:p w14:paraId="4BC9745D">
      <w:pPr>
        <w:spacing w:line="360" w:lineRule="auto"/>
        <w:ind w:firstLine="640" w:firstLineChars="200"/>
        <w:rPr>
          <w:rFonts w:cs="方正仿宋_GBK" w:asciiTheme="minorEastAsia" w:hAnsiTheme="minorEastAsia" w:eastAsiaTheme="minorEastAsia"/>
          <w:color w:val="000000" w:themeColor="text1"/>
          <w14:textFill>
            <w14:solidFill>
              <w14:schemeClr w14:val="tx1"/>
            </w14:solidFill>
          </w14:textFill>
        </w:rPr>
      </w:pPr>
      <w:r>
        <w:rPr>
          <w:rFonts w:hint="eastAsia" w:cs="方正仿宋_GBK" w:asciiTheme="minorEastAsia" w:hAnsiTheme="minorEastAsia" w:eastAsiaTheme="minorEastAsia"/>
          <w:color w:val="000000" w:themeColor="text1"/>
          <w14:textFill>
            <w14:solidFill>
              <w14:schemeClr w14:val="tx1"/>
            </w14:solidFill>
          </w14:textFill>
        </w:rPr>
        <w:t>4．统筹推进建立覆盖全市城乡的多层次社会保障体系。贯彻执行国家、省养老、失业、工伤等社会保险及其补充保险政策和标准，拟订全市的相关政策并组织实施，贯彻落实养老保险全国统筹办法和全国统一的养老、失业、工伤保险关系转续办法，会同有关部门拟订全市养老、失业、工伤等社会保险及其补充保险基金管理和监督制度并组织实施，编制全市相关社会保险基金预决算草案，会同有关部门实施全民参保计划并建立全市统一的社会保险公共服务平台。负责全市养老、失业、工伤保险基金保值增值的监督检查。拟订人力资源和社会保障信息化建设总体规划、年度计划，制定相关制度并组织实施。</w:t>
      </w:r>
    </w:p>
    <w:p w14:paraId="4D31526D">
      <w:pPr>
        <w:spacing w:line="360" w:lineRule="auto"/>
        <w:ind w:firstLine="640" w:firstLineChars="200"/>
        <w:rPr>
          <w:rFonts w:cs="方正仿宋_GBK" w:asciiTheme="minorEastAsia" w:hAnsiTheme="minorEastAsia" w:eastAsiaTheme="minorEastAsia"/>
          <w:color w:val="000000" w:themeColor="text1"/>
          <w14:textFill>
            <w14:solidFill>
              <w14:schemeClr w14:val="tx1"/>
            </w14:solidFill>
          </w14:textFill>
        </w:rPr>
      </w:pPr>
      <w:r>
        <w:rPr>
          <w:rFonts w:hint="eastAsia" w:cs="方正仿宋_GBK" w:asciiTheme="minorEastAsia" w:hAnsiTheme="minorEastAsia" w:eastAsiaTheme="minorEastAsia"/>
          <w:color w:val="000000" w:themeColor="text1"/>
          <w14:textFill>
            <w14:solidFill>
              <w14:schemeClr w14:val="tx1"/>
            </w14:solidFill>
          </w14:textFill>
        </w:rPr>
        <w:t>5．负责就业、失业和相关社会保障基金预测预警和信息引导，拟订应对预案，实施预防、调节和控制，保持就业形势稳定和相关社会保险基金总体收支平衡。</w:t>
      </w:r>
    </w:p>
    <w:p w14:paraId="4108E14D">
      <w:pPr>
        <w:spacing w:line="360" w:lineRule="auto"/>
        <w:ind w:firstLine="640" w:firstLineChars="200"/>
        <w:rPr>
          <w:rFonts w:cs="方正仿宋_GBK" w:asciiTheme="minorEastAsia" w:hAnsiTheme="minorEastAsia" w:eastAsiaTheme="minorEastAsia"/>
          <w:color w:val="000000" w:themeColor="text1"/>
          <w14:textFill>
            <w14:solidFill>
              <w14:schemeClr w14:val="tx1"/>
            </w14:solidFill>
          </w14:textFill>
        </w:rPr>
      </w:pPr>
      <w:r>
        <w:rPr>
          <w:rFonts w:hint="eastAsia" w:cs="方正仿宋_GBK" w:asciiTheme="minorEastAsia" w:hAnsiTheme="minorEastAsia" w:eastAsiaTheme="minorEastAsia"/>
          <w:color w:val="000000" w:themeColor="text1"/>
          <w14:textFill>
            <w14:solidFill>
              <w14:schemeClr w14:val="tx1"/>
            </w14:solidFill>
          </w14:textFill>
        </w:rPr>
        <w:t>6．统筹拟订劳动人事争议调解仲裁制度和劳动关系政策，完善劳动关系协商协调机制，拟订职工工作时间、休息休假制度，拟订消除非法使用童工政策和女工、未成年工特殊劳动保护政策。依法督促用人单位在劳动用工、合同签订与履约时，载明劳动保护、劳动条件和职业危害防护等条款。组织实施劳动保障监察，协调劳动者维权工作，依法查处重大案件。</w:t>
      </w:r>
    </w:p>
    <w:p w14:paraId="0380E932">
      <w:pPr>
        <w:spacing w:line="360" w:lineRule="auto"/>
        <w:ind w:firstLine="640" w:firstLineChars="200"/>
        <w:rPr>
          <w:rFonts w:cs="方正仿宋_GBK" w:asciiTheme="minorEastAsia" w:hAnsiTheme="minorEastAsia" w:eastAsiaTheme="minorEastAsia"/>
          <w:b/>
          <w:color w:val="000000" w:themeColor="text1"/>
          <w:u w:val="single"/>
          <w14:textFill>
            <w14:solidFill>
              <w14:schemeClr w14:val="tx1"/>
            </w14:solidFill>
          </w14:textFill>
        </w:rPr>
      </w:pPr>
      <w:r>
        <w:rPr>
          <w:rFonts w:hint="eastAsia" w:cs="方正仿宋_GBK" w:asciiTheme="minorEastAsia" w:hAnsiTheme="minorEastAsia" w:eastAsiaTheme="minorEastAsia"/>
          <w:color w:val="000000" w:themeColor="text1"/>
          <w14:textFill>
            <w14:solidFill>
              <w14:schemeClr w14:val="tx1"/>
            </w14:solidFill>
          </w14:textFill>
        </w:rPr>
        <w:t>7．牵头推进深化职称制度改革，拟订专业技术人员管理、继续教育和博士后管理政策并组织实施，负责高层次专业技术人才选拔和培养工作，负责留学回国人员的服务和管理工作。组织拟订技能人才培养评价、使用和激励制度。贯彻落实职业资格制度，健全职业技能多元化评价政策。指导、监督各级各类技工学校、民办职业培训机构按国家、省和我市有关规定履行安全管理责任。</w:t>
      </w:r>
    </w:p>
    <w:p w14:paraId="47F6B65A">
      <w:pPr>
        <w:spacing w:line="360" w:lineRule="auto"/>
        <w:ind w:firstLine="640" w:firstLineChars="200"/>
        <w:rPr>
          <w:rFonts w:cs="方正仿宋_GBK" w:asciiTheme="minorEastAsia" w:hAnsiTheme="minorEastAsia" w:eastAsiaTheme="minorEastAsia"/>
          <w:color w:val="000000" w:themeColor="text1"/>
          <w14:textFill>
            <w14:solidFill>
              <w14:schemeClr w14:val="tx1"/>
            </w14:solidFill>
          </w14:textFill>
        </w:rPr>
      </w:pPr>
      <w:r>
        <w:rPr>
          <w:rFonts w:hint="eastAsia" w:cs="方正仿宋_GBK" w:asciiTheme="minorEastAsia" w:hAnsiTheme="minorEastAsia" w:eastAsiaTheme="minorEastAsia"/>
          <w:color w:val="000000" w:themeColor="text1"/>
          <w14:textFill>
            <w14:solidFill>
              <w14:schemeClr w14:val="tx1"/>
            </w14:solidFill>
          </w14:textFill>
        </w:rPr>
        <w:t>8．组织实施国家表彰制度，综合管理表彰奖励工作，承担全市评比达标表彰和市级部门表彰奖励工作，根据授权承办以市委、市政府名义开展的市级表彰活动。承办市委管理的部分领导人员的行政任免手续。</w:t>
      </w:r>
    </w:p>
    <w:p w14:paraId="40A27402">
      <w:pPr>
        <w:spacing w:line="360" w:lineRule="auto"/>
        <w:ind w:firstLine="640" w:firstLineChars="200"/>
        <w:rPr>
          <w:rFonts w:cs="方正仿宋_GBK" w:asciiTheme="minorEastAsia" w:hAnsiTheme="minorEastAsia" w:eastAsiaTheme="minorEastAsia"/>
          <w:color w:val="000000" w:themeColor="text1"/>
          <w14:textFill>
            <w14:solidFill>
              <w14:schemeClr w14:val="tx1"/>
            </w14:solidFill>
          </w14:textFill>
        </w:rPr>
      </w:pPr>
      <w:r>
        <w:rPr>
          <w:rFonts w:hint="eastAsia" w:cs="方正仿宋_GBK" w:asciiTheme="minorEastAsia" w:hAnsiTheme="minorEastAsia" w:eastAsiaTheme="minorEastAsia"/>
          <w:color w:val="000000" w:themeColor="text1"/>
          <w14:textFill>
            <w14:solidFill>
              <w14:schemeClr w14:val="tx1"/>
            </w14:solidFill>
          </w14:textFill>
        </w:rPr>
        <w:t>9．会同有关部门指导实施事业单位人事制度改革，按照管理权限承办事业单位岗位设置、公开招聘、人员聘用等人事综合管理工作，拟订事业单位工作人员和机关工勤人员管理政策，将安全生产责任履行情况作为事业单位工作人员奖惩、考核的重要内容。</w:t>
      </w:r>
    </w:p>
    <w:p w14:paraId="79D26C49">
      <w:pPr>
        <w:spacing w:line="360" w:lineRule="auto"/>
        <w:ind w:firstLine="640" w:firstLineChars="200"/>
        <w:rPr>
          <w:rFonts w:cs="方正仿宋_GBK" w:asciiTheme="minorEastAsia" w:hAnsiTheme="minorEastAsia" w:eastAsiaTheme="minorEastAsia"/>
          <w:color w:val="000000" w:themeColor="text1"/>
          <w14:textFill>
            <w14:solidFill>
              <w14:schemeClr w14:val="tx1"/>
            </w14:solidFill>
          </w14:textFill>
        </w:rPr>
      </w:pPr>
      <w:r>
        <w:rPr>
          <w:rFonts w:hint="eastAsia" w:cs="方正仿宋_GBK" w:asciiTheme="minorEastAsia" w:hAnsiTheme="minorEastAsia" w:eastAsiaTheme="minorEastAsia"/>
          <w:color w:val="000000" w:themeColor="text1"/>
          <w14:textFill>
            <w14:solidFill>
              <w14:schemeClr w14:val="tx1"/>
            </w14:solidFill>
          </w14:textFill>
        </w:rPr>
        <w:t>10．贯彻执行国家、省企业职工工资收入分配、支付、保障和调控政策，指导和监督国有企业工资总额管理和国有企业负责人工资收入分配。贯彻落实事业单位人员工资收入分配政策，建立企事业单位人员工资决定、正常增长和支付保障机制，贯彻落实企事业单位人员福利和退休政策。</w:t>
      </w:r>
    </w:p>
    <w:p w14:paraId="6150879E">
      <w:pPr>
        <w:spacing w:line="360" w:lineRule="auto"/>
        <w:ind w:firstLine="640" w:firstLineChars="200"/>
        <w:rPr>
          <w:rFonts w:cs="方正仿宋_GBK" w:asciiTheme="minorEastAsia" w:hAnsiTheme="minorEastAsia" w:eastAsiaTheme="minorEastAsia"/>
          <w:color w:val="000000" w:themeColor="text1"/>
          <w14:textFill>
            <w14:solidFill>
              <w14:schemeClr w14:val="tx1"/>
            </w14:solidFill>
          </w14:textFill>
        </w:rPr>
      </w:pPr>
      <w:r>
        <w:rPr>
          <w:rFonts w:hint="eastAsia" w:cs="方正仿宋_GBK" w:asciiTheme="minorEastAsia" w:hAnsiTheme="minorEastAsia" w:eastAsiaTheme="minorEastAsia"/>
          <w:color w:val="000000" w:themeColor="text1"/>
          <w14:textFill>
            <w14:solidFill>
              <w14:schemeClr w14:val="tx1"/>
            </w14:solidFill>
          </w14:textFill>
        </w:rPr>
        <w:t>11．会同有关部门拟订劳务开发及农民工工作综合性政策和规划并推动相关政策的落实，协调解决重点难点问题，维护农民工合法权益。负责将安全生产纳入农民工技能培训内容。</w:t>
      </w:r>
    </w:p>
    <w:p w14:paraId="7EDFFFFC">
      <w:pPr>
        <w:spacing w:line="360" w:lineRule="auto"/>
        <w:ind w:firstLine="640" w:firstLineChars="200"/>
        <w:rPr>
          <w:rFonts w:cs="方正仿宋_GBK" w:asciiTheme="minorEastAsia" w:hAnsiTheme="minorEastAsia" w:eastAsiaTheme="minorEastAsia"/>
          <w:color w:val="000000" w:themeColor="text1"/>
          <w14:textFill>
            <w14:solidFill>
              <w14:schemeClr w14:val="tx1"/>
            </w14:solidFill>
          </w14:textFill>
        </w:rPr>
      </w:pPr>
      <w:r>
        <w:rPr>
          <w:rFonts w:hint="eastAsia" w:cs="方正仿宋_GBK" w:asciiTheme="minorEastAsia" w:hAnsiTheme="minorEastAsia" w:eastAsiaTheme="minorEastAsia"/>
          <w:color w:val="000000" w:themeColor="text1"/>
          <w14:textFill>
            <w14:solidFill>
              <w14:schemeClr w14:val="tx1"/>
            </w14:solidFill>
          </w14:textFill>
        </w:rPr>
        <w:t>12．受理人力资源和社会保障方面的信访事项，会同有关部门协调处理重大信访事件或突发事件。</w:t>
      </w:r>
    </w:p>
    <w:p w14:paraId="0B267970">
      <w:pPr>
        <w:spacing w:line="360" w:lineRule="auto"/>
        <w:ind w:firstLine="640" w:firstLineChars="200"/>
        <w:rPr>
          <w:rFonts w:cs="方正仿宋_GBK" w:asciiTheme="minorEastAsia" w:hAnsiTheme="minorEastAsia" w:eastAsiaTheme="minorEastAsia"/>
          <w:color w:val="000000" w:themeColor="text1"/>
          <w14:textFill>
            <w14:solidFill>
              <w14:schemeClr w14:val="tx1"/>
            </w14:solidFill>
          </w14:textFill>
        </w:rPr>
      </w:pPr>
      <w:r>
        <w:rPr>
          <w:rFonts w:hint="eastAsia" w:cs="方正仿宋_GBK" w:asciiTheme="minorEastAsia" w:hAnsiTheme="minorEastAsia" w:eastAsiaTheme="minorEastAsia"/>
          <w:color w:val="000000" w:themeColor="text1"/>
          <w14:textFill>
            <w14:solidFill>
              <w14:schemeClr w14:val="tx1"/>
            </w14:solidFill>
          </w14:textFill>
        </w:rPr>
        <w:t>13．负责市人力资源社会保障领域的对外交流与合作工作。</w:t>
      </w:r>
    </w:p>
    <w:p w14:paraId="1408EA3A">
      <w:pPr>
        <w:spacing w:line="360" w:lineRule="auto"/>
        <w:ind w:firstLine="640" w:firstLineChars="200"/>
        <w:rPr>
          <w:rFonts w:cs="方正仿宋_GBK" w:asciiTheme="minorEastAsia" w:hAnsiTheme="minorEastAsia" w:eastAsiaTheme="minorEastAsia"/>
          <w:color w:val="000000" w:themeColor="text1"/>
          <w14:textFill>
            <w14:solidFill>
              <w14:schemeClr w14:val="tx1"/>
            </w14:solidFill>
          </w14:textFill>
        </w:rPr>
      </w:pPr>
      <w:r>
        <w:rPr>
          <w:rFonts w:hint="eastAsia" w:cs="方正仿宋_GBK" w:asciiTheme="minorEastAsia" w:hAnsiTheme="minorEastAsia" w:eastAsiaTheme="minorEastAsia"/>
          <w:color w:val="000000" w:themeColor="text1"/>
          <w14:textFill>
            <w14:solidFill>
              <w14:schemeClr w14:val="tx1"/>
            </w14:solidFill>
          </w14:textFill>
        </w:rPr>
        <w:t>14．承担职责范围内的安全生产和职业健康、生态环境保护、审批服务便民化等工作。</w:t>
      </w:r>
    </w:p>
    <w:p w14:paraId="2F432810">
      <w:pPr>
        <w:spacing w:line="360" w:lineRule="auto"/>
        <w:ind w:firstLine="640" w:firstLineChars="200"/>
        <w:rPr>
          <w:rFonts w:cs="方正仿宋_GBK" w:asciiTheme="minorEastAsia" w:hAnsiTheme="minorEastAsia" w:eastAsiaTheme="minorEastAsia"/>
          <w:color w:val="000000" w:themeColor="text1"/>
          <w14:textFill>
            <w14:solidFill>
              <w14:schemeClr w14:val="tx1"/>
            </w14:solidFill>
          </w14:textFill>
        </w:rPr>
      </w:pPr>
      <w:r>
        <w:rPr>
          <w:rFonts w:hint="eastAsia" w:cs="方正仿宋_GBK" w:asciiTheme="minorEastAsia" w:hAnsiTheme="minorEastAsia" w:eastAsiaTheme="minorEastAsia"/>
          <w:color w:val="000000" w:themeColor="text1"/>
          <w14:textFill>
            <w14:solidFill>
              <w14:schemeClr w14:val="tx1"/>
            </w14:solidFill>
          </w14:textFill>
        </w:rPr>
        <w:t>15．完成市委、市政府交办的其他任务。</w:t>
      </w:r>
    </w:p>
    <w:p w14:paraId="3CC9A044">
      <w:pPr>
        <w:spacing w:line="360" w:lineRule="auto"/>
        <w:ind w:firstLine="640" w:firstLineChars="200"/>
        <w:rPr>
          <w:rFonts w:cs="方正仿宋_GBK" w:asciiTheme="minorEastAsia" w:hAnsiTheme="minorEastAsia" w:eastAsiaTheme="minorEastAsia"/>
          <w:color w:val="000000" w:themeColor="text1"/>
          <w14:textFill>
            <w14:solidFill>
              <w14:schemeClr w14:val="tx1"/>
            </w14:solidFill>
          </w14:textFill>
        </w:rPr>
      </w:pPr>
      <w:r>
        <w:rPr>
          <w:rFonts w:hint="eastAsia" w:cs="方正仿宋_GBK" w:asciiTheme="minorEastAsia" w:hAnsiTheme="minorEastAsia" w:eastAsiaTheme="minorEastAsia"/>
          <w:color w:val="000000" w:themeColor="text1"/>
          <w14:textFill>
            <w14:solidFill>
              <w14:schemeClr w14:val="tx1"/>
            </w14:solidFill>
          </w14:textFill>
        </w:rPr>
        <w:t>16．职能转变。深入推进简政放权、放管结合、优化服务改革，进一步减少行政审批事项，规范和优化对外办理事项，减少职业资格许可和认定等事项，实行职业资格目录清单管理，加强事中事后监管，创新就业和社会保障等公共服务方式，加强信息共享，提高公共服务水平。</w:t>
      </w:r>
    </w:p>
    <w:p w14:paraId="359C2FA9">
      <w:pPr>
        <w:spacing w:line="360" w:lineRule="auto"/>
        <w:ind w:firstLine="640" w:firstLineChars="200"/>
        <w:rPr>
          <w:rFonts w:ascii="黑体" w:hAnsi="黑体" w:eastAsia="黑体"/>
          <w:bCs/>
          <w:color w:val="000000" w:themeColor="text1"/>
          <w:u w:val="single"/>
          <w14:textFill>
            <w14:solidFill>
              <w14:schemeClr w14:val="tx1"/>
            </w14:solidFill>
          </w14:textFill>
        </w:rPr>
      </w:pPr>
      <w:r>
        <w:rPr>
          <w:rFonts w:hint="eastAsia" w:ascii="黑体" w:hAnsi="黑体" w:eastAsia="黑体"/>
          <w:color w:val="000000" w:themeColor="text1"/>
          <w14:textFill>
            <w14:solidFill>
              <w14:schemeClr w14:val="tx1"/>
            </w14:solidFill>
          </w14:textFill>
        </w:rPr>
        <w:t>（二）市人力资源社会保障局2020年重点工作。</w:t>
      </w:r>
    </w:p>
    <w:p w14:paraId="6E534392">
      <w:pPr>
        <w:spacing w:line="360" w:lineRule="auto"/>
        <w:ind w:firstLine="643" w:firstLineChars="200"/>
        <w:rPr>
          <w:rFonts w:asciiTheme="minorEastAsia" w:hAnsiTheme="minorEastAsia" w:eastAsiaTheme="minorEastAsia"/>
          <w:color w:val="000000" w:themeColor="text1"/>
          <w14:textFill>
            <w14:solidFill>
              <w14:schemeClr w14:val="tx1"/>
            </w14:solidFill>
          </w14:textFill>
        </w:rPr>
      </w:pPr>
      <w:r>
        <w:rPr>
          <w:rFonts w:asciiTheme="minorEastAsia" w:hAnsiTheme="minorEastAsia" w:eastAsiaTheme="minorEastAsia"/>
          <w:b/>
          <w:color w:val="000000" w:themeColor="text1"/>
          <w14:textFill>
            <w14:solidFill>
              <w14:schemeClr w14:val="tx1"/>
            </w14:solidFill>
          </w14:textFill>
        </w:rPr>
        <w:t>1.全力保障</w:t>
      </w:r>
      <w:r>
        <w:rPr>
          <w:rFonts w:hint="eastAsia" w:asciiTheme="minorEastAsia" w:hAnsiTheme="minorEastAsia" w:eastAsiaTheme="minorEastAsia"/>
          <w:b/>
          <w:color w:val="000000" w:themeColor="text1"/>
          <w14:textFill>
            <w14:solidFill>
              <w14:schemeClr w14:val="tx1"/>
            </w14:solidFill>
          </w14:textFill>
        </w:rPr>
        <w:t>新冠肺炎</w:t>
      </w:r>
      <w:r>
        <w:rPr>
          <w:rFonts w:asciiTheme="minorEastAsia" w:hAnsiTheme="minorEastAsia" w:eastAsiaTheme="minorEastAsia"/>
          <w:b/>
          <w:color w:val="000000" w:themeColor="text1"/>
          <w14:textFill>
            <w14:solidFill>
              <w14:schemeClr w14:val="tx1"/>
            </w14:solidFill>
          </w14:textFill>
        </w:rPr>
        <w:t>疫情防控</w:t>
      </w:r>
      <w:r>
        <w:rPr>
          <w:rFonts w:hint="eastAsia" w:asciiTheme="minorEastAsia" w:hAnsiTheme="minorEastAsia" w:eastAsiaTheme="minorEastAsia"/>
          <w:b/>
          <w:color w:val="000000" w:themeColor="text1"/>
          <w14:textFill>
            <w14:solidFill>
              <w14:schemeClr w14:val="tx1"/>
            </w14:solidFill>
          </w14:textFill>
        </w:rPr>
        <w:t>工作</w:t>
      </w:r>
      <w:r>
        <w:rPr>
          <w:rFonts w:asciiTheme="minorEastAsia" w:hAnsiTheme="minorEastAsia" w:eastAsiaTheme="minorEastAsia"/>
          <w:b/>
          <w:color w:val="000000" w:themeColor="text1"/>
          <w14:textFill>
            <w14:solidFill>
              <w14:schemeClr w14:val="tx1"/>
            </w14:solidFill>
          </w14:textFill>
        </w:rPr>
        <w:t>。</w:t>
      </w:r>
      <w:r>
        <w:rPr>
          <w:rFonts w:asciiTheme="minorEastAsia" w:hAnsiTheme="minorEastAsia" w:eastAsiaTheme="minorEastAsia"/>
          <w:color w:val="000000" w:themeColor="text1"/>
          <w14:textFill>
            <w14:solidFill>
              <w14:schemeClr w14:val="tx1"/>
            </w14:solidFill>
          </w14:textFill>
        </w:rPr>
        <w:t>对</w:t>
      </w:r>
      <w:r>
        <w:rPr>
          <w:rFonts w:hint="eastAsia" w:asciiTheme="minorEastAsia" w:hAnsiTheme="minorEastAsia" w:eastAsiaTheme="minorEastAsia"/>
          <w:color w:val="000000" w:themeColor="text1"/>
          <w14:textFill>
            <w14:solidFill>
              <w14:schemeClr w14:val="tx1"/>
            </w14:solidFill>
          </w14:textFill>
        </w:rPr>
        <w:t>因履行工作职责</w:t>
      </w:r>
      <w:r>
        <w:rPr>
          <w:rFonts w:asciiTheme="minorEastAsia" w:hAnsiTheme="minorEastAsia" w:eastAsiaTheme="minorEastAsia"/>
          <w:color w:val="000000" w:themeColor="text1"/>
          <w14:textFill>
            <w14:solidFill>
              <w14:schemeClr w14:val="tx1"/>
            </w14:solidFill>
          </w14:textFill>
        </w:rPr>
        <w:t>感染新冠肺炎的</w:t>
      </w:r>
      <w:r>
        <w:rPr>
          <w:rFonts w:hint="eastAsia" w:asciiTheme="minorEastAsia" w:hAnsiTheme="minorEastAsia" w:eastAsiaTheme="minorEastAsia"/>
          <w:color w:val="000000" w:themeColor="text1"/>
          <w14:textFill>
            <w14:solidFill>
              <w14:schemeClr w14:val="tx1"/>
            </w14:solidFill>
          </w14:textFill>
        </w:rPr>
        <w:t>医护人员及相关人员做好工伤保险保障</w:t>
      </w:r>
      <w:r>
        <w:rPr>
          <w:rFonts w:asciiTheme="minorEastAsia" w:hAnsiTheme="minorEastAsia" w:eastAsiaTheme="minorEastAsia"/>
          <w:color w:val="000000" w:themeColor="text1"/>
          <w14:textFill>
            <w14:solidFill>
              <w14:schemeClr w14:val="tx1"/>
            </w14:solidFill>
          </w14:textFill>
        </w:rPr>
        <w:t>。落实疫情防治人员临时性工作补助等工资待遇政策。</w:t>
      </w:r>
    </w:p>
    <w:p w14:paraId="2476B94A">
      <w:pPr>
        <w:spacing w:line="360" w:lineRule="auto"/>
        <w:ind w:firstLine="643" w:firstLineChars="200"/>
        <w:rPr>
          <w:rFonts w:asciiTheme="minorEastAsia" w:hAnsiTheme="minorEastAsia" w:eastAsiaTheme="minorEastAsia"/>
          <w:color w:val="000000" w:themeColor="text1"/>
          <w14:textFill>
            <w14:solidFill>
              <w14:schemeClr w14:val="tx1"/>
            </w14:solidFill>
          </w14:textFill>
        </w:rPr>
      </w:pPr>
      <w:r>
        <w:rPr>
          <w:rFonts w:asciiTheme="minorEastAsia" w:hAnsiTheme="minorEastAsia" w:eastAsiaTheme="minorEastAsia"/>
          <w:b/>
          <w:color w:val="000000" w:themeColor="text1"/>
          <w14:textFill>
            <w14:solidFill>
              <w14:schemeClr w14:val="tx1"/>
            </w14:solidFill>
          </w14:textFill>
        </w:rPr>
        <w:t>2.保持全市就业稳定。</w:t>
      </w:r>
      <w:r>
        <w:rPr>
          <w:rFonts w:asciiTheme="minorEastAsia" w:hAnsiTheme="minorEastAsia" w:eastAsiaTheme="minorEastAsia"/>
          <w:color w:val="000000" w:themeColor="text1"/>
          <w14:textFill>
            <w14:solidFill>
              <w14:schemeClr w14:val="tx1"/>
            </w14:solidFill>
          </w14:textFill>
        </w:rPr>
        <w:t>咬定全年城镇新增就业1.65万人的目标不变。疫情期间，大力开展线上就业服务，减小疫情对就业的冲击。深入开展</w:t>
      </w:r>
      <w:r>
        <w:rPr>
          <w:rFonts w:hint="eastAsia" w:asciiTheme="minorEastAsia" w:hAnsiTheme="minorEastAsia" w:eastAsiaTheme="minorEastAsia"/>
          <w:color w:val="000000" w:themeColor="text1"/>
          <w14:textFill>
            <w14:solidFill>
              <w14:schemeClr w14:val="tx1"/>
            </w14:solidFill>
          </w14:textFill>
        </w:rPr>
        <w:t>全省</w:t>
      </w:r>
      <w:r>
        <w:rPr>
          <w:rFonts w:asciiTheme="minorEastAsia" w:hAnsiTheme="minorEastAsia" w:eastAsiaTheme="minorEastAsia"/>
          <w:color w:val="000000" w:themeColor="text1"/>
          <w14:textFill>
            <w14:solidFill>
              <w14:schemeClr w14:val="tx1"/>
            </w14:solidFill>
          </w14:textFill>
        </w:rPr>
        <w:t>公共就业创业服务试点工作，创新就业服务，促进重点群体就业，提升就业质效，将城镇失业登记率控制在4.2%以内。</w:t>
      </w:r>
    </w:p>
    <w:p w14:paraId="50FDA0F4">
      <w:pPr>
        <w:spacing w:line="360" w:lineRule="auto"/>
        <w:ind w:firstLine="643" w:firstLineChars="200"/>
        <w:rPr>
          <w:rFonts w:asciiTheme="minorEastAsia" w:hAnsiTheme="minorEastAsia" w:eastAsiaTheme="minorEastAsia"/>
          <w:color w:val="000000" w:themeColor="text1"/>
          <w14:textFill>
            <w14:solidFill>
              <w14:schemeClr w14:val="tx1"/>
            </w14:solidFill>
          </w14:textFill>
        </w:rPr>
      </w:pPr>
      <w:r>
        <w:rPr>
          <w:rFonts w:asciiTheme="minorEastAsia" w:hAnsiTheme="minorEastAsia" w:eastAsiaTheme="minorEastAsia"/>
          <w:b/>
          <w:color w:val="000000" w:themeColor="text1"/>
          <w14:textFill>
            <w14:solidFill>
              <w14:schemeClr w14:val="tx1"/>
            </w14:solidFill>
          </w14:textFill>
        </w:rPr>
        <w:t>3.</w:t>
      </w:r>
      <w:r>
        <w:rPr>
          <w:rFonts w:hint="eastAsia" w:asciiTheme="minorEastAsia" w:hAnsiTheme="minorEastAsia" w:eastAsiaTheme="minorEastAsia"/>
          <w:b/>
          <w:color w:val="000000" w:themeColor="text1"/>
          <w14:textFill>
            <w14:solidFill>
              <w14:schemeClr w14:val="tx1"/>
            </w14:solidFill>
          </w14:textFill>
        </w:rPr>
        <w:t>做好社会保险工作</w:t>
      </w:r>
      <w:r>
        <w:rPr>
          <w:rFonts w:asciiTheme="minorEastAsia" w:hAnsiTheme="minorEastAsia" w:eastAsiaTheme="minorEastAsia"/>
          <w:b/>
          <w:color w:val="000000" w:themeColor="text1"/>
          <w14:textFill>
            <w14:solidFill>
              <w14:schemeClr w14:val="tx1"/>
            </w14:solidFill>
          </w14:textFill>
        </w:rPr>
        <w:t>。</w:t>
      </w:r>
      <w:r>
        <w:rPr>
          <w:rFonts w:hint="eastAsia" w:asciiTheme="minorEastAsia" w:hAnsiTheme="minorEastAsia" w:eastAsiaTheme="minorEastAsia"/>
          <w:color w:val="000000" w:themeColor="text1"/>
          <w14:textFill>
            <w14:solidFill>
              <w14:schemeClr w14:val="tx1"/>
            </w14:solidFill>
          </w14:textFill>
        </w:rPr>
        <w:t>深入实施“全民参保”计划，推动社会保险全覆盖，做好移交税务过程中的征缴工作。同时，</w:t>
      </w:r>
      <w:r>
        <w:rPr>
          <w:rFonts w:asciiTheme="minorEastAsia" w:hAnsiTheme="minorEastAsia" w:eastAsiaTheme="minorEastAsia"/>
          <w:color w:val="000000" w:themeColor="text1"/>
          <w14:textFill>
            <w14:solidFill>
              <w14:schemeClr w14:val="tx1"/>
            </w14:solidFill>
          </w14:textFill>
        </w:rPr>
        <w:t>针对全市养老保险基金缺口，向上争取省级调剂金，确保企业退休职工养老金待遇按时足额发放。</w:t>
      </w:r>
    </w:p>
    <w:p w14:paraId="1415E1D8">
      <w:pPr>
        <w:spacing w:line="360" w:lineRule="auto"/>
        <w:ind w:firstLine="643" w:firstLineChars="200"/>
        <w:rPr>
          <w:rFonts w:asciiTheme="minorEastAsia" w:hAnsiTheme="minorEastAsia" w:eastAsiaTheme="minorEastAsia"/>
          <w:color w:val="000000" w:themeColor="text1"/>
          <w14:textFill>
            <w14:solidFill>
              <w14:schemeClr w14:val="tx1"/>
            </w14:solidFill>
          </w14:textFill>
        </w:rPr>
      </w:pPr>
      <w:r>
        <w:rPr>
          <w:rFonts w:asciiTheme="minorEastAsia" w:hAnsiTheme="minorEastAsia" w:eastAsiaTheme="minorEastAsia"/>
          <w:b/>
          <w:color w:val="000000" w:themeColor="text1"/>
          <w14:textFill>
            <w14:solidFill>
              <w14:schemeClr w14:val="tx1"/>
            </w14:solidFill>
          </w14:textFill>
        </w:rPr>
        <w:t>4.</w:t>
      </w:r>
      <w:r>
        <w:rPr>
          <w:rFonts w:hint="eastAsia" w:asciiTheme="minorEastAsia" w:hAnsiTheme="minorEastAsia" w:eastAsiaTheme="minorEastAsia"/>
          <w:b/>
          <w:color w:val="000000" w:themeColor="text1"/>
          <w14:textFill>
            <w14:solidFill>
              <w14:schemeClr w14:val="tx1"/>
            </w14:solidFill>
          </w14:textFill>
        </w:rPr>
        <w:t>为高质量发展提供</w:t>
      </w:r>
      <w:r>
        <w:rPr>
          <w:rFonts w:asciiTheme="minorEastAsia" w:hAnsiTheme="minorEastAsia" w:eastAsiaTheme="minorEastAsia"/>
          <w:b/>
          <w:color w:val="000000" w:themeColor="text1"/>
          <w14:textFill>
            <w14:solidFill>
              <w14:schemeClr w14:val="tx1"/>
            </w14:solidFill>
          </w14:textFill>
        </w:rPr>
        <w:t>人才</w:t>
      </w:r>
      <w:r>
        <w:rPr>
          <w:rFonts w:hint="eastAsia" w:asciiTheme="minorEastAsia" w:hAnsiTheme="minorEastAsia" w:eastAsiaTheme="minorEastAsia"/>
          <w:b/>
          <w:color w:val="000000" w:themeColor="text1"/>
          <w14:textFill>
            <w14:solidFill>
              <w14:schemeClr w14:val="tx1"/>
            </w14:solidFill>
          </w14:textFill>
        </w:rPr>
        <w:t>支撑</w:t>
      </w:r>
      <w:r>
        <w:rPr>
          <w:rFonts w:asciiTheme="minorEastAsia" w:hAnsiTheme="minorEastAsia" w:eastAsiaTheme="minorEastAsia"/>
          <w:b/>
          <w:color w:val="000000" w:themeColor="text1"/>
          <w14:textFill>
            <w14:solidFill>
              <w14:schemeClr w14:val="tx1"/>
            </w14:solidFill>
          </w14:textFill>
        </w:rPr>
        <w:t>。</w:t>
      </w:r>
      <w:r>
        <w:rPr>
          <w:rFonts w:hint="eastAsia" w:asciiTheme="minorEastAsia" w:hAnsiTheme="minorEastAsia" w:eastAsiaTheme="minorEastAsia"/>
          <w:color w:val="000000" w:themeColor="text1"/>
          <w14:textFill>
            <w14:solidFill>
              <w14:schemeClr w14:val="tx1"/>
            </w14:solidFill>
          </w14:textFill>
        </w:rPr>
        <w:t>加强招才引智工作，</w:t>
      </w:r>
      <w:r>
        <w:rPr>
          <w:rFonts w:asciiTheme="minorEastAsia" w:hAnsiTheme="minorEastAsia" w:eastAsiaTheme="minorEastAsia"/>
          <w:color w:val="000000" w:themeColor="text1"/>
          <w14:textFill>
            <w14:solidFill>
              <w14:schemeClr w14:val="tx1"/>
            </w14:solidFill>
          </w14:textFill>
        </w:rPr>
        <w:t>设置特设岗位专项用于</w:t>
      </w:r>
      <w:r>
        <w:rPr>
          <w:rFonts w:hint="eastAsia" w:asciiTheme="minorEastAsia" w:hAnsiTheme="minorEastAsia" w:eastAsiaTheme="minorEastAsia"/>
          <w:color w:val="000000" w:themeColor="text1"/>
          <w14:textFill>
            <w14:solidFill>
              <w14:schemeClr w14:val="tx1"/>
            </w14:solidFill>
          </w14:textFill>
        </w:rPr>
        <w:t>“两城”</w:t>
      </w:r>
      <w:r>
        <w:rPr>
          <w:rFonts w:asciiTheme="minorEastAsia" w:hAnsiTheme="minorEastAsia" w:eastAsiaTheme="minorEastAsia"/>
          <w:color w:val="000000" w:themeColor="text1"/>
          <w14:textFill>
            <w14:solidFill>
              <w14:schemeClr w14:val="tx1"/>
            </w14:solidFill>
          </w14:textFill>
        </w:rPr>
        <w:t>引进高层次和急需紧缺人才。向“两城”全面下放公开招聘、人员流动、职称评审等人事管理权限</w:t>
      </w:r>
      <w:r>
        <w:rPr>
          <w:rFonts w:hint="eastAsia" w:asciiTheme="minorEastAsia" w:hAnsiTheme="minorEastAsia" w:eastAsiaTheme="minorEastAsia"/>
          <w:color w:val="000000" w:themeColor="text1"/>
          <w14:textFill>
            <w14:solidFill>
              <w14:schemeClr w14:val="tx1"/>
            </w14:solidFill>
          </w14:textFill>
        </w:rPr>
        <w:t>。深入</w:t>
      </w:r>
      <w:r>
        <w:rPr>
          <w:rFonts w:asciiTheme="minorEastAsia" w:hAnsiTheme="minorEastAsia" w:eastAsiaTheme="minorEastAsia"/>
          <w:color w:val="000000" w:themeColor="text1"/>
          <w14:textFill>
            <w14:solidFill>
              <w14:schemeClr w14:val="tx1"/>
            </w14:solidFill>
          </w14:textFill>
        </w:rPr>
        <w:t>实施技能提升行动，大规模开展职业技能培训，面向钢铁冶炼、钒钛、康养等重点产业培育一批</w:t>
      </w:r>
      <w:r>
        <w:rPr>
          <w:rFonts w:hint="eastAsia" w:asciiTheme="minorEastAsia" w:hAnsiTheme="minorEastAsia" w:eastAsiaTheme="minorEastAsia"/>
          <w:color w:val="000000" w:themeColor="text1"/>
          <w14:textFill>
            <w14:solidFill>
              <w14:schemeClr w14:val="tx1"/>
            </w14:solidFill>
          </w14:textFill>
        </w:rPr>
        <w:t>高素质</w:t>
      </w:r>
      <w:r>
        <w:rPr>
          <w:rFonts w:asciiTheme="minorEastAsia" w:hAnsiTheme="minorEastAsia" w:eastAsiaTheme="minorEastAsia"/>
          <w:color w:val="000000" w:themeColor="text1"/>
          <w14:textFill>
            <w14:solidFill>
              <w14:schemeClr w14:val="tx1"/>
            </w14:solidFill>
          </w14:textFill>
        </w:rPr>
        <w:t>人才。</w:t>
      </w:r>
      <w:r>
        <w:rPr>
          <w:rFonts w:hint="eastAsia" w:asciiTheme="minorEastAsia" w:hAnsiTheme="minorEastAsia" w:eastAsiaTheme="minorEastAsia"/>
          <w:color w:val="000000" w:themeColor="text1"/>
          <w14:textFill>
            <w14:solidFill>
              <w14:schemeClr w14:val="tx1"/>
            </w14:solidFill>
          </w14:textFill>
        </w:rPr>
        <w:t>规范和强化职业能力鉴定，提高职业技能工作质效。</w:t>
      </w:r>
      <w:r>
        <w:rPr>
          <w:rFonts w:asciiTheme="minorEastAsia" w:hAnsiTheme="minorEastAsia" w:eastAsiaTheme="minorEastAsia"/>
          <w:color w:val="000000" w:themeColor="text1"/>
          <w14:textFill>
            <w14:solidFill>
              <w14:schemeClr w14:val="tx1"/>
            </w14:solidFill>
          </w14:textFill>
        </w:rPr>
        <w:t>推动人力资源服务产业园</w:t>
      </w:r>
      <w:r>
        <w:rPr>
          <w:rFonts w:hint="eastAsia" w:asciiTheme="minorEastAsia" w:hAnsiTheme="minorEastAsia" w:eastAsiaTheme="minorEastAsia"/>
          <w:color w:val="000000" w:themeColor="text1"/>
          <w14:textFill>
            <w14:solidFill>
              <w14:schemeClr w14:val="tx1"/>
            </w14:solidFill>
          </w14:textFill>
        </w:rPr>
        <w:t>和</w:t>
      </w:r>
      <w:r>
        <w:rPr>
          <w:rFonts w:asciiTheme="minorEastAsia" w:hAnsiTheme="minorEastAsia" w:eastAsiaTheme="minorEastAsia"/>
          <w:color w:val="000000" w:themeColor="text1"/>
          <w14:textFill>
            <w14:solidFill>
              <w14:schemeClr w14:val="tx1"/>
            </w14:solidFill>
          </w14:textFill>
        </w:rPr>
        <w:t xml:space="preserve"> “攀枝花市综合性公共实训基地” 建设。</w:t>
      </w:r>
    </w:p>
    <w:p w14:paraId="2C9587D6">
      <w:pPr>
        <w:spacing w:line="360" w:lineRule="auto"/>
        <w:ind w:firstLine="643" w:firstLineChars="200"/>
        <w:rPr>
          <w:rFonts w:asciiTheme="minorEastAsia" w:hAnsiTheme="minorEastAsia" w:eastAsiaTheme="minorEastAsia"/>
          <w:bCs/>
          <w:color w:val="000000" w:themeColor="text1"/>
          <w:u w:val="single"/>
          <w14:textFill>
            <w14:solidFill>
              <w14:schemeClr w14:val="tx1"/>
            </w14:solidFill>
          </w14:textFill>
        </w:rPr>
      </w:pPr>
      <w:r>
        <w:rPr>
          <w:rFonts w:hint="eastAsia" w:asciiTheme="minorEastAsia" w:hAnsiTheme="minorEastAsia" w:eastAsiaTheme="minorEastAsia"/>
          <w:b/>
          <w:color w:val="000000" w:themeColor="text1"/>
          <w14:textFill>
            <w14:solidFill>
              <w14:schemeClr w14:val="tx1"/>
            </w14:solidFill>
          </w14:textFill>
        </w:rPr>
        <w:t>5</w:t>
      </w:r>
      <w:r>
        <w:rPr>
          <w:rFonts w:asciiTheme="minorEastAsia" w:hAnsiTheme="minorEastAsia" w:eastAsiaTheme="minorEastAsia"/>
          <w:b/>
          <w:color w:val="000000" w:themeColor="text1"/>
          <w14:textFill>
            <w14:solidFill>
              <w14:schemeClr w14:val="tx1"/>
            </w14:solidFill>
          </w14:textFill>
        </w:rPr>
        <w:t>.</w:t>
      </w:r>
      <w:r>
        <w:rPr>
          <w:rFonts w:hint="eastAsia" w:asciiTheme="minorEastAsia" w:hAnsiTheme="minorEastAsia" w:eastAsiaTheme="minorEastAsia"/>
          <w:b/>
          <w:color w:val="000000" w:themeColor="text1"/>
          <w14:textFill>
            <w14:solidFill>
              <w14:schemeClr w14:val="tx1"/>
            </w14:solidFill>
          </w14:textFill>
        </w:rPr>
        <w:t>抓好农民工服务和和谐劳动关系维护。</w:t>
      </w:r>
      <w:r>
        <w:rPr>
          <w:rFonts w:hint="eastAsia" w:asciiTheme="minorEastAsia" w:hAnsiTheme="minorEastAsia" w:eastAsiaTheme="minorEastAsia"/>
          <w:color w:val="000000" w:themeColor="text1"/>
          <w14:textFill>
            <w14:solidFill>
              <w14:schemeClr w14:val="tx1"/>
            </w14:solidFill>
          </w14:textFill>
        </w:rPr>
        <w:t>牵头</w:t>
      </w:r>
      <w:r>
        <w:rPr>
          <w:rFonts w:hint="eastAsia" w:asciiTheme="minorEastAsia" w:hAnsiTheme="minorEastAsia" w:eastAsiaTheme="minorEastAsia"/>
          <w:bCs/>
          <w:color w:val="000000" w:themeColor="text1"/>
          <w14:textFill>
            <w14:solidFill>
              <w14:schemeClr w14:val="tx1"/>
            </w14:solidFill>
          </w14:textFill>
        </w:rPr>
        <w:t>优化</w:t>
      </w:r>
      <w:r>
        <w:rPr>
          <w:rFonts w:asciiTheme="minorEastAsia" w:hAnsiTheme="minorEastAsia" w:eastAsiaTheme="minorEastAsia"/>
          <w:bCs/>
          <w:color w:val="000000" w:themeColor="text1"/>
          <w14:textFill>
            <w14:solidFill>
              <w14:schemeClr w14:val="tx1"/>
            </w14:solidFill>
          </w14:textFill>
        </w:rPr>
        <w:t>农民工</w:t>
      </w:r>
      <w:r>
        <w:rPr>
          <w:rFonts w:asciiTheme="minorEastAsia" w:hAnsiTheme="minorEastAsia" w:eastAsiaTheme="minorEastAsia"/>
          <w:color w:val="000000" w:themeColor="text1"/>
          <w:kern w:val="0"/>
          <w14:textFill>
            <w14:solidFill>
              <w14:schemeClr w14:val="tx1"/>
            </w14:solidFill>
          </w14:textFill>
        </w:rPr>
        <w:t>住房、教育、交通、办证、社保等服务。</w:t>
      </w:r>
      <w:r>
        <w:rPr>
          <w:rFonts w:hint="eastAsia" w:asciiTheme="minorEastAsia" w:hAnsiTheme="minorEastAsia" w:eastAsiaTheme="minorEastAsia"/>
          <w:color w:val="000000" w:themeColor="text1"/>
          <w14:textFill>
            <w14:solidFill>
              <w14:schemeClr w14:val="tx1"/>
            </w14:solidFill>
          </w14:textFill>
        </w:rPr>
        <w:t>狠抓</w:t>
      </w:r>
      <w:r>
        <w:rPr>
          <w:rFonts w:asciiTheme="minorEastAsia" w:hAnsiTheme="minorEastAsia" w:eastAsiaTheme="minorEastAsia"/>
          <w:color w:val="000000" w:themeColor="text1"/>
          <w14:textFill>
            <w14:solidFill>
              <w14:schemeClr w14:val="tx1"/>
            </w14:solidFill>
          </w14:textFill>
        </w:rPr>
        <w:t>欠薪</w:t>
      </w:r>
      <w:r>
        <w:rPr>
          <w:rFonts w:hint="eastAsia" w:asciiTheme="minorEastAsia" w:hAnsiTheme="minorEastAsia" w:eastAsiaTheme="minorEastAsia"/>
          <w:color w:val="000000" w:themeColor="text1"/>
          <w14:textFill>
            <w14:solidFill>
              <w14:schemeClr w14:val="tx1"/>
            </w14:solidFill>
          </w14:textFill>
        </w:rPr>
        <w:t>根治</w:t>
      </w:r>
      <w:r>
        <w:rPr>
          <w:rFonts w:asciiTheme="minorEastAsia" w:hAnsiTheme="minorEastAsia" w:eastAsiaTheme="minorEastAsia"/>
          <w:color w:val="000000" w:themeColor="text1"/>
          <w14:textFill>
            <w14:solidFill>
              <w14:schemeClr w14:val="tx1"/>
            </w14:solidFill>
          </w14:textFill>
        </w:rPr>
        <w:t>，确保分账建账率、总包直发率、按时足额支付率、政府工程零欠薪率均达到100%。</w:t>
      </w:r>
      <w:r>
        <w:rPr>
          <w:rFonts w:asciiTheme="minorEastAsia" w:hAnsiTheme="minorEastAsia" w:eastAsiaTheme="minorEastAsia"/>
          <w:bCs/>
          <w:color w:val="000000" w:themeColor="text1"/>
          <w14:textFill>
            <w14:solidFill>
              <w14:schemeClr w14:val="tx1"/>
            </w14:solidFill>
          </w14:textFill>
        </w:rPr>
        <w:t>夯实和谐劳动关系基础，</w:t>
      </w:r>
      <w:r>
        <w:rPr>
          <w:rFonts w:asciiTheme="minorEastAsia" w:hAnsiTheme="minorEastAsia" w:eastAsiaTheme="minorEastAsia"/>
          <w:color w:val="000000" w:themeColor="text1"/>
          <w14:textFill>
            <w14:solidFill>
              <w14:schemeClr w14:val="tx1"/>
            </w14:solidFill>
          </w14:textFill>
        </w:rPr>
        <w:t>完善协调劳动关系三方机制，推进国有企业负责人薪酬制度改革，强化劳动人事争议调解仲裁多元处理，防范化解劳动关系领域风险。</w:t>
      </w:r>
      <w:r>
        <w:rPr>
          <w:rFonts w:hint="eastAsia" w:asciiTheme="minorEastAsia" w:hAnsiTheme="minorEastAsia" w:eastAsiaTheme="minorEastAsia"/>
          <w:color w:val="000000" w:themeColor="text1"/>
          <w14:textFill>
            <w14:solidFill>
              <w14:schemeClr w14:val="tx1"/>
            </w14:solidFill>
          </w14:textFill>
        </w:rPr>
        <w:t>切实加强劳动能力鉴定，做好工伤认定，维护劳动者工伤权益。</w:t>
      </w:r>
    </w:p>
    <w:p w14:paraId="18A8EFF1">
      <w:pPr>
        <w:spacing w:line="360" w:lineRule="auto"/>
        <w:ind w:firstLine="640" w:firstLineChars="200"/>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二、单位构成情况</w:t>
      </w:r>
    </w:p>
    <w:p w14:paraId="658F9A2B">
      <w:pPr>
        <w:pStyle w:val="2"/>
        <w:adjustRightInd w:val="0"/>
        <w:spacing w:before="0" w:beforeLines="0" w:line="360" w:lineRule="auto"/>
        <w:ind w:firstLine="672" w:firstLineChars="210"/>
        <w:rPr>
          <w:rFonts w:asciiTheme="minorEastAsia" w:hAnsiTheme="minorEastAsia" w:eastAsiaTheme="minorEastAsia"/>
          <w:color w:val="000000" w:themeColor="text1"/>
          <w:sz w:val="32"/>
          <w14:textFill>
            <w14:solidFill>
              <w14:schemeClr w14:val="tx1"/>
            </w14:solidFill>
          </w14:textFill>
        </w:rPr>
      </w:pPr>
      <w:r>
        <w:rPr>
          <w:rFonts w:hint="eastAsia" w:asciiTheme="minorEastAsia" w:hAnsiTheme="minorEastAsia" w:eastAsiaTheme="minorEastAsia"/>
          <w:color w:val="000000" w:themeColor="text1"/>
          <w:sz w:val="32"/>
          <w14:textFill>
            <w14:solidFill>
              <w14:schemeClr w14:val="tx1"/>
            </w14:solidFill>
          </w14:textFill>
        </w:rPr>
        <w:t>市人力资源社会保障局下属非独立核算单位1个，</w:t>
      </w:r>
      <w:r>
        <w:rPr>
          <w:rFonts w:hint="eastAsia" w:asciiTheme="minorEastAsia" w:hAnsiTheme="minorEastAsia" w:eastAsiaTheme="minorEastAsia"/>
          <w:sz w:val="32"/>
        </w:rPr>
        <w:t>其中行政单位0个，参照公务员法管理的事业单位0个，其他事业单位1个。</w:t>
      </w:r>
      <w:r>
        <w:rPr>
          <w:rFonts w:hint="eastAsia" w:asciiTheme="minorEastAsia" w:hAnsiTheme="minorEastAsia" w:eastAsiaTheme="minorEastAsia"/>
          <w:color w:val="000000" w:themeColor="text1"/>
          <w:sz w:val="32"/>
          <w14:textFill>
            <w14:solidFill>
              <w14:schemeClr w14:val="tx1"/>
            </w14:solidFill>
          </w14:textFill>
        </w:rPr>
        <w:t>主要包括：市职业技能鉴定和培训中心。</w:t>
      </w:r>
    </w:p>
    <w:p w14:paraId="0E399B40">
      <w:pPr>
        <w:spacing w:line="360" w:lineRule="auto"/>
        <w:ind w:firstLine="640" w:firstLineChars="200"/>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三、收支预算情况说明</w:t>
      </w:r>
    </w:p>
    <w:p w14:paraId="4AE245A3">
      <w:pPr>
        <w:spacing w:line="360" w:lineRule="auto"/>
        <w:ind w:firstLine="640"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按照综合预算的原则，市人力资源社会保障局所有收入和支出均纳入部门预算管理。收入包括：一般公共预算拨款收入；支出包括：一般公共服务支出、社会保障和就业支出、住房保障支出。市人力资源社会保障局2020年收支总预算1386.87万元。</w:t>
      </w:r>
    </w:p>
    <w:p w14:paraId="156D2E24">
      <w:pPr>
        <w:spacing w:line="360" w:lineRule="auto"/>
        <w:ind w:firstLine="643" w:firstLineChars="200"/>
        <w:rPr>
          <w:rFonts w:asciiTheme="minorEastAsia" w:hAnsiTheme="minorEastAsia" w:eastAsiaTheme="minorEastAsia"/>
          <w:b/>
          <w:color w:val="000000" w:themeColor="text1"/>
          <w14:textFill>
            <w14:solidFill>
              <w14:schemeClr w14:val="tx1"/>
            </w14:solidFill>
          </w14:textFill>
        </w:rPr>
      </w:pPr>
      <w:r>
        <w:rPr>
          <w:rFonts w:hint="eastAsia" w:asciiTheme="minorEastAsia" w:hAnsiTheme="minorEastAsia" w:eastAsiaTheme="minorEastAsia"/>
          <w:b/>
          <w:color w:val="000000" w:themeColor="text1"/>
          <w14:textFill>
            <w14:solidFill>
              <w14:schemeClr w14:val="tx1"/>
            </w14:solidFill>
          </w14:textFill>
        </w:rPr>
        <w:t>（一）收入预算情况</w:t>
      </w:r>
    </w:p>
    <w:p w14:paraId="3517C349">
      <w:pPr>
        <w:spacing w:line="360" w:lineRule="auto"/>
        <w:ind w:firstLine="640"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市人力资源社会保障局2020年收入预算1386.87万元，其中：一般公共预算拨款收入1386.87万元，占100%。</w:t>
      </w:r>
    </w:p>
    <w:p w14:paraId="4BDB0551">
      <w:pPr>
        <w:spacing w:line="360" w:lineRule="auto"/>
        <w:ind w:firstLine="643" w:firstLineChars="200"/>
        <w:rPr>
          <w:rFonts w:asciiTheme="minorEastAsia" w:hAnsiTheme="minorEastAsia" w:eastAsiaTheme="minorEastAsia"/>
          <w:b/>
          <w:color w:val="000000" w:themeColor="text1"/>
          <w14:textFill>
            <w14:solidFill>
              <w14:schemeClr w14:val="tx1"/>
            </w14:solidFill>
          </w14:textFill>
        </w:rPr>
      </w:pPr>
      <w:r>
        <w:rPr>
          <w:rFonts w:hint="eastAsia" w:asciiTheme="minorEastAsia" w:hAnsiTheme="minorEastAsia" w:eastAsiaTheme="minorEastAsia"/>
          <w:b/>
          <w:color w:val="000000" w:themeColor="text1"/>
          <w14:textFill>
            <w14:solidFill>
              <w14:schemeClr w14:val="tx1"/>
            </w14:solidFill>
          </w14:textFill>
        </w:rPr>
        <w:t>（二）支出预算情况</w:t>
      </w:r>
    </w:p>
    <w:p w14:paraId="3962C04F">
      <w:pPr>
        <w:spacing w:line="360" w:lineRule="auto"/>
        <w:ind w:firstLine="640"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市人力资源社会保障局2020年支出预算1386.87万元，其中：基本支出1290.37万元，占93.04%；项目支出96.50万元，占6.96%。</w:t>
      </w:r>
    </w:p>
    <w:p w14:paraId="54478939">
      <w:pPr>
        <w:spacing w:line="360" w:lineRule="auto"/>
        <w:ind w:firstLine="640" w:firstLineChars="200"/>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四、财政拨款收支预算情况说明</w:t>
      </w:r>
    </w:p>
    <w:p w14:paraId="1AE593F3">
      <w:pPr>
        <w:spacing w:line="360" w:lineRule="auto"/>
        <w:ind w:firstLine="640"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市人力资源社会保障局2020年财政拨款收支总预算1386.87万元。收入包括：本年一般公共预算拨款收入1386.87万元；支出包括：一般公共服务支出1061.55万元、社会保障和就业支出232.21万元、住房保障支出93.11万元。</w:t>
      </w:r>
    </w:p>
    <w:p w14:paraId="6A09D3AF">
      <w:pPr>
        <w:spacing w:line="360" w:lineRule="auto"/>
        <w:ind w:firstLine="640" w:firstLineChars="200"/>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五、一般公共预算当年拨款情况说明</w:t>
      </w:r>
    </w:p>
    <w:p w14:paraId="35A7CF8E">
      <w:pPr>
        <w:spacing w:line="360" w:lineRule="auto"/>
        <w:ind w:firstLine="643" w:firstLineChars="200"/>
        <w:rPr>
          <w:rFonts w:asciiTheme="minorEastAsia" w:hAnsiTheme="minorEastAsia" w:eastAsiaTheme="minorEastAsia"/>
          <w:b/>
          <w:color w:val="000000" w:themeColor="text1"/>
          <w14:textFill>
            <w14:solidFill>
              <w14:schemeClr w14:val="tx1"/>
            </w14:solidFill>
          </w14:textFill>
        </w:rPr>
      </w:pPr>
      <w:r>
        <w:rPr>
          <w:rFonts w:hint="eastAsia" w:asciiTheme="minorEastAsia" w:hAnsiTheme="minorEastAsia" w:eastAsiaTheme="minorEastAsia"/>
          <w:b/>
          <w:color w:val="000000" w:themeColor="text1"/>
          <w14:textFill>
            <w14:solidFill>
              <w14:schemeClr w14:val="tx1"/>
            </w14:solidFill>
          </w14:textFill>
        </w:rPr>
        <w:t>（一）一般公共预算当年拨款规模变化情况</w:t>
      </w:r>
    </w:p>
    <w:p w14:paraId="6933474D">
      <w:pPr>
        <w:spacing w:line="360" w:lineRule="auto"/>
        <w:ind w:firstLine="640"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市人力资源社会保障局2020年一般公共预算当年拨款1386.87万元，比2019年预算数减少123.84万元，主要是因机构改革人员减少。</w:t>
      </w:r>
    </w:p>
    <w:p w14:paraId="1F8EE188">
      <w:pPr>
        <w:spacing w:line="360" w:lineRule="auto"/>
        <w:ind w:firstLine="643" w:firstLineChars="200"/>
        <w:rPr>
          <w:rFonts w:asciiTheme="minorEastAsia" w:hAnsiTheme="minorEastAsia" w:eastAsiaTheme="minorEastAsia"/>
          <w:b/>
          <w:color w:val="000000" w:themeColor="text1"/>
          <w14:textFill>
            <w14:solidFill>
              <w14:schemeClr w14:val="tx1"/>
            </w14:solidFill>
          </w14:textFill>
        </w:rPr>
      </w:pPr>
      <w:r>
        <w:rPr>
          <w:rFonts w:hint="eastAsia" w:asciiTheme="minorEastAsia" w:hAnsiTheme="minorEastAsia" w:eastAsiaTheme="minorEastAsia"/>
          <w:b/>
          <w:color w:val="000000" w:themeColor="text1"/>
          <w14:textFill>
            <w14:solidFill>
              <w14:schemeClr w14:val="tx1"/>
            </w14:solidFill>
          </w14:textFill>
        </w:rPr>
        <w:t>（二）一般公共预算当年拨款结构情况</w:t>
      </w:r>
    </w:p>
    <w:p w14:paraId="19E22FB7">
      <w:pPr>
        <w:spacing w:line="360" w:lineRule="auto"/>
        <w:ind w:firstLine="640"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一般公共服务支出1061.55万元，占76.55%；社会保障和就业支出232.21万元，占16.74%；住房保障支出93.11万元，占6.71%。</w:t>
      </w:r>
    </w:p>
    <w:p w14:paraId="1F595856">
      <w:pPr>
        <w:spacing w:line="360" w:lineRule="auto"/>
        <w:ind w:firstLine="643" w:firstLineChars="200"/>
        <w:rPr>
          <w:rFonts w:asciiTheme="minorEastAsia" w:hAnsiTheme="minorEastAsia" w:eastAsiaTheme="minorEastAsia"/>
          <w:b/>
          <w:color w:val="000000" w:themeColor="text1"/>
          <w14:textFill>
            <w14:solidFill>
              <w14:schemeClr w14:val="tx1"/>
            </w14:solidFill>
          </w14:textFill>
        </w:rPr>
      </w:pPr>
      <w:r>
        <w:rPr>
          <w:rFonts w:hint="eastAsia" w:asciiTheme="minorEastAsia" w:hAnsiTheme="minorEastAsia" w:eastAsiaTheme="minorEastAsia"/>
          <w:b/>
          <w:color w:val="000000" w:themeColor="text1"/>
          <w14:textFill>
            <w14:solidFill>
              <w14:schemeClr w14:val="tx1"/>
            </w14:solidFill>
          </w14:textFill>
        </w:rPr>
        <w:t>（三）一般公共预算当年拨款具体使用情况</w:t>
      </w:r>
    </w:p>
    <w:p w14:paraId="3A9C3D2E">
      <w:pPr>
        <w:spacing w:line="360" w:lineRule="auto"/>
        <w:ind w:firstLine="640"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1.一般公共服务（类）人力资源事务（款）行政运行（项）2020年预算数为1030.55万元，主要用于：本单位职工工资、津贴补贴、医疗保险费、日常公用经费。</w:t>
      </w:r>
    </w:p>
    <w:p w14:paraId="205C31DD">
      <w:pPr>
        <w:spacing w:line="360" w:lineRule="auto"/>
        <w:ind w:firstLine="640"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2.一般公共服务（类）人力资源事务（款）机关服务（项）2020年预算数为26.00万元，主要用于：办好机关第五职工食堂，完善管理制度，提高食品质量，确保食品安全，为干部职工创造安全舒适的就餐环境。</w:t>
      </w:r>
    </w:p>
    <w:p w14:paraId="23C8C350">
      <w:pPr>
        <w:spacing w:line="360" w:lineRule="auto"/>
        <w:ind w:firstLine="640"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 xml:space="preserve"> 3. 一般公共服务（类）组织事务（款）其他组织事务支出（项）2020年预算数为5.00万元，主要用于：2020年援藏干部人才补助，按照攀藏组办〔2018〕12号文件要求，于每月对援藏干部兑现当月援藏干部人才补助津贴，促进凉山州脱贫攻坚综合帮扶工作。</w:t>
      </w:r>
    </w:p>
    <w:p w14:paraId="108EC8F8">
      <w:pPr>
        <w:spacing w:line="360" w:lineRule="auto"/>
        <w:ind w:firstLine="640"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4. 社会保障和就业支出（类）人力资源和社会保障管理事务（款）一般行政管理事务（项）2020年预算数为65.50万元，主要用于：保障本单位承担的业务工作顺利开展，完成特定的行政工作任务或事业发展目标。</w:t>
      </w:r>
    </w:p>
    <w:p w14:paraId="1329804E">
      <w:pPr>
        <w:spacing w:line="360" w:lineRule="auto"/>
        <w:ind w:firstLine="640"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5. 社会保障和就业支出（类）行政事业单位离退休（款）未归口管理的行政单位离退休（项）2020年预算数为91.71万元，主要用于：单位退休职工的日常公用经费及退休费。</w:t>
      </w:r>
    </w:p>
    <w:p w14:paraId="5499C148">
      <w:pPr>
        <w:spacing w:line="360" w:lineRule="auto"/>
        <w:ind w:firstLine="640"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6．社会保障和就业支出（类）行政事业单位离退休（款）机关事业单位基本养老保险缴费支出（项）2020年预算数为75.00万元，主要用于：机关基本养老保险单位部分缴费支出。</w:t>
      </w:r>
    </w:p>
    <w:p w14:paraId="08BB11C7">
      <w:pPr>
        <w:spacing w:line="360" w:lineRule="auto"/>
        <w:ind w:firstLine="640"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7.住房保障支出（类）住房改革支出（款）住房公积金（项）2020年预算数为93.11万元，主要用于：单位按照规定标准为职工缴纳住房公积金。</w:t>
      </w:r>
    </w:p>
    <w:p w14:paraId="398BAC58">
      <w:pPr>
        <w:spacing w:line="360" w:lineRule="auto"/>
        <w:ind w:firstLine="640" w:firstLineChars="200"/>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六、一般公共预算基本支出情况说明</w:t>
      </w:r>
    </w:p>
    <w:p w14:paraId="6A119984">
      <w:pPr>
        <w:spacing w:line="360" w:lineRule="auto"/>
        <w:ind w:firstLine="640"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市人力资源社会保障局2020年一般公共预算基本支出1290.37万元，其中：</w:t>
      </w:r>
    </w:p>
    <w:p w14:paraId="249E0BF1">
      <w:pPr>
        <w:spacing w:line="360" w:lineRule="auto"/>
        <w:ind w:firstLine="640"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人员经费1113.91万元，主要包括：基本工资、津贴补贴、奖金、机关事业单位基本养老保险缴费、职工基本医疗保险缴费、公务员医疗补助缴费、其他社会保险缴费、住房公积金、其他工资福利支出、退休费、医疗费补助。</w:t>
      </w:r>
    </w:p>
    <w:p w14:paraId="11A6196E">
      <w:pPr>
        <w:spacing w:line="360" w:lineRule="auto"/>
        <w:ind w:firstLine="640"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公用经费176.46万元，主要包括：办公费、水费、电费、邮电费、差旅费、公务接待费、工会经费、福利费、公务用车运行维护费、其他交通费用、其他商品和服务支出。</w:t>
      </w:r>
    </w:p>
    <w:p w14:paraId="2C876CED">
      <w:pPr>
        <w:spacing w:line="360" w:lineRule="auto"/>
        <w:ind w:firstLine="640" w:firstLineChars="200"/>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七、“三公”经费财政拨款预算安排情况说明</w:t>
      </w:r>
    </w:p>
    <w:p w14:paraId="7A81F871">
      <w:pPr>
        <w:spacing w:line="360" w:lineRule="auto"/>
        <w:ind w:firstLine="640"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市人力资源社会保障局2020年“三公”经费财政拨款预算数7.32万元，其中：因公出国（境）经费0万元，公务接待费3.04万元，公务用车购置及运行维护费4.28万元。</w:t>
      </w:r>
    </w:p>
    <w:p w14:paraId="7DBF5D6E">
      <w:pPr>
        <w:spacing w:line="360" w:lineRule="auto"/>
        <w:ind w:firstLine="643"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b/>
          <w:color w:val="000000" w:themeColor="text1"/>
          <w14:textFill>
            <w14:solidFill>
              <w14:schemeClr w14:val="tx1"/>
            </w14:solidFill>
          </w14:textFill>
        </w:rPr>
        <w:t>（一）因公出国（境）经费与2019年预算持平。</w:t>
      </w:r>
      <w:r>
        <w:rPr>
          <w:rFonts w:hint="eastAsia" w:asciiTheme="minorEastAsia" w:hAnsiTheme="minorEastAsia" w:eastAsiaTheme="minorEastAsia"/>
          <w:color w:val="000000" w:themeColor="text1"/>
          <w14:textFill>
            <w14:solidFill>
              <w14:schemeClr w14:val="tx1"/>
            </w14:solidFill>
          </w14:textFill>
        </w:rPr>
        <w:t>主要原因是2019年与</w:t>
      </w:r>
      <w:r>
        <w:rPr>
          <w:rFonts w:asciiTheme="minorEastAsia" w:hAnsiTheme="minorEastAsia" w:eastAsiaTheme="minorEastAsia"/>
          <w:color w:val="000000" w:themeColor="text1"/>
          <w14:textFill>
            <w14:solidFill>
              <w14:schemeClr w14:val="tx1"/>
            </w14:solidFill>
          </w14:textFill>
        </w:rPr>
        <w:t>2020年</w:t>
      </w:r>
      <w:r>
        <w:rPr>
          <w:rFonts w:hint="eastAsia" w:asciiTheme="minorEastAsia" w:hAnsiTheme="minorEastAsia" w:eastAsiaTheme="minorEastAsia"/>
          <w:color w:val="000000" w:themeColor="text1"/>
          <w14:textFill>
            <w14:solidFill>
              <w14:schemeClr w14:val="tx1"/>
            </w14:solidFill>
          </w14:textFill>
        </w:rPr>
        <w:t>均未发生此项费用。</w:t>
      </w:r>
    </w:p>
    <w:p w14:paraId="2CD458CB">
      <w:pPr>
        <w:spacing w:line="360" w:lineRule="auto"/>
        <w:ind w:firstLine="640"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根据市外事侨务办（台办）批准的2020年因公临时出国（境）安排，拟安排出国（境）团组0次,</w:t>
      </w:r>
      <w:r>
        <w:rPr>
          <w:rFonts w:asciiTheme="minorEastAsia" w:hAnsiTheme="minorEastAsia" w:eastAsiaTheme="minorEastAsia"/>
          <w:color w:val="000000" w:themeColor="text1"/>
          <w14:textFill>
            <w14:solidFill>
              <w14:schemeClr w14:val="tx1"/>
            </w14:solidFill>
          </w14:textFill>
        </w:rPr>
        <w:t xml:space="preserve"> </w:t>
      </w:r>
      <w:r>
        <w:rPr>
          <w:rFonts w:hint="eastAsia" w:asciiTheme="minorEastAsia" w:hAnsiTheme="minorEastAsia" w:eastAsiaTheme="minorEastAsia"/>
          <w:color w:val="000000" w:themeColor="text1"/>
          <w14:textFill>
            <w14:solidFill>
              <w14:schemeClr w14:val="tx1"/>
            </w14:solidFill>
          </w14:textFill>
        </w:rPr>
        <w:t>0人。</w:t>
      </w:r>
    </w:p>
    <w:p w14:paraId="7EFBE5AB">
      <w:pPr>
        <w:spacing w:line="360" w:lineRule="auto"/>
        <w:ind w:firstLine="643"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b/>
          <w:color w:val="000000" w:themeColor="text1"/>
          <w14:textFill>
            <w14:solidFill>
              <w14:schemeClr w14:val="tx1"/>
            </w14:solidFill>
          </w14:textFill>
        </w:rPr>
        <w:t>（二）公务接待费较2019年预算下降5.00</w:t>
      </w:r>
      <w:r>
        <w:rPr>
          <w:rFonts w:asciiTheme="minorEastAsia" w:hAnsiTheme="minorEastAsia" w:eastAsiaTheme="minorEastAsia"/>
          <w:b/>
          <w:color w:val="000000" w:themeColor="text1"/>
          <w14:textFill>
            <w14:solidFill>
              <w14:schemeClr w14:val="tx1"/>
            </w14:solidFill>
          </w14:textFill>
        </w:rPr>
        <w:t>%</w:t>
      </w:r>
      <w:r>
        <w:rPr>
          <w:rFonts w:hint="eastAsia" w:asciiTheme="minorEastAsia" w:hAnsiTheme="minorEastAsia" w:eastAsiaTheme="minorEastAsia"/>
          <w:b/>
          <w:color w:val="000000" w:themeColor="text1"/>
          <w14:textFill>
            <w14:solidFill>
              <w14:schemeClr w14:val="tx1"/>
            </w14:solidFill>
          </w14:textFill>
        </w:rPr>
        <w:t>。</w:t>
      </w:r>
      <w:r>
        <w:rPr>
          <w:rFonts w:hint="eastAsia" w:asciiTheme="minorEastAsia" w:hAnsiTheme="minorEastAsia" w:eastAsiaTheme="minorEastAsia"/>
          <w:color w:val="000000" w:themeColor="text1"/>
          <w14:textFill>
            <w14:solidFill>
              <w14:schemeClr w14:val="tx1"/>
            </w14:solidFill>
          </w14:textFill>
        </w:rPr>
        <w:t>主要原因是严格执行</w:t>
      </w:r>
      <w:bookmarkStart w:id="0" w:name="_GoBack"/>
      <w:bookmarkEnd w:id="0"/>
      <w:r>
        <w:rPr>
          <w:rFonts w:hint="eastAsia" w:asciiTheme="minorEastAsia" w:hAnsiTheme="minorEastAsia" w:eastAsiaTheme="minorEastAsia"/>
          <w:color w:val="000000" w:themeColor="text1"/>
          <w:lang w:eastAsia="zh-CN"/>
          <w14:textFill>
            <w14:solidFill>
              <w14:schemeClr w14:val="tx1"/>
            </w14:solidFill>
          </w14:textFill>
        </w:rPr>
        <w:t>中央八项规定</w:t>
      </w:r>
      <w:r>
        <w:rPr>
          <w:rFonts w:hint="eastAsia" w:asciiTheme="minorEastAsia" w:hAnsiTheme="minorEastAsia" w:eastAsiaTheme="minorEastAsia"/>
          <w:color w:val="000000" w:themeColor="text1"/>
          <w14:textFill>
            <w14:solidFill>
              <w14:schemeClr w14:val="tx1"/>
            </w14:solidFill>
          </w14:textFill>
        </w:rPr>
        <w:t>，厉行节约，公务接待从简。</w:t>
      </w:r>
    </w:p>
    <w:p w14:paraId="16122DA0">
      <w:pPr>
        <w:spacing w:line="360" w:lineRule="auto"/>
        <w:ind w:firstLine="640"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2020年公务接待费计划用于接待各地市相关单位。</w:t>
      </w:r>
    </w:p>
    <w:p w14:paraId="4EFDAA5C">
      <w:pPr>
        <w:spacing w:line="360" w:lineRule="auto"/>
        <w:ind w:firstLine="643"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b/>
          <w:color w:val="000000" w:themeColor="text1"/>
          <w14:textFill>
            <w14:solidFill>
              <w14:schemeClr w14:val="tx1"/>
            </w14:solidFill>
          </w14:textFill>
        </w:rPr>
        <w:t>（三）公务用车购置及运行维护费较2019年预算增长137.50</w:t>
      </w:r>
      <w:r>
        <w:rPr>
          <w:rFonts w:asciiTheme="minorEastAsia" w:hAnsiTheme="minorEastAsia" w:eastAsiaTheme="minorEastAsia"/>
          <w:b/>
          <w:color w:val="000000" w:themeColor="text1"/>
          <w14:textFill>
            <w14:solidFill>
              <w14:schemeClr w14:val="tx1"/>
            </w14:solidFill>
          </w14:textFill>
        </w:rPr>
        <w:t>%</w:t>
      </w:r>
      <w:r>
        <w:rPr>
          <w:rFonts w:hint="eastAsia" w:asciiTheme="minorEastAsia" w:hAnsiTheme="minorEastAsia" w:eastAsiaTheme="minorEastAsia"/>
          <w:b/>
          <w:color w:val="000000" w:themeColor="text1"/>
          <w14:textFill>
            <w14:solidFill>
              <w14:schemeClr w14:val="tx1"/>
            </w14:solidFill>
          </w14:textFill>
        </w:rPr>
        <w:t>。</w:t>
      </w:r>
      <w:r>
        <w:rPr>
          <w:rFonts w:hint="eastAsia" w:asciiTheme="minorEastAsia" w:hAnsiTheme="minorEastAsia" w:eastAsiaTheme="minorEastAsia"/>
          <w:color w:val="000000" w:themeColor="text1"/>
          <w14:textFill>
            <w14:solidFill>
              <w14:schemeClr w14:val="tx1"/>
            </w14:solidFill>
          </w14:textFill>
        </w:rPr>
        <w:t>主要原因是按实际需求提高了公务用车运行维护费预算。</w:t>
      </w:r>
    </w:p>
    <w:p w14:paraId="1431DCB5">
      <w:pPr>
        <w:spacing w:line="360" w:lineRule="auto"/>
        <w:ind w:firstLine="640"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单位现有公务用车1辆，为越野车。</w:t>
      </w:r>
    </w:p>
    <w:p w14:paraId="49AC5629">
      <w:pPr>
        <w:spacing w:line="360" w:lineRule="auto"/>
        <w:ind w:firstLine="640"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2020年安排公务用车购置费0万元，购置公务用车0辆。</w:t>
      </w:r>
    </w:p>
    <w:p w14:paraId="633DDCB7">
      <w:pPr>
        <w:spacing w:line="360" w:lineRule="auto"/>
        <w:ind w:firstLine="640"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2020年安排公务用车运行维护费4.28万元，用于1辆公务用车燃油、维修、车辆通行等方面支出，主要保障人力资源和社会保障相关业务工作开展。</w:t>
      </w:r>
    </w:p>
    <w:p w14:paraId="1DF7DAA5">
      <w:pPr>
        <w:spacing w:line="360" w:lineRule="auto"/>
        <w:ind w:firstLine="640" w:firstLineChars="200"/>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八、政府性基金预算支出情况说明</w:t>
      </w:r>
    </w:p>
    <w:p w14:paraId="1D9E27A6">
      <w:pPr>
        <w:spacing w:line="360" w:lineRule="auto"/>
        <w:ind w:firstLine="640"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市人力资源社会保障局2020年没有使用政府性基金预算拨款安排的支出。</w:t>
      </w:r>
    </w:p>
    <w:p w14:paraId="06D408A2">
      <w:pPr>
        <w:spacing w:line="360" w:lineRule="auto"/>
        <w:ind w:firstLine="640" w:firstLineChars="200"/>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九、其他重要事项的情况说明</w:t>
      </w:r>
    </w:p>
    <w:p w14:paraId="6A9A0A26">
      <w:pPr>
        <w:spacing w:line="360" w:lineRule="auto"/>
        <w:ind w:firstLine="643" w:firstLineChars="200"/>
        <w:rPr>
          <w:rFonts w:asciiTheme="minorEastAsia" w:hAnsiTheme="minorEastAsia" w:eastAsiaTheme="minorEastAsia"/>
          <w:b/>
          <w:color w:val="000000" w:themeColor="text1"/>
          <w14:textFill>
            <w14:solidFill>
              <w14:schemeClr w14:val="tx1"/>
            </w14:solidFill>
          </w14:textFill>
        </w:rPr>
      </w:pPr>
      <w:r>
        <w:rPr>
          <w:rFonts w:hint="eastAsia" w:asciiTheme="minorEastAsia" w:hAnsiTheme="minorEastAsia" w:eastAsiaTheme="minorEastAsia"/>
          <w:b/>
          <w:color w:val="000000" w:themeColor="text1"/>
          <w14:textFill>
            <w14:solidFill>
              <w14:schemeClr w14:val="tx1"/>
            </w14:solidFill>
          </w14:textFill>
        </w:rPr>
        <w:t>（一）业务运行经费</w:t>
      </w:r>
    </w:p>
    <w:p w14:paraId="45B7BCA0">
      <w:pPr>
        <w:spacing w:line="360" w:lineRule="auto"/>
        <w:ind w:firstLine="640" w:firstLineChars="200"/>
        <w:rPr>
          <w:rFonts w:asciiTheme="minorEastAsia" w:hAnsiTheme="minorEastAsia" w:eastAsiaTheme="minorEastAsia"/>
          <w:b/>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2020年，市人力资源社会保障局机关运行经费财政拨款预算为176.46万元，比2019年预算减少31.28万元，下降15.28%。</w:t>
      </w:r>
    </w:p>
    <w:p w14:paraId="129D27FC">
      <w:pPr>
        <w:spacing w:line="360" w:lineRule="auto"/>
        <w:ind w:firstLine="643" w:firstLineChars="200"/>
        <w:rPr>
          <w:rFonts w:asciiTheme="minorEastAsia" w:hAnsiTheme="minorEastAsia" w:eastAsiaTheme="minorEastAsia"/>
          <w:b/>
          <w:color w:val="000000" w:themeColor="text1"/>
          <w14:textFill>
            <w14:solidFill>
              <w14:schemeClr w14:val="tx1"/>
            </w14:solidFill>
          </w14:textFill>
        </w:rPr>
      </w:pPr>
      <w:r>
        <w:rPr>
          <w:rFonts w:hint="eastAsia" w:asciiTheme="minorEastAsia" w:hAnsiTheme="minorEastAsia" w:eastAsiaTheme="minorEastAsia"/>
          <w:b/>
          <w:color w:val="000000" w:themeColor="text1"/>
          <w14:textFill>
            <w14:solidFill>
              <w14:schemeClr w14:val="tx1"/>
            </w14:solidFill>
          </w14:textFill>
        </w:rPr>
        <w:t>（二）国有资产占有使用情况</w:t>
      </w:r>
    </w:p>
    <w:p w14:paraId="31C3B914">
      <w:pPr>
        <w:spacing w:line="360" w:lineRule="auto"/>
        <w:ind w:firstLine="640"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截至2020年底，市人力资源社会保障局及所属的非独立核算单位共有车辆1辆，其中，执法执勤用车0辆。单位价值200万元以上大型设备0台。</w:t>
      </w:r>
    </w:p>
    <w:p w14:paraId="41FF38F5">
      <w:pPr>
        <w:spacing w:line="360" w:lineRule="auto"/>
        <w:ind w:firstLine="643" w:firstLineChars="200"/>
        <w:rPr>
          <w:rFonts w:asciiTheme="minorEastAsia" w:hAnsiTheme="minorEastAsia" w:eastAsiaTheme="minorEastAsia"/>
          <w:b/>
          <w:color w:val="000000" w:themeColor="text1"/>
          <w14:textFill>
            <w14:solidFill>
              <w14:schemeClr w14:val="tx1"/>
            </w14:solidFill>
          </w14:textFill>
        </w:rPr>
      </w:pPr>
      <w:r>
        <w:rPr>
          <w:rFonts w:hint="eastAsia" w:asciiTheme="minorEastAsia" w:hAnsiTheme="minorEastAsia" w:eastAsiaTheme="minorEastAsia"/>
          <w:b/>
          <w:color w:val="000000" w:themeColor="text1"/>
          <w14:textFill>
            <w14:solidFill>
              <w14:schemeClr w14:val="tx1"/>
            </w14:solidFill>
          </w14:textFill>
        </w:rPr>
        <w:t>（三）绩效目标设置情况</w:t>
      </w:r>
    </w:p>
    <w:p w14:paraId="7D9F055D">
      <w:pPr>
        <w:spacing w:line="360" w:lineRule="auto"/>
        <w:ind w:firstLine="640"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2020年市人力资源社会保障局部门通用项目和专用项目均按要求实行绩效目标管理，涉及一般公共预算当年拨款96.50万元。</w:t>
      </w:r>
    </w:p>
    <w:p w14:paraId="334705C6">
      <w:pPr>
        <w:spacing w:line="360" w:lineRule="auto"/>
        <w:ind w:firstLine="640" w:firstLineChars="200"/>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十、名词解释</w:t>
      </w:r>
    </w:p>
    <w:p w14:paraId="296C5EC9">
      <w:pPr>
        <w:spacing w:line="360" w:lineRule="auto"/>
        <w:ind w:firstLine="640"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1.一般公共预算拨款收入：指市级财政当年拨付的资金。</w:t>
      </w:r>
    </w:p>
    <w:p w14:paraId="03D789CE">
      <w:pPr>
        <w:spacing w:line="360" w:lineRule="auto"/>
        <w:ind w:firstLine="640"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2.基本支出：指为保证机构正常运转，完成日常工作任务而发生的人员支出和公用支出。</w:t>
      </w:r>
    </w:p>
    <w:p w14:paraId="1798C5C9">
      <w:pPr>
        <w:spacing w:line="360" w:lineRule="auto"/>
        <w:ind w:firstLine="640"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3.项目支出：指在基本支出之外为完成特定行政任务和事业发展目标所发生的支出。</w:t>
      </w:r>
    </w:p>
    <w:p w14:paraId="5400BE5A">
      <w:pPr>
        <w:spacing w:line="360" w:lineRule="auto"/>
        <w:ind w:firstLine="640"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5.“三公”经费：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292D08D2">
      <w:pPr>
        <w:spacing w:line="360" w:lineRule="auto"/>
        <w:ind w:firstLine="640"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6.业务运行费：为保障行政单位（包含参照公务员法管理的事业单位）运行用于购买货物和服务的各项资金。包括办公及办公费、水费、电费、印刷费、邮电费、差旅费、会议费等费用开支。</w:t>
      </w:r>
    </w:p>
    <w:p w14:paraId="66944C57">
      <w:pPr>
        <w:spacing w:line="600" w:lineRule="exact"/>
        <w:ind w:firstLine="640" w:firstLineChars="200"/>
        <w:rPr>
          <w:rFonts w:cs="Arial" w:asciiTheme="minorEastAsia" w:hAnsiTheme="minorEastAsia" w:eastAsiaTheme="minorEastAsia"/>
          <w:color w:val="000000" w:themeColor="text1"/>
          <w14:textFill>
            <w14:solidFill>
              <w14:schemeClr w14:val="tx1"/>
            </w14:solidFill>
          </w14:textFill>
        </w:rPr>
      </w:pPr>
    </w:p>
    <w:p w14:paraId="24DCB13D">
      <w:pPr>
        <w:spacing w:line="600" w:lineRule="exact"/>
        <w:ind w:firstLine="640" w:firstLineChars="200"/>
        <w:rPr>
          <w:rFonts w:cs="Arial" w:asciiTheme="minorEastAsia" w:hAnsiTheme="minorEastAsia" w:eastAsiaTheme="minorEastAsia"/>
          <w:color w:val="000000" w:themeColor="text1"/>
          <w14:textFill>
            <w14:solidFill>
              <w14:schemeClr w14:val="tx1"/>
            </w14:solidFill>
          </w14:textFill>
        </w:rPr>
      </w:pPr>
    </w:p>
    <w:p w14:paraId="6E867B9D">
      <w:pPr>
        <w:spacing w:line="600" w:lineRule="exact"/>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附件：表1.部门收支总表</w:t>
      </w:r>
    </w:p>
    <w:p w14:paraId="6D336BD2">
      <w:pPr>
        <w:spacing w:line="600" w:lineRule="exact"/>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 xml:space="preserve">      表1-1.部门收入总表</w:t>
      </w:r>
    </w:p>
    <w:p w14:paraId="02A4E1D2">
      <w:pPr>
        <w:spacing w:line="600" w:lineRule="exact"/>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 xml:space="preserve">      表1-2.部门支出总表</w:t>
      </w:r>
    </w:p>
    <w:p w14:paraId="145ED5E0">
      <w:pPr>
        <w:spacing w:line="600" w:lineRule="exact"/>
        <w:ind w:firstLine="960" w:firstLineChars="3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表2.财政拨款收支预算总表</w:t>
      </w:r>
    </w:p>
    <w:p w14:paraId="15AA19BD">
      <w:pPr>
        <w:spacing w:line="600" w:lineRule="exact"/>
        <w:ind w:firstLine="960" w:firstLineChars="3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表2-1.财政拨款支出预算表</w:t>
      </w:r>
    </w:p>
    <w:p w14:paraId="3E84D80E">
      <w:pPr>
        <w:spacing w:line="600" w:lineRule="exact"/>
        <w:ind w:firstLine="960" w:firstLineChars="3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表3.一般公共预算支出预算表</w:t>
      </w:r>
    </w:p>
    <w:p w14:paraId="2BBCA57D">
      <w:pPr>
        <w:spacing w:line="600" w:lineRule="exact"/>
        <w:ind w:firstLine="960" w:firstLineChars="3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表3-1.一般公共预算基本支出预算表</w:t>
      </w:r>
    </w:p>
    <w:p w14:paraId="7329C552">
      <w:pPr>
        <w:spacing w:line="600" w:lineRule="exact"/>
        <w:ind w:firstLine="960" w:firstLineChars="3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表3-2.一般公共预算项目支出预算表</w:t>
      </w:r>
    </w:p>
    <w:p w14:paraId="3F744919">
      <w:pPr>
        <w:spacing w:line="600" w:lineRule="exact"/>
        <w:ind w:firstLine="960" w:firstLineChars="3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表3-3.一般公共预算“三公”经费支出预算表</w:t>
      </w:r>
    </w:p>
    <w:p w14:paraId="01FA3760">
      <w:pPr>
        <w:spacing w:line="600" w:lineRule="exact"/>
        <w:ind w:firstLine="960" w:firstLineChars="3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表4.政府性基金支出预算表</w:t>
      </w:r>
    </w:p>
    <w:p w14:paraId="22D4799B">
      <w:pPr>
        <w:spacing w:line="600" w:lineRule="exact"/>
        <w:ind w:firstLine="960" w:firstLineChars="3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表4-1.政府性基金预算“三公”经费支出预算表</w:t>
      </w:r>
    </w:p>
    <w:p w14:paraId="3B52D867">
      <w:pPr>
        <w:spacing w:line="600" w:lineRule="exact"/>
        <w:ind w:firstLine="960" w:firstLineChars="3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表5.国有资本经营预算支出预算表</w:t>
      </w:r>
    </w:p>
    <w:p w14:paraId="393483CE">
      <w:pPr>
        <w:spacing w:line="600" w:lineRule="exact"/>
        <w:ind w:firstLine="960" w:firstLineChars="3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表6.（部门）单位预算项目绩效目标表</w:t>
      </w:r>
    </w:p>
    <w:sectPr>
      <w:footerReference r:id="rId3" w:type="default"/>
      <w:footerReference r:id="rId4" w:type="even"/>
      <w:pgSz w:w="11906" w:h="16838"/>
      <w:pgMar w:top="1247" w:right="1542" w:bottom="1247" w:left="2098" w:header="851" w:footer="992" w:gutter="0"/>
      <w:pgNumType w:fmt="numberInDash" w:start="1"/>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1103C5">
    <w:pPr>
      <w:pStyle w:val="4"/>
      <w:framePr w:wrap="around" w:vAnchor="text" w:hAnchor="margin" w:xAlign="center" w:y="1"/>
      <w:rPr>
        <w:rStyle w:val="9"/>
        <w:rFonts w:ascii="宋体" w:hAnsi="宋体"/>
        <w:sz w:val="30"/>
        <w:szCs w:val="30"/>
      </w:rPr>
    </w:pPr>
    <w:r>
      <w:rPr>
        <w:rFonts w:ascii="宋体" w:hAnsi="宋体"/>
        <w:sz w:val="30"/>
        <w:szCs w:val="30"/>
      </w:rPr>
      <w:fldChar w:fldCharType="begin"/>
    </w:r>
    <w:r>
      <w:rPr>
        <w:rStyle w:val="9"/>
        <w:rFonts w:ascii="宋体" w:hAnsi="宋体"/>
        <w:sz w:val="30"/>
        <w:szCs w:val="30"/>
      </w:rPr>
      <w:instrText xml:space="preserve">PAGE  </w:instrText>
    </w:r>
    <w:r>
      <w:rPr>
        <w:rFonts w:ascii="宋体" w:hAnsi="宋体"/>
        <w:sz w:val="30"/>
        <w:szCs w:val="30"/>
      </w:rPr>
      <w:fldChar w:fldCharType="separate"/>
    </w:r>
    <w:r>
      <w:rPr>
        <w:rStyle w:val="9"/>
        <w:rFonts w:ascii="宋体" w:hAnsi="宋体"/>
        <w:sz w:val="30"/>
        <w:szCs w:val="30"/>
      </w:rPr>
      <w:t>- 10 -</w:t>
    </w:r>
    <w:r>
      <w:rPr>
        <w:rFonts w:ascii="宋体" w:hAnsi="宋体"/>
        <w:sz w:val="30"/>
        <w:szCs w:val="30"/>
      </w:rPr>
      <w:fldChar w:fldCharType="end"/>
    </w:r>
  </w:p>
  <w:p w14:paraId="27023258">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F96F08">
    <w:pPr>
      <w:pStyle w:val="4"/>
      <w:framePr w:wrap="around" w:vAnchor="text" w:hAnchor="margin" w:xAlign="center" w:y="1"/>
      <w:rPr>
        <w:rStyle w:val="9"/>
      </w:rPr>
    </w:pPr>
    <w:r>
      <w:fldChar w:fldCharType="begin"/>
    </w:r>
    <w:r>
      <w:rPr>
        <w:rStyle w:val="9"/>
      </w:rPr>
      <w:instrText xml:space="preserve">PAGE  </w:instrText>
    </w:r>
    <w:r>
      <w:fldChar w:fldCharType="end"/>
    </w:r>
  </w:p>
  <w:p w14:paraId="7270103D">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60"/>
  <w:drawingGridVerticalSpacing w:val="435"/>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D42F4"/>
    <w:rsid w:val="000F4809"/>
    <w:rsid w:val="00172A27"/>
    <w:rsid w:val="00227D2A"/>
    <w:rsid w:val="002979AA"/>
    <w:rsid w:val="00301D6E"/>
    <w:rsid w:val="003438F6"/>
    <w:rsid w:val="003A1384"/>
    <w:rsid w:val="00487FC8"/>
    <w:rsid w:val="00493508"/>
    <w:rsid w:val="00497D81"/>
    <w:rsid w:val="004D0C48"/>
    <w:rsid w:val="005C2038"/>
    <w:rsid w:val="00835B7B"/>
    <w:rsid w:val="00906C2C"/>
    <w:rsid w:val="00986CFD"/>
    <w:rsid w:val="009A1986"/>
    <w:rsid w:val="009C49E6"/>
    <w:rsid w:val="00A052CC"/>
    <w:rsid w:val="00A82F20"/>
    <w:rsid w:val="00A973AA"/>
    <w:rsid w:val="00AF35AD"/>
    <w:rsid w:val="00B91DB2"/>
    <w:rsid w:val="00B970FA"/>
    <w:rsid w:val="00C70001"/>
    <w:rsid w:val="00DB744D"/>
    <w:rsid w:val="00DF2D06"/>
    <w:rsid w:val="00E765C8"/>
    <w:rsid w:val="00F10D3B"/>
    <w:rsid w:val="00FB644B"/>
    <w:rsid w:val="095E70D1"/>
    <w:rsid w:val="2A7A4CF5"/>
    <w:rsid w:val="357F58F8"/>
    <w:rsid w:val="3AC04E69"/>
    <w:rsid w:val="4B270992"/>
    <w:rsid w:val="73A008DD"/>
    <w:rsid w:val="7E6243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before="93" w:beforeLines="30"/>
    </w:pPr>
    <w:rPr>
      <w:rFonts w:ascii="仿宋_GB2312"/>
      <w:sz w:val="30"/>
    </w:rPr>
  </w:style>
  <w:style w:type="paragraph" w:styleId="3">
    <w:name w:val="Balloon Text"/>
    <w:basedOn w:val="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page number"/>
    <w:basedOn w:val="8"/>
    <w:qFormat/>
    <w:uiPriority w:val="0"/>
  </w:style>
  <w:style w:type="paragraph" w:customStyle="1" w:styleId="10">
    <w:name w:val="Char Char Char Char Char Char Char Char Char Char Char Char"/>
    <w:basedOn w:val="1"/>
    <w:qFormat/>
    <w:uiPriority w:val="0"/>
    <w:rPr>
      <w:szCs w:val="21"/>
    </w:rPr>
  </w:style>
  <w:style w:type="paragraph" w:customStyle="1" w:styleId="11">
    <w:name w:val="Char Char1 Char Char Char Char Char Char Char Char"/>
    <w:basedOn w:val="1"/>
    <w:next w:val="1"/>
    <w:qFormat/>
    <w:uiPriority w:val="0"/>
    <w:pPr>
      <w:spacing w:line="240" w:lineRule="atLeast"/>
      <w:ind w:left="420" w:firstLine="420"/>
      <w:jc w:val="left"/>
    </w:pPr>
    <w:rPr>
      <w:rFonts w:eastAsia="宋体"/>
      <w:kern w:val="0"/>
      <w:sz w:val="21"/>
      <w:szCs w:val="21"/>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5DBBB5-5356-40CB-9A57-D8228183D8FE}">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12</Pages>
  <Words>5007</Words>
  <Characters>5367</Characters>
  <Lines>38</Lines>
  <Paragraphs>10</Paragraphs>
  <TotalTime>175</TotalTime>
  <ScaleCrop>false</ScaleCrop>
  <LinksUpToDate>false</LinksUpToDate>
  <CharactersWithSpaces>5386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2020-02-08T05:52:00Z</dcterms:created>
  <dc:creator>赵树子</dc:creator>
  <cp:lastModifiedBy>-MaomaoLin</cp:lastModifiedBy>
  <cp:lastPrinted>2017-02-23T08:48:00Z</cp:lastPrinted>
  <dcterms:modified xsi:type="dcterms:W3CDTF">2024-12-18T10:53:31Z</dcterms:modified>
  <dc:title>四川省财政厅2011年部门预算编制说明</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0184E50F65BF41F5B64DE40EB0A28100_12</vt:lpwstr>
  </property>
</Properties>
</file>