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76" w:name="_GoBack"/>
      <w:bookmarkEnd w:id="76"/>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77193"/>
      <w:bookmarkStart w:id="2" w:name="_Toc15396597"/>
      <w:bookmarkStart w:id="3" w:name="_Toc15377425"/>
      <w:bookmarkStart w:id="4" w:name="_Toc15396475"/>
      <w:bookmarkStart w:id="5" w:name="_Toc15378441"/>
      <w:r>
        <w:rPr>
          <w:rFonts w:ascii="黑体" w:hAnsi="黑体" w:eastAsia="黑体"/>
          <w:color w:val="000000"/>
          <w:sz w:val="72"/>
          <w:szCs w:val="72"/>
        </w:rPr>
        <w:t>2018</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7426"/>
      <w:bookmarkStart w:id="7" w:name="_Toc15378442"/>
      <w:bookmarkStart w:id="8" w:name="_Toc15396476"/>
      <w:bookmarkStart w:id="9" w:name="_Toc15396598"/>
      <w:bookmarkStart w:id="10" w:name="_Toc15377194"/>
      <w:r>
        <w:rPr>
          <w:rFonts w:hint="eastAsia" w:ascii="方正小标宋简体" w:hAnsi="宋体" w:eastAsia="方正小标宋简体"/>
          <w:color w:val="000000"/>
          <w:sz w:val="72"/>
          <w:szCs w:val="72"/>
        </w:rPr>
        <w:t>四川省</w:t>
      </w:r>
      <w:bookmarkEnd w:id="0"/>
      <w:bookmarkStart w:id="11" w:name="_Toc15306268"/>
      <w:r>
        <w:rPr>
          <w:rFonts w:hint="eastAsia" w:ascii="方正小标宋简体" w:hAnsi="宋体" w:eastAsia="方正小标宋简体"/>
          <w:color w:val="000000"/>
          <w:sz w:val="72"/>
          <w:szCs w:val="72"/>
        </w:rPr>
        <w:t>攀枝花市发展和改革委员会决算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w:t>
      </w:r>
      <w:r>
        <w:t>2019</w:t>
      </w:r>
      <w:r>
        <w:rPr>
          <w:rFonts w:hint="eastAsia"/>
        </w:rPr>
        <w:t>年</w:t>
      </w:r>
      <w:r>
        <w:t>9</w:t>
      </w:r>
      <w:r>
        <w:rPr>
          <w:rFonts w:hint="eastAsia"/>
        </w:rPr>
        <w:t>月</w:t>
      </w:r>
      <w:r>
        <w:t>18</w:t>
      </w:r>
      <w:r>
        <w:rPr>
          <w:rFonts w:hint="eastAsia"/>
        </w:rPr>
        <w:t>日</w:t>
      </w:r>
    </w:p>
    <w:p/>
    <w:p>
      <w:pPr>
        <w:pStyle w:val="10"/>
      </w:pPr>
      <w:r>
        <w:fldChar w:fldCharType="begin"/>
      </w:r>
      <w:r>
        <w:instrText xml:space="preserve"> HYPERLINK \l "_Toc15396599" </w:instrText>
      </w:r>
      <w:r>
        <w:fldChar w:fldCharType="separate"/>
      </w:r>
      <w:r>
        <w:rPr>
          <w:rStyle w:val="16"/>
          <w:rFonts w:hint="eastAsia"/>
        </w:rPr>
        <w:t>第一部分部门概况</w:t>
      </w:r>
      <w:r>
        <w:tab/>
      </w:r>
      <w:r>
        <w:t>4</w:t>
      </w:r>
      <w:r>
        <w:fldChar w:fldCharType="end"/>
      </w:r>
    </w:p>
    <w:p>
      <w:pPr>
        <w:pStyle w:val="11"/>
        <w:rPr>
          <w:rFonts w:ascii="仿宋" w:hAnsi="仿宋" w:eastAsia="仿宋"/>
          <w:sz w:val="28"/>
          <w:szCs w:val="28"/>
        </w:rPr>
      </w:pPr>
      <w:r>
        <w:fldChar w:fldCharType="begin"/>
      </w:r>
      <w:r>
        <w:instrText xml:space="preserve"> HYPERLINK \l "_Toc15396600" </w:instrText>
      </w:r>
      <w:r>
        <w:fldChar w:fldCharType="separate"/>
      </w:r>
      <w:r>
        <w:rPr>
          <w:rStyle w:val="16"/>
          <w:rFonts w:hint="eastAsia" w:ascii="仿宋" w:hAnsi="仿宋" w:eastAsia="仿宋"/>
          <w:sz w:val="28"/>
          <w:szCs w:val="28"/>
        </w:rPr>
        <w:t>一、基本职能及主要工作</w:t>
      </w:r>
      <w:r>
        <w:rPr>
          <w:rFonts w:ascii="仿宋" w:hAnsi="仿宋" w:eastAsia="仿宋"/>
          <w:sz w:val="28"/>
          <w:szCs w:val="28"/>
        </w:rPr>
        <w:tab/>
      </w:r>
      <w:r>
        <w:rPr>
          <w:rFonts w:ascii="仿宋" w:hAnsi="仿宋" w:eastAsia="仿宋"/>
          <w:sz w:val="28"/>
          <w:szCs w:val="28"/>
        </w:rPr>
        <w:t>4</w:t>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"_Toc15396601" </w:instrText>
      </w:r>
      <w:r>
        <w:fldChar w:fldCharType="separate"/>
      </w:r>
      <w:r>
        <w:rPr>
          <w:rStyle w:val="16"/>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_Toc15396601 \h </w:instrText>
      </w:r>
      <w:r>
        <w:rPr>
          <w:rFonts w:ascii="仿宋" w:hAnsi="仿宋" w:eastAsia="仿宋"/>
          <w:sz w:val="28"/>
          <w:szCs w:val="28"/>
        </w:rPr>
        <w:fldChar w:fldCharType="separate"/>
      </w:r>
      <w:r>
        <w:rPr>
          <w:rFonts w:ascii="仿宋" w:hAnsi="仿宋" w:eastAsia="仿宋"/>
          <w:sz w:val="28"/>
          <w:szCs w:val="28"/>
        </w:rPr>
        <w:t>11</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6"/>
          <w:rFonts w:hint="eastAsia"/>
        </w:rPr>
        <w:t>第二部分</w:t>
      </w:r>
      <w:r>
        <w:rPr>
          <w:rStyle w:val="16"/>
        </w:rPr>
        <w:t xml:space="preserve"> 2018</w:t>
      </w:r>
      <w:r>
        <w:rPr>
          <w:rStyle w:val="16"/>
          <w:rFonts w:hint="eastAsia"/>
        </w:rPr>
        <w:t>年度部门决算情况说明</w:t>
      </w:r>
      <w:r>
        <w:tab/>
      </w:r>
      <w:r>
        <w:fldChar w:fldCharType="begin"/>
      </w:r>
      <w:r>
        <w:instrText xml:space="preserve"> PAGEREF _Toc15396602 \h </w:instrText>
      </w:r>
      <w:r>
        <w:fldChar w:fldCharType="separate"/>
      </w:r>
      <w:r>
        <w:t>13</w:t>
      </w:r>
      <w:r>
        <w:fldChar w:fldCharType="end"/>
      </w:r>
      <w:r>
        <w:fldChar w:fldCharType="end"/>
      </w:r>
    </w:p>
    <w:p>
      <w:pPr>
        <w:pStyle w:val="11"/>
        <w:rPr>
          <w:rFonts w:ascii="仿宋" w:hAnsi="仿宋" w:eastAsia="仿宋"/>
          <w:sz w:val="28"/>
          <w:szCs w:val="28"/>
        </w:rPr>
      </w:pPr>
      <w:r>
        <w:fldChar w:fldCharType="begin"/>
      </w:r>
      <w:r>
        <w:instrText xml:space="preserve"> HYPERLINK \l "_Toc15396603" </w:instrText>
      </w:r>
      <w:r>
        <w:fldChar w:fldCharType="separate"/>
      </w:r>
      <w:r>
        <w:rPr>
          <w:rStyle w:val="16"/>
          <w:rFonts w:hint="eastAsia" w:ascii="仿宋" w:hAnsi="仿宋" w:eastAsia="仿宋"/>
          <w:bCs/>
          <w:sz w:val="28"/>
          <w:szCs w:val="28"/>
        </w:rPr>
        <w:t>一、</w:t>
      </w:r>
      <w:r>
        <w:rPr>
          <w:rStyle w:val="16"/>
          <w:rFonts w:hint="eastAsia" w:ascii="仿宋" w:hAnsi="仿宋" w:eastAsia="仿宋"/>
          <w:sz w:val="28"/>
          <w:szCs w:val="28"/>
        </w:rPr>
        <w:t>收</w:t>
      </w:r>
      <w:r>
        <w:rPr>
          <w:rStyle w:val="16"/>
          <w:rFonts w:hint="eastAsia" w:ascii="仿宋" w:hAnsi="仿宋" w:eastAsia="仿宋"/>
          <w:bCs/>
          <w:sz w:val="28"/>
          <w:szCs w:val="28"/>
        </w:rPr>
        <w:t>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_Toc15396603 \h </w:instrText>
      </w:r>
      <w:r>
        <w:rPr>
          <w:rFonts w:ascii="仿宋" w:hAnsi="仿宋" w:eastAsia="仿宋"/>
          <w:sz w:val="28"/>
          <w:szCs w:val="28"/>
        </w:rPr>
        <w:fldChar w:fldCharType="separate"/>
      </w:r>
      <w:r>
        <w:rPr>
          <w:rFonts w:ascii="仿宋" w:hAnsi="仿宋" w:eastAsia="仿宋"/>
          <w:sz w:val="28"/>
          <w:szCs w:val="28"/>
        </w:rPr>
        <w:t>13</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"_Toc15396604" </w:instrText>
      </w:r>
      <w:r>
        <w:fldChar w:fldCharType="separate"/>
      </w:r>
      <w:r>
        <w:rPr>
          <w:rStyle w:val="16"/>
          <w:rFonts w:hint="eastAsia" w:ascii="仿宋" w:hAnsi="仿宋" w:eastAsia="仿宋"/>
          <w:bCs/>
          <w:sz w:val="28"/>
          <w:szCs w:val="28"/>
        </w:rPr>
        <w:t>二、</w:t>
      </w:r>
      <w:r>
        <w:rPr>
          <w:rStyle w:val="16"/>
          <w:rFonts w:hint="eastAsia" w:ascii="仿宋" w:hAnsi="仿宋" w:eastAsia="仿宋"/>
          <w:sz w:val="28"/>
          <w:szCs w:val="28"/>
        </w:rPr>
        <w:t>收</w:t>
      </w:r>
      <w:r>
        <w:rPr>
          <w:rStyle w:val="16"/>
          <w:rFonts w:hint="eastAsia" w:ascii="仿宋" w:hAnsi="仿宋" w:eastAsia="仿宋"/>
          <w:bCs/>
          <w:sz w:val="28"/>
          <w:szCs w:val="28"/>
        </w:rPr>
        <w:t>入决算情况说明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_Toc15396604 \h </w:instrText>
      </w:r>
      <w:r>
        <w:rPr>
          <w:rFonts w:ascii="仿宋" w:hAnsi="仿宋" w:eastAsia="仿宋"/>
          <w:sz w:val="28"/>
          <w:szCs w:val="28"/>
        </w:rPr>
        <w:fldChar w:fldCharType="separate"/>
      </w:r>
      <w:r>
        <w:rPr>
          <w:rFonts w:ascii="仿宋" w:hAnsi="仿宋" w:eastAsia="仿宋"/>
          <w:sz w:val="28"/>
          <w:szCs w:val="28"/>
        </w:rPr>
        <w:t>14</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"_Toc15396605" </w:instrText>
      </w:r>
      <w:r>
        <w:fldChar w:fldCharType="separate"/>
      </w:r>
      <w:r>
        <w:rPr>
          <w:rStyle w:val="16"/>
          <w:rFonts w:hint="eastAsia" w:ascii="仿宋" w:hAnsi="仿宋" w:eastAsia="仿宋"/>
          <w:bCs/>
          <w:sz w:val="28"/>
          <w:szCs w:val="28"/>
        </w:rPr>
        <w:t>三、</w:t>
      </w:r>
      <w:r>
        <w:rPr>
          <w:rStyle w:val="16"/>
          <w:rFonts w:hint="eastAsia" w:ascii="仿宋" w:hAnsi="仿宋" w:eastAsia="仿宋"/>
          <w:sz w:val="28"/>
          <w:szCs w:val="28"/>
        </w:rPr>
        <w:t>支</w:t>
      </w:r>
      <w:r>
        <w:rPr>
          <w:rStyle w:val="16"/>
          <w:rFonts w:hint="eastAsia" w:ascii="仿宋" w:hAnsi="仿宋" w:eastAsia="仿宋"/>
          <w:bCs/>
          <w:sz w:val="28"/>
          <w:szCs w:val="28"/>
        </w:rPr>
        <w:t>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_Toc15396605 \h </w:instrText>
      </w:r>
      <w:r>
        <w:rPr>
          <w:rFonts w:ascii="仿宋" w:hAnsi="仿宋" w:eastAsia="仿宋"/>
          <w:sz w:val="28"/>
          <w:szCs w:val="28"/>
        </w:rPr>
        <w:fldChar w:fldCharType="separate"/>
      </w:r>
      <w:r>
        <w:rPr>
          <w:rFonts w:ascii="仿宋" w:hAnsi="仿宋" w:eastAsia="仿宋"/>
          <w:sz w:val="28"/>
          <w:szCs w:val="28"/>
        </w:rPr>
        <w:t>15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"_Toc15396606" </w:instrText>
      </w:r>
      <w:r>
        <w:fldChar w:fldCharType="separate"/>
      </w:r>
      <w:r>
        <w:rPr>
          <w:rStyle w:val="16"/>
          <w:rFonts w:hint="eastAsia" w:ascii="仿宋" w:hAnsi="仿宋" w:eastAsia="仿宋"/>
          <w:sz w:val="28"/>
          <w:szCs w:val="28"/>
        </w:rPr>
        <w:t>四、财</w:t>
      </w:r>
      <w:r>
        <w:rPr>
          <w:rStyle w:val="16"/>
          <w:rFonts w:hint="eastAsia" w:ascii="仿宋" w:hAnsi="仿宋" w:eastAsia="仿宋"/>
          <w:bCs/>
          <w:sz w:val="28"/>
          <w:szCs w:val="28"/>
        </w:rPr>
        <w:t>政拨款收入支出决算总体情况说明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_Toc15396606 \h </w:instrText>
      </w:r>
      <w:r>
        <w:rPr>
          <w:rFonts w:ascii="仿宋" w:hAnsi="仿宋" w:eastAsia="仿宋"/>
          <w:sz w:val="28"/>
          <w:szCs w:val="28"/>
        </w:rPr>
        <w:fldChar w:fldCharType="separate"/>
      </w:r>
      <w:r>
        <w:rPr>
          <w:rFonts w:ascii="仿宋" w:hAnsi="仿宋" w:eastAsia="仿宋"/>
          <w:sz w:val="28"/>
          <w:szCs w:val="28"/>
        </w:rPr>
        <w:t>16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"_Toc15396607" </w:instrText>
      </w:r>
      <w:r>
        <w:fldChar w:fldCharType="separate"/>
      </w:r>
      <w:r>
        <w:rPr>
          <w:rStyle w:val="16"/>
          <w:rFonts w:hint="eastAsia" w:ascii="仿宋" w:hAnsi="仿宋" w:eastAsia="仿宋"/>
          <w:sz w:val="28"/>
          <w:szCs w:val="28"/>
        </w:rPr>
        <w:t>五、一</w:t>
      </w:r>
      <w:r>
        <w:rPr>
          <w:rStyle w:val="16"/>
          <w:rFonts w:hint="eastAsia" w:ascii="仿宋" w:hAnsi="仿宋" w:eastAsia="仿宋"/>
          <w:bCs/>
          <w:sz w:val="28"/>
          <w:szCs w:val="28"/>
        </w:rPr>
        <w:t>般公共预算财政拨款支出决算情况说明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_Toc15396607 \h </w:instrText>
      </w:r>
      <w:r>
        <w:rPr>
          <w:rFonts w:ascii="仿宋" w:hAnsi="仿宋" w:eastAsia="仿宋"/>
          <w:sz w:val="28"/>
          <w:szCs w:val="28"/>
        </w:rPr>
        <w:fldChar w:fldCharType="separate"/>
      </w:r>
      <w:r>
        <w:rPr>
          <w:rFonts w:ascii="仿宋" w:hAnsi="仿宋" w:eastAsia="仿宋"/>
          <w:sz w:val="28"/>
          <w:szCs w:val="28"/>
        </w:rPr>
        <w:t>16</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"_Toc15396608" </w:instrText>
      </w:r>
      <w:r>
        <w:fldChar w:fldCharType="separate"/>
      </w:r>
      <w:r>
        <w:rPr>
          <w:rStyle w:val="16"/>
          <w:rFonts w:hint="eastAsia" w:ascii="仿宋" w:hAnsi="仿宋" w:eastAsia="仿宋"/>
          <w:sz w:val="28"/>
          <w:szCs w:val="28"/>
        </w:rPr>
        <w:t>六、一</w:t>
      </w:r>
      <w:r>
        <w:rPr>
          <w:rStyle w:val="16"/>
          <w:rFonts w:hint="eastAsia" w:ascii="仿宋" w:hAnsi="仿宋" w:eastAsia="仿宋"/>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_Toc15396608 \h </w:instrText>
      </w:r>
      <w:r>
        <w:rPr>
          <w:rFonts w:ascii="仿宋" w:hAnsi="仿宋" w:eastAsia="仿宋"/>
          <w:sz w:val="28"/>
          <w:szCs w:val="28"/>
        </w:rPr>
        <w:fldChar w:fldCharType="separate"/>
      </w:r>
      <w:r>
        <w:rPr>
          <w:rFonts w:ascii="仿宋" w:hAnsi="仿宋" w:eastAsia="仿宋"/>
          <w:sz w:val="28"/>
          <w:szCs w:val="28"/>
        </w:rPr>
        <w:t>20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"_Toc15396609" </w:instrText>
      </w:r>
      <w:r>
        <w:fldChar w:fldCharType="separate"/>
      </w:r>
      <w:r>
        <w:rPr>
          <w:rStyle w:val="16"/>
          <w:rFonts w:hint="eastAsia" w:ascii="仿宋" w:hAnsi="仿宋" w:eastAsia="仿宋"/>
          <w:sz w:val="28"/>
          <w:szCs w:val="28"/>
        </w:rPr>
        <w:t>七、“</w:t>
      </w:r>
      <w:r>
        <w:rPr>
          <w:rStyle w:val="16"/>
          <w:rFonts w:hint="eastAsia" w:ascii="仿宋" w:hAnsi="仿宋" w:eastAsia="仿宋"/>
          <w:bCs/>
          <w:sz w:val="28"/>
          <w:szCs w:val="28"/>
        </w:rPr>
        <w:t>三公”经费财政拨款支出决算情况说明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_Toc15396609 \h </w:instrText>
      </w:r>
      <w:r>
        <w:rPr>
          <w:rFonts w:ascii="仿宋" w:hAnsi="仿宋" w:eastAsia="仿宋"/>
          <w:sz w:val="28"/>
          <w:szCs w:val="28"/>
        </w:rPr>
        <w:fldChar w:fldCharType="separate"/>
      </w:r>
      <w:r>
        <w:rPr>
          <w:rFonts w:ascii="仿宋" w:hAnsi="仿宋" w:eastAsia="仿宋"/>
          <w:sz w:val="28"/>
          <w:szCs w:val="28"/>
        </w:rPr>
        <w:t>20</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"_Toc15396610" </w:instrText>
      </w:r>
      <w:r>
        <w:fldChar w:fldCharType="separate"/>
      </w:r>
      <w:r>
        <w:rPr>
          <w:rStyle w:val="16"/>
          <w:rFonts w:hint="eastAsia" w:ascii="仿宋" w:hAnsi="仿宋" w:eastAsia="仿宋"/>
          <w:sz w:val="28"/>
          <w:szCs w:val="28"/>
        </w:rPr>
        <w:t>八、</w:t>
      </w:r>
      <w:r>
        <w:rPr>
          <w:rStyle w:val="16"/>
          <w:rFonts w:hint="eastAsia" w:ascii="仿宋" w:hAnsi="仿宋" w:eastAsia="仿宋"/>
          <w:bCs/>
          <w:sz w:val="28"/>
          <w:szCs w:val="28"/>
        </w:rPr>
        <w:t>政府性基金预算支出决算情况说明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_Toc15396610 \h </w:instrText>
      </w:r>
      <w:r>
        <w:rPr>
          <w:rFonts w:ascii="仿宋" w:hAnsi="仿宋" w:eastAsia="仿宋"/>
          <w:sz w:val="28"/>
          <w:szCs w:val="28"/>
        </w:rPr>
        <w:fldChar w:fldCharType="separate"/>
      </w:r>
      <w:r>
        <w:rPr>
          <w:rFonts w:ascii="仿宋" w:hAnsi="仿宋" w:eastAsia="仿宋"/>
          <w:sz w:val="28"/>
          <w:szCs w:val="28"/>
        </w:rPr>
        <w:t>24</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"_Toc15396611" </w:instrText>
      </w:r>
      <w:r>
        <w:fldChar w:fldCharType="separate"/>
      </w:r>
      <w:r>
        <w:rPr>
          <w:rStyle w:val="16"/>
          <w:rFonts w:hint="eastAsia" w:ascii="仿宋" w:hAnsi="仿宋" w:eastAsia="仿宋"/>
          <w:bCs/>
          <w:sz w:val="28"/>
          <w:szCs w:val="28"/>
        </w:rPr>
        <w:t>九、</w:t>
      </w:r>
      <w:r>
        <w:rPr>
          <w:rStyle w:val="16"/>
          <w:rFonts w:ascii="仿宋" w:hAnsi="仿宋" w:eastAsia="仿宋"/>
          <w:sz w:val="28"/>
          <w:szCs w:val="28"/>
        </w:rPr>
        <w:t xml:space="preserve"> </w:t>
      </w:r>
      <w:r>
        <w:rPr>
          <w:rStyle w:val="16"/>
          <w:rFonts w:hint="eastAsia" w:ascii="仿宋" w:hAnsi="仿宋" w:eastAsia="仿宋"/>
          <w:sz w:val="28"/>
          <w:szCs w:val="28"/>
        </w:rPr>
        <w:t>国</w:t>
      </w:r>
      <w:r>
        <w:rPr>
          <w:rStyle w:val="16"/>
          <w:rFonts w:hint="eastAsia" w:ascii="仿宋" w:hAnsi="仿宋" w:eastAsia="仿宋"/>
          <w:bCs/>
          <w:sz w:val="28"/>
          <w:szCs w:val="28"/>
        </w:rPr>
        <w:t>有资本经营预算支出决算情况说明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_Toc15396611 \h </w:instrText>
      </w:r>
      <w:r>
        <w:rPr>
          <w:rFonts w:ascii="仿宋" w:hAnsi="仿宋" w:eastAsia="仿宋"/>
          <w:sz w:val="28"/>
          <w:szCs w:val="28"/>
        </w:rPr>
        <w:fldChar w:fldCharType="separate"/>
      </w:r>
      <w:r>
        <w:rPr>
          <w:rFonts w:ascii="仿宋" w:hAnsi="仿宋" w:eastAsia="仿宋"/>
          <w:sz w:val="28"/>
          <w:szCs w:val="28"/>
        </w:rPr>
        <w:t>25</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"_Toc15396612" </w:instrText>
      </w:r>
      <w:r>
        <w:fldChar w:fldCharType="separate"/>
      </w:r>
      <w:r>
        <w:rPr>
          <w:rStyle w:val="16"/>
          <w:rFonts w:hint="eastAsia" w:ascii="仿宋" w:hAnsi="仿宋" w:eastAsia="仿宋"/>
          <w:sz w:val="28"/>
          <w:szCs w:val="28"/>
        </w:rPr>
        <w:t>十</w:t>
      </w:r>
      <w:r>
        <w:rPr>
          <w:rStyle w:val="16"/>
          <w:rFonts w:hint="eastAsia" w:ascii="仿宋" w:hAnsi="仿宋" w:eastAsia="仿宋"/>
          <w:bCs/>
          <w:sz w:val="28"/>
          <w:szCs w:val="28"/>
        </w:rPr>
        <w:t>一、其他重要事项的情况说明</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_Toc15396612 \h </w:instrText>
      </w:r>
      <w:r>
        <w:rPr>
          <w:rFonts w:ascii="仿宋" w:hAnsi="仿宋" w:eastAsia="仿宋"/>
          <w:sz w:val="28"/>
          <w:szCs w:val="28"/>
        </w:rPr>
        <w:fldChar w:fldCharType="separate"/>
      </w:r>
      <w:r>
        <w:rPr>
          <w:rFonts w:ascii="仿宋" w:hAnsi="仿宋" w:eastAsia="仿宋"/>
          <w:sz w:val="28"/>
          <w:szCs w:val="28"/>
        </w:rPr>
        <w:t>29</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"_Toc15396613" </w:instrText>
      </w:r>
      <w:r>
        <w:fldChar w:fldCharType="separate"/>
      </w:r>
      <w:r>
        <w:rPr>
          <w:rStyle w:val="16"/>
          <w:rFonts w:hint="eastAsia"/>
          <w:bCs/>
          <w:kern w:val="44"/>
        </w:rPr>
        <w:t>第三部分</w:t>
      </w:r>
      <w:r>
        <w:rPr>
          <w:rStyle w:val="16"/>
        </w:rPr>
        <w:t xml:space="preserve"> </w:t>
      </w:r>
      <w:r>
        <w:rPr>
          <w:rStyle w:val="16"/>
          <w:rFonts w:hint="eastAsia"/>
        </w:rPr>
        <w:t>名</w:t>
      </w:r>
      <w:r>
        <w:rPr>
          <w:rStyle w:val="16"/>
          <w:rFonts w:hint="eastAsia"/>
          <w:bCs/>
          <w:kern w:val="44"/>
        </w:rPr>
        <w:t>词解释</w:t>
      </w:r>
      <w:r>
        <w:tab/>
      </w:r>
      <w:r>
        <w:fldChar w:fldCharType="begin"/>
      </w:r>
      <w:r>
        <w:instrText xml:space="preserve"> PAGEREF _Toc15396613 \h </w:instrText>
      </w:r>
      <w:r>
        <w:fldChar w:fldCharType="separate"/>
      </w:r>
      <w:r>
        <w:t>31</w:t>
      </w:r>
      <w:r>
        <w:fldChar w:fldCharType="end"/>
      </w:r>
      <w:r>
        <w:fldChar w:fldCharType="end"/>
      </w:r>
    </w:p>
    <w:p>
      <w:pPr>
        <w:pStyle w:val="10"/>
      </w:pPr>
      <w:r>
        <w:fldChar w:fldCharType="begin"/>
      </w:r>
      <w:r>
        <w:instrText xml:space="preserve"> HYPERLINK \l "_Toc15396614" </w:instrText>
      </w:r>
      <w:r>
        <w:fldChar w:fldCharType="separate"/>
      </w:r>
      <w:r>
        <w:rPr>
          <w:rStyle w:val="16"/>
          <w:rFonts w:hint="eastAsia"/>
        </w:rPr>
        <w:t>第</w:t>
      </w:r>
      <w:r>
        <w:rPr>
          <w:rStyle w:val="16"/>
          <w:rFonts w:hint="eastAsia"/>
          <w:bCs/>
          <w:kern w:val="44"/>
        </w:rPr>
        <w:t>四部分附件</w:t>
      </w:r>
      <w:r>
        <w:tab/>
      </w:r>
      <w:r>
        <w:fldChar w:fldCharType="begin"/>
      </w:r>
      <w:r>
        <w:instrText xml:space="preserve"> PAGEREF _Toc15396614 \h </w:instrText>
      </w:r>
      <w:r>
        <w:fldChar w:fldCharType="separate"/>
      </w:r>
      <w:r>
        <w:t>34</w:t>
      </w:r>
      <w:r>
        <w:fldChar w:fldCharType="end"/>
      </w:r>
      <w:r>
        <w:fldChar w:fldCharType="end"/>
      </w:r>
    </w:p>
    <w:p>
      <w:pPr>
        <w:pStyle w:val="11"/>
        <w:rPr>
          <w:rFonts w:ascii="仿宋" w:hAnsi="仿宋" w:eastAsia="仿宋"/>
          <w:sz w:val="28"/>
          <w:szCs w:val="28"/>
        </w:rPr>
      </w:pPr>
      <w:r>
        <w:fldChar w:fldCharType="begin"/>
      </w:r>
      <w:r>
        <w:instrText xml:space="preserve"> HYPERLINK \l "_Toc15396615"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_Toc15396615 \h </w:instrText>
      </w:r>
      <w:r>
        <w:rPr>
          <w:rFonts w:ascii="仿宋" w:hAnsi="仿宋" w:eastAsia="仿宋"/>
          <w:sz w:val="28"/>
          <w:szCs w:val="28"/>
        </w:rPr>
        <w:fldChar w:fldCharType="separate"/>
      </w:r>
      <w:r>
        <w:rPr>
          <w:rFonts w:ascii="仿宋" w:hAnsi="仿宋" w:eastAsia="仿宋"/>
          <w:sz w:val="28"/>
          <w:szCs w:val="28"/>
        </w:rPr>
        <w:t>34</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fldChar w:fldCharType="begin"/>
      </w:r>
      <w:r>
        <w:instrText xml:space="preserve"> HYPERLINK \l "_Toc15396617" </w:instrText>
      </w:r>
      <w:r>
        <w:fldChar w:fldCharType="separate"/>
      </w:r>
      <w:r>
        <w:rPr>
          <w:rStyle w:val="16"/>
          <w:rFonts w:hint="eastAsia" w:ascii="仿宋" w:hAnsi="仿宋" w:eastAsia="仿宋"/>
          <w:kern w:val="44"/>
          <w:sz w:val="28"/>
          <w:szCs w:val="28"/>
        </w:rPr>
        <w:t>附件</w:t>
      </w:r>
      <w:r>
        <w:rPr>
          <w:rStyle w:val="16"/>
          <w:rFonts w:ascii="仿宋" w:hAnsi="仿宋" w:eastAsia="仿宋"/>
          <w:kern w:val="44"/>
          <w:sz w:val="28"/>
          <w:szCs w:val="28"/>
        </w:rPr>
        <w:t>2</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_Toc15396617 \h </w:instrText>
      </w:r>
      <w:r>
        <w:rPr>
          <w:rFonts w:ascii="仿宋" w:hAnsi="仿宋" w:eastAsia="仿宋"/>
          <w:sz w:val="28"/>
          <w:szCs w:val="28"/>
        </w:rPr>
        <w:fldChar w:fldCharType="separate"/>
      </w:r>
      <w:r>
        <w:rPr>
          <w:rFonts w:ascii="仿宋" w:hAnsi="仿宋" w:eastAsia="仿宋"/>
          <w:sz w:val="28"/>
          <w:szCs w:val="28"/>
        </w:rPr>
        <w:t>36</w:t>
      </w:r>
      <w:r>
        <w:rPr>
          <w:rFonts w:ascii="仿宋" w:hAnsi="仿宋" w:eastAsia="仿宋"/>
          <w:sz w:val="28"/>
          <w:szCs w:val="28"/>
        </w:rPr>
        <w:fldChar w:fldCharType="end"/>
      </w:r>
      <w:r>
        <w:rPr>
          <w:rFonts w:ascii="仿宋" w:hAnsi="仿宋" w:eastAsia="仿宋"/>
          <w:sz w:val="28"/>
          <w:szCs w:val="28"/>
        </w:rPr>
        <w:fldChar w:fldCharType="end"/>
      </w:r>
    </w:p>
    <w:p>
      <w:pPr>
        <w:pStyle w:val="10"/>
      </w:pPr>
      <w:r>
        <w:fldChar w:fldCharType="begin"/>
      </w:r>
      <w:r>
        <w:instrText xml:space="preserve"> HYPERLINK \l "_Toc15396618" </w:instrText>
      </w:r>
      <w:r>
        <w:fldChar w:fldCharType="separate"/>
      </w:r>
      <w:r>
        <w:rPr>
          <w:rStyle w:val="16"/>
          <w:rFonts w:hint="eastAsia"/>
        </w:rPr>
        <w:t>第</w:t>
      </w:r>
      <w:r>
        <w:rPr>
          <w:rStyle w:val="16"/>
          <w:rFonts w:hint="eastAsia"/>
          <w:bCs/>
          <w:kern w:val="44"/>
        </w:rPr>
        <w:t>五部分附表</w:t>
      </w:r>
      <w:r>
        <w:tab/>
      </w:r>
      <w:r>
        <w:fldChar w:fldCharType="begin"/>
      </w:r>
      <w:r>
        <w:instrText xml:space="preserve"> PAGEREF _Toc15396618 \h </w:instrText>
      </w:r>
      <w:r>
        <w:fldChar w:fldCharType="separate"/>
      </w:r>
      <w:r>
        <w:t>37</w:t>
      </w:r>
      <w:r>
        <w:fldChar w:fldCharType="end"/>
      </w:r>
      <w:r>
        <w:fldChar w:fldCharType="end"/>
      </w:r>
    </w:p>
    <w:p>
      <w:pPr>
        <w:pStyle w:val="11"/>
        <w:rPr>
          <w:rFonts w:ascii="仿宋" w:hAnsi="仿宋" w:eastAsia="仿宋"/>
          <w:sz w:val="28"/>
          <w:szCs w:val="28"/>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6"/>
          <w:rFonts w:hint="eastAsia" w:ascii="仿宋" w:hAnsi="仿宋" w:eastAsia="仿宋"/>
          <w:sz w:val="28"/>
          <w:szCs w:val="28"/>
        </w:rPr>
        <w:t>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_Toc15396619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6"/>
          <w:rFonts w:hint="eastAsia" w:ascii="仿宋" w:hAnsi="仿宋" w:eastAsia="仿宋"/>
          <w:sz w:val="28"/>
          <w:szCs w:val="28"/>
        </w:rPr>
        <w:t>收入总表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_Toc15396620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6"/>
          <w:rFonts w:hint="eastAsia" w:ascii="仿宋" w:hAnsi="仿宋" w:eastAsia="仿宋"/>
          <w:sz w:val="28"/>
          <w:szCs w:val="28"/>
        </w:rPr>
        <w:t>支出总表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_Toc15396621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6"/>
          <w:rFonts w:hint="eastAsia" w:ascii="仿宋" w:hAnsi="仿宋" w:eastAsia="仿宋"/>
          <w:sz w:val="28"/>
          <w:szCs w:val="28"/>
        </w:rPr>
        <w:t>财政拨款收入支出决算总表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_Toc15396622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_Toc15396623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6"/>
          <w:rFonts w:hint="eastAsia" w:ascii="仿宋" w:hAnsi="仿宋" w:eastAsia="仿宋"/>
          <w:sz w:val="28"/>
          <w:szCs w:val="28"/>
        </w:rPr>
        <w:t>一般公共预算财政拨款支出决算表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_Toc15396624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6"/>
          <w:rFonts w:hint="eastAsia" w:ascii="仿宋" w:hAnsi="仿宋" w:eastAsia="仿宋"/>
          <w:sz w:val="28"/>
          <w:szCs w:val="28"/>
        </w:rPr>
        <w:t>一般公共预算财政拨款支出决算明细表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_Toc15396625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6"/>
          <w:rFonts w:hint="eastAsia" w:ascii="仿宋" w:hAnsi="仿宋" w:eastAsia="仿宋"/>
          <w:sz w:val="28"/>
          <w:szCs w:val="28"/>
        </w:rPr>
        <w:t>一般公共预算财政拨款基本支出决算表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_Toc15396626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6"/>
          <w:rFonts w:hint="eastAsia" w:ascii="仿宋" w:hAnsi="仿宋" w:eastAsia="仿宋"/>
          <w:sz w:val="28"/>
          <w:szCs w:val="28"/>
        </w:rPr>
        <w:t>一般公共预算财政拨款项目支出决算表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_Toc15396627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6"/>
          <w:rFonts w:hint="eastAsia" w:ascii="仿宋" w:hAnsi="仿宋" w:eastAsia="仿宋"/>
          <w:sz w:val="28"/>
          <w:szCs w:val="28"/>
        </w:rPr>
        <w:t>一般公共预算财政拨款“三公”经费支出决算表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_Toc15396628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6"/>
          <w:rFonts w:hint="eastAsia" w:ascii="仿宋" w:hAnsi="仿宋" w:eastAsia="仿宋"/>
          <w:sz w:val="28"/>
          <w:szCs w:val="28"/>
        </w:rPr>
        <w:t>政府性基金预算财政拨款收入支出决算表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_Toc15396629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8"/>
          <w:szCs w:val="28"/>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6"/>
          <w:rFonts w:hint="eastAsia" w:ascii="仿宋" w:hAnsi="仿宋" w:eastAsia="仿宋"/>
          <w:sz w:val="28"/>
          <w:szCs w:val="28"/>
        </w:rPr>
        <w:t>政府性基金预算财政拨款“三公”经费支出决算表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_Toc15396630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pStyle w:val="11"/>
        <w:rPr>
          <w:rFonts w:ascii="仿宋" w:hAnsi="仿宋" w:eastAsia="仿宋"/>
          <w:sz w:val="24"/>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6"/>
          <w:rFonts w:hint="eastAsia" w:ascii="仿宋" w:hAnsi="仿宋" w:eastAsia="仿宋"/>
          <w:sz w:val="28"/>
          <w:szCs w:val="28"/>
        </w:rPr>
        <w:t>国有资本经营预算支出决算表</w:t>
      </w:r>
      <w:r>
        <w:rPr>
          <w:rFonts w:ascii="仿宋" w:hAnsi="仿宋" w:eastAsia="仿宋"/>
          <w:sz w:val="28"/>
          <w:szCs w:val="28"/>
        </w:rPr>
        <w:tab/>
      </w:r>
      <w:r>
        <w:rPr>
          <w:rFonts w:ascii="仿宋" w:hAnsi="仿宋" w:eastAsia="仿宋"/>
          <w:sz w:val="28"/>
          <w:szCs w:val="28"/>
        </w:rPr>
        <w:fldChar w:fldCharType="begin"/>
      </w:r>
      <w:r>
        <w:rPr>
          <w:rFonts w:ascii="仿宋" w:hAnsi="仿宋" w:eastAsia="仿宋"/>
          <w:sz w:val="28"/>
          <w:szCs w:val="28"/>
        </w:rPr>
        <w:instrText xml:space="preserve"> PAGEREF _Toc15396631 \h </w:instrText>
      </w:r>
      <w:r>
        <w:rPr>
          <w:rFonts w:ascii="仿宋" w:hAnsi="仿宋" w:eastAsia="仿宋"/>
          <w:sz w:val="28"/>
          <w:szCs w:val="28"/>
        </w:rPr>
        <w:fldChar w:fldCharType="separate"/>
      </w:r>
      <w:r>
        <w:rPr>
          <w:rFonts w:ascii="仿宋" w:hAnsi="仿宋" w:eastAsia="仿宋"/>
          <w:sz w:val="28"/>
          <w:szCs w:val="28"/>
        </w:rPr>
        <w:t>37</w:t>
      </w:r>
      <w:r>
        <w:rPr>
          <w:rFonts w:ascii="仿宋" w:hAnsi="仿宋" w:eastAsia="仿宋"/>
          <w:sz w:val="28"/>
          <w:szCs w:val="28"/>
        </w:rPr>
        <w:fldChar w:fldCharType="end"/>
      </w:r>
      <w:r>
        <w:rPr>
          <w:rFonts w:ascii="仿宋" w:hAnsi="仿宋" w:eastAsia="仿宋"/>
          <w:sz w:val="28"/>
          <w:szCs w:val="28"/>
        </w:rPr>
        <w:fldChar w:fldCharType="end"/>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jc w:val="left"/>
        <w:rPr>
          <w:rFonts w:ascii="黑体" w:hAnsi="黑体" w:eastAsia="黑体"/>
          <w:bCs/>
          <w:kern w:val="44"/>
          <w:sz w:val="44"/>
          <w:szCs w:val="44"/>
        </w:rPr>
      </w:pPr>
      <w:bookmarkStart w:id="12" w:name="_Toc15377196"/>
      <w:bookmarkStart w:id="13" w:name="_Toc15396599"/>
      <w:r>
        <w:rPr>
          <w:rFonts w:ascii="黑体" w:hAnsi="黑体" w:eastAsia="黑体"/>
          <w:b/>
        </w:rPr>
        <w:br w:type="page"/>
      </w:r>
    </w:p>
    <w:p>
      <w:pPr>
        <w:pStyle w:val="2"/>
        <w:jc w:val="center"/>
        <w:rPr>
          <w:rStyle w:val="17"/>
          <w:rFonts w:ascii="黑体" w:hAnsi="黑体" w:eastAsia="黑体"/>
          <w:b/>
          <w:bCs w:val="0"/>
        </w:rPr>
      </w:pPr>
      <w:r>
        <w:rPr>
          <w:rFonts w:hint="eastAsia" w:ascii="黑体" w:hAnsi="黑体" w:eastAsia="黑体"/>
          <w:b w:val="0"/>
        </w:rPr>
        <w:t>第一部分</w:t>
      </w:r>
      <w:r>
        <w:rPr>
          <w:rFonts w:ascii="黑体" w:hAnsi="黑体" w:eastAsia="黑体"/>
          <w:b w:val="0"/>
        </w:rPr>
        <w:t xml:space="preserve"> </w:t>
      </w:r>
      <w:r>
        <w:rPr>
          <w:rStyle w:val="17"/>
          <w:rFonts w:hint="eastAsia" w:ascii="黑体" w:hAnsi="黑体" w:eastAsia="黑体"/>
          <w:b w:val="0"/>
          <w:bCs w:val="0"/>
        </w:rPr>
        <w:t>部门概况</w:t>
      </w:r>
      <w:bookmarkEnd w:id="12"/>
      <w:bookmarkEnd w:id="13"/>
    </w:p>
    <w:p>
      <w:pPr>
        <w:pStyle w:val="3"/>
        <w:rPr>
          <w:rStyle w:val="18"/>
          <w:rFonts w:ascii="仿宋" w:hAnsi="仿宋" w:eastAsia="仿宋"/>
          <w:b w:val="0"/>
          <w:bCs w:val="0"/>
        </w:rPr>
      </w:pPr>
      <w:bookmarkStart w:id="14" w:name="_Toc15396600"/>
      <w:bookmarkStart w:id="15" w:name="_Toc15377197"/>
      <w:r>
        <w:rPr>
          <w:rFonts w:hint="eastAsia" w:ascii="黑体" w:hAnsi="黑体" w:eastAsia="黑体"/>
          <w:b w:val="0"/>
          <w:color w:val="000000"/>
        </w:rPr>
        <w:t>一、基</w:t>
      </w:r>
      <w:r>
        <w:rPr>
          <w:rStyle w:val="18"/>
          <w:rFonts w:hint="eastAsia" w:ascii="黑体" w:hAnsi="黑体" w:eastAsia="黑体"/>
          <w:b w:val="0"/>
          <w:bCs w:val="0"/>
        </w:rPr>
        <w:t>本职能及主要工作</w:t>
      </w:r>
      <w:bookmarkEnd w:id="14"/>
      <w:bookmarkEnd w:id="15"/>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16" w:name="_Toc15378445"/>
      <w:bookmarkStart w:id="17" w:name="_Toc15377198"/>
      <w:r>
        <w:rPr>
          <w:rFonts w:hint="eastAsia" w:ascii="仿宋" w:hAnsi="仿宋" w:eastAsia="仿宋"/>
          <w:bCs/>
          <w:color w:val="000000"/>
          <w:sz w:val="32"/>
          <w:szCs w:val="32"/>
        </w:rPr>
        <w:t>（一）主要职能。</w:t>
      </w:r>
      <w:bookmarkEnd w:id="16"/>
      <w:bookmarkEnd w:id="17"/>
    </w:p>
    <w:p>
      <w:pPr>
        <w:snapToGrid w:val="0"/>
        <w:spacing w:line="6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．主要职能。</w:t>
      </w:r>
    </w:p>
    <w:p>
      <w:pPr>
        <w:snapToGrid w:val="0"/>
        <w:spacing w:line="640" w:lineRule="exact"/>
        <w:ind w:firstLine="640" w:firstLineChars="200"/>
        <w:rPr>
          <w:rFonts w:eastAsia="仿宋_GB2312"/>
          <w:sz w:val="32"/>
          <w:szCs w:val="32"/>
        </w:rPr>
      </w:pPr>
      <w:r>
        <w:rPr>
          <w:rFonts w:hint="eastAsia" w:eastAsia="仿宋_GB2312"/>
          <w:sz w:val="32"/>
          <w:szCs w:val="32"/>
        </w:rPr>
        <w:t>贯彻执行国家有关国民经济和社会发展、经济体制改革的方针、政策和法律、法规。拟订并组织实施全市国民经济和社会发展战略、中长期规划和年度计划；研究分析宏观经济形势，进行宏观经济的预测预警和信息引导。研究宏观调控重大问题，提出全市经济社会发展、经济结构优化、价格总水平调控目标和政策建议；负责汇总分析全市财政、金融等方面情况，提出多渠道融资的政策建议；研究经济体制改革和对外开放的重大问题及对策，会同有关部门搞好专项经济体制改革间的衔接，组织、指导和协调综合配套改革试点和重大专项经济体制改革试点工作；贯彻执行国家和省价格法律、法规和方针、政策，编制和执行价格调整改革规划，负责权限范围内价格的制定调整和重要商品价格的管理，监管实行市场调节价的商品和服务价格，负责全市价格监督检查、价格成本调查监审、价格监测、价格认证等工作；拟订全社会固定资产投资总规模和投资结构的调控目标、政策措施，安排财政性建设资金，指导和监督政策性贷款的使用方向，按规定权限审批、核准、备案或转报固定资产投资项目（企业技术改革项目除外）和资源开发利用、外资、境外投资项目；推进经济结构战略性调整。组织拟订全市综合性产业政策，负责协调第一、二、三产业发展的重大问题，衔接平衡相关发展规划和重大政策，协调农业和农村经济社会发展的重大问题，衔接农村专项规划和政策；研究分析区域经济和城镇化发展情况，组织拟订区域经济协调发展战略规划和重大政策，研究提出城镇化发展战略和统筹城乡发展的政策措施；负责全市节能减排的综合协调工作，综合协调环保产业和清洁生产促进有关工作；负责指导和协调全市招标投标工作，按照职责权限对建设项目招标投标活动实施监督检查；负责与国家、省铁建部门的工作衔接，负责全市铁路建设项目前期工作，组织协调铁路建设工作中的征地拆迁和重大问题</w:t>
      </w:r>
      <w:r>
        <w:rPr>
          <w:rFonts w:eastAsia="仿宋_GB2312"/>
          <w:sz w:val="32"/>
          <w:szCs w:val="32"/>
        </w:rPr>
        <w:t>;</w:t>
      </w:r>
      <w:r>
        <w:rPr>
          <w:rFonts w:hint="eastAsia" w:eastAsia="仿宋_GB2312"/>
          <w:sz w:val="32"/>
          <w:szCs w:val="32"/>
        </w:rPr>
        <w:t>负责组织编制全市国民经济动员与装备动员规划、计划，研究国民经济动员与装备动员和国民经济、国防建设的关系，组织实施国民经济动员与装备动员有关工作；贯彻执行国家、省以工代赈政策，研究编制以工代赈中长期规划和年度计划并组织实施。会同有关部门拟订民族地区经济发展规划和重大政策，协调推进重大项目建设，促进民族地区经济社会持续、稳定、协调发展。</w:t>
      </w:r>
    </w:p>
    <w:p>
      <w:pPr>
        <w:pStyle w:val="5"/>
        <w:adjustRightInd w:val="0"/>
        <w:snapToGrid w:val="0"/>
        <w:spacing w:before="93" w:line="600" w:lineRule="exact"/>
        <w:ind w:firstLine="672" w:firstLineChars="210"/>
        <w:outlineLvl w:val="2"/>
        <w:rPr>
          <w:rFonts w:ascii="仿宋" w:hAnsi="仿宋" w:eastAsia="仿宋"/>
          <w:bCs/>
          <w:color w:val="000000"/>
          <w:sz w:val="32"/>
          <w:szCs w:val="32"/>
        </w:rPr>
      </w:pPr>
    </w:p>
    <w:p>
      <w:pPr>
        <w:pStyle w:val="5"/>
        <w:adjustRightInd w:val="0"/>
        <w:snapToGrid w:val="0"/>
        <w:spacing w:before="93" w:line="600" w:lineRule="exact"/>
        <w:ind w:firstLine="672" w:firstLineChars="210"/>
        <w:outlineLvl w:val="2"/>
        <w:rPr>
          <w:rFonts w:ascii="仿宋" w:hAnsi="仿宋" w:eastAsia="仿宋"/>
          <w:bCs/>
          <w:color w:val="000000"/>
          <w:sz w:val="32"/>
          <w:szCs w:val="32"/>
        </w:rPr>
      </w:pPr>
      <w:bookmarkStart w:id="18" w:name="_Toc15378446"/>
      <w:bookmarkStart w:id="19" w:name="_Toc15377199"/>
      <w:r>
        <w:rPr>
          <w:rFonts w:hint="eastAsia" w:ascii="仿宋" w:hAnsi="仿宋" w:eastAsia="仿宋"/>
          <w:bCs/>
          <w:color w:val="000000"/>
          <w:sz w:val="32"/>
          <w:szCs w:val="32"/>
        </w:rPr>
        <w:t>（二）</w:t>
      </w:r>
      <w:r>
        <w:rPr>
          <w:rFonts w:ascii="仿宋" w:hAnsi="仿宋" w:eastAsia="仿宋"/>
          <w:bCs/>
          <w:color w:val="000000"/>
          <w:sz w:val="32"/>
          <w:szCs w:val="32"/>
        </w:rPr>
        <w:t>2018</w:t>
      </w:r>
      <w:r>
        <w:rPr>
          <w:rFonts w:hint="eastAsia" w:ascii="仿宋" w:hAnsi="仿宋" w:eastAsia="仿宋"/>
          <w:bCs/>
          <w:color w:val="000000"/>
          <w:sz w:val="32"/>
          <w:szCs w:val="32"/>
        </w:rPr>
        <w:t>年重点工作完成情况。</w:t>
      </w:r>
      <w:bookmarkEnd w:id="18"/>
      <w:bookmarkEnd w:id="19"/>
    </w:p>
    <w:p>
      <w:pPr>
        <w:snapToGrid w:val="0"/>
        <w:spacing w:line="640" w:lineRule="exact"/>
        <w:ind w:firstLine="640" w:firstLineChars="200"/>
        <w:rPr>
          <w:rFonts w:eastAsia="仿宋_GB2312"/>
          <w:color w:val="000000"/>
          <w:sz w:val="32"/>
          <w:szCs w:val="32"/>
        </w:rPr>
      </w:pPr>
      <w:r>
        <w:rPr>
          <w:rFonts w:eastAsia="仿宋_GB2312"/>
          <w:color w:val="000000"/>
          <w:sz w:val="32"/>
          <w:szCs w:val="32"/>
        </w:rPr>
        <w:t>2018</w:t>
      </w:r>
      <w:r>
        <w:rPr>
          <w:rFonts w:hint="eastAsia" w:eastAsia="仿宋_GB2312"/>
          <w:color w:val="000000"/>
          <w:sz w:val="32"/>
          <w:szCs w:val="32"/>
        </w:rPr>
        <w:t>年，市发展改革委以习近平新时代中国特色社会主义思想为指导，全面贯彻落实党的十九大精神和习近平总书记对四川工作系列重要指示精神，深入贯彻落实省委十一届三次全会和市委十届四次、五次全会部署，按照市委</w:t>
      </w:r>
      <w:r>
        <w:rPr>
          <w:rFonts w:eastAsia="仿宋_GB2312"/>
          <w:color w:val="000000"/>
          <w:sz w:val="32"/>
          <w:szCs w:val="32"/>
        </w:rPr>
        <w:t>“</w:t>
      </w:r>
      <w:r>
        <w:rPr>
          <w:rFonts w:hint="eastAsia" w:eastAsia="仿宋_GB2312"/>
          <w:color w:val="000000"/>
          <w:sz w:val="32"/>
          <w:szCs w:val="32"/>
        </w:rPr>
        <w:t>一二三五</w:t>
      </w:r>
      <w:r>
        <w:rPr>
          <w:rFonts w:eastAsia="仿宋_GB2312"/>
          <w:color w:val="000000"/>
          <w:sz w:val="32"/>
          <w:szCs w:val="32"/>
        </w:rPr>
        <w:t>”</w:t>
      </w:r>
      <w:r>
        <w:rPr>
          <w:rFonts w:hint="eastAsia" w:eastAsia="仿宋_GB2312"/>
          <w:color w:val="000000"/>
          <w:sz w:val="32"/>
          <w:szCs w:val="32"/>
        </w:rPr>
        <w:t>工作思路，积极履责、主动作为，不断深化</w:t>
      </w:r>
      <w:r>
        <w:rPr>
          <w:rFonts w:eastAsia="仿宋_GB2312"/>
          <w:color w:val="000000"/>
          <w:sz w:val="32"/>
          <w:szCs w:val="32"/>
        </w:rPr>
        <w:t>“</w:t>
      </w:r>
      <w:r>
        <w:rPr>
          <w:rFonts w:hint="eastAsia" w:eastAsia="仿宋_GB2312"/>
          <w:color w:val="000000"/>
          <w:sz w:val="32"/>
          <w:szCs w:val="32"/>
        </w:rPr>
        <w:t>钒钛、阳光</w:t>
      </w:r>
      <w:r>
        <w:rPr>
          <w:rFonts w:eastAsia="仿宋_GB2312"/>
          <w:color w:val="000000"/>
          <w:sz w:val="32"/>
          <w:szCs w:val="32"/>
        </w:rPr>
        <w:t>”</w:t>
      </w:r>
      <w:r>
        <w:rPr>
          <w:rFonts w:hint="eastAsia" w:eastAsia="仿宋_GB2312"/>
          <w:color w:val="000000"/>
          <w:sz w:val="32"/>
          <w:szCs w:val="32"/>
        </w:rPr>
        <w:t>两篇文章，全力推动攀西经济区、国家战略资源创新开发试验区、攀枝花钒钛高新技术产业开发区产业融合、政策互惠、联动发展，加快建设国家战略资源创新开发试验区、国际阳光康养旅游目的地和四川南向开放门户。</w:t>
      </w:r>
    </w:p>
    <w:p>
      <w:pPr>
        <w:spacing w:line="640" w:lineRule="exact"/>
        <w:ind w:firstLine="663"/>
        <w:rPr>
          <w:rFonts w:eastAsia="仿宋_GB2312"/>
          <w:sz w:val="32"/>
          <w:szCs w:val="32"/>
        </w:rPr>
      </w:pPr>
      <w:r>
        <w:rPr>
          <w:rFonts w:hint="eastAsia" w:eastAsia="仿宋_GB2312"/>
          <w:sz w:val="32"/>
          <w:szCs w:val="32"/>
        </w:rPr>
        <w:t>（一）目标任务完成情况。</w:t>
      </w:r>
      <w:r>
        <w:rPr>
          <w:rFonts w:eastAsia="仿宋_GB2312"/>
          <w:sz w:val="32"/>
          <w:szCs w:val="32"/>
        </w:rPr>
        <w:t>2018</w:t>
      </w:r>
      <w:r>
        <w:rPr>
          <w:rFonts w:hint="eastAsia" w:eastAsia="仿宋_GB2312"/>
          <w:sz w:val="32"/>
          <w:szCs w:val="32"/>
        </w:rPr>
        <w:t>年，地区生产总值</w:t>
      </w:r>
      <w:r>
        <w:rPr>
          <w:rFonts w:eastAsia="仿宋_GB2312"/>
          <w:sz w:val="32"/>
          <w:szCs w:val="32"/>
        </w:rPr>
        <w:t>(GDP)</w:t>
      </w:r>
      <w:r>
        <w:rPr>
          <w:rFonts w:hint="eastAsia" w:eastAsia="仿宋_GB2312"/>
          <w:sz w:val="32"/>
          <w:szCs w:val="32"/>
        </w:rPr>
        <w:t>实现</w:t>
      </w:r>
      <w:r>
        <w:rPr>
          <w:rFonts w:eastAsia="仿宋_GB2312"/>
          <w:sz w:val="32"/>
          <w:szCs w:val="32"/>
        </w:rPr>
        <w:t>1173.52</w:t>
      </w:r>
      <w:r>
        <w:rPr>
          <w:rFonts w:hint="eastAsia" w:eastAsia="仿宋_GB2312"/>
          <w:sz w:val="32"/>
          <w:szCs w:val="32"/>
        </w:rPr>
        <w:t>亿元</w:t>
      </w:r>
      <w:r>
        <w:rPr>
          <w:rFonts w:eastAsia="仿宋_GB2312"/>
          <w:sz w:val="32"/>
          <w:szCs w:val="32"/>
        </w:rPr>
        <w:t>,</w:t>
      </w:r>
      <w:r>
        <w:rPr>
          <w:rFonts w:hint="eastAsia" w:eastAsia="仿宋_GB2312"/>
          <w:sz w:val="32"/>
          <w:szCs w:val="32"/>
        </w:rPr>
        <w:t>增长</w:t>
      </w:r>
      <w:r>
        <w:rPr>
          <w:rFonts w:eastAsia="仿宋_GB2312"/>
          <w:sz w:val="32"/>
          <w:szCs w:val="32"/>
        </w:rPr>
        <w:t>7.5 %</w:t>
      </w:r>
      <w:r>
        <w:rPr>
          <w:rFonts w:hint="eastAsia" w:eastAsia="仿宋_GB2312"/>
          <w:sz w:val="32"/>
          <w:szCs w:val="32"/>
        </w:rPr>
        <w:t>，增速完成市人代会目标任务；全社会固定资产投资完成</w:t>
      </w:r>
      <w:r>
        <w:rPr>
          <w:rFonts w:eastAsia="仿宋_GB2312"/>
          <w:sz w:val="32"/>
          <w:szCs w:val="32"/>
        </w:rPr>
        <w:t>632.1</w:t>
      </w:r>
      <w:r>
        <w:rPr>
          <w:rFonts w:hint="eastAsia" w:eastAsia="仿宋_GB2312"/>
          <w:sz w:val="32"/>
          <w:szCs w:val="32"/>
        </w:rPr>
        <w:t>亿元，增长</w:t>
      </w:r>
      <w:r>
        <w:rPr>
          <w:rFonts w:eastAsia="仿宋_GB2312"/>
          <w:sz w:val="32"/>
          <w:szCs w:val="32"/>
        </w:rPr>
        <w:t>8.1%</w:t>
      </w:r>
      <w:r>
        <w:rPr>
          <w:rFonts w:hint="eastAsia" w:eastAsia="仿宋_GB2312"/>
          <w:sz w:val="32"/>
          <w:szCs w:val="32"/>
        </w:rPr>
        <w:t>。单位</w:t>
      </w:r>
      <w:r>
        <w:rPr>
          <w:rFonts w:eastAsia="仿宋_GB2312"/>
          <w:sz w:val="32"/>
          <w:szCs w:val="32"/>
        </w:rPr>
        <w:t>GDP</w:t>
      </w:r>
      <w:r>
        <w:rPr>
          <w:rFonts w:hint="eastAsia" w:eastAsia="仿宋_GB2312"/>
          <w:sz w:val="32"/>
          <w:szCs w:val="32"/>
        </w:rPr>
        <w:t>能耗下降</w:t>
      </w:r>
      <w:r>
        <w:rPr>
          <w:rFonts w:eastAsia="仿宋_GB2312"/>
          <w:sz w:val="32"/>
          <w:szCs w:val="32"/>
        </w:rPr>
        <w:t>7.44%</w:t>
      </w:r>
      <w:r>
        <w:rPr>
          <w:rFonts w:hint="eastAsia" w:eastAsia="仿宋_GB2312"/>
          <w:sz w:val="32"/>
          <w:szCs w:val="32"/>
        </w:rPr>
        <w:t>，超额完成省下达目标（下降</w:t>
      </w:r>
      <w:r>
        <w:rPr>
          <w:rFonts w:eastAsia="仿宋_GB2312"/>
          <w:sz w:val="32"/>
          <w:szCs w:val="32"/>
        </w:rPr>
        <w:t>0.5%</w:t>
      </w:r>
      <w:r>
        <w:rPr>
          <w:rFonts w:hint="eastAsia" w:eastAsia="仿宋_GB2312"/>
          <w:sz w:val="32"/>
          <w:szCs w:val="32"/>
        </w:rPr>
        <w:t>）任务。全年居民消费价格指数上涨</w:t>
      </w:r>
      <w:r>
        <w:rPr>
          <w:rFonts w:eastAsia="仿宋_GB2312"/>
          <w:sz w:val="32"/>
          <w:szCs w:val="32"/>
        </w:rPr>
        <w:t>1.8%</w:t>
      </w:r>
      <w:r>
        <w:rPr>
          <w:rFonts w:hint="eastAsia" w:eastAsia="仿宋_GB2312"/>
          <w:sz w:val="32"/>
          <w:szCs w:val="32"/>
        </w:rPr>
        <w:t>，控制在年初预期目标（</w:t>
      </w:r>
      <w:r>
        <w:rPr>
          <w:rFonts w:eastAsia="仿宋_GB2312"/>
          <w:sz w:val="32"/>
          <w:szCs w:val="32"/>
        </w:rPr>
        <w:t>3%</w:t>
      </w:r>
      <w:r>
        <w:rPr>
          <w:rFonts w:hint="eastAsia" w:eastAsia="仿宋_GB2312"/>
          <w:sz w:val="32"/>
          <w:szCs w:val="32"/>
        </w:rPr>
        <w:t>）范围内。重点项目完成省、市目标，</w:t>
      </w:r>
      <w:r>
        <w:rPr>
          <w:rFonts w:eastAsia="仿宋_GB2312"/>
          <w:sz w:val="32"/>
          <w:szCs w:val="32"/>
        </w:rPr>
        <w:t>28</w:t>
      </w:r>
      <w:r>
        <w:rPr>
          <w:rFonts w:hint="eastAsia" w:eastAsia="仿宋_GB2312"/>
          <w:sz w:val="32"/>
          <w:szCs w:val="32"/>
        </w:rPr>
        <w:t>个市级重点推进项目完成投资</w:t>
      </w:r>
      <w:r>
        <w:rPr>
          <w:rFonts w:eastAsia="仿宋_GB2312"/>
          <w:sz w:val="32"/>
          <w:szCs w:val="32"/>
        </w:rPr>
        <w:t>15.62</w:t>
      </w:r>
      <w:r>
        <w:rPr>
          <w:rFonts w:hint="eastAsia" w:eastAsia="仿宋_GB2312"/>
          <w:sz w:val="32"/>
          <w:szCs w:val="32"/>
        </w:rPr>
        <w:t>亿元，完成年度投资计划</w:t>
      </w:r>
      <w:r>
        <w:rPr>
          <w:rFonts w:eastAsia="仿宋_GB2312"/>
          <w:sz w:val="32"/>
          <w:szCs w:val="32"/>
        </w:rPr>
        <w:t>139.6%</w:t>
      </w:r>
      <w:r>
        <w:rPr>
          <w:rFonts w:hint="eastAsia" w:eastAsia="仿宋_GB2312"/>
          <w:sz w:val="32"/>
          <w:szCs w:val="32"/>
        </w:rPr>
        <w:t>，超全年目标任务</w:t>
      </w:r>
      <w:r>
        <w:rPr>
          <w:rFonts w:eastAsia="仿宋_GB2312"/>
          <w:sz w:val="32"/>
          <w:szCs w:val="32"/>
        </w:rPr>
        <w:t>39.6</w:t>
      </w:r>
      <w:r>
        <w:rPr>
          <w:rFonts w:hint="eastAsia" w:eastAsia="仿宋_GB2312"/>
          <w:sz w:val="32"/>
          <w:szCs w:val="32"/>
        </w:rPr>
        <w:t>个百分点，</w:t>
      </w:r>
      <w:r>
        <w:rPr>
          <w:rFonts w:eastAsia="仿宋_GB2312"/>
          <w:sz w:val="32"/>
          <w:szCs w:val="32"/>
        </w:rPr>
        <w:t>13</w:t>
      </w:r>
      <w:r>
        <w:rPr>
          <w:rFonts w:hint="eastAsia" w:eastAsia="仿宋_GB2312"/>
          <w:sz w:val="32"/>
          <w:szCs w:val="32"/>
        </w:rPr>
        <w:t>个省独立考核续建重点项目投资完成</w:t>
      </w:r>
      <w:r>
        <w:rPr>
          <w:rFonts w:eastAsia="仿宋_GB2312"/>
          <w:sz w:val="32"/>
          <w:szCs w:val="32"/>
        </w:rPr>
        <w:t>46.1</w:t>
      </w:r>
      <w:r>
        <w:rPr>
          <w:rFonts w:hint="eastAsia" w:eastAsia="仿宋_GB2312"/>
          <w:sz w:val="32"/>
          <w:szCs w:val="32"/>
        </w:rPr>
        <w:t>亿元，</w:t>
      </w:r>
      <w:r>
        <w:rPr>
          <w:rFonts w:eastAsia="仿宋_GB2312"/>
          <w:sz w:val="32"/>
          <w:szCs w:val="32"/>
        </w:rPr>
        <w:t>6</w:t>
      </w:r>
      <w:r>
        <w:rPr>
          <w:rFonts w:hint="eastAsia" w:eastAsia="仿宋_GB2312"/>
          <w:sz w:val="32"/>
          <w:szCs w:val="32"/>
        </w:rPr>
        <w:t>个省独立考核新开工项目全部开工建设。楚攀天然气支线及攀枝花天然气利用项目等积极推进；试验区</w:t>
      </w:r>
      <w:r>
        <w:rPr>
          <w:rFonts w:eastAsia="仿宋_GB2312"/>
          <w:sz w:val="32"/>
          <w:szCs w:val="32"/>
        </w:rPr>
        <w:t>“</w:t>
      </w:r>
      <w:r>
        <w:rPr>
          <w:rFonts w:hint="eastAsia" w:eastAsia="仿宋_GB2312"/>
          <w:sz w:val="32"/>
          <w:szCs w:val="32"/>
        </w:rPr>
        <w:t>新六条</w:t>
      </w:r>
      <w:r>
        <w:rPr>
          <w:rFonts w:eastAsia="仿宋_GB2312"/>
          <w:sz w:val="32"/>
          <w:szCs w:val="32"/>
        </w:rPr>
        <w:t>”</w:t>
      </w:r>
      <w:r>
        <w:rPr>
          <w:rFonts w:hint="eastAsia" w:eastAsia="仿宋_GB2312"/>
          <w:sz w:val="32"/>
          <w:szCs w:val="32"/>
        </w:rPr>
        <w:t>（科技、产业发展、财税政策、要素保障、生态保护及循环经济、基础设施）、水电消纳产业示范区等支持政策成功争取；中央、省级各类资金累计下达</w:t>
      </w:r>
      <w:r>
        <w:rPr>
          <w:rFonts w:eastAsia="仿宋_GB2312"/>
          <w:sz w:val="32"/>
          <w:szCs w:val="32"/>
        </w:rPr>
        <w:t>84557</w:t>
      </w:r>
      <w:r>
        <w:rPr>
          <w:rFonts w:hint="eastAsia" w:eastAsia="仿宋_GB2312"/>
          <w:sz w:val="32"/>
          <w:szCs w:val="32"/>
        </w:rPr>
        <w:t>万元。形成《〈攀枝花市国民经济和社会发展第十三个五年规划纲要〉实施情况的中期评估报告》。</w:t>
      </w:r>
    </w:p>
    <w:p>
      <w:pPr>
        <w:spacing w:line="640" w:lineRule="exact"/>
        <w:ind w:firstLine="663"/>
        <w:rPr>
          <w:rFonts w:eastAsia="楷体"/>
          <w:color w:val="000000"/>
          <w:sz w:val="32"/>
          <w:szCs w:val="32"/>
        </w:rPr>
      </w:pPr>
      <w:r>
        <w:rPr>
          <w:rFonts w:hint="eastAsia" w:hAnsi="楷体" w:eastAsia="楷体"/>
          <w:color w:val="000000"/>
          <w:sz w:val="32"/>
          <w:szCs w:val="32"/>
        </w:rPr>
        <w:t>（二）主要成绩和特色亮点。</w:t>
      </w:r>
    </w:p>
    <w:p>
      <w:pPr>
        <w:spacing w:line="640" w:lineRule="exact"/>
        <w:ind w:firstLine="663"/>
        <w:rPr>
          <w:rFonts w:eastAsia="仿宋_GB2312"/>
          <w:color w:val="000000"/>
          <w:sz w:val="32"/>
          <w:szCs w:val="32"/>
        </w:rPr>
      </w:pPr>
      <w:r>
        <w:rPr>
          <w:rFonts w:eastAsia="仿宋_GB2312"/>
          <w:bCs/>
          <w:color w:val="000000"/>
          <w:sz w:val="32"/>
          <w:szCs w:val="32"/>
        </w:rPr>
        <w:t xml:space="preserve">1. </w:t>
      </w:r>
      <w:r>
        <w:rPr>
          <w:rFonts w:hint="eastAsia" w:eastAsia="仿宋_GB2312"/>
          <w:bCs/>
          <w:color w:val="000000"/>
          <w:sz w:val="32"/>
          <w:szCs w:val="32"/>
        </w:rPr>
        <w:t>全力推动</w:t>
      </w:r>
      <w:r>
        <w:rPr>
          <w:rFonts w:eastAsia="仿宋_GB2312"/>
          <w:bCs/>
          <w:color w:val="000000"/>
          <w:sz w:val="32"/>
          <w:szCs w:val="32"/>
        </w:rPr>
        <w:t>“</w:t>
      </w:r>
      <w:r>
        <w:rPr>
          <w:rFonts w:hint="eastAsia" w:eastAsia="仿宋_GB2312"/>
          <w:bCs/>
          <w:color w:val="000000"/>
          <w:sz w:val="32"/>
          <w:szCs w:val="32"/>
        </w:rPr>
        <w:t>三区联动</w:t>
      </w:r>
      <w:r>
        <w:rPr>
          <w:rFonts w:eastAsia="仿宋_GB2312"/>
          <w:bCs/>
          <w:color w:val="000000"/>
          <w:sz w:val="32"/>
          <w:szCs w:val="32"/>
        </w:rPr>
        <w:t>”</w:t>
      </w:r>
      <w:r>
        <w:rPr>
          <w:rFonts w:hint="eastAsia" w:eastAsia="仿宋_GB2312"/>
          <w:bCs/>
          <w:color w:val="000000"/>
          <w:sz w:val="32"/>
          <w:szCs w:val="32"/>
        </w:rPr>
        <w:t>，建立产业融合、政策互惠、联动发展体制机制。</w:t>
      </w:r>
      <w:r>
        <w:rPr>
          <w:rFonts w:hint="eastAsia" w:eastAsia="仿宋_GB2312"/>
          <w:color w:val="000000"/>
          <w:sz w:val="32"/>
          <w:szCs w:val="32"/>
        </w:rPr>
        <w:t>深入推进攀西经济区建设发展，加快制定攀西经济区转型升级工作规则以及推进攀西经济区转型升级五年行动计划和年度工作方案。与凉山州签订《推进攀西经济区协同发展合作协议》《推进攀西经济区交通互联互通合作协议》《共同打造攀西经济区现代农业示范基地合作协议》以及《共同打造国际阳光康养旅游目的地合作协议》。攀枝花市、宜宾市、凉山州签订《共建金沙江下游经济走廊合作协议》。起草《加快推进攀枝花市</w:t>
      </w:r>
      <w:r>
        <w:rPr>
          <w:rFonts w:eastAsia="仿宋_GB2312"/>
          <w:color w:val="000000"/>
          <w:sz w:val="32"/>
          <w:szCs w:val="32"/>
        </w:rPr>
        <w:t>“</w:t>
      </w:r>
      <w:r>
        <w:rPr>
          <w:rFonts w:hint="eastAsia" w:eastAsia="仿宋_GB2312"/>
          <w:color w:val="000000"/>
          <w:sz w:val="32"/>
          <w:szCs w:val="32"/>
        </w:rPr>
        <w:t>三区联动</w:t>
      </w:r>
      <w:r>
        <w:rPr>
          <w:rFonts w:eastAsia="仿宋_GB2312"/>
          <w:color w:val="000000"/>
          <w:sz w:val="32"/>
          <w:szCs w:val="32"/>
        </w:rPr>
        <w:t>”</w:t>
      </w:r>
      <w:r>
        <w:rPr>
          <w:rFonts w:hint="eastAsia" w:eastAsia="仿宋_GB2312"/>
          <w:color w:val="000000"/>
          <w:sz w:val="32"/>
          <w:szCs w:val="32"/>
        </w:rPr>
        <w:t>发展行动计划（</w:t>
      </w:r>
      <w:r>
        <w:rPr>
          <w:rFonts w:eastAsia="仿宋_GB2312"/>
          <w:color w:val="000000"/>
          <w:sz w:val="32"/>
          <w:szCs w:val="32"/>
        </w:rPr>
        <w:t>2019—2021</w:t>
      </w:r>
      <w:r>
        <w:rPr>
          <w:rFonts w:hint="eastAsia" w:eastAsia="仿宋_GB2312"/>
          <w:color w:val="000000"/>
          <w:sz w:val="32"/>
          <w:szCs w:val="32"/>
        </w:rPr>
        <w:t>年）》</w:t>
      </w:r>
      <w:r>
        <w:rPr>
          <w:rFonts w:eastAsia="仿宋_GB2312"/>
          <w:color w:val="000000"/>
          <w:sz w:val="32"/>
          <w:szCs w:val="32"/>
        </w:rPr>
        <w:t>,</w:t>
      </w:r>
      <w:r>
        <w:rPr>
          <w:rFonts w:hint="eastAsia" w:eastAsia="仿宋_GB2312"/>
          <w:color w:val="000000"/>
          <w:sz w:val="32"/>
          <w:szCs w:val="32"/>
        </w:rPr>
        <w:t>逐步形成产业融合、政策互惠、联动发展的体制机制。</w:t>
      </w:r>
    </w:p>
    <w:p>
      <w:pPr>
        <w:spacing w:line="640" w:lineRule="exact"/>
        <w:ind w:firstLine="663"/>
        <w:rPr>
          <w:rFonts w:eastAsia="仿宋_GB2312"/>
          <w:color w:val="000000"/>
          <w:sz w:val="32"/>
          <w:szCs w:val="32"/>
        </w:rPr>
      </w:pPr>
      <w:r>
        <w:rPr>
          <w:rFonts w:eastAsia="仿宋_GB2312"/>
          <w:bCs/>
          <w:color w:val="000000"/>
          <w:sz w:val="32"/>
          <w:szCs w:val="32"/>
        </w:rPr>
        <w:t xml:space="preserve">2. </w:t>
      </w:r>
      <w:r>
        <w:rPr>
          <w:rFonts w:hint="eastAsia" w:eastAsia="仿宋_GB2312"/>
          <w:bCs/>
          <w:color w:val="000000"/>
          <w:sz w:val="32"/>
          <w:szCs w:val="32"/>
        </w:rPr>
        <w:t>着力做好</w:t>
      </w:r>
      <w:r>
        <w:rPr>
          <w:rFonts w:eastAsia="仿宋_GB2312"/>
          <w:bCs/>
          <w:color w:val="000000"/>
          <w:sz w:val="32"/>
          <w:szCs w:val="32"/>
        </w:rPr>
        <w:t>“</w:t>
      </w:r>
      <w:r>
        <w:rPr>
          <w:rFonts w:hint="eastAsia" w:eastAsia="仿宋_GB2312"/>
          <w:bCs/>
          <w:color w:val="000000"/>
          <w:sz w:val="32"/>
          <w:szCs w:val="32"/>
        </w:rPr>
        <w:t>钒钛</w:t>
      </w:r>
      <w:r>
        <w:rPr>
          <w:rFonts w:eastAsia="仿宋_GB2312"/>
          <w:bCs/>
          <w:color w:val="000000"/>
          <w:sz w:val="32"/>
          <w:szCs w:val="32"/>
        </w:rPr>
        <w:t>”</w:t>
      </w:r>
      <w:r>
        <w:rPr>
          <w:rFonts w:hint="eastAsia" w:eastAsia="仿宋_GB2312"/>
          <w:bCs/>
          <w:color w:val="000000"/>
          <w:sz w:val="32"/>
          <w:szCs w:val="32"/>
        </w:rPr>
        <w:t>文章，加快建设国家战略资源创新开发试验区。</w:t>
      </w:r>
      <w:r>
        <w:rPr>
          <w:rFonts w:hint="eastAsia" w:eastAsia="仿宋_GB2312"/>
          <w:color w:val="000000"/>
          <w:sz w:val="32"/>
          <w:szCs w:val="32"/>
        </w:rPr>
        <w:t>成功承办试验区第四次省部联席会议，并争取到国家相关部委对试验区在科技、产业发展、财税政策、要素保障、生态保护及循环经济、基础设施六个方面的支持政策及支持攀钢集团公司申报国家钒钛产业创新中心。成功争取将</w:t>
      </w:r>
      <w:r>
        <w:rPr>
          <w:rFonts w:hint="eastAsia" w:eastAsia="仿宋_GB2312"/>
          <w:bCs/>
          <w:color w:val="000000"/>
          <w:sz w:val="32"/>
          <w:szCs w:val="32"/>
          <w:shd w:val="clear" w:color="auto" w:fill="FFFFFF"/>
        </w:rPr>
        <w:t>攀枝花市城区老工业区搬迁改造</w:t>
      </w:r>
      <w:r>
        <w:rPr>
          <w:rFonts w:hint="eastAsia" w:eastAsia="仿宋_GB2312"/>
          <w:color w:val="000000"/>
          <w:sz w:val="32"/>
          <w:szCs w:val="32"/>
        </w:rPr>
        <w:t>列为全国</w:t>
      </w:r>
      <w:r>
        <w:rPr>
          <w:rFonts w:eastAsia="仿宋_GB2312"/>
          <w:color w:val="000000"/>
          <w:sz w:val="32"/>
          <w:szCs w:val="32"/>
        </w:rPr>
        <w:t>25</w:t>
      </w:r>
      <w:r>
        <w:rPr>
          <w:rFonts w:hint="eastAsia" w:eastAsia="仿宋_GB2312"/>
          <w:color w:val="000000"/>
          <w:sz w:val="32"/>
          <w:szCs w:val="32"/>
        </w:rPr>
        <w:t>个老工业区重点工程之一，我市老工业业基地调整改造工作受到国务院表彰激励通报，清香坪</w:t>
      </w:r>
      <w:r>
        <w:rPr>
          <w:rFonts w:eastAsia="仿宋_GB2312"/>
          <w:color w:val="000000"/>
          <w:sz w:val="32"/>
          <w:szCs w:val="32"/>
        </w:rPr>
        <w:t>—</w:t>
      </w:r>
      <w:r>
        <w:rPr>
          <w:rFonts w:hint="eastAsia" w:eastAsia="仿宋_GB2312"/>
          <w:color w:val="000000"/>
          <w:sz w:val="32"/>
          <w:szCs w:val="32"/>
        </w:rPr>
        <w:t>格里坪市政基础设施建设项目等</w:t>
      </w:r>
      <w:r>
        <w:rPr>
          <w:rFonts w:eastAsia="仿宋_GB2312"/>
          <w:color w:val="000000"/>
          <w:sz w:val="32"/>
          <w:szCs w:val="32"/>
        </w:rPr>
        <w:t>3</w:t>
      </w:r>
      <w:r>
        <w:rPr>
          <w:rFonts w:hint="eastAsia" w:eastAsia="仿宋_GB2312"/>
          <w:color w:val="000000"/>
          <w:sz w:val="32"/>
          <w:szCs w:val="32"/>
        </w:rPr>
        <w:t>个项目获中央预算内资金支持</w:t>
      </w:r>
      <w:r>
        <w:rPr>
          <w:rFonts w:eastAsia="仿宋_GB2312"/>
          <w:color w:val="000000"/>
          <w:sz w:val="32"/>
          <w:szCs w:val="32"/>
        </w:rPr>
        <w:t>6782</w:t>
      </w:r>
      <w:r>
        <w:rPr>
          <w:rFonts w:hint="eastAsia" w:eastAsia="仿宋_GB2312"/>
          <w:color w:val="000000"/>
          <w:sz w:val="32"/>
          <w:szCs w:val="32"/>
        </w:rPr>
        <w:t>万元，</w:t>
      </w:r>
      <w:r>
        <w:rPr>
          <w:rFonts w:eastAsia="仿宋_GB2312"/>
          <w:color w:val="000000"/>
          <w:sz w:val="32"/>
          <w:szCs w:val="32"/>
        </w:rPr>
        <w:t xml:space="preserve"> “</w:t>
      </w:r>
      <w:r>
        <w:rPr>
          <w:rFonts w:hint="eastAsia" w:eastAsia="仿宋_GB2312"/>
          <w:color w:val="000000"/>
          <w:sz w:val="32"/>
          <w:szCs w:val="32"/>
        </w:rPr>
        <w:t>五大领域</w:t>
      </w:r>
      <w:r>
        <w:rPr>
          <w:rFonts w:eastAsia="仿宋_GB2312"/>
          <w:color w:val="000000"/>
          <w:sz w:val="32"/>
          <w:szCs w:val="32"/>
        </w:rPr>
        <w:t>”</w:t>
      </w:r>
      <w:r>
        <w:rPr>
          <w:rFonts w:hint="eastAsia" w:eastAsia="仿宋_GB2312"/>
          <w:color w:val="000000"/>
          <w:sz w:val="32"/>
          <w:szCs w:val="32"/>
        </w:rPr>
        <w:t>先行先试成效显现</w:t>
      </w:r>
      <w:r>
        <w:rPr>
          <w:rFonts w:eastAsia="仿宋_GB2312"/>
          <w:color w:val="000000"/>
          <w:sz w:val="32"/>
          <w:szCs w:val="32"/>
        </w:rPr>
        <w:t>; 2018</w:t>
      </w:r>
      <w:r>
        <w:rPr>
          <w:rFonts w:hint="eastAsia" w:eastAsia="仿宋_GB2312"/>
          <w:color w:val="000000"/>
          <w:sz w:val="32"/>
          <w:szCs w:val="32"/>
        </w:rPr>
        <w:t>年</w:t>
      </w:r>
      <w:r>
        <w:rPr>
          <w:rFonts w:eastAsia="仿宋_GB2312"/>
          <w:color w:val="000000"/>
          <w:sz w:val="32"/>
          <w:szCs w:val="32"/>
        </w:rPr>
        <w:t>1—10</w:t>
      </w:r>
      <w:r>
        <w:rPr>
          <w:rFonts w:hint="eastAsia" w:eastAsia="仿宋_GB2312"/>
          <w:color w:val="000000"/>
          <w:sz w:val="32"/>
          <w:szCs w:val="32"/>
        </w:rPr>
        <w:t>月累计争取铁路运费优惠</w:t>
      </w:r>
      <w:r>
        <w:rPr>
          <w:rFonts w:eastAsia="仿宋_GB2312"/>
          <w:color w:val="000000"/>
          <w:sz w:val="32"/>
          <w:szCs w:val="32"/>
        </w:rPr>
        <w:t>14374.94</w:t>
      </w:r>
      <w:r>
        <w:rPr>
          <w:rFonts w:hint="eastAsia" w:eastAsia="仿宋_GB2312"/>
          <w:color w:val="000000"/>
          <w:sz w:val="32"/>
          <w:szCs w:val="32"/>
        </w:rPr>
        <w:t>万元；实施了宝鼎</w:t>
      </w:r>
      <w:r>
        <w:rPr>
          <w:rFonts w:eastAsia="仿宋_GB2312"/>
          <w:color w:val="000000"/>
          <w:sz w:val="32"/>
          <w:szCs w:val="32"/>
        </w:rPr>
        <w:t>—</w:t>
      </w:r>
      <w:r>
        <w:rPr>
          <w:rFonts w:hint="eastAsia" w:eastAsia="仿宋_GB2312"/>
          <w:color w:val="000000"/>
          <w:sz w:val="32"/>
          <w:szCs w:val="32"/>
        </w:rPr>
        <w:t>清香坪片区、米易县安宁河片区</w:t>
      </w:r>
      <w:r>
        <w:rPr>
          <w:rFonts w:eastAsia="仿宋_GB2312"/>
          <w:color w:val="000000"/>
          <w:sz w:val="32"/>
          <w:szCs w:val="32"/>
        </w:rPr>
        <w:t>2</w:t>
      </w:r>
      <w:r>
        <w:rPr>
          <w:rFonts w:hint="eastAsia" w:eastAsia="仿宋_GB2312"/>
          <w:color w:val="000000"/>
          <w:sz w:val="32"/>
          <w:szCs w:val="32"/>
        </w:rPr>
        <w:t>个山水林田湖保护修复示范工程项目，目前已完成投资</w:t>
      </w:r>
      <w:r>
        <w:rPr>
          <w:rFonts w:eastAsia="仿宋_GB2312"/>
          <w:color w:val="000000"/>
          <w:sz w:val="32"/>
          <w:szCs w:val="32"/>
        </w:rPr>
        <w:t>8.61</w:t>
      </w:r>
      <w:r>
        <w:rPr>
          <w:rFonts w:hint="eastAsia" w:eastAsia="仿宋_GB2312"/>
          <w:color w:val="000000"/>
          <w:sz w:val="32"/>
          <w:szCs w:val="32"/>
        </w:rPr>
        <w:t>亿元；完成了攀枝花市华阳煤业有限责任公司等</w:t>
      </w:r>
      <w:r>
        <w:rPr>
          <w:rFonts w:eastAsia="仿宋_GB2312"/>
          <w:color w:val="000000"/>
          <w:sz w:val="32"/>
          <w:szCs w:val="32"/>
        </w:rPr>
        <w:t>40</w:t>
      </w:r>
      <w:r>
        <w:rPr>
          <w:rFonts w:hint="eastAsia" w:eastAsia="仿宋_GB2312"/>
          <w:color w:val="000000"/>
          <w:sz w:val="32"/>
          <w:szCs w:val="32"/>
        </w:rPr>
        <w:t>家矿山的恢复治理工作。</w:t>
      </w:r>
    </w:p>
    <w:p>
      <w:pPr>
        <w:spacing w:line="640" w:lineRule="exact"/>
        <w:ind w:firstLine="663"/>
        <w:rPr>
          <w:rFonts w:eastAsia="仿宋_GB2312"/>
          <w:color w:val="000000"/>
          <w:sz w:val="32"/>
          <w:szCs w:val="32"/>
        </w:rPr>
      </w:pPr>
      <w:r>
        <w:rPr>
          <w:rFonts w:eastAsia="仿宋_GB2312"/>
          <w:bCs/>
          <w:color w:val="000000"/>
          <w:sz w:val="32"/>
          <w:szCs w:val="32"/>
        </w:rPr>
        <w:t xml:space="preserve">3. </w:t>
      </w:r>
      <w:r>
        <w:rPr>
          <w:rFonts w:hint="eastAsia" w:eastAsia="仿宋_GB2312"/>
          <w:bCs/>
          <w:color w:val="000000"/>
          <w:sz w:val="32"/>
          <w:szCs w:val="32"/>
        </w:rPr>
        <w:t>着力做好</w:t>
      </w:r>
      <w:r>
        <w:rPr>
          <w:rFonts w:eastAsia="仿宋_GB2312"/>
          <w:bCs/>
          <w:color w:val="000000"/>
          <w:sz w:val="32"/>
          <w:szCs w:val="32"/>
        </w:rPr>
        <w:t>“</w:t>
      </w:r>
      <w:r>
        <w:rPr>
          <w:rFonts w:hint="eastAsia" w:eastAsia="仿宋_GB2312"/>
          <w:bCs/>
          <w:color w:val="000000"/>
          <w:sz w:val="32"/>
          <w:szCs w:val="32"/>
        </w:rPr>
        <w:t>阳光</w:t>
      </w:r>
      <w:r>
        <w:rPr>
          <w:rFonts w:eastAsia="仿宋_GB2312"/>
          <w:bCs/>
          <w:color w:val="000000"/>
          <w:sz w:val="32"/>
          <w:szCs w:val="32"/>
        </w:rPr>
        <w:t>”</w:t>
      </w:r>
      <w:r>
        <w:rPr>
          <w:rFonts w:hint="eastAsia" w:eastAsia="仿宋_GB2312"/>
          <w:bCs/>
          <w:color w:val="000000"/>
          <w:sz w:val="32"/>
          <w:szCs w:val="32"/>
        </w:rPr>
        <w:t>文章，加快建设国际阳光康养旅游目的地。</w:t>
      </w:r>
      <w:r>
        <w:rPr>
          <w:rFonts w:hint="eastAsia" w:eastAsia="仿宋_GB2312"/>
          <w:color w:val="000000"/>
          <w:sz w:val="32"/>
          <w:szCs w:val="32"/>
        </w:rPr>
        <w:t>明确了康养产业发展的重点项目</w:t>
      </w:r>
      <w:r>
        <w:rPr>
          <w:rFonts w:eastAsia="仿宋_GB2312"/>
          <w:color w:val="000000"/>
          <w:sz w:val="32"/>
          <w:szCs w:val="32"/>
        </w:rPr>
        <w:t>22</w:t>
      </w:r>
      <w:r>
        <w:rPr>
          <w:rFonts w:hint="eastAsia" w:eastAsia="仿宋_GB2312"/>
          <w:color w:val="000000"/>
          <w:sz w:val="32"/>
          <w:szCs w:val="32"/>
        </w:rPr>
        <w:t>个、重点工作</w:t>
      </w:r>
      <w:r>
        <w:rPr>
          <w:rFonts w:eastAsia="仿宋_GB2312"/>
          <w:color w:val="000000"/>
          <w:sz w:val="32"/>
          <w:szCs w:val="32"/>
        </w:rPr>
        <w:t>16</w:t>
      </w:r>
      <w:r>
        <w:rPr>
          <w:rFonts w:hint="eastAsia" w:eastAsia="仿宋_GB2312"/>
          <w:color w:val="000000"/>
          <w:sz w:val="32"/>
          <w:szCs w:val="32"/>
        </w:rPr>
        <w:t>项，重大活动</w:t>
      </w:r>
      <w:r>
        <w:rPr>
          <w:rFonts w:eastAsia="仿宋_GB2312"/>
          <w:color w:val="000000"/>
          <w:sz w:val="32"/>
          <w:szCs w:val="32"/>
        </w:rPr>
        <w:t>15</w:t>
      </w:r>
      <w:r>
        <w:rPr>
          <w:rFonts w:hint="eastAsia" w:eastAsia="仿宋_GB2312"/>
          <w:color w:val="000000"/>
          <w:sz w:val="32"/>
          <w:szCs w:val="32"/>
        </w:rPr>
        <w:t>项。加强对</w:t>
      </w:r>
      <w:r>
        <w:rPr>
          <w:rFonts w:eastAsia="仿宋_GB2312"/>
          <w:color w:val="000000"/>
          <w:sz w:val="32"/>
          <w:szCs w:val="32"/>
        </w:rPr>
        <w:t>“</w:t>
      </w:r>
      <w:r>
        <w:rPr>
          <w:rFonts w:hint="eastAsia" w:eastAsia="仿宋_GB2312"/>
          <w:color w:val="000000"/>
          <w:sz w:val="32"/>
          <w:szCs w:val="32"/>
        </w:rPr>
        <w:t>康养</w:t>
      </w:r>
      <w:r>
        <w:rPr>
          <w:rFonts w:eastAsia="仿宋_GB2312"/>
          <w:color w:val="000000"/>
          <w:sz w:val="32"/>
          <w:szCs w:val="32"/>
        </w:rPr>
        <w:t>+”</w:t>
      </w:r>
      <w:r>
        <w:rPr>
          <w:rFonts w:hint="eastAsia" w:eastAsia="仿宋_GB2312"/>
          <w:color w:val="000000"/>
          <w:sz w:val="32"/>
          <w:szCs w:val="32"/>
        </w:rPr>
        <w:t>产业重点项目调研督查。完善康养产业项目库。已形成</w:t>
      </w:r>
      <w:r>
        <w:rPr>
          <w:rFonts w:eastAsia="仿宋_GB2312"/>
          <w:color w:val="000000"/>
          <w:sz w:val="32"/>
          <w:szCs w:val="32"/>
        </w:rPr>
        <w:t>110</w:t>
      </w:r>
      <w:r>
        <w:rPr>
          <w:rFonts w:hint="eastAsia" w:eastAsia="仿宋_GB2312"/>
          <w:color w:val="000000"/>
          <w:sz w:val="32"/>
          <w:szCs w:val="32"/>
        </w:rPr>
        <w:t>个康养产业项目库，其中包装策划类项目</w:t>
      </w:r>
      <w:r>
        <w:rPr>
          <w:rFonts w:eastAsia="仿宋_GB2312"/>
          <w:color w:val="000000"/>
          <w:sz w:val="32"/>
          <w:szCs w:val="32"/>
        </w:rPr>
        <w:t>31</w:t>
      </w:r>
      <w:r>
        <w:rPr>
          <w:rFonts w:hint="eastAsia" w:eastAsia="仿宋_GB2312"/>
          <w:color w:val="000000"/>
          <w:sz w:val="32"/>
          <w:szCs w:val="32"/>
        </w:rPr>
        <w:t>个，审批待建类项目</w:t>
      </w:r>
      <w:r>
        <w:rPr>
          <w:rFonts w:eastAsia="仿宋_GB2312"/>
          <w:color w:val="000000"/>
          <w:sz w:val="32"/>
          <w:szCs w:val="32"/>
        </w:rPr>
        <w:t>14</w:t>
      </w:r>
      <w:r>
        <w:rPr>
          <w:rFonts w:hint="eastAsia" w:eastAsia="仿宋_GB2312"/>
          <w:color w:val="000000"/>
          <w:sz w:val="32"/>
          <w:szCs w:val="32"/>
        </w:rPr>
        <w:t>个，开工建设类项目</w:t>
      </w:r>
      <w:r>
        <w:rPr>
          <w:rFonts w:eastAsia="仿宋_GB2312"/>
          <w:color w:val="000000"/>
          <w:sz w:val="32"/>
          <w:szCs w:val="32"/>
        </w:rPr>
        <w:t>65</w:t>
      </w:r>
      <w:r>
        <w:rPr>
          <w:rFonts w:hint="eastAsia" w:eastAsia="仿宋_GB2312"/>
          <w:color w:val="000000"/>
          <w:sz w:val="32"/>
          <w:szCs w:val="32"/>
        </w:rPr>
        <w:t>个。</w:t>
      </w:r>
    </w:p>
    <w:p>
      <w:pPr>
        <w:spacing w:line="640" w:lineRule="exact"/>
        <w:ind w:firstLine="663"/>
        <w:rPr>
          <w:rFonts w:eastAsia="仿宋_GB2312"/>
          <w:bCs/>
          <w:color w:val="000000"/>
          <w:sz w:val="32"/>
          <w:szCs w:val="32"/>
        </w:rPr>
      </w:pPr>
      <w:r>
        <w:rPr>
          <w:rFonts w:eastAsia="仿宋_GB2312"/>
          <w:bCs/>
          <w:color w:val="000000"/>
          <w:sz w:val="32"/>
          <w:szCs w:val="32"/>
        </w:rPr>
        <w:t xml:space="preserve">4. </w:t>
      </w:r>
      <w:r>
        <w:rPr>
          <w:rFonts w:hint="eastAsia" w:eastAsia="仿宋_GB2312"/>
          <w:bCs/>
          <w:color w:val="000000"/>
          <w:sz w:val="32"/>
          <w:szCs w:val="32"/>
        </w:rPr>
        <w:t>着力做好交通基础设施建设，推动开放合作，加快建设四川南向开放门户。</w:t>
      </w:r>
    </w:p>
    <w:p>
      <w:pPr>
        <w:spacing w:line="640" w:lineRule="exact"/>
        <w:ind w:firstLine="663"/>
        <w:rPr>
          <w:rFonts w:eastAsia="仿宋_GB2312"/>
          <w:color w:val="000000"/>
          <w:sz w:val="32"/>
          <w:szCs w:val="32"/>
        </w:rPr>
      </w:pPr>
      <w:r>
        <w:rPr>
          <w:rFonts w:hint="eastAsia" w:eastAsia="仿宋_GB2312"/>
          <w:color w:val="000000"/>
          <w:sz w:val="32"/>
          <w:szCs w:val="32"/>
        </w:rPr>
        <w:t>成昆铁路扩能改造工程顺利推进，预计完成</w:t>
      </w:r>
      <w:r>
        <w:rPr>
          <w:rFonts w:eastAsia="仿宋_GB2312"/>
          <w:color w:val="000000"/>
          <w:sz w:val="32"/>
          <w:szCs w:val="32"/>
        </w:rPr>
        <w:t>19.3</w:t>
      </w:r>
      <w:r>
        <w:rPr>
          <w:rFonts w:hint="eastAsia" w:eastAsia="仿宋_GB2312"/>
          <w:color w:val="000000"/>
          <w:sz w:val="32"/>
          <w:szCs w:val="32"/>
        </w:rPr>
        <w:t>亿元（其中：米攀段</w:t>
      </w:r>
      <w:r>
        <w:rPr>
          <w:rFonts w:eastAsia="仿宋_GB2312"/>
          <w:color w:val="000000"/>
          <w:sz w:val="32"/>
          <w:szCs w:val="32"/>
        </w:rPr>
        <w:t>13.5</w:t>
      </w:r>
      <w:r>
        <w:rPr>
          <w:rFonts w:hint="eastAsia" w:eastAsia="仿宋_GB2312"/>
          <w:color w:val="000000"/>
          <w:sz w:val="32"/>
          <w:szCs w:val="32"/>
        </w:rPr>
        <w:t>亿元，峨米段攀枝花境内</w:t>
      </w:r>
      <w:r>
        <w:rPr>
          <w:rFonts w:eastAsia="仿宋_GB2312"/>
          <w:color w:val="000000"/>
          <w:sz w:val="32"/>
          <w:szCs w:val="32"/>
        </w:rPr>
        <w:t>5.8</w:t>
      </w:r>
      <w:r>
        <w:rPr>
          <w:rFonts w:hint="eastAsia" w:eastAsia="仿宋_GB2312"/>
          <w:color w:val="000000"/>
          <w:sz w:val="32"/>
          <w:szCs w:val="32"/>
        </w:rPr>
        <w:t>亿元）。机场迁建取得阶段性成果，攀枝花机场迁建前期工作纳入国家民航</w:t>
      </w:r>
      <w:r>
        <w:rPr>
          <w:rFonts w:hint="eastAsia" w:eastAsia="仿宋_GB2312"/>
          <w:color w:val="000000"/>
          <w:sz w:val="32"/>
          <w:szCs w:val="32"/>
          <w:lang w:eastAsia="zh-CN"/>
        </w:rPr>
        <w:t>“十三五”规划</w:t>
      </w:r>
      <w:r>
        <w:rPr>
          <w:rFonts w:hint="eastAsia" w:eastAsia="仿宋_GB2312"/>
          <w:color w:val="000000"/>
          <w:sz w:val="32"/>
          <w:szCs w:val="32"/>
        </w:rPr>
        <w:t>中期调整事宜，已通过国家民航管理局专家评估。《攀枝花国家级市域、市际综合交通枢纽规划》结题。攀大（四川境）高速公路完成年度投资</w:t>
      </w:r>
      <w:r>
        <w:rPr>
          <w:rFonts w:eastAsia="仿宋_GB2312"/>
          <w:color w:val="000000"/>
          <w:sz w:val="32"/>
          <w:szCs w:val="32"/>
        </w:rPr>
        <w:t xml:space="preserve">8.25 </w:t>
      </w:r>
      <w:r>
        <w:rPr>
          <w:rFonts w:hint="eastAsia" w:eastAsia="仿宋_GB2312"/>
          <w:color w:val="000000"/>
          <w:sz w:val="32"/>
          <w:szCs w:val="32"/>
        </w:rPr>
        <w:t>亿元，累计完成投资</w:t>
      </w:r>
      <w:r>
        <w:rPr>
          <w:rFonts w:eastAsia="仿宋_GB2312"/>
          <w:color w:val="000000"/>
          <w:sz w:val="32"/>
          <w:szCs w:val="32"/>
        </w:rPr>
        <w:t>38.79</w:t>
      </w:r>
      <w:r>
        <w:rPr>
          <w:rFonts w:hint="eastAsia" w:eastAsia="仿宋_GB2312"/>
          <w:color w:val="000000"/>
          <w:sz w:val="32"/>
          <w:szCs w:val="32"/>
        </w:rPr>
        <w:t>亿元。累计完成工程形象进度</w:t>
      </w:r>
      <w:r>
        <w:rPr>
          <w:rFonts w:eastAsia="仿宋_GB2312"/>
          <w:color w:val="000000"/>
          <w:sz w:val="32"/>
          <w:szCs w:val="32"/>
        </w:rPr>
        <w:t>69%</w:t>
      </w:r>
      <w:r>
        <w:rPr>
          <w:rFonts w:hint="eastAsia" w:eastAsia="仿宋_GB2312"/>
          <w:color w:val="000000"/>
          <w:sz w:val="32"/>
          <w:szCs w:val="32"/>
        </w:rPr>
        <w:t>。</w:t>
      </w:r>
      <w:r>
        <w:rPr>
          <w:rFonts w:eastAsia="仿宋_GB2312"/>
          <w:color w:val="000000"/>
          <w:sz w:val="32"/>
          <w:szCs w:val="32"/>
        </w:rPr>
        <w:t xml:space="preserve">G4216 </w:t>
      </w:r>
      <w:r>
        <w:rPr>
          <w:rFonts w:hint="eastAsia" w:eastAsia="仿宋_GB2312"/>
          <w:color w:val="000000"/>
          <w:sz w:val="32"/>
          <w:szCs w:val="32"/>
        </w:rPr>
        <w:t>线宁攀高速公路项目已完成初步设计。</w:t>
      </w:r>
    </w:p>
    <w:p>
      <w:pPr>
        <w:spacing w:line="640" w:lineRule="exact"/>
        <w:ind w:firstLine="663"/>
        <w:rPr>
          <w:rFonts w:eastAsia="仿宋_GB2312"/>
          <w:color w:val="000000"/>
          <w:sz w:val="32"/>
          <w:szCs w:val="32"/>
        </w:rPr>
      </w:pPr>
      <w:r>
        <w:rPr>
          <w:rFonts w:eastAsia="仿宋_GB2312"/>
          <w:bCs/>
          <w:color w:val="000000"/>
          <w:sz w:val="32"/>
          <w:szCs w:val="32"/>
        </w:rPr>
        <w:t xml:space="preserve">5. </w:t>
      </w:r>
      <w:r>
        <w:rPr>
          <w:rFonts w:hint="eastAsia" w:eastAsia="仿宋_GB2312"/>
          <w:bCs/>
          <w:color w:val="000000"/>
          <w:sz w:val="32"/>
          <w:szCs w:val="32"/>
        </w:rPr>
        <w:t>着力深化改革，不断增强要素保障能力。</w:t>
      </w:r>
      <w:r>
        <w:rPr>
          <w:rFonts w:hint="eastAsia" w:eastAsia="仿宋_GB2312"/>
          <w:color w:val="000000"/>
          <w:sz w:val="32"/>
          <w:szCs w:val="32"/>
        </w:rPr>
        <w:t>钒钛高新区、东区高新技术产业园区、格里坪特色产业园区纳入《中国开发区审核公告目录（</w:t>
      </w:r>
      <w:r>
        <w:rPr>
          <w:rFonts w:eastAsia="仿宋_GB2312"/>
          <w:color w:val="000000"/>
          <w:sz w:val="32"/>
          <w:szCs w:val="32"/>
        </w:rPr>
        <w:t>2018</w:t>
      </w:r>
      <w:r>
        <w:rPr>
          <w:rFonts w:hint="eastAsia" w:eastAsia="仿宋_GB2312"/>
          <w:color w:val="000000"/>
          <w:sz w:val="32"/>
          <w:szCs w:val="32"/>
        </w:rPr>
        <w:t>版）》。稳步推进</w:t>
      </w:r>
      <w:r>
        <w:rPr>
          <w:rFonts w:eastAsia="仿宋_GB2312"/>
          <w:color w:val="000000"/>
          <w:sz w:val="32"/>
          <w:szCs w:val="32"/>
        </w:rPr>
        <w:t>2018</w:t>
      </w:r>
      <w:r>
        <w:rPr>
          <w:rFonts w:hint="eastAsia" w:eastAsia="仿宋_GB2312"/>
          <w:color w:val="000000"/>
          <w:sz w:val="32"/>
          <w:szCs w:val="32"/>
        </w:rPr>
        <w:t>年电力价格改革，降低富余电量输配电价，</w:t>
      </w:r>
      <w:r>
        <w:rPr>
          <w:rFonts w:eastAsia="仿宋_GB2312"/>
          <w:color w:val="000000"/>
          <w:sz w:val="32"/>
          <w:szCs w:val="32"/>
        </w:rPr>
        <w:t>110</w:t>
      </w:r>
      <w:r>
        <w:rPr>
          <w:rFonts w:hint="eastAsia" w:eastAsia="仿宋_GB2312"/>
          <w:color w:val="000000"/>
          <w:sz w:val="32"/>
          <w:szCs w:val="32"/>
        </w:rPr>
        <w:t>千伏及以下电压等级的输配电价降低</w:t>
      </w:r>
      <w:r>
        <w:rPr>
          <w:rFonts w:eastAsia="仿宋_GB2312"/>
          <w:color w:val="000000"/>
          <w:sz w:val="32"/>
          <w:szCs w:val="32"/>
        </w:rPr>
        <w:t>0.03</w:t>
      </w:r>
      <w:r>
        <w:rPr>
          <w:rFonts w:hint="eastAsia" w:eastAsia="仿宋_GB2312"/>
          <w:color w:val="000000"/>
          <w:sz w:val="32"/>
          <w:szCs w:val="32"/>
        </w:rPr>
        <w:t>元</w:t>
      </w:r>
      <w:r>
        <w:rPr>
          <w:rFonts w:eastAsia="仿宋_GB2312"/>
          <w:color w:val="000000"/>
          <w:sz w:val="32"/>
          <w:szCs w:val="32"/>
        </w:rPr>
        <w:t>/</w:t>
      </w:r>
      <w:r>
        <w:rPr>
          <w:rFonts w:hint="eastAsia" w:eastAsia="仿宋_GB2312"/>
          <w:color w:val="000000"/>
          <w:sz w:val="32"/>
          <w:szCs w:val="32"/>
        </w:rPr>
        <w:t>千瓦时，</w:t>
      </w:r>
      <w:r>
        <w:rPr>
          <w:rFonts w:eastAsia="仿宋_GB2312"/>
          <w:color w:val="000000"/>
          <w:sz w:val="32"/>
          <w:szCs w:val="32"/>
        </w:rPr>
        <w:t>220</w:t>
      </w:r>
      <w:r>
        <w:rPr>
          <w:rFonts w:hint="eastAsia" w:eastAsia="仿宋_GB2312"/>
          <w:color w:val="000000"/>
          <w:sz w:val="32"/>
          <w:szCs w:val="32"/>
        </w:rPr>
        <w:t>千伏电压等级输配电价降低</w:t>
      </w:r>
      <w:r>
        <w:rPr>
          <w:rFonts w:eastAsia="仿宋_GB2312"/>
          <w:color w:val="000000"/>
          <w:sz w:val="32"/>
          <w:szCs w:val="32"/>
        </w:rPr>
        <w:t>0.0241</w:t>
      </w:r>
      <w:r>
        <w:rPr>
          <w:rFonts w:hint="eastAsia" w:eastAsia="仿宋_GB2312"/>
          <w:color w:val="000000"/>
          <w:sz w:val="32"/>
          <w:szCs w:val="32"/>
        </w:rPr>
        <w:t>元</w:t>
      </w:r>
      <w:r>
        <w:rPr>
          <w:rFonts w:eastAsia="仿宋_GB2312"/>
          <w:color w:val="000000"/>
          <w:sz w:val="32"/>
          <w:szCs w:val="32"/>
        </w:rPr>
        <w:t>/</w:t>
      </w:r>
      <w:r>
        <w:rPr>
          <w:rFonts w:hint="eastAsia" w:eastAsia="仿宋_GB2312"/>
          <w:color w:val="000000"/>
          <w:sz w:val="32"/>
          <w:szCs w:val="32"/>
        </w:rPr>
        <w:t>千瓦时；一般工商业及其他用电目录销售电价每千瓦时下调</w:t>
      </w:r>
      <w:r>
        <w:rPr>
          <w:rFonts w:eastAsia="仿宋_GB2312"/>
          <w:color w:val="000000"/>
          <w:sz w:val="32"/>
          <w:szCs w:val="32"/>
        </w:rPr>
        <w:t>8</w:t>
      </w:r>
      <w:r>
        <w:rPr>
          <w:rFonts w:hint="eastAsia" w:eastAsia="仿宋_GB2312"/>
          <w:color w:val="000000"/>
          <w:sz w:val="32"/>
          <w:szCs w:val="32"/>
        </w:rPr>
        <w:t>分；</w:t>
      </w:r>
      <w:r>
        <w:rPr>
          <w:rFonts w:eastAsia="仿宋_GB2312"/>
          <w:color w:val="000000"/>
          <w:sz w:val="32"/>
          <w:szCs w:val="32"/>
        </w:rPr>
        <w:t xml:space="preserve"> </w:t>
      </w:r>
      <w:r>
        <w:rPr>
          <w:rFonts w:hint="eastAsia" w:eastAsia="仿宋_GB2312"/>
          <w:color w:val="000000"/>
          <w:sz w:val="32"/>
          <w:szCs w:val="32"/>
        </w:rPr>
        <w:t>明确了攀钢高炉渣提钛项目从</w:t>
      </w:r>
      <w:r>
        <w:rPr>
          <w:rFonts w:eastAsia="仿宋_GB2312"/>
          <w:color w:val="000000"/>
          <w:sz w:val="32"/>
          <w:szCs w:val="32"/>
        </w:rPr>
        <w:t>2018</w:t>
      </w:r>
      <w:r>
        <w:rPr>
          <w:rFonts w:hint="eastAsia" w:eastAsia="仿宋_GB2312"/>
          <w:color w:val="000000"/>
          <w:sz w:val="32"/>
          <w:szCs w:val="32"/>
        </w:rPr>
        <w:t>年</w:t>
      </w:r>
      <w:r>
        <w:rPr>
          <w:rFonts w:eastAsia="仿宋_GB2312"/>
          <w:color w:val="000000"/>
          <w:sz w:val="32"/>
          <w:szCs w:val="32"/>
        </w:rPr>
        <w:t>1</w:t>
      </w:r>
      <w:r>
        <w:rPr>
          <w:rFonts w:hint="eastAsia" w:eastAsia="仿宋_GB2312"/>
          <w:color w:val="000000"/>
          <w:sz w:val="32"/>
          <w:szCs w:val="32"/>
        </w:rPr>
        <w:t>月</w:t>
      </w:r>
      <w:r>
        <w:rPr>
          <w:rFonts w:eastAsia="仿宋_GB2312"/>
          <w:color w:val="000000"/>
          <w:sz w:val="32"/>
          <w:szCs w:val="32"/>
        </w:rPr>
        <w:t>1</w:t>
      </w:r>
      <w:r>
        <w:rPr>
          <w:rFonts w:hint="eastAsia" w:eastAsia="仿宋_GB2312"/>
          <w:color w:val="000000"/>
          <w:sz w:val="32"/>
          <w:szCs w:val="32"/>
        </w:rPr>
        <w:t>日起执行电能替代电价政策。协调配合花投公司和城投公司</w:t>
      </w:r>
      <w:r>
        <w:rPr>
          <w:rFonts w:eastAsia="仿宋_GB2312"/>
          <w:color w:val="000000"/>
          <w:sz w:val="32"/>
          <w:szCs w:val="32"/>
        </w:rPr>
        <w:t>8</w:t>
      </w:r>
      <w:r>
        <w:rPr>
          <w:rFonts w:hint="eastAsia" w:eastAsia="仿宋_GB2312"/>
          <w:color w:val="000000"/>
          <w:sz w:val="32"/>
          <w:szCs w:val="32"/>
        </w:rPr>
        <w:t>亿元和</w:t>
      </w:r>
      <w:r>
        <w:rPr>
          <w:rFonts w:eastAsia="仿宋_GB2312"/>
          <w:color w:val="000000"/>
          <w:sz w:val="32"/>
          <w:szCs w:val="32"/>
        </w:rPr>
        <w:t>15</w:t>
      </w:r>
      <w:r>
        <w:rPr>
          <w:rFonts w:hint="eastAsia" w:eastAsia="仿宋_GB2312"/>
          <w:color w:val="000000"/>
          <w:sz w:val="32"/>
          <w:szCs w:val="32"/>
        </w:rPr>
        <w:t>亿元发债申请。制定我市推进公平竞争审查的工作机制和具体措施。</w:t>
      </w:r>
    </w:p>
    <w:p>
      <w:pPr>
        <w:spacing w:line="640" w:lineRule="exact"/>
        <w:ind w:firstLine="663"/>
        <w:rPr>
          <w:rFonts w:eastAsia="仿宋_GB2312"/>
          <w:color w:val="000000"/>
          <w:sz w:val="32"/>
          <w:szCs w:val="32"/>
        </w:rPr>
      </w:pPr>
      <w:r>
        <w:rPr>
          <w:rFonts w:eastAsia="仿宋_GB2312"/>
          <w:bCs/>
          <w:color w:val="000000"/>
          <w:sz w:val="32"/>
          <w:szCs w:val="32"/>
        </w:rPr>
        <w:t xml:space="preserve">6. </w:t>
      </w:r>
      <w:r>
        <w:rPr>
          <w:rFonts w:hint="eastAsia" w:eastAsia="仿宋_GB2312"/>
          <w:bCs/>
          <w:color w:val="000000"/>
          <w:sz w:val="32"/>
          <w:szCs w:val="32"/>
        </w:rPr>
        <w:t>着力监管和职能转变，不断优化营商环境。</w:t>
      </w:r>
      <w:r>
        <w:rPr>
          <w:rFonts w:hint="eastAsia" w:eastAsia="仿宋_GB2312"/>
          <w:color w:val="000000"/>
          <w:sz w:val="32"/>
          <w:szCs w:val="32"/>
        </w:rPr>
        <w:t>深入推进</w:t>
      </w:r>
      <w:r>
        <w:rPr>
          <w:rFonts w:eastAsia="仿宋_GB2312"/>
          <w:color w:val="000000"/>
          <w:sz w:val="32"/>
          <w:szCs w:val="32"/>
        </w:rPr>
        <w:t>“</w:t>
      </w:r>
      <w:r>
        <w:rPr>
          <w:rFonts w:hint="eastAsia" w:eastAsia="仿宋_GB2312"/>
          <w:color w:val="000000"/>
          <w:sz w:val="32"/>
          <w:szCs w:val="32"/>
        </w:rPr>
        <w:t>利剑除弊</w:t>
      </w:r>
      <w:r>
        <w:rPr>
          <w:rFonts w:eastAsia="仿宋_GB2312"/>
          <w:color w:val="000000"/>
          <w:sz w:val="32"/>
          <w:szCs w:val="32"/>
        </w:rPr>
        <w:t xml:space="preserve"> </w:t>
      </w:r>
      <w:r>
        <w:rPr>
          <w:rFonts w:hint="eastAsia" w:eastAsia="仿宋_GB2312"/>
          <w:color w:val="000000"/>
          <w:sz w:val="32"/>
          <w:szCs w:val="32"/>
        </w:rPr>
        <w:t>护航阳光花城</w:t>
      </w:r>
      <w:r>
        <w:rPr>
          <w:rFonts w:eastAsia="仿宋_GB2312"/>
          <w:color w:val="000000"/>
          <w:sz w:val="32"/>
          <w:szCs w:val="32"/>
        </w:rPr>
        <w:t>”</w:t>
      </w:r>
      <w:r>
        <w:rPr>
          <w:rFonts w:hint="eastAsia" w:eastAsia="仿宋_GB2312"/>
          <w:color w:val="000000"/>
          <w:sz w:val="32"/>
          <w:szCs w:val="32"/>
        </w:rPr>
        <w:t>专项整治行动，会同七个市级行业主管部门联合印发《关于进一步明晰工程建设项目招标投标监督管理相关事宜的通知》，构建了全市招投标活动依法运行、流程规范的监督管理总体框架。出台《关于整合和规范全市产业扶持政策资金的实施意见》，兑现第一批全市产业扶持政策资金项目金额共</w:t>
      </w:r>
      <w:r>
        <w:rPr>
          <w:rFonts w:eastAsia="仿宋_GB2312"/>
          <w:color w:val="000000"/>
          <w:sz w:val="32"/>
          <w:szCs w:val="32"/>
        </w:rPr>
        <w:t>695</w:t>
      </w:r>
      <w:r>
        <w:rPr>
          <w:rFonts w:hint="eastAsia" w:eastAsia="仿宋_GB2312"/>
          <w:color w:val="000000"/>
          <w:sz w:val="32"/>
          <w:szCs w:val="32"/>
        </w:rPr>
        <w:t>万元。</w:t>
      </w:r>
      <w:r>
        <w:rPr>
          <w:rFonts w:hint="eastAsia" w:eastAsia="仿宋_GB2312"/>
          <w:sz w:val="32"/>
          <w:szCs w:val="32"/>
        </w:rPr>
        <w:t>开展易地扶贫搬迁建材价格，城市供水、供气、电信领域价格，机动车检测收费等领域专项检查，没收</w:t>
      </w:r>
      <w:r>
        <w:rPr>
          <w:rFonts w:eastAsia="仿宋_GB2312"/>
          <w:sz w:val="32"/>
          <w:szCs w:val="32"/>
        </w:rPr>
        <w:t>183.22</w:t>
      </w:r>
      <w:r>
        <w:rPr>
          <w:rFonts w:hint="eastAsia" w:eastAsia="仿宋_GB2312"/>
          <w:sz w:val="32"/>
          <w:szCs w:val="32"/>
        </w:rPr>
        <w:t>万元，罚款</w:t>
      </w:r>
      <w:r>
        <w:rPr>
          <w:rFonts w:eastAsia="仿宋_GB2312"/>
          <w:sz w:val="32"/>
          <w:szCs w:val="32"/>
        </w:rPr>
        <w:t>20</w:t>
      </w:r>
      <w:r>
        <w:rPr>
          <w:rFonts w:hint="eastAsia" w:eastAsia="仿宋_GB2312"/>
          <w:sz w:val="32"/>
          <w:szCs w:val="32"/>
        </w:rPr>
        <w:t>万元。</w:t>
      </w:r>
      <w:r>
        <w:rPr>
          <w:rFonts w:eastAsia="仿宋_GB2312"/>
          <w:sz w:val="32"/>
          <w:szCs w:val="32"/>
        </w:rPr>
        <w:t>2018</w:t>
      </w:r>
      <w:r>
        <w:rPr>
          <w:rFonts w:hint="eastAsia" w:eastAsia="仿宋_GB2312"/>
          <w:sz w:val="32"/>
          <w:szCs w:val="32"/>
        </w:rPr>
        <w:t>年全市价格监督检查机构共受理群众来信、来访、来电、咨询</w:t>
      </w:r>
      <w:r>
        <w:rPr>
          <w:rFonts w:eastAsia="仿宋_GB2312"/>
          <w:sz w:val="32"/>
          <w:szCs w:val="32"/>
        </w:rPr>
        <w:t>482</w:t>
      </w:r>
      <w:r>
        <w:rPr>
          <w:rFonts w:hint="eastAsia" w:eastAsia="仿宋_GB2312"/>
          <w:sz w:val="32"/>
          <w:szCs w:val="32"/>
        </w:rPr>
        <w:t>件</w:t>
      </w:r>
      <w:r>
        <w:rPr>
          <w:rFonts w:eastAsia="仿宋_GB2312"/>
          <w:sz w:val="32"/>
          <w:szCs w:val="32"/>
        </w:rPr>
        <w:t>(</w:t>
      </w:r>
      <w:r>
        <w:rPr>
          <w:rFonts w:hint="eastAsia" w:eastAsia="仿宋_GB2312"/>
          <w:sz w:val="32"/>
          <w:szCs w:val="32"/>
        </w:rPr>
        <w:t>其中价格监管平台</w:t>
      </w:r>
      <w:r>
        <w:rPr>
          <w:rFonts w:eastAsia="仿宋_GB2312"/>
          <w:sz w:val="32"/>
          <w:szCs w:val="32"/>
        </w:rPr>
        <w:t>472</w:t>
      </w:r>
      <w:r>
        <w:rPr>
          <w:rFonts w:hint="eastAsia" w:eastAsia="仿宋_GB2312"/>
          <w:sz w:val="32"/>
          <w:szCs w:val="32"/>
        </w:rPr>
        <w:t>件），已处理完结</w:t>
      </w:r>
      <w:r>
        <w:rPr>
          <w:rFonts w:eastAsia="仿宋_GB2312"/>
          <w:sz w:val="32"/>
          <w:szCs w:val="32"/>
        </w:rPr>
        <w:t>482</w:t>
      </w:r>
      <w:r>
        <w:rPr>
          <w:rFonts w:hint="eastAsia" w:eastAsia="仿宋_GB2312"/>
          <w:sz w:val="32"/>
          <w:szCs w:val="32"/>
        </w:rPr>
        <w:t>件，办结率</w:t>
      </w:r>
      <w:r>
        <w:rPr>
          <w:rFonts w:eastAsia="仿宋_GB2312"/>
          <w:sz w:val="32"/>
          <w:szCs w:val="32"/>
        </w:rPr>
        <w:t>100%</w:t>
      </w:r>
      <w:r>
        <w:rPr>
          <w:rFonts w:hint="eastAsia" w:eastAsia="仿宋_GB2312"/>
          <w:sz w:val="32"/>
          <w:szCs w:val="32"/>
        </w:rPr>
        <w:t>。</w:t>
      </w:r>
    </w:p>
    <w:p>
      <w:pPr>
        <w:spacing w:line="640" w:lineRule="exact"/>
        <w:ind w:firstLine="663"/>
        <w:rPr>
          <w:rFonts w:eastAsia="仿宋_GB2312"/>
          <w:color w:val="000000"/>
          <w:sz w:val="32"/>
          <w:szCs w:val="32"/>
        </w:rPr>
      </w:pPr>
      <w:r>
        <w:rPr>
          <w:rFonts w:eastAsia="仿宋_GB2312"/>
          <w:bCs/>
          <w:color w:val="000000"/>
          <w:sz w:val="32"/>
          <w:szCs w:val="32"/>
        </w:rPr>
        <w:t xml:space="preserve">7. </w:t>
      </w:r>
      <w:r>
        <w:rPr>
          <w:rFonts w:hint="eastAsia" w:eastAsia="仿宋_GB2312"/>
          <w:bCs/>
          <w:color w:val="000000"/>
          <w:sz w:val="32"/>
          <w:szCs w:val="32"/>
        </w:rPr>
        <w:t>着力践行绿色发展理念，加快建设新型清洁能源基地。</w:t>
      </w:r>
      <w:r>
        <w:rPr>
          <w:rFonts w:hint="eastAsia" w:eastAsia="仿宋_GB2312"/>
          <w:color w:val="000000"/>
          <w:sz w:val="32"/>
          <w:szCs w:val="32"/>
        </w:rPr>
        <w:t>大力推进公共机构节能，开展合同能源管理项目在公共机构中的试点，确定了市建筑工程学校、市十九中小学为合同能源管理试点单位，目前已完成能源审计报告。加快能源结构调整，盐边大面山风电二期全部</w:t>
      </w:r>
      <w:r>
        <w:rPr>
          <w:rFonts w:eastAsia="仿宋_GB2312"/>
          <w:color w:val="000000"/>
          <w:sz w:val="32"/>
          <w:szCs w:val="32"/>
        </w:rPr>
        <w:t>10</w:t>
      </w:r>
      <w:r>
        <w:rPr>
          <w:rFonts w:hint="eastAsia" w:eastAsia="仿宋_GB2312"/>
          <w:color w:val="000000"/>
          <w:sz w:val="32"/>
          <w:szCs w:val="32"/>
        </w:rPr>
        <w:t>万千瓦风电项目并网发电，仁和黄桷垭</w:t>
      </w:r>
      <w:r>
        <w:rPr>
          <w:rFonts w:eastAsia="仿宋_GB2312"/>
          <w:color w:val="000000"/>
          <w:sz w:val="32"/>
          <w:szCs w:val="32"/>
        </w:rPr>
        <w:t>10</w:t>
      </w:r>
      <w:r>
        <w:rPr>
          <w:rFonts w:hint="eastAsia" w:eastAsia="仿宋_GB2312"/>
          <w:color w:val="000000"/>
          <w:sz w:val="32"/>
          <w:szCs w:val="32"/>
        </w:rPr>
        <w:t>万千瓦风力发电项目完成投资</w:t>
      </w:r>
      <w:r>
        <w:rPr>
          <w:rFonts w:eastAsia="仿宋_GB2312"/>
          <w:color w:val="000000"/>
          <w:sz w:val="32"/>
          <w:szCs w:val="32"/>
        </w:rPr>
        <w:t>43662</w:t>
      </w:r>
      <w:r>
        <w:rPr>
          <w:rFonts w:hint="eastAsia" w:eastAsia="仿宋_GB2312"/>
          <w:color w:val="000000"/>
          <w:sz w:val="32"/>
          <w:szCs w:val="32"/>
        </w:rPr>
        <w:t>万元、风电基础浇筑完成</w:t>
      </w:r>
      <w:r>
        <w:rPr>
          <w:rFonts w:eastAsia="仿宋_GB2312"/>
          <w:color w:val="000000"/>
          <w:sz w:val="32"/>
          <w:szCs w:val="32"/>
        </w:rPr>
        <w:t>12</w:t>
      </w:r>
      <w:r>
        <w:rPr>
          <w:rFonts w:hint="eastAsia" w:eastAsia="仿宋_GB2312"/>
          <w:color w:val="000000"/>
          <w:sz w:val="32"/>
          <w:szCs w:val="32"/>
        </w:rPr>
        <w:t>台，全省首个</w:t>
      </w:r>
      <w:r>
        <w:rPr>
          <w:rFonts w:eastAsia="仿宋_GB2312"/>
          <w:color w:val="000000"/>
          <w:sz w:val="32"/>
          <w:szCs w:val="32"/>
        </w:rPr>
        <w:t>5</w:t>
      </w:r>
      <w:r>
        <w:rPr>
          <w:rFonts w:hint="eastAsia" w:eastAsia="仿宋_GB2312"/>
          <w:color w:val="000000"/>
          <w:sz w:val="32"/>
          <w:szCs w:val="32"/>
        </w:rPr>
        <w:t>万千瓦分散式风电项目西区龙源风电项目按期推进，银江水电站取得项目核准批复、项目业主华润电力控股已与川投集团签订股权转让框架协议，楚攀天然气支线及攀枝花天然气利用项目超额完成年度目标任务，</w:t>
      </w:r>
      <w:r>
        <w:rPr>
          <w:rFonts w:eastAsia="仿宋_GB2312"/>
          <w:color w:val="000000"/>
          <w:sz w:val="32"/>
          <w:szCs w:val="32"/>
        </w:rPr>
        <w:t>11</w:t>
      </w:r>
      <w:r>
        <w:rPr>
          <w:rFonts w:hint="eastAsia" w:eastAsia="仿宋_GB2312"/>
          <w:color w:val="000000"/>
          <w:sz w:val="32"/>
          <w:szCs w:val="32"/>
        </w:rPr>
        <w:t>月</w:t>
      </w:r>
      <w:r>
        <w:rPr>
          <w:rFonts w:eastAsia="仿宋_GB2312"/>
          <w:color w:val="000000"/>
          <w:sz w:val="32"/>
          <w:szCs w:val="32"/>
        </w:rPr>
        <w:t>23</w:t>
      </w:r>
      <w:r>
        <w:rPr>
          <w:rFonts w:hint="eastAsia" w:eastAsia="仿宋_GB2312"/>
          <w:color w:val="000000"/>
          <w:sz w:val="32"/>
          <w:szCs w:val="32"/>
        </w:rPr>
        <w:t>日正式投产供气，攀枝花至西昌天然气支线管道项目预计年底前可实现攀枝花至西昌天然气支线管道控制性工程开工，我市电能替代项目</w:t>
      </w:r>
      <w:r>
        <w:rPr>
          <w:rFonts w:eastAsia="仿宋_GB2312"/>
          <w:color w:val="000000"/>
          <w:sz w:val="32"/>
          <w:szCs w:val="32"/>
        </w:rPr>
        <w:t>8</w:t>
      </w:r>
      <w:r>
        <w:rPr>
          <w:rFonts w:hint="eastAsia" w:eastAsia="仿宋_GB2312"/>
          <w:color w:val="000000"/>
          <w:sz w:val="32"/>
          <w:szCs w:val="32"/>
        </w:rPr>
        <w:t>家企业、</w:t>
      </w:r>
      <w:r>
        <w:rPr>
          <w:rFonts w:eastAsia="仿宋_GB2312"/>
          <w:color w:val="000000"/>
          <w:sz w:val="32"/>
          <w:szCs w:val="32"/>
        </w:rPr>
        <w:t>10</w:t>
      </w:r>
      <w:r>
        <w:rPr>
          <w:rFonts w:hint="eastAsia" w:eastAsia="仿宋_GB2312"/>
          <w:color w:val="000000"/>
          <w:sz w:val="32"/>
          <w:szCs w:val="32"/>
        </w:rPr>
        <w:t>台（套）锅炉年内可完成。</w:t>
      </w:r>
    </w:p>
    <w:p>
      <w:pPr>
        <w:spacing w:line="640" w:lineRule="exact"/>
        <w:ind w:firstLine="663"/>
        <w:rPr>
          <w:rFonts w:eastAsia="仿宋_GB2312"/>
          <w:color w:val="000000"/>
          <w:sz w:val="32"/>
          <w:szCs w:val="32"/>
        </w:rPr>
      </w:pPr>
      <w:r>
        <w:rPr>
          <w:rFonts w:eastAsia="仿宋_GB2312"/>
          <w:sz w:val="32"/>
          <w:szCs w:val="32"/>
        </w:rPr>
        <w:t xml:space="preserve">8. </w:t>
      </w:r>
      <w:r>
        <w:rPr>
          <w:rFonts w:hint="eastAsia" w:eastAsia="仿宋_GB2312"/>
          <w:sz w:val="32"/>
          <w:szCs w:val="32"/>
        </w:rPr>
        <w:t>着力深化</w:t>
      </w:r>
      <w:r>
        <w:rPr>
          <w:rFonts w:eastAsia="仿宋_GB2312"/>
          <w:sz w:val="32"/>
          <w:szCs w:val="32"/>
        </w:rPr>
        <w:t>“</w:t>
      </w:r>
      <w:r>
        <w:rPr>
          <w:rFonts w:hint="eastAsia" w:eastAsia="仿宋_GB2312"/>
          <w:sz w:val="32"/>
          <w:szCs w:val="32"/>
        </w:rPr>
        <w:t>大学习、大讨论、大调研</w:t>
      </w:r>
      <w:r>
        <w:rPr>
          <w:rFonts w:eastAsia="仿宋_GB2312"/>
          <w:sz w:val="32"/>
          <w:szCs w:val="32"/>
        </w:rPr>
        <w:t>”</w:t>
      </w:r>
      <w:r>
        <w:rPr>
          <w:rFonts w:hint="eastAsia" w:eastAsia="仿宋_GB2312"/>
          <w:sz w:val="32"/>
          <w:szCs w:val="32"/>
        </w:rPr>
        <w:t>活动，为高质量发展出谋划策。充分利用党组会、党组理论学习中心组、</w:t>
      </w:r>
      <w:r>
        <w:rPr>
          <w:rFonts w:eastAsia="仿宋_GB2312"/>
          <w:sz w:val="32"/>
          <w:szCs w:val="32"/>
        </w:rPr>
        <w:t>“</w:t>
      </w:r>
      <w:r>
        <w:rPr>
          <w:rFonts w:hint="eastAsia" w:eastAsia="仿宋_GB2312"/>
          <w:sz w:val="32"/>
          <w:szCs w:val="32"/>
        </w:rPr>
        <w:t>三会一课</w:t>
      </w:r>
      <w:r>
        <w:rPr>
          <w:rFonts w:eastAsia="仿宋_GB2312"/>
          <w:sz w:val="32"/>
          <w:szCs w:val="32"/>
        </w:rPr>
        <w:t>”</w:t>
      </w:r>
      <w:r>
        <w:rPr>
          <w:rFonts w:hint="eastAsia" w:eastAsia="仿宋_GB2312"/>
          <w:sz w:val="32"/>
          <w:szCs w:val="32"/>
        </w:rPr>
        <w:t>等活动，组织全体党员认真学习领会习近平新时代中国特色社会主义思想和习近平总书记对四川工作系列重要指示精神，省委十一届三次全会、市委十届五次全会精神，并结合工作实际开展讨论，开展各类学习。针对经济社会发展中出现的热点、难点问题，积极开展调研，撰写调研报告</w:t>
      </w:r>
      <w:r>
        <w:rPr>
          <w:rFonts w:eastAsia="仿宋_GB2312"/>
          <w:sz w:val="32"/>
          <w:szCs w:val="32"/>
        </w:rPr>
        <w:t>11</w:t>
      </w:r>
      <w:r>
        <w:rPr>
          <w:rFonts w:hint="eastAsia" w:eastAsia="仿宋_GB2312"/>
          <w:sz w:val="32"/>
          <w:szCs w:val="32"/>
        </w:rPr>
        <w:t>篇，</w:t>
      </w:r>
      <w:r>
        <w:rPr>
          <w:rFonts w:hint="eastAsia" w:eastAsia="仿宋_GB2312"/>
          <w:color w:val="000000"/>
          <w:sz w:val="32"/>
          <w:szCs w:val="32"/>
        </w:rPr>
        <w:t>《创新山水林田湖开发</w:t>
      </w:r>
      <w:r>
        <w:rPr>
          <w:rFonts w:eastAsia="仿宋_GB2312"/>
          <w:color w:val="000000"/>
          <w:sz w:val="32"/>
          <w:szCs w:val="32"/>
        </w:rPr>
        <w:t xml:space="preserve"> </w:t>
      </w:r>
      <w:r>
        <w:rPr>
          <w:rFonts w:hint="eastAsia" w:eastAsia="仿宋_GB2312"/>
          <w:color w:val="000000"/>
          <w:sz w:val="32"/>
          <w:szCs w:val="32"/>
        </w:rPr>
        <w:t>建设生态文明新家园》调研报告在市政府政务调研优秀成果评选中获得二等奖。</w:t>
      </w:r>
    </w:p>
    <w:p>
      <w:pPr>
        <w:spacing w:line="640" w:lineRule="exact"/>
        <w:ind w:firstLine="663"/>
        <w:rPr>
          <w:rFonts w:eastAsia="仿宋_GB2312"/>
          <w:sz w:val="32"/>
          <w:szCs w:val="32"/>
        </w:rPr>
      </w:pPr>
      <w:r>
        <w:rPr>
          <w:rFonts w:eastAsia="仿宋_GB2312"/>
          <w:sz w:val="32"/>
          <w:szCs w:val="32"/>
        </w:rPr>
        <w:t xml:space="preserve">9. </w:t>
      </w:r>
      <w:r>
        <w:rPr>
          <w:rFonts w:hint="eastAsia" w:eastAsia="仿宋_GB2312"/>
          <w:sz w:val="32"/>
          <w:szCs w:val="32"/>
        </w:rPr>
        <w:t>着力加强党的建设，营造风清气正良好环境。坚持把党风廉政建设与反腐败工作纳入党的建设总体布局，与中心工作同部署、同落实、同检查、同考核。认真落实中央和省、市委从严管党治党相关要求，严格执行中央八项规定和省、市十项规定及实施细则，持之以恒纠正</w:t>
      </w:r>
      <w:r>
        <w:rPr>
          <w:rFonts w:eastAsia="仿宋_GB2312"/>
          <w:sz w:val="32"/>
          <w:szCs w:val="32"/>
        </w:rPr>
        <w:t>“</w:t>
      </w:r>
      <w:r>
        <w:rPr>
          <w:rFonts w:hint="eastAsia" w:eastAsia="仿宋_GB2312"/>
          <w:sz w:val="32"/>
          <w:szCs w:val="32"/>
        </w:rPr>
        <w:t>四风</w:t>
      </w:r>
      <w:r>
        <w:rPr>
          <w:rFonts w:eastAsia="仿宋_GB2312"/>
          <w:sz w:val="32"/>
          <w:szCs w:val="32"/>
        </w:rPr>
        <w:t>”</w:t>
      </w:r>
      <w:r>
        <w:rPr>
          <w:rFonts w:hint="eastAsia" w:eastAsia="仿宋_GB2312"/>
          <w:sz w:val="32"/>
          <w:szCs w:val="32"/>
        </w:rPr>
        <w:t>，驰而不息正风肃纪。对发现的问题结合市委巡察反馈意见及时提出整改、督办意见和整改措施。</w:t>
      </w:r>
    </w:p>
    <w:p>
      <w:pPr>
        <w:pStyle w:val="3"/>
        <w:rPr>
          <w:rStyle w:val="18"/>
          <w:rFonts w:ascii="黑体" w:hAnsi="黑体" w:eastAsia="黑体"/>
          <w:b w:val="0"/>
          <w:bCs w:val="0"/>
        </w:rPr>
      </w:pPr>
      <w:bookmarkStart w:id="20" w:name="_Toc15377200"/>
      <w:bookmarkStart w:id="21" w:name="_Toc15396601"/>
      <w:r>
        <w:rPr>
          <w:rFonts w:hint="eastAsia" w:ascii="黑体" w:eastAsia="黑体"/>
          <w:b w:val="0"/>
          <w:color w:val="000000"/>
        </w:rPr>
        <w:t>二、</w:t>
      </w:r>
      <w:r>
        <w:rPr>
          <w:rFonts w:hint="eastAsia" w:ascii="黑体" w:hAnsi="黑体" w:eastAsia="黑体"/>
          <w:b w:val="0"/>
          <w:color w:val="000000"/>
        </w:rPr>
        <w:t>机</w:t>
      </w:r>
      <w:r>
        <w:rPr>
          <w:rStyle w:val="18"/>
          <w:rFonts w:hint="eastAsia" w:ascii="黑体" w:hAnsi="黑体" w:eastAsia="黑体"/>
          <w:b w:val="0"/>
          <w:bCs w:val="0"/>
        </w:rPr>
        <w:t>构设置</w:t>
      </w:r>
      <w:bookmarkEnd w:id="20"/>
      <w:bookmarkEnd w:id="21"/>
    </w:p>
    <w:p>
      <w:r>
        <w:rPr>
          <w:rFonts w:eastAsia="仿宋_GB2312"/>
          <w:spacing w:val="-6"/>
          <w:sz w:val="32"/>
          <w:szCs w:val="32"/>
        </w:rPr>
        <w:t xml:space="preserve">    </w:t>
      </w:r>
      <w:r>
        <w:rPr>
          <w:rFonts w:hint="eastAsia" w:eastAsia="仿宋_GB2312"/>
          <w:spacing w:val="-6"/>
          <w:sz w:val="32"/>
          <w:szCs w:val="32"/>
        </w:rPr>
        <w:t>根据《中共攀枝花市委</w:t>
      </w:r>
      <w:r>
        <w:rPr>
          <w:rFonts w:eastAsia="仿宋_GB2312"/>
          <w:spacing w:val="-6"/>
          <w:sz w:val="32"/>
          <w:szCs w:val="32"/>
        </w:rPr>
        <w:t xml:space="preserve"> </w:t>
      </w:r>
      <w:r>
        <w:rPr>
          <w:rFonts w:hint="eastAsia" w:eastAsia="仿宋_GB2312"/>
          <w:spacing w:val="-6"/>
          <w:sz w:val="32"/>
          <w:szCs w:val="32"/>
        </w:rPr>
        <w:t>攀枝花市人民政府关于印发〈攀枝花市人民政府机构改革方案〉和〈关于攀枝花市人民政府机构改革方案的实施意见〉的通知》（攀委发〔</w:t>
      </w:r>
      <w:r>
        <w:rPr>
          <w:rFonts w:eastAsia="仿宋_GB2312"/>
          <w:spacing w:val="-6"/>
          <w:sz w:val="32"/>
          <w:szCs w:val="32"/>
        </w:rPr>
        <w:t>2010</w:t>
      </w:r>
      <w:r>
        <w:rPr>
          <w:rFonts w:hint="eastAsia" w:eastAsia="仿宋_GB2312"/>
          <w:spacing w:val="-6"/>
          <w:sz w:val="32"/>
          <w:szCs w:val="32"/>
        </w:rPr>
        <w:t>〕</w:t>
      </w:r>
      <w:r>
        <w:rPr>
          <w:rFonts w:eastAsia="仿宋_GB2312"/>
          <w:spacing w:val="-6"/>
          <w:sz w:val="32"/>
          <w:szCs w:val="32"/>
        </w:rPr>
        <w:t>14</w:t>
      </w:r>
      <w:r>
        <w:rPr>
          <w:rFonts w:hint="eastAsia" w:eastAsia="仿宋_GB2312"/>
          <w:spacing w:val="-6"/>
          <w:sz w:val="32"/>
          <w:szCs w:val="32"/>
        </w:rPr>
        <w:t>号），设立攀枝花市发展和改革委员会（简称市发展改革委）</w:t>
      </w:r>
      <w:r>
        <w:rPr>
          <w:rFonts w:eastAsia="仿宋_GB2312"/>
          <w:spacing w:val="-6"/>
          <w:sz w:val="32"/>
          <w:szCs w:val="32"/>
        </w:rPr>
        <w:t>,</w:t>
      </w:r>
      <w:r>
        <w:rPr>
          <w:rFonts w:hint="eastAsia" w:eastAsia="仿宋_GB2312"/>
          <w:spacing w:val="-6"/>
          <w:sz w:val="32"/>
          <w:szCs w:val="32"/>
        </w:rPr>
        <w:t>为市政府工作部门。攀枝花市发展和改革委员会挂攀枝花市物价局牌子，</w:t>
      </w:r>
      <w:r>
        <w:rPr>
          <w:rFonts w:hint="eastAsia" w:eastAsia="仿宋_GB2312"/>
          <w:sz w:val="32"/>
          <w:szCs w:val="32"/>
        </w:rPr>
        <w:t>设</w:t>
      </w:r>
      <w:r>
        <w:rPr>
          <w:rFonts w:eastAsia="仿宋_GB2312"/>
          <w:sz w:val="32"/>
          <w:szCs w:val="32"/>
        </w:rPr>
        <w:t>29</w:t>
      </w:r>
      <w:r>
        <w:rPr>
          <w:rFonts w:hint="eastAsia" w:eastAsia="仿宋_GB2312"/>
          <w:sz w:val="32"/>
          <w:szCs w:val="32"/>
        </w:rPr>
        <w:t>个内设处室；机关党办、办公室、政策法规科、国民经济综合科、固定资产投资科、农村经济发展科、交通能源科、产业经贸科、资源节约和环境保护科、社会发展科、经济体制改革和就业收入分配科、财政金融和外资科、价格调控管理科、价格监测和成本监审科、收费管理科、代建项目管理科、招标投标管理科、人事科、行政审批科、市价格监督检查局、铁路建设综合科、铁路建设工程管理科、攀西战略资源创新开发试验区综合科、驻委纪检监察综合科、市项目办、市资源开发办综合科、市全面深化区域合作领导小组办公室综合科、市国民经济和装备动员办公室、市重大建设项目稽查特派员办公室。</w:t>
      </w:r>
    </w:p>
    <w:p>
      <w:pPr>
        <w:snapToGrid w:val="0"/>
        <w:spacing w:line="640" w:lineRule="exact"/>
        <w:ind w:firstLine="640" w:firstLineChars="200"/>
        <w:rPr>
          <w:rFonts w:eastAsia="仿宋_GB2312"/>
          <w:sz w:val="32"/>
          <w:szCs w:val="32"/>
        </w:rPr>
      </w:pPr>
      <w:r>
        <w:rPr>
          <w:rFonts w:hint="eastAsia" w:eastAsia="仿宋_GB2312"/>
          <w:sz w:val="32"/>
          <w:szCs w:val="32"/>
        </w:rPr>
        <w:t>下属事业单位</w:t>
      </w:r>
      <w:r>
        <w:rPr>
          <w:rFonts w:eastAsia="仿宋_GB2312"/>
          <w:sz w:val="32"/>
          <w:szCs w:val="32"/>
        </w:rPr>
        <w:t>1</w:t>
      </w:r>
      <w:r>
        <w:rPr>
          <w:rFonts w:hint="eastAsia" w:eastAsia="仿宋_GB2312"/>
          <w:sz w:val="32"/>
          <w:szCs w:val="32"/>
        </w:rPr>
        <w:t>个：攀枝花市价格认证中心。</w:t>
      </w:r>
    </w:p>
    <w:p>
      <w:pPr>
        <w:rPr>
          <w:rFonts w:ascii="仿宋" w:hAnsi="仿宋" w:eastAsia="仿宋"/>
          <w:sz w:val="32"/>
          <w:szCs w:val="32"/>
        </w:rPr>
      </w:pPr>
      <w:r>
        <w:rPr>
          <w:rFonts w:ascii="仿宋" w:hAnsi="仿宋" w:eastAsia="仿宋"/>
          <w:sz w:val="32"/>
          <w:szCs w:val="32"/>
        </w:rPr>
        <w:t xml:space="preserve">    </w:t>
      </w:r>
      <w:r>
        <w:rPr>
          <w:rFonts w:hint="eastAsia" w:ascii="仿宋" w:hAnsi="仿宋" w:eastAsia="仿宋"/>
          <w:sz w:val="32"/>
          <w:szCs w:val="32"/>
        </w:rPr>
        <w:t>其中行政单位</w:t>
      </w:r>
      <w:r>
        <w:rPr>
          <w:rFonts w:ascii="仿宋" w:hAnsi="仿宋" w:eastAsia="仿宋"/>
          <w:sz w:val="32"/>
          <w:szCs w:val="32"/>
        </w:rPr>
        <w:t>0</w:t>
      </w:r>
      <w:r>
        <w:rPr>
          <w:rFonts w:hint="eastAsia" w:ascii="仿宋" w:hAnsi="仿宋" w:eastAsia="仿宋"/>
          <w:sz w:val="32"/>
          <w:szCs w:val="32"/>
        </w:rPr>
        <w:t>个，参照公务员法管理的事业单位</w:t>
      </w:r>
      <w:r>
        <w:rPr>
          <w:rFonts w:ascii="仿宋" w:hAnsi="仿宋" w:eastAsia="仿宋"/>
          <w:bCs/>
          <w:sz w:val="32"/>
          <w:szCs w:val="32"/>
        </w:rPr>
        <w:t>0</w:t>
      </w:r>
      <w:r>
        <w:rPr>
          <w:rFonts w:hint="eastAsia" w:ascii="仿宋" w:hAnsi="仿宋" w:eastAsia="仿宋"/>
          <w:sz w:val="32"/>
          <w:szCs w:val="32"/>
        </w:rPr>
        <w:t>个，其他事业单位</w:t>
      </w:r>
      <w:r>
        <w:rPr>
          <w:rFonts w:ascii="仿宋" w:hAnsi="仿宋" w:eastAsia="仿宋"/>
          <w:sz w:val="32"/>
          <w:szCs w:val="32"/>
        </w:rPr>
        <w:t>0</w:t>
      </w:r>
      <w:r>
        <w:rPr>
          <w:rFonts w:hint="eastAsia" w:ascii="仿宋" w:hAnsi="仿宋" w:eastAsia="仿宋"/>
          <w:sz w:val="32"/>
          <w:szCs w:val="32"/>
        </w:rPr>
        <w:t>个。</w:t>
      </w:r>
    </w:p>
    <w:p>
      <w:pPr>
        <w:pStyle w:val="5"/>
        <w:adjustRightInd w:val="0"/>
        <w:snapToGrid w:val="0"/>
        <w:spacing w:before="93" w:line="600" w:lineRule="exact"/>
        <w:ind w:firstLine="672" w:firstLineChars="210"/>
        <w:rPr>
          <w:rFonts w:ascii="仿宋" w:hAnsi="仿宋" w:eastAsia="仿宋"/>
          <w:color w:val="000000"/>
          <w:sz w:val="32"/>
          <w:szCs w:val="32"/>
        </w:rPr>
      </w:pPr>
      <w:r>
        <w:rPr>
          <w:rFonts w:hint="eastAsia" w:ascii="仿宋" w:hAnsi="仿宋" w:eastAsia="仿宋"/>
          <w:color w:val="000000"/>
          <w:sz w:val="32"/>
          <w:szCs w:val="32"/>
        </w:rPr>
        <w:t>纳入市发展改革委</w:t>
      </w:r>
      <w:r>
        <w:rPr>
          <w:rFonts w:ascii="仿宋" w:hAnsi="仿宋" w:eastAsia="仿宋"/>
          <w:color w:val="000000"/>
          <w:sz w:val="32"/>
          <w:szCs w:val="32"/>
        </w:rPr>
        <w:t>2018</w:t>
      </w:r>
      <w:r>
        <w:rPr>
          <w:rFonts w:hint="eastAsia" w:ascii="仿宋" w:hAnsi="仿宋" w:eastAsia="仿宋"/>
          <w:color w:val="000000"/>
          <w:sz w:val="32"/>
          <w:szCs w:val="32"/>
        </w:rPr>
        <w:t>年度部门决算编制范围的二级预算单位包括：无。</w:t>
      </w:r>
    </w:p>
    <w:p>
      <w:pPr>
        <w:widowControl/>
        <w:jc w:val="left"/>
        <w:rPr>
          <w:rFonts w:ascii="仿宋" w:hAnsi="仿宋" w:eastAsia="仿宋"/>
          <w:color w:val="000000"/>
          <w:kern w:val="0"/>
          <w:sz w:val="32"/>
          <w:szCs w:val="32"/>
        </w:rPr>
      </w:pPr>
      <w:r>
        <w:rPr>
          <w:rFonts w:ascii="仿宋" w:hAnsi="仿宋" w:eastAsia="仿宋"/>
          <w:color w:val="000000"/>
          <w:sz w:val="32"/>
          <w:szCs w:val="32"/>
        </w:rPr>
        <w:br w:type="page"/>
      </w:r>
    </w:p>
    <w:p>
      <w:pPr>
        <w:pStyle w:val="2"/>
        <w:ind w:right="440"/>
        <w:jc w:val="right"/>
        <w:rPr>
          <w:rStyle w:val="17"/>
          <w:rFonts w:ascii="黑体" w:hAnsi="黑体" w:eastAsia="黑体"/>
          <w:b w:val="0"/>
          <w:bCs w:val="0"/>
        </w:rPr>
      </w:pPr>
      <w:bookmarkStart w:id="22" w:name="_Toc15396602"/>
      <w:bookmarkStart w:id="23" w:name="_Toc15377204"/>
      <w:r>
        <w:rPr>
          <w:rFonts w:hint="eastAsia" w:ascii="黑体" w:hAnsi="黑体" w:eastAsia="黑体"/>
          <w:b w:val="0"/>
          <w:color w:val="000000"/>
        </w:rPr>
        <w:t>第二部分</w:t>
      </w:r>
      <w:r>
        <w:rPr>
          <w:rStyle w:val="17"/>
          <w:rFonts w:ascii="黑体" w:hAnsi="黑体" w:eastAsia="黑体"/>
          <w:b w:val="0"/>
          <w:bCs w:val="0"/>
        </w:rPr>
        <w:t>2018</w:t>
      </w:r>
      <w:r>
        <w:rPr>
          <w:rStyle w:val="17"/>
          <w:rFonts w:hint="eastAsia" w:ascii="黑体" w:hAnsi="黑体" w:eastAsia="黑体"/>
          <w:b w:val="0"/>
          <w:bCs w:val="0"/>
        </w:rPr>
        <w:t>年度部门决算情况说明</w:t>
      </w:r>
      <w:bookmarkEnd w:id="22"/>
      <w:bookmarkEnd w:id="23"/>
    </w:p>
    <w:p>
      <w:pPr>
        <w:pStyle w:val="27"/>
        <w:numPr>
          <w:ilvl w:val="0"/>
          <w:numId w:val="1"/>
        </w:numPr>
        <w:spacing w:line="600" w:lineRule="exact"/>
        <w:ind w:firstLineChars="0"/>
        <w:outlineLvl w:val="1"/>
        <w:rPr>
          <w:rStyle w:val="18"/>
          <w:rFonts w:ascii="黑体" w:hAnsi="黑体" w:eastAsia="黑体"/>
          <w:b w:val="0"/>
        </w:rPr>
      </w:pPr>
      <w:bookmarkStart w:id="24" w:name="_Toc15377205"/>
      <w:bookmarkStart w:id="25" w:name="_Toc15396603"/>
      <w:r>
        <w:rPr>
          <w:rFonts w:hint="eastAsia" w:ascii="黑体" w:hAnsi="黑体" w:eastAsia="黑体"/>
          <w:color w:val="000000"/>
          <w:sz w:val="32"/>
          <w:szCs w:val="32"/>
        </w:rPr>
        <w:t>收</w:t>
      </w:r>
      <w:r>
        <w:rPr>
          <w:rStyle w:val="18"/>
          <w:rFonts w:hint="eastAsia" w:ascii="黑体" w:hAnsi="黑体" w:eastAsia="黑体"/>
          <w:b w:val="0"/>
        </w:rPr>
        <w:t>入支出决算总体情况说明</w:t>
      </w:r>
      <w:bookmarkEnd w:id="24"/>
      <w:bookmarkEnd w:id="25"/>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年度收、支总计</w:t>
      </w:r>
      <w:r>
        <w:rPr>
          <w:rFonts w:ascii="仿宋" w:hAnsi="仿宋" w:eastAsia="仿宋"/>
          <w:color w:val="000000"/>
          <w:sz w:val="32"/>
          <w:szCs w:val="32"/>
        </w:rPr>
        <w:t>7377.65</w:t>
      </w:r>
      <w:r>
        <w:rPr>
          <w:rFonts w:hint="eastAsia" w:ascii="仿宋" w:hAnsi="仿宋" w:eastAsia="仿宋"/>
          <w:color w:val="000000"/>
          <w:sz w:val="32"/>
          <w:szCs w:val="32"/>
        </w:rPr>
        <w:t>万元。与</w:t>
      </w:r>
      <w:r>
        <w:rPr>
          <w:rFonts w:ascii="仿宋" w:hAnsi="仿宋" w:eastAsia="仿宋"/>
          <w:color w:val="000000"/>
          <w:sz w:val="32"/>
          <w:szCs w:val="32"/>
        </w:rPr>
        <w:t>2017</w:t>
      </w:r>
      <w:r>
        <w:rPr>
          <w:rFonts w:hint="eastAsia" w:ascii="仿宋" w:hAnsi="仿宋" w:eastAsia="仿宋"/>
          <w:color w:val="000000"/>
          <w:sz w:val="32"/>
          <w:szCs w:val="32"/>
        </w:rPr>
        <w:t>年相比，收、支总计各减少</w:t>
      </w:r>
      <w:r>
        <w:rPr>
          <w:rFonts w:ascii="仿宋" w:hAnsi="仿宋" w:eastAsia="仿宋"/>
          <w:color w:val="000000"/>
          <w:sz w:val="32"/>
          <w:szCs w:val="32"/>
        </w:rPr>
        <w:t>3515.75</w:t>
      </w:r>
      <w:r>
        <w:rPr>
          <w:rFonts w:hint="eastAsia" w:ascii="仿宋" w:hAnsi="仿宋" w:eastAsia="仿宋"/>
          <w:color w:val="000000"/>
          <w:sz w:val="32"/>
          <w:szCs w:val="32"/>
        </w:rPr>
        <w:t>万元，下降</w:t>
      </w:r>
      <w:r>
        <w:rPr>
          <w:rFonts w:ascii="仿宋" w:hAnsi="仿宋" w:eastAsia="仿宋"/>
          <w:color w:val="000000"/>
          <w:sz w:val="32"/>
          <w:szCs w:val="32"/>
        </w:rPr>
        <w:t>32.27%</w:t>
      </w:r>
      <w:r>
        <w:rPr>
          <w:rFonts w:hint="eastAsia" w:ascii="仿宋" w:hAnsi="仿宋" w:eastAsia="仿宋"/>
          <w:color w:val="000000"/>
          <w:sz w:val="32"/>
          <w:szCs w:val="32"/>
        </w:rPr>
        <w:t>。主要变动原因详见下表：</w:t>
      </w:r>
    </w:p>
    <w:p>
      <w:pPr>
        <w:snapToGrid w:val="0"/>
        <w:spacing w:line="520" w:lineRule="exact"/>
        <w:jc w:val="center"/>
        <w:rPr>
          <w:rFonts w:ascii="仿宋" w:hAnsi="仿宋" w:eastAsia="仿宋"/>
          <w:sz w:val="32"/>
          <w:szCs w:val="32"/>
        </w:rPr>
      </w:pPr>
      <w:r>
        <w:rPr>
          <w:rFonts w:ascii="仿宋" w:hAnsi="仿宋" w:eastAsia="仿宋"/>
          <w:sz w:val="32"/>
          <w:szCs w:val="32"/>
        </w:rPr>
        <w:t>1.1</w:t>
      </w:r>
      <w:r>
        <w:rPr>
          <w:rFonts w:hint="eastAsia" w:ascii="仿宋" w:hAnsi="仿宋" w:eastAsia="仿宋"/>
          <w:sz w:val="32"/>
          <w:szCs w:val="32"/>
        </w:rPr>
        <w:t>主要指标变动情况表</w:t>
      </w:r>
    </w:p>
    <w:p>
      <w:pPr>
        <w:snapToGrid w:val="0"/>
        <w:spacing w:line="520" w:lineRule="exact"/>
        <w:jc w:val="right"/>
        <w:rPr>
          <w:rFonts w:ascii="仿宋" w:hAnsi="仿宋" w:eastAsia="仿宋"/>
          <w:b/>
          <w:sz w:val="32"/>
          <w:szCs w:val="32"/>
        </w:rPr>
      </w:pPr>
      <w:r>
        <w:rPr>
          <w:rFonts w:hint="eastAsia" w:ascii="仿宋" w:hAnsi="仿宋" w:eastAsia="仿宋" w:cs="Arial"/>
          <w:color w:val="000000"/>
          <w:kern w:val="0"/>
          <w:sz w:val="32"/>
          <w:szCs w:val="32"/>
        </w:rPr>
        <w:t>单位：元</w:t>
      </w:r>
    </w:p>
    <w:tbl>
      <w:tblPr>
        <w:tblStyle w:val="13"/>
        <w:tblW w:w="9960" w:type="dxa"/>
        <w:tblInd w:w="96" w:type="dxa"/>
        <w:tblLayout w:type="autofit"/>
        <w:tblCellMar>
          <w:top w:w="0" w:type="dxa"/>
          <w:left w:w="108" w:type="dxa"/>
          <w:bottom w:w="0" w:type="dxa"/>
          <w:right w:w="108" w:type="dxa"/>
        </w:tblCellMar>
      </w:tblPr>
      <w:tblGrid>
        <w:gridCol w:w="2163"/>
        <w:gridCol w:w="419"/>
        <w:gridCol w:w="1437"/>
        <w:gridCol w:w="1476"/>
        <w:gridCol w:w="1566"/>
        <w:gridCol w:w="912"/>
        <w:gridCol w:w="1987"/>
      </w:tblGrid>
      <w:tr>
        <w:tblPrEx>
          <w:tblCellMar>
            <w:top w:w="0" w:type="dxa"/>
            <w:left w:w="108" w:type="dxa"/>
            <w:bottom w:w="0" w:type="dxa"/>
            <w:right w:w="108" w:type="dxa"/>
          </w:tblCellMar>
        </w:tblPrEx>
        <w:trPr>
          <w:trHeight w:val="264" w:hRule="atLeast"/>
        </w:trPr>
        <w:tc>
          <w:tcPr>
            <w:tcW w:w="9960" w:type="dxa"/>
            <w:gridSpan w:val="7"/>
            <w:tcBorders>
              <w:top w:val="nil"/>
              <w:left w:val="nil"/>
              <w:bottom w:val="nil"/>
              <w:right w:val="nil"/>
            </w:tcBorders>
            <w:vAlign w:val="bottom"/>
          </w:tcPr>
          <w:p>
            <w:pPr>
              <w:widowControl/>
              <w:spacing w:line="240" w:lineRule="exact"/>
              <w:jc w:val="center"/>
              <w:rPr>
                <w:rFonts w:ascii="宋体" w:cs="Arial"/>
                <w:b/>
                <w:bCs/>
                <w:color w:val="000000"/>
                <w:kern w:val="0"/>
                <w:sz w:val="20"/>
                <w:szCs w:val="20"/>
              </w:rPr>
            </w:pPr>
          </w:p>
        </w:tc>
      </w:tr>
      <w:tr>
        <w:tblPrEx>
          <w:tblCellMar>
            <w:top w:w="0" w:type="dxa"/>
            <w:left w:w="108" w:type="dxa"/>
            <w:bottom w:w="0" w:type="dxa"/>
            <w:right w:w="108" w:type="dxa"/>
          </w:tblCellMar>
        </w:tblPrEx>
        <w:trPr>
          <w:trHeight w:val="399" w:hRule="atLeast"/>
        </w:trPr>
        <w:tc>
          <w:tcPr>
            <w:tcW w:w="2163"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指</w:t>
            </w:r>
            <w:r>
              <w:rPr>
                <w:rFonts w:ascii="宋体" w:hAnsi="宋体" w:cs="Arial"/>
                <w:color w:val="000000"/>
                <w:kern w:val="0"/>
                <w:sz w:val="18"/>
                <w:szCs w:val="18"/>
              </w:rPr>
              <w:t xml:space="preserve">    </w:t>
            </w:r>
            <w:r>
              <w:rPr>
                <w:rFonts w:hint="eastAsia" w:ascii="宋体" w:hAnsi="宋体" w:cs="Arial"/>
                <w:color w:val="000000"/>
                <w:kern w:val="0"/>
                <w:sz w:val="18"/>
                <w:szCs w:val="18"/>
              </w:rPr>
              <w:t>标</w:t>
            </w:r>
          </w:p>
        </w:tc>
        <w:tc>
          <w:tcPr>
            <w:tcW w:w="419"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行次</w:t>
            </w:r>
          </w:p>
        </w:tc>
        <w:tc>
          <w:tcPr>
            <w:tcW w:w="1437"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本年度</w:t>
            </w:r>
          </w:p>
        </w:tc>
        <w:tc>
          <w:tcPr>
            <w:tcW w:w="147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上年度</w:t>
            </w:r>
          </w:p>
        </w:tc>
        <w:tc>
          <w:tcPr>
            <w:tcW w:w="1566"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比上年增减</w:t>
            </w:r>
          </w:p>
        </w:tc>
        <w:tc>
          <w:tcPr>
            <w:tcW w:w="912" w:type="dxa"/>
            <w:vMerge w:val="restart"/>
            <w:tcBorders>
              <w:top w:val="single" w:color="000000" w:sz="4" w:space="0"/>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增减％</w:t>
            </w:r>
          </w:p>
        </w:tc>
        <w:tc>
          <w:tcPr>
            <w:tcW w:w="1987" w:type="dxa"/>
            <w:vMerge w:val="restart"/>
            <w:tcBorders>
              <w:top w:val="single" w:color="000000" w:sz="4" w:space="0"/>
              <w:left w:val="nil"/>
              <w:bottom w:val="single" w:color="000000" w:sz="4" w:space="0"/>
              <w:right w:val="single" w:color="000000" w:sz="8" w:space="0"/>
            </w:tcBorders>
            <w:shd w:val="clear" w:color="FFFFFF" w:fill="C0C0C0"/>
            <w:vAlign w:val="center"/>
          </w:tcPr>
          <w:p>
            <w:pPr>
              <w:widowControl/>
              <w:spacing w:line="240" w:lineRule="exact"/>
              <w:jc w:val="center"/>
              <w:rPr>
                <w:rFonts w:ascii="宋体" w:cs="Arial"/>
                <w:color w:val="000000"/>
                <w:kern w:val="0"/>
                <w:sz w:val="18"/>
                <w:szCs w:val="18"/>
              </w:rPr>
            </w:pPr>
            <w:r>
              <w:rPr>
                <w:rFonts w:hint="eastAsia" w:ascii="宋体" w:hAnsi="宋体" w:cs="Arial"/>
                <w:color w:val="000000"/>
                <w:kern w:val="0"/>
                <w:sz w:val="18"/>
                <w:szCs w:val="18"/>
              </w:rPr>
              <w:t>原因</w:t>
            </w:r>
          </w:p>
        </w:tc>
      </w:tr>
      <w:tr>
        <w:tblPrEx>
          <w:tblCellMar>
            <w:top w:w="0" w:type="dxa"/>
            <w:left w:w="108" w:type="dxa"/>
            <w:bottom w:w="0" w:type="dxa"/>
            <w:right w:w="108" w:type="dxa"/>
          </w:tblCellMar>
        </w:tblPrEx>
        <w:trPr>
          <w:trHeight w:val="399" w:hRule="atLeast"/>
        </w:trPr>
        <w:tc>
          <w:tcPr>
            <w:tcW w:w="2163"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419" w:type="dxa"/>
            <w:vMerge w:val="continue"/>
            <w:tcBorders>
              <w:top w:val="single" w:color="000000" w:sz="4" w:space="0"/>
              <w:left w:val="nil"/>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1437" w:type="dxa"/>
            <w:vMerge w:val="continue"/>
            <w:tcBorders>
              <w:top w:val="single" w:color="000000" w:sz="4" w:space="0"/>
              <w:left w:val="nil"/>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1476" w:type="dxa"/>
            <w:vMerge w:val="continue"/>
            <w:tcBorders>
              <w:top w:val="single" w:color="000000" w:sz="4" w:space="0"/>
              <w:left w:val="nil"/>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1566" w:type="dxa"/>
            <w:vMerge w:val="continue"/>
            <w:tcBorders>
              <w:top w:val="single" w:color="000000" w:sz="4" w:space="0"/>
              <w:left w:val="nil"/>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912" w:type="dxa"/>
            <w:vMerge w:val="continue"/>
            <w:tcBorders>
              <w:top w:val="single" w:color="000000" w:sz="4" w:space="0"/>
              <w:left w:val="nil"/>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1987" w:type="dxa"/>
            <w:vMerge w:val="continue"/>
            <w:tcBorders>
              <w:top w:val="single" w:color="000000" w:sz="4" w:space="0"/>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after="240" w:line="240" w:lineRule="exact"/>
              <w:jc w:val="center"/>
              <w:rPr>
                <w:rFonts w:ascii="宋体" w:cs="Arial"/>
                <w:color w:val="000000"/>
                <w:kern w:val="0"/>
                <w:sz w:val="18"/>
                <w:szCs w:val="18"/>
              </w:rPr>
            </w:pPr>
            <w:r>
              <w:rPr>
                <w:rFonts w:hint="eastAsia" w:ascii="宋体" w:hAnsi="宋体" w:cs="Arial"/>
                <w:color w:val="000000"/>
                <w:kern w:val="0"/>
                <w:sz w:val="18"/>
                <w:szCs w:val="18"/>
              </w:rPr>
              <w:t>栏</w:t>
            </w:r>
            <w:r>
              <w:rPr>
                <w:rFonts w:ascii="宋体" w:hAnsi="宋体" w:cs="Arial"/>
                <w:color w:val="000000"/>
                <w:kern w:val="0"/>
                <w:sz w:val="18"/>
                <w:szCs w:val="18"/>
              </w:rPr>
              <w:t xml:space="preserve">    </w:t>
            </w:r>
            <w:r>
              <w:rPr>
                <w:rFonts w:hint="eastAsia" w:ascii="宋体" w:hAnsi="宋体" w:cs="Arial"/>
                <w:color w:val="000000"/>
                <w:kern w:val="0"/>
                <w:sz w:val="18"/>
                <w:szCs w:val="18"/>
              </w:rPr>
              <w:t>次</w:t>
            </w:r>
          </w:p>
        </w:tc>
        <w:tc>
          <w:tcPr>
            <w:tcW w:w="419" w:type="dxa"/>
            <w:vMerge w:val="continue"/>
            <w:tcBorders>
              <w:top w:val="single" w:color="000000" w:sz="4" w:space="0"/>
              <w:left w:val="nil"/>
              <w:bottom w:val="single" w:color="000000" w:sz="4" w:space="0"/>
              <w:right w:val="single" w:color="000000" w:sz="4" w:space="0"/>
            </w:tcBorders>
            <w:vAlign w:val="center"/>
          </w:tcPr>
          <w:p>
            <w:pPr>
              <w:widowControl/>
              <w:spacing w:line="240" w:lineRule="exact"/>
              <w:jc w:val="left"/>
              <w:rPr>
                <w:rFonts w:ascii="宋体" w:cs="Arial"/>
                <w:color w:val="000000"/>
                <w:kern w:val="0"/>
                <w:sz w:val="18"/>
                <w:szCs w:val="18"/>
              </w:rPr>
            </w:pPr>
          </w:p>
        </w:tc>
        <w:tc>
          <w:tcPr>
            <w:tcW w:w="1437"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w:t>
            </w:r>
          </w:p>
        </w:tc>
        <w:tc>
          <w:tcPr>
            <w:tcW w:w="1476"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2</w:t>
            </w:r>
          </w:p>
        </w:tc>
        <w:tc>
          <w:tcPr>
            <w:tcW w:w="1566"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3</w:t>
            </w:r>
          </w:p>
        </w:tc>
        <w:tc>
          <w:tcPr>
            <w:tcW w:w="912"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4</w:t>
            </w:r>
          </w:p>
        </w:tc>
        <w:tc>
          <w:tcPr>
            <w:tcW w:w="1987" w:type="dxa"/>
            <w:tcBorders>
              <w:top w:val="nil"/>
              <w:left w:val="nil"/>
              <w:bottom w:val="single" w:color="000000" w:sz="4" w:space="0"/>
              <w:right w:val="single" w:color="000000" w:sz="8"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5</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一、年度收支情况（单位：元）</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w:t>
            </w:r>
          </w:p>
        </w:tc>
        <w:tc>
          <w:tcPr>
            <w:tcW w:w="1437" w:type="dxa"/>
            <w:tcBorders>
              <w:top w:val="nil"/>
              <w:left w:val="nil"/>
              <w:bottom w:val="single" w:color="000000" w:sz="4" w:space="0"/>
              <w:right w:val="single" w:color="000000" w:sz="4" w:space="0"/>
            </w:tcBorders>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w:t>
            </w:r>
          </w:p>
        </w:tc>
        <w:tc>
          <w:tcPr>
            <w:tcW w:w="1476" w:type="dxa"/>
            <w:tcBorders>
              <w:top w:val="nil"/>
              <w:left w:val="nil"/>
              <w:bottom w:val="single" w:color="000000" w:sz="4" w:space="0"/>
              <w:right w:val="single" w:color="000000" w:sz="4" w:space="0"/>
            </w:tcBorders>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w:t>
            </w:r>
          </w:p>
        </w:tc>
        <w:tc>
          <w:tcPr>
            <w:tcW w:w="1566" w:type="dxa"/>
            <w:tcBorders>
              <w:top w:val="nil"/>
              <w:left w:val="nil"/>
              <w:bottom w:val="single" w:color="000000" w:sz="4" w:space="0"/>
              <w:right w:val="single" w:color="000000" w:sz="4" w:space="0"/>
            </w:tcBorders>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w:t>
            </w:r>
          </w:p>
        </w:tc>
        <w:tc>
          <w:tcPr>
            <w:tcW w:w="912" w:type="dxa"/>
            <w:tcBorders>
              <w:top w:val="nil"/>
              <w:left w:val="nil"/>
              <w:bottom w:val="single" w:color="000000" w:sz="4" w:space="0"/>
              <w:right w:val="single" w:color="000000" w:sz="4" w:space="0"/>
            </w:tcBorders>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w:t>
            </w:r>
          </w:p>
        </w:tc>
        <w:tc>
          <w:tcPr>
            <w:tcW w:w="1987" w:type="dxa"/>
            <w:tcBorders>
              <w:top w:val="nil"/>
              <w:left w:val="nil"/>
              <w:bottom w:val="single" w:color="000000" w:sz="4" w:space="0"/>
              <w:right w:val="single" w:color="000000" w:sz="8" w:space="0"/>
            </w:tcBorders>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1.</w:t>
            </w:r>
            <w:r>
              <w:rPr>
                <w:rFonts w:hint="eastAsia" w:ascii="宋体" w:hAnsi="宋体" w:cs="Arial"/>
                <w:color w:val="000000"/>
                <w:kern w:val="0"/>
                <w:sz w:val="18"/>
                <w:szCs w:val="18"/>
              </w:rPr>
              <w:t>本年收入</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2</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73,776,593.94</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108,934,127.56</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-35,157,533.62</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-32.27</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成昆铁路扩能改造征地拆迁资金收入减少</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其中：一般公共预算财政拨款</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3</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28,250,049.28</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22,344,256.42</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5,905,792.86</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26.43</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增加攀西战略资源开发试验区省部联席会会议经费及项目精细化管理信息经费等</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政府性基金预算财政拨款</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4</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事业收入</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5</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经营收入</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6</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其他收入</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7</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45,526,544.66</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86,589,871.14</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-41,063,326.48</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-47.42</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成昆铁路扩能改造征地拆迁资金收入减少</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2.</w:t>
            </w:r>
            <w:r>
              <w:rPr>
                <w:rFonts w:hint="eastAsia" w:ascii="宋体" w:hAnsi="宋体" w:cs="Arial"/>
                <w:color w:val="000000"/>
                <w:kern w:val="0"/>
                <w:sz w:val="18"/>
                <w:szCs w:val="18"/>
              </w:rPr>
              <w:t>本年支出</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8</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39,643,448.32</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149,995,320.82</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-110,351,872.50</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-73.57</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成昆铁路扩能改造征地拆迁资金收入减少</w:t>
            </w:r>
            <w:r>
              <w:rPr>
                <w:rFonts w:ascii="宋体" w:cs="Arial"/>
                <w:color w:val="000000"/>
                <w:kern w:val="0"/>
                <w:sz w:val="18"/>
                <w:szCs w:val="18"/>
              </w:rPr>
              <w:t>,</w:t>
            </w:r>
            <w:r>
              <w:rPr>
                <w:rFonts w:hint="eastAsia" w:ascii="宋体" w:hAnsi="宋体" w:cs="Arial"/>
                <w:color w:val="000000"/>
                <w:kern w:val="0"/>
                <w:sz w:val="18"/>
                <w:szCs w:val="18"/>
              </w:rPr>
              <w:t>支出相应减少</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其中：基本支出</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9</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20,508,895.28</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19,304,571.42</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1,204,323.86</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6.24</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w:t>
            </w:r>
            <w:r>
              <w:rPr>
                <w:rFonts w:ascii="宋体" w:hAnsi="宋体" w:cs="Arial"/>
                <w:color w:val="000000"/>
                <w:kern w:val="0"/>
                <w:sz w:val="18"/>
                <w:szCs w:val="18"/>
              </w:rPr>
              <w:t>1</w:t>
            </w:r>
            <w:r>
              <w:rPr>
                <w:rFonts w:hint="eastAsia" w:ascii="宋体" w:hAnsi="宋体" w:cs="Arial"/>
                <w:color w:val="000000"/>
                <w:kern w:val="0"/>
                <w:sz w:val="18"/>
                <w:szCs w:val="18"/>
              </w:rPr>
              <w:t>）人员经费</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10</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18,742,698.74</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17,563,934.96</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1,178,763.78</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6.71</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目标考核正常晋升等增加</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w:t>
            </w:r>
            <w:r>
              <w:rPr>
                <w:rFonts w:ascii="宋体" w:hAnsi="宋体" w:cs="Arial"/>
                <w:color w:val="000000"/>
                <w:kern w:val="0"/>
                <w:sz w:val="18"/>
                <w:szCs w:val="18"/>
              </w:rPr>
              <w:t>2</w:t>
            </w:r>
            <w:r>
              <w:rPr>
                <w:rFonts w:hint="eastAsia" w:ascii="宋体" w:hAnsi="宋体" w:cs="Arial"/>
                <w:color w:val="000000"/>
                <w:kern w:val="0"/>
                <w:sz w:val="18"/>
                <w:szCs w:val="18"/>
              </w:rPr>
              <w:t>）日常公用经费</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11</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1,766,196.54</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1,740,636.46</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25,560.08</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1.47</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党建经费及派驻纪检经费预算增加</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ascii="宋体" w:hAnsi="宋体" w:cs="Arial"/>
                <w:color w:val="000000"/>
                <w:kern w:val="0"/>
                <w:sz w:val="18"/>
                <w:szCs w:val="18"/>
              </w:rPr>
              <w:t xml:space="preserve"> </w:t>
            </w:r>
            <w:r>
              <w:rPr>
                <w:rFonts w:hint="eastAsia" w:ascii="宋体" w:hAnsi="宋体" w:cs="Arial"/>
                <w:color w:val="000000"/>
                <w:kern w:val="0"/>
                <w:sz w:val="18"/>
                <w:szCs w:val="18"/>
              </w:rPr>
              <w:t>项目支出</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12</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19,134,553.04</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130,690,749.40</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-111,556,196.36</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-85.36</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成昆铁路扩能改造征地拆迁资金收入减少</w:t>
            </w:r>
            <w:r>
              <w:rPr>
                <w:rFonts w:ascii="宋体" w:cs="Arial"/>
                <w:color w:val="000000"/>
                <w:kern w:val="0"/>
                <w:sz w:val="18"/>
                <w:szCs w:val="18"/>
              </w:rPr>
              <w:t>,</w:t>
            </w:r>
            <w:r>
              <w:rPr>
                <w:rFonts w:hint="eastAsia" w:ascii="宋体" w:hAnsi="宋体" w:cs="Arial"/>
                <w:color w:val="000000"/>
                <w:kern w:val="0"/>
                <w:sz w:val="18"/>
                <w:szCs w:val="18"/>
              </w:rPr>
              <w:t>支出相应减少</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w:t>
            </w:r>
            <w:r>
              <w:rPr>
                <w:rFonts w:ascii="宋体" w:hAnsi="宋体" w:cs="Arial"/>
                <w:color w:val="000000"/>
                <w:kern w:val="0"/>
                <w:sz w:val="18"/>
                <w:szCs w:val="18"/>
              </w:rPr>
              <w:t>1</w:t>
            </w:r>
            <w:r>
              <w:rPr>
                <w:rFonts w:hint="eastAsia" w:ascii="宋体" w:hAnsi="宋体" w:cs="Arial"/>
                <w:color w:val="000000"/>
                <w:kern w:val="0"/>
                <w:sz w:val="18"/>
                <w:szCs w:val="18"/>
              </w:rPr>
              <w:t>）基本建设类项目</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13</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cs="Arial"/>
                <w:color w:val="000000"/>
                <w:kern w:val="0"/>
                <w:sz w:val="18"/>
                <w:szCs w:val="18"/>
              </w:rPr>
              <w:t>0.00</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　</w:t>
            </w:r>
          </w:p>
        </w:tc>
      </w:tr>
      <w:tr>
        <w:tblPrEx>
          <w:tblCellMar>
            <w:top w:w="0" w:type="dxa"/>
            <w:left w:w="108" w:type="dxa"/>
            <w:bottom w:w="0" w:type="dxa"/>
            <w:right w:w="108" w:type="dxa"/>
          </w:tblCellMar>
        </w:tblPrEx>
        <w:trPr>
          <w:trHeight w:val="399" w:hRule="atLeast"/>
        </w:trPr>
        <w:tc>
          <w:tcPr>
            <w:tcW w:w="2163" w:type="dxa"/>
            <w:tcBorders>
              <w:top w:val="nil"/>
              <w:left w:val="single" w:color="000000" w:sz="4" w:space="0"/>
              <w:bottom w:val="single" w:color="000000" w:sz="4" w:space="0"/>
              <w:right w:val="single" w:color="000000" w:sz="4" w:space="0"/>
            </w:tcBorders>
            <w:shd w:val="clear" w:color="FFFFFF" w:fill="C0C0C0"/>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w:t>
            </w:r>
            <w:r>
              <w:rPr>
                <w:rFonts w:ascii="宋体" w:hAnsi="宋体" w:cs="Arial"/>
                <w:color w:val="000000"/>
                <w:kern w:val="0"/>
                <w:sz w:val="18"/>
                <w:szCs w:val="18"/>
              </w:rPr>
              <w:t>2</w:t>
            </w:r>
            <w:r>
              <w:rPr>
                <w:rFonts w:hint="eastAsia" w:ascii="宋体" w:hAnsi="宋体" w:cs="Arial"/>
                <w:color w:val="000000"/>
                <w:kern w:val="0"/>
                <w:sz w:val="18"/>
                <w:szCs w:val="18"/>
              </w:rPr>
              <w:t>）行政事业类项目</w:t>
            </w:r>
          </w:p>
        </w:tc>
        <w:tc>
          <w:tcPr>
            <w:tcW w:w="419" w:type="dxa"/>
            <w:tcBorders>
              <w:top w:val="nil"/>
              <w:left w:val="nil"/>
              <w:bottom w:val="single" w:color="000000" w:sz="4" w:space="0"/>
              <w:right w:val="single" w:color="000000" w:sz="4" w:space="0"/>
            </w:tcBorders>
            <w:shd w:val="clear" w:color="FFFFFF" w:fill="C0C0C0"/>
            <w:vAlign w:val="center"/>
          </w:tcPr>
          <w:p>
            <w:pPr>
              <w:widowControl/>
              <w:spacing w:line="240" w:lineRule="exact"/>
              <w:jc w:val="center"/>
              <w:rPr>
                <w:rFonts w:ascii="宋体" w:cs="Arial"/>
                <w:color w:val="000000"/>
                <w:kern w:val="0"/>
                <w:sz w:val="18"/>
                <w:szCs w:val="18"/>
              </w:rPr>
            </w:pPr>
            <w:r>
              <w:rPr>
                <w:rFonts w:ascii="宋体" w:hAnsi="宋体" w:cs="Arial"/>
                <w:color w:val="000000"/>
                <w:kern w:val="0"/>
                <w:sz w:val="18"/>
                <w:szCs w:val="18"/>
              </w:rPr>
              <w:t>14</w:t>
            </w:r>
          </w:p>
        </w:tc>
        <w:tc>
          <w:tcPr>
            <w:tcW w:w="1437"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19,134,553.04</w:t>
            </w:r>
          </w:p>
        </w:tc>
        <w:tc>
          <w:tcPr>
            <w:tcW w:w="147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130,690,749.40</w:t>
            </w:r>
          </w:p>
        </w:tc>
        <w:tc>
          <w:tcPr>
            <w:tcW w:w="1566"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-111,556,196.36</w:t>
            </w:r>
          </w:p>
        </w:tc>
        <w:tc>
          <w:tcPr>
            <w:tcW w:w="912" w:type="dxa"/>
            <w:tcBorders>
              <w:top w:val="nil"/>
              <w:left w:val="nil"/>
              <w:bottom w:val="single" w:color="000000" w:sz="4" w:space="0"/>
              <w:right w:val="single" w:color="000000" w:sz="4" w:space="0"/>
            </w:tcBorders>
            <w:vAlign w:val="center"/>
          </w:tcPr>
          <w:p>
            <w:pPr>
              <w:widowControl/>
              <w:spacing w:line="240" w:lineRule="exact"/>
              <w:jc w:val="right"/>
              <w:rPr>
                <w:rFonts w:ascii="宋体" w:cs="Arial"/>
                <w:color w:val="000000"/>
                <w:kern w:val="0"/>
                <w:sz w:val="18"/>
                <w:szCs w:val="18"/>
              </w:rPr>
            </w:pPr>
            <w:r>
              <w:rPr>
                <w:rFonts w:ascii="宋体" w:hAnsi="宋体" w:cs="Arial"/>
                <w:color w:val="000000"/>
                <w:kern w:val="0"/>
                <w:sz w:val="18"/>
                <w:szCs w:val="18"/>
              </w:rPr>
              <w:t>-85.36</w:t>
            </w:r>
          </w:p>
        </w:tc>
        <w:tc>
          <w:tcPr>
            <w:tcW w:w="1987" w:type="dxa"/>
            <w:tcBorders>
              <w:top w:val="nil"/>
              <w:left w:val="nil"/>
              <w:bottom w:val="single" w:color="000000" w:sz="4" w:space="0"/>
              <w:right w:val="single" w:color="000000" w:sz="8" w:space="0"/>
            </w:tcBorders>
            <w:vAlign w:val="center"/>
          </w:tcPr>
          <w:p>
            <w:pPr>
              <w:widowControl/>
              <w:spacing w:line="240" w:lineRule="exact"/>
              <w:jc w:val="left"/>
              <w:rPr>
                <w:rFonts w:ascii="宋体" w:cs="Arial"/>
                <w:color w:val="000000"/>
                <w:kern w:val="0"/>
                <w:sz w:val="18"/>
                <w:szCs w:val="18"/>
              </w:rPr>
            </w:pPr>
            <w:r>
              <w:rPr>
                <w:rFonts w:hint="eastAsia" w:ascii="宋体" w:hAnsi="宋体" w:cs="Arial"/>
                <w:color w:val="000000"/>
                <w:kern w:val="0"/>
                <w:sz w:val="18"/>
                <w:szCs w:val="18"/>
              </w:rPr>
              <w:t>成昆铁路扩能改造征地拆迁资金收入减少</w:t>
            </w:r>
            <w:r>
              <w:rPr>
                <w:rFonts w:ascii="宋体" w:cs="Arial"/>
                <w:color w:val="000000"/>
                <w:kern w:val="0"/>
                <w:sz w:val="18"/>
                <w:szCs w:val="18"/>
              </w:rPr>
              <w:t>,</w:t>
            </w:r>
            <w:r>
              <w:rPr>
                <w:rFonts w:hint="eastAsia" w:ascii="宋体" w:hAnsi="宋体" w:cs="Arial"/>
                <w:color w:val="000000"/>
                <w:kern w:val="0"/>
                <w:sz w:val="18"/>
                <w:szCs w:val="18"/>
              </w:rPr>
              <w:t>支出相应减少。</w:t>
            </w:r>
          </w:p>
        </w:tc>
      </w:tr>
    </w:tbl>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1</w:t>
      </w:r>
      <w:r>
        <w:rPr>
          <w:rFonts w:hint="eastAsia" w:ascii="仿宋" w:hAnsi="仿宋" w:eastAsia="仿宋"/>
          <w:color w:val="000000"/>
          <w:sz w:val="32"/>
          <w:szCs w:val="32"/>
        </w:rPr>
        <w:t>：收、支决算总计变动情况图）</w:t>
      </w:r>
    </w:p>
    <w:p>
      <w:pPr>
        <w:spacing w:line="600" w:lineRule="exact"/>
        <w:ind w:firstLine="640" w:firstLineChars="200"/>
        <w:rPr>
          <w:rFonts w:ascii="仿宋" w:hAnsi="仿宋" w:eastAsia="仿宋"/>
          <w:color w:val="000000"/>
          <w:sz w:val="32"/>
          <w:szCs w:val="32"/>
        </w:rPr>
      </w:pPr>
    </w:p>
    <w:p>
      <w:pPr>
        <w:spacing w:line="600" w:lineRule="exact"/>
        <w:ind w:firstLine="420" w:firstLineChars="200"/>
        <w:rPr>
          <w:rFonts w:ascii="仿宋" w:hAnsi="仿宋" w:eastAsia="仿宋"/>
          <w:color w:val="000000"/>
          <w:sz w:val="32"/>
          <w:szCs w:val="32"/>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484495" cy="2392045"/>
            <wp:effectExtent l="0" t="0" r="0" b="0"/>
            <wp:wrapNone/>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5484495" cy="2392045"/>
                    </a:xfrm>
                    <a:prstGeom prst="rect">
                      <a:avLst/>
                    </a:prstGeom>
                    <a:noFill/>
                    <a:ln>
                      <a:noFill/>
                    </a:ln>
                  </pic:spPr>
                </pic:pic>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pStyle w:val="27"/>
        <w:numPr>
          <w:ilvl w:val="0"/>
          <w:numId w:val="1"/>
        </w:numPr>
        <w:spacing w:line="600" w:lineRule="exact"/>
        <w:ind w:firstLineChars="0"/>
        <w:outlineLvl w:val="1"/>
        <w:rPr>
          <w:rStyle w:val="18"/>
          <w:rFonts w:ascii="黑体" w:hAnsi="黑体" w:eastAsia="黑体"/>
          <w:b w:val="0"/>
        </w:rPr>
      </w:pPr>
      <w:bookmarkStart w:id="26" w:name="_Toc15396604"/>
      <w:bookmarkStart w:id="27" w:name="_Toc15377206"/>
      <w:r>
        <w:rPr>
          <w:rFonts w:hint="eastAsia" w:ascii="黑体" w:hAnsi="黑体" w:eastAsia="黑体"/>
          <w:color w:val="000000"/>
          <w:sz w:val="32"/>
          <w:szCs w:val="32"/>
        </w:rPr>
        <w:t>收</w:t>
      </w:r>
      <w:r>
        <w:rPr>
          <w:rStyle w:val="18"/>
          <w:rFonts w:hint="eastAsia" w:ascii="黑体" w:hAnsi="黑体" w:eastAsia="黑体"/>
          <w:b w:val="0"/>
        </w:rPr>
        <w:t>入决算情况说明</w:t>
      </w:r>
      <w:bookmarkEnd w:id="26"/>
      <w:bookmarkEnd w:id="27"/>
    </w:p>
    <w:p>
      <w:pPr>
        <w:spacing w:line="600" w:lineRule="exact"/>
        <w:ind w:firstLine="642" w:firstLineChars="200"/>
        <w:outlineLvl w:val="1"/>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年本年收入合计</w:t>
      </w:r>
      <w:r>
        <w:rPr>
          <w:rFonts w:ascii="仿宋" w:hAnsi="仿宋" w:eastAsia="仿宋"/>
          <w:b/>
          <w:color w:val="000000"/>
          <w:sz w:val="32"/>
          <w:szCs w:val="32"/>
        </w:rPr>
        <w:t>7377.65</w:t>
      </w:r>
      <w:r>
        <w:rPr>
          <w:rFonts w:hint="eastAsia" w:ascii="仿宋" w:hAnsi="仿宋" w:eastAsia="仿宋"/>
          <w:b/>
          <w:color w:val="000000"/>
          <w:sz w:val="32"/>
          <w:szCs w:val="32"/>
        </w:rPr>
        <w:t>万元，其中：一般公共预算财政拨款收入</w:t>
      </w:r>
      <w:r>
        <w:rPr>
          <w:rFonts w:ascii="仿宋" w:hAnsi="仿宋" w:eastAsia="仿宋"/>
          <w:b/>
          <w:color w:val="000000"/>
          <w:sz w:val="32"/>
          <w:szCs w:val="32"/>
        </w:rPr>
        <w:t>2825</w:t>
      </w:r>
      <w:r>
        <w:rPr>
          <w:rFonts w:hint="eastAsia" w:ascii="仿宋" w:hAnsi="仿宋" w:eastAsia="仿宋"/>
          <w:b/>
          <w:color w:val="000000"/>
          <w:sz w:val="32"/>
          <w:szCs w:val="32"/>
        </w:rPr>
        <w:t>万元，占</w:t>
      </w:r>
      <w:r>
        <w:rPr>
          <w:rFonts w:ascii="仿宋" w:hAnsi="仿宋" w:eastAsia="仿宋"/>
          <w:b/>
          <w:color w:val="000000"/>
          <w:sz w:val="32"/>
          <w:szCs w:val="32"/>
        </w:rPr>
        <w:t>38.29%</w:t>
      </w:r>
      <w:r>
        <w:rPr>
          <w:rFonts w:hint="eastAsia" w:ascii="仿宋" w:hAnsi="仿宋" w:eastAsia="仿宋"/>
          <w:b/>
          <w:color w:val="000000"/>
          <w:sz w:val="32"/>
          <w:szCs w:val="32"/>
        </w:rPr>
        <w:t>；政府性基金预算财政拨款收入</w:t>
      </w:r>
      <w:r>
        <w:rPr>
          <w:rFonts w:ascii="仿宋" w:hAnsi="仿宋" w:eastAsia="仿宋"/>
          <w:b/>
          <w:color w:val="000000"/>
          <w:sz w:val="32"/>
          <w:szCs w:val="32"/>
        </w:rPr>
        <w:t>0</w:t>
      </w:r>
      <w:r>
        <w:rPr>
          <w:rFonts w:hint="eastAsia" w:ascii="仿宋" w:hAnsi="仿宋" w:eastAsia="仿宋"/>
          <w:b/>
          <w:color w:val="000000"/>
          <w:sz w:val="32"/>
          <w:szCs w:val="32"/>
        </w:rPr>
        <w:t>万元；国有资本经营预算财政拨款收入</w:t>
      </w:r>
      <w:r>
        <w:rPr>
          <w:rFonts w:ascii="仿宋" w:hAnsi="仿宋" w:eastAsia="仿宋"/>
          <w:b/>
          <w:color w:val="000000"/>
          <w:sz w:val="32"/>
          <w:szCs w:val="32"/>
        </w:rPr>
        <w:t>0</w:t>
      </w:r>
      <w:r>
        <w:rPr>
          <w:rFonts w:hint="eastAsia" w:ascii="仿宋" w:hAnsi="仿宋" w:eastAsia="仿宋"/>
          <w:b/>
          <w:color w:val="000000"/>
          <w:sz w:val="32"/>
          <w:szCs w:val="32"/>
        </w:rPr>
        <w:t>万元；事业收入</w:t>
      </w:r>
      <w:r>
        <w:rPr>
          <w:rFonts w:ascii="仿宋" w:hAnsi="仿宋" w:eastAsia="仿宋"/>
          <w:b/>
          <w:color w:val="000000"/>
          <w:sz w:val="32"/>
          <w:szCs w:val="32"/>
        </w:rPr>
        <w:t>0</w:t>
      </w:r>
      <w:r>
        <w:rPr>
          <w:rFonts w:hint="eastAsia" w:ascii="仿宋" w:hAnsi="仿宋" w:eastAsia="仿宋"/>
          <w:b/>
          <w:color w:val="000000"/>
          <w:sz w:val="32"/>
          <w:szCs w:val="32"/>
        </w:rPr>
        <w:t>万元；经营收入</w:t>
      </w:r>
      <w:r>
        <w:rPr>
          <w:rFonts w:ascii="仿宋" w:hAnsi="仿宋" w:eastAsia="仿宋"/>
          <w:b/>
          <w:color w:val="000000"/>
          <w:sz w:val="32"/>
          <w:szCs w:val="32"/>
        </w:rPr>
        <w:t>0</w:t>
      </w:r>
      <w:r>
        <w:rPr>
          <w:rFonts w:hint="eastAsia" w:ascii="仿宋" w:hAnsi="仿宋" w:eastAsia="仿宋"/>
          <w:b/>
          <w:color w:val="000000"/>
          <w:sz w:val="32"/>
          <w:szCs w:val="32"/>
        </w:rPr>
        <w:t>万元；附属单位上缴收入</w:t>
      </w:r>
      <w:r>
        <w:rPr>
          <w:rFonts w:ascii="仿宋" w:hAnsi="仿宋" w:eastAsia="仿宋"/>
          <w:b/>
          <w:color w:val="000000"/>
          <w:sz w:val="32"/>
          <w:szCs w:val="32"/>
        </w:rPr>
        <w:t>0</w:t>
      </w:r>
      <w:r>
        <w:rPr>
          <w:rFonts w:hint="eastAsia" w:ascii="仿宋" w:hAnsi="仿宋" w:eastAsia="仿宋"/>
          <w:b/>
          <w:color w:val="000000"/>
          <w:sz w:val="32"/>
          <w:szCs w:val="32"/>
        </w:rPr>
        <w:t>万元；其他收入</w:t>
      </w:r>
      <w:r>
        <w:rPr>
          <w:rFonts w:ascii="仿宋" w:hAnsi="仿宋" w:eastAsia="仿宋"/>
          <w:b/>
          <w:color w:val="000000"/>
          <w:sz w:val="32"/>
          <w:szCs w:val="32"/>
        </w:rPr>
        <w:t>4552.65</w:t>
      </w:r>
      <w:r>
        <w:rPr>
          <w:rFonts w:hint="eastAsia" w:ascii="仿宋" w:hAnsi="仿宋" w:eastAsia="仿宋"/>
          <w:b/>
          <w:color w:val="000000"/>
          <w:sz w:val="32"/>
          <w:szCs w:val="32"/>
        </w:rPr>
        <w:t>万元，占</w:t>
      </w:r>
      <w:r>
        <w:rPr>
          <w:rFonts w:ascii="仿宋" w:hAnsi="仿宋" w:eastAsia="仿宋"/>
          <w:b/>
          <w:color w:val="000000"/>
          <w:sz w:val="32"/>
          <w:szCs w:val="32"/>
        </w:rPr>
        <w:t>61.71%</w:t>
      </w:r>
      <w:r>
        <w:rPr>
          <w:rFonts w:hint="eastAsia" w:ascii="仿宋" w:hAnsi="仿宋" w:eastAsia="仿宋"/>
          <w:b/>
          <w:color w:val="000000"/>
          <w:sz w:val="32"/>
          <w:szCs w:val="32"/>
        </w:rPr>
        <w:t>。</w:t>
      </w:r>
    </w:p>
    <w:p>
      <w:pPr>
        <w:spacing w:line="600" w:lineRule="exact"/>
        <w:ind w:firstLine="642" w:firstLineChars="200"/>
        <w:outlineLvl w:val="1"/>
        <w:rPr>
          <w:rFonts w:ascii="仿宋" w:hAnsi="仿宋" w:eastAsia="仿宋"/>
          <w:b/>
          <w:color w:val="000000"/>
          <w:sz w:val="32"/>
          <w:szCs w:val="32"/>
        </w:rPr>
      </w:pPr>
      <w:r>
        <w:rPr>
          <w:rFonts w:ascii="仿宋" w:hAnsi="仿宋" w:eastAsia="仿宋"/>
          <w:b/>
          <w:color w:val="000000"/>
          <w:sz w:val="32"/>
          <w:szCs w:val="32"/>
        </w:rPr>
        <w:t xml:space="preserve">               1.2</w:t>
      </w:r>
      <w:r>
        <w:rPr>
          <w:rFonts w:hint="eastAsia" w:ascii="仿宋" w:hAnsi="仿宋" w:eastAsia="仿宋"/>
          <w:b/>
          <w:color w:val="000000"/>
          <w:sz w:val="32"/>
          <w:szCs w:val="32"/>
        </w:rPr>
        <w:t>收入决算结构表</w:t>
      </w:r>
    </w:p>
    <w:tbl>
      <w:tblPr>
        <w:tblStyle w:val="13"/>
        <w:tblW w:w="8832" w:type="dxa"/>
        <w:tblInd w:w="96" w:type="dxa"/>
        <w:tblLayout w:type="autofit"/>
        <w:tblCellMar>
          <w:top w:w="0" w:type="dxa"/>
          <w:left w:w="108" w:type="dxa"/>
          <w:bottom w:w="0" w:type="dxa"/>
          <w:right w:w="108" w:type="dxa"/>
        </w:tblCellMar>
      </w:tblPr>
      <w:tblGrid>
        <w:gridCol w:w="2464"/>
        <w:gridCol w:w="1508"/>
        <w:gridCol w:w="2160"/>
        <w:gridCol w:w="2700"/>
      </w:tblGrid>
      <w:tr>
        <w:tblPrEx>
          <w:tblCellMar>
            <w:top w:w="0" w:type="dxa"/>
            <w:left w:w="108" w:type="dxa"/>
            <w:bottom w:w="0" w:type="dxa"/>
            <w:right w:w="108" w:type="dxa"/>
          </w:tblCellMar>
        </w:tblPrEx>
        <w:trPr>
          <w:trHeight w:val="269" w:hRule="atLeast"/>
        </w:trPr>
        <w:tc>
          <w:tcPr>
            <w:tcW w:w="2464" w:type="dxa"/>
            <w:tcBorders>
              <w:top w:val="single" w:color="auto" w:sz="4" w:space="0"/>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项目</w:t>
            </w:r>
          </w:p>
        </w:tc>
        <w:tc>
          <w:tcPr>
            <w:tcW w:w="1508"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行次</w:t>
            </w:r>
          </w:p>
        </w:tc>
        <w:tc>
          <w:tcPr>
            <w:tcW w:w="2160"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本年收入</w:t>
            </w:r>
          </w:p>
        </w:tc>
        <w:tc>
          <w:tcPr>
            <w:tcW w:w="2700" w:type="dxa"/>
            <w:tcBorders>
              <w:top w:val="single" w:color="auto" w:sz="4" w:space="0"/>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收入比重</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栏次</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　</w:t>
            </w:r>
          </w:p>
        </w:tc>
        <w:tc>
          <w:tcPr>
            <w:tcW w:w="2160"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1</w:t>
            </w:r>
          </w:p>
        </w:tc>
        <w:tc>
          <w:tcPr>
            <w:tcW w:w="2700"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2</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行政运行</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1</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1,356.38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18.38%</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一般行政管理事务</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2</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374.09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5.07%</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战略规划与实施</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3</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20.00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0.27%</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物价管理</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4</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23.90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0.32%</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事业运行</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5</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137.89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1.87%</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其他发展与改革事务</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6</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78.50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1.06%</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人力资源事务</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7</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6.24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0.08%</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b/>
                <w:bCs/>
                <w:color w:val="000000"/>
                <w:kern w:val="0"/>
                <w:sz w:val="16"/>
                <w:szCs w:val="16"/>
              </w:rPr>
            </w:pPr>
            <w:r>
              <w:rPr>
                <w:rFonts w:hint="eastAsia" w:ascii="宋体" w:hAnsi="宋体" w:cs="Arial"/>
                <w:b/>
                <w:bCs/>
                <w:color w:val="000000"/>
                <w:kern w:val="0"/>
                <w:sz w:val="16"/>
                <w:szCs w:val="16"/>
              </w:rPr>
              <w:t>组织事务</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8</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17.73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0.24%</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社会保障和就业支出</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9</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396.98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5.38%</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城乡社区支出</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10</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312.17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4.23%</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hint="eastAsia" w:ascii="宋体" w:hAnsi="宋体" w:cs="Arial"/>
                <w:color w:val="000000"/>
                <w:kern w:val="0"/>
                <w:sz w:val="16"/>
                <w:szCs w:val="16"/>
              </w:rPr>
              <w:t>住房保障支出</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11</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136.16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1.85%</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b/>
                <w:bCs/>
                <w:color w:val="000000"/>
                <w:kern w:val="0"/>
                <w:sz w:val="16"/>
                <w:szCs w:val="16"/>
              </w:rPr>
            </w:pPr>
            <w:r>
              <w:rPr>
                <w:rFonts w:hint="eastAsia" w:ascii="宋体" w:hAnsi="宋体" w:cs="Arial"/>
                <w:b/>
                <w:bCs/>
                <w:color w:val="000000"/>
                <w:kern w:val="0"/>
                <w:sz w:val="16"/>
                <w:szCs w:val="16"/>
              </w:rPr>
              <w:t>其他支出</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color w:val="000000"/>
                <w:kern w:val="0"/>
                <w:sz w:val="16"/>
                <w:szCs w:val="16"/>
              </w:rPr>
            </w:pPr>
            <w:r>
              <w:rPr>
                <w:rFonts w:ascii="宋体" w:hAnsi="宋体" w:cs="Arial"/>
                <w:color w:val="000000"/>
                <w:kern w:val="0"/>
                <w:sz w:val="16"/>
                <w:szCs w:val="16"/>
              </w:rPr>
              <w:t>12</w:t>
            </w:r>
          </w:p>
        </w:tc>
        <w:tc>
          <w:tcPr>
            <w:tcW w:w="2160" w:type="dxa"/>
            <w:tcBorders>
              <w:top w:val="nil"/>
              <w:left w:val="nil"/>
              <w:bottom w:val="single" w:color="auto" w:sz="4" w:space="0"/>
              <w:right w:val="single" w:color="auto" w:sz="4" w:space="0"/>
            </w:tcBorders>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4,517.61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61.23%</w:t>
            </w:r>
          </w:p>
        </w:tc>
      </w:tr>
      <w:tr>
        <w:tblPrEx>
          <w:tblCellMar>
            <w:top w:w="0" w:type="dxa"/>
            <w:left w:w="108" w:type="dxa"/>
            <w:bottom w:w="0" w:type="dxa"/>
            <w:right w:w="108" w:type="dxa"/>
          </w:tblCellMar>
        </w:tblPrEx>
        <w:trPr>
          <w:trHeight w:val="269" w:hRule="atLeast"/>
        </w:trPr>
        <w:tc>
          <w:tcPr>
            <w:tcW w:w="2464" w:type="dxa"/>
            <w:tcBorders>
              <w:top w:val="nil"/>
              <w:left w:val="single" w:color="auto" w:sz="4" w:space="0"/>
              <w:bottom w:val="single" w:color="auto" w:sz="4" w:space="0"/>
              <w:right w:val="single" w:color="auto" w:sz="4" w:space="0"/>
            </w:tcBorders>
            <w:shd w:val="clear" w:color="FFFFFF" w:fill="C0C0C0"/>
            <w:vAlign w:val="center"/>
          </w:tcPr>
          <w:p>
            <w:pPr>
              <w:widowControl/>
              <w:jc w:val="center"/>
              <w:rPr>
                <w:rFonts w:ascii="宋体" w:cs="Arial"/>
                <w:b/>
                <w:bCs/>
                <w:color w:val="000000"/>
                <w:kern w:val="0"/>
                <w:sz w:val="16"/>
                <w:szCs w:val="16"/>
              </w:rPr>
            </w:pPr>
            <w:r>
              <w:rPr>
                <w:rFonts w:hint="eastAsia" w:ascii="宋体" w:hAnsi="宋体" w:cs="Arial"/>
                <w:b/>
                <w:bCs/>
                <w:color w:val="000000"/>
                <w:kern w:val="0"/>
                <w:sz w:val="16"/>
                <w:szCs w:val="16"/>
              </w:rPr>
              <w:t>合计</w:t>
            </w:r>
          </w:p>
        </w:tc>
        <w:tc>
          <w:tcPr>
            <w:tcW w:w="1508" w:type="dxa"/>
            <w:tcBorders>
              <w:top w:val="nil"/>
              <w:left w:val="nil"/>
              <w:bottom w:val="single" w:color="auto" w:sz="4" w:space="0"/>
              <w:right w:val="single" w:color="auto" w:sz="4" w:space="0"/>
            </w:tcBorders>
            <w:shd w:val="clear" w:color="FFFFFF" w:fill="C0C0C0"/>
            <w:vAlign w:val="center"/>
          </w:tcPr>
          <w:p>
            <w:pPr>
              <w:widowControl/>
              <w:jc w:val="center"/>
              <w:rPr>
                <w:rFonts w:ascii="宋体" w:cs="Arial"/>
                <w:b/>
                <w:bCs/>
                <w:color w:val="000000"/>
                <w:kern w:val="0"/>
                <w:sz w:val="16"/>
                <w:szCs w:val="16"/>
              </w:rPr>
            </w:pPr>
            <w:r>
              <w:rPr>
                <w:rFonts w:hint="eastAsia" w:ascii="宋体" w:hAnsi="宋体" w:cs="Arial"/>
                <w:b/>
                <w:bCs/>
                <w:color w:val="000000"/>
                <w:kern w:val="0"/>
                <w:sz w:val="16"/>
                <w:szCs w:val="16"/>
              </w:rPr>
              <w:t>　</w:t>
            </w:r>
          </w:p>
        </w:tc>
        <w:tc>
          <w:tcPr>
            <w:tcW w:w="216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 xml:space="preserve"> 7,377.65 </w:t>
            </w:r>
          </w:p>
        </w:tc>
        <w:tc>
          <w:tcPr>
            <w:tcW w:w="2700" w:type="dxa"/>
            <w:tcBorders>
              <w:top w:val="nil"/>
              <w:left w:val="nil"/>
              <w:bottom w:val="single" w:color="auto" w:sz="4" w:space="0"/>
              <w:right w:val="single" w:color="auto" w:sz="4" w:space="0"/>
            </w:tcBorders>
            <w:noWrap/>
            <w:vAlign w:val="center"/>
          </w:tcPr>
          <w:p>
            <w:pPr>
              <w:widowControl/>
              <w:jc w:val="center"/>
              <w:rPr>
                <w:rFonts w:ascii="宋体" w:cs="Arial"/>
                <w:color w:val="000000"/>
                <w:kern w:val="0"/>
                <w:sz w:val="16"/>
                <w:szCs w:val="16"/>
              </w:rPr>
            </w:pPr>
            <w:r>
              <w:rPr>
                <w:rFonts w:ascii="宋体" w:hAnsi="宋体" w:cs="Arial"/>
                <w:color w:val="000000"/>
                <w:kern w:val="0"/>
                <w:sz w:val="16"/>
                <w:szCs w:val="16"/>
              </w:rPr>
              <w:t>100.00%</w:t>
            </w:r>
          </w:p>
        </w:tc>
      </w:tr>
    </w:tbl>
    <w:p>
      <w:pPr>
        <w:snapToGrid w:val="0"/>
        <w:spacing w:line="520" w:lineRule="exact"/>
        <w:rPr>
          <w:rFonts w:ascii="仿宋" w:hAnsi="仿宋" w:eastAsia="仿宋"/>
          <w:b/>
          <w:sz w:val="32"/>
          <w:szCs w:val="32"/>
        </w:rPr>
      </w:pP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2</w:t>
      </w:r>
      <w:r>
        <w:rPr>
          <w:rFonts w:hint="eastAsia" w:ascii="仿宋" w:hAnsi="仿宋" w:eastAsia="仿宋"/>
          <w:color w:val="000000"/>
          <w:sz w:val="32"/>
          <w:szCs w:val="32"/>
        </w:rPr>
        <w:t>：收入决算结构图）</w:t>
      </w:r>
    </w:p>
    <w:p>
      <w:pPr>
        <w:spacing w:line="600" w:lineRule="exact"/>
        <w:ind w:firstLine="640" w:firstLineChars="200"/>
        <w:outlineLvl w:val="1"/>
        <w:rPr>
          <w:rFonts w:ascii="仿宋" w:hAnsi="仿宋" w:eastAsia="仿宋"/>
          <w:color w:val="000000"/>
          <w:sz w:val="32"/>
          <w:szCs w:val="32"/>
        </w:rPr>
      </w:pPr>
    </w:p>
    <w:p>
      <w:pPr>
        <w:spacing w:line="600" w:lineRule="exact"/>
        <w:ind w:firstLine="420" w:firstLineChars="200"/>
        <w:rPr>
          <w:rFonts w:ascii="仿宋" w:hAnsi="仿宋" w:eastAsia="仿宋"/>
          <w:color w:val="000000"/>
          <w:sz w:val="32"/>
          <w:szCs w:val="32"/>
        </w:rPr>
      </w:pPr>
      <w: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484495" cy="2392045"/>
            <wp:effectExtent l="0" t="0" r="0" b="0"/>
            <wp:wrapNone/>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pic:cNvPicPr>
                  </pic:nvPicPr>
                  <pic:blipFill>
                    <a:blip r:embed="rId7"/>
                    <a:stretch>
                      <a:fillRect/>
                    </a:stretch>
                  </pic:blipFill>
                  <pic:spPr>
                    <a:xfrm>
                      <a:off x="0" y="0"/>
                      <a:ext cx="5484495" cy="2392045"/>
                    </a:xfrm>
                    <a:prstGeom prst="rect">
                      <a:avLst/>
                    </a:prstGeom>
                    <a:noFill/>
                    <a:ln>
                      <a:noFill/>
                    </a:ln>
                  </pic:spPr>
                </pic:pic>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pStyle w:val="27"/>
        <w:numPr>
          <w:ilvl w:val="0"/>
          <w:numId w:val="1"/>
        </w:numPr>
        <w:spacing w:line="600" w:lineRule="exact"/>
        <w:ind w:firstLineChars="0"/>
        <w:outlineLvl w:val="1"/>
        <w:rPr>
          <w:rStyle w:val="18"/>
          <w:rFonts w:ascii="黑体" w:hAnsi="黑体" w:eastAsia="黑体"/>
          <w:b w:val="0"/>
        </w:rPr>
      </w:pPr>
      <w:bookmarkStart w:id="28" w:name="_Toc15396605"/>
      <w:bookmarkStart w:id="29" w:name="_Toc15377207"/>
      <w:r>
        <w:rPr>
          <w:rFonts w:hint="eastAsia" w:ascii="黑体" w:hAnsi="黑体" w:eastAsia="黑体"/>
          <w:color w:val="000000"/>
          <w:sz w:val="32"/>
          <w:szCs w:val="32"/>
        </w:rPr>
        <w:t>支</w:t>
      </w:r>
      <w:r>
        <w:rPr>
          <w:rStyle w:val="18"/>
          <w:rFonts w:hint="eastAsia" w:ascii="黑体" w:hAnsi="黑体" w:eastAsia="黑体"/>
          <w:b w:val="0"/>
        </w:rPr>
        <w:t>出决算情况说明</w:t>
      </w:r>
      <w:bookmarkEnd w:id="28"/>
      <w:bookmarkEnd w:id="29"/>
    </w:p>
    <w:p>
      <w:pPr>
        <w:spacing w:line="600" w:lineRule="exact"/>
        <w:ind w:firstLine="640"/>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年本年支出合计</w:t>
      </w:r>
      <w:r>
        <w:rPr>
          <w:rFonts w:ascii="仿宋" w:hAnsi="仿宋" w:eastAsia="仿宋"/>
          <w:b/>
          <w:color w:val="000000"/>
          <w:sz w:val="32"/>
          <w:szCs w:val="32"/>
        </w:rPr>
        <w:t>3964.34</w:t>
      </w:r>
      <w:r>
        <w:rPr>
          <w:rFonts w:hint="eastAsia" w:ascii="仿宋" w:hAnsi="仿宋" w:eastAsia="仿宋"/>
          <w:b/>
          <w:color w:val="000000"/>
          <w:sz w:val="32"/>
          <w:szCs w:val="32"/>
        </w:rPr>
        <w:t>万元，其中：基本支出</w:t>
      </w:r>
      <w:r>
        <w:rPr>
          <w:rFonts w:ascii="仿宋" w:hAnsi="仿宋" w:eastAsia="仿宋"/>
          <w:b/>
          <w:color w:val="000000"/>
          <w:sz w:val="32"/>
          <w:szCs w:val="32"/>
        </w:rPr>
        <w:t>2050.89</w:t>
      </w:r>
      <w:r>
        <w:rPr>
          <w:rFonts w:hint="eastAsia" w:ascii="仿宋" w:hAnsi="仿宋" w:eastAsia="仿宋"/>
          <w:b/>
          <w:color w:val="000000"/>
          <w:sz w:val="32"/>
          <w:szCs w:val="32"/>
        </w:rPr>
        <w:t>万元，占</w:t>
      </w:r>
      <w:r>
        <w:rPr>
          <w:rFonts w:ascii="仿宋" w:hAnsi="仿宋" w:eastAsia="仿宋"/>
          <w:b/>
          <w:color w:val="000000"/>
          <w:sz w:val="32"/>
          <w:szCs w:val="32"/>
        </w:rPr>
        <w:t>51.73%</w:t>
      </w:r>
      <w:r>
        <w:rPr>
          <w:rFonts w:hint="eastAsia" w:ascii="仿宋" w:hAnsi="仿宋" w:eastAsia="仿宋"/>
          <w:b/>
          <w:color w:val="000000"/>
          <w:sz w:val="32"/>
          <w:szCs w:val="32"/>
        </w:rPr>
        <w:t>；项目支出</w:t>
      </w:r>
      <w:r>
        <w:rPr>
          <w:rFonts w:ascii="仿宋" w:hAnsi="仿宋" w:eastAsia="仿宋"/>
          <w:b/>
          <w:color w:val="000000"/>
          <w:sz w:val="32"/>
          <w:szCs w:val="32"/>
        </w:rPr>
        <w:t>1913.45</w:t>
      </w:r>
      <w:r>
        <w:rPr>
          <w:rFonts w:hint="eastAsia" w:ascii="仿宋" w:hAnsi="仿宋" w:eastAsia="仿宋"/>
          <w:b/>
          <w:color w:val="000000"/>
          <w:sz w:val="32"/>
          <w:szCs w:val="32"/>
        </w:rPr>
        <w:t>万元，占</w:t>
      </w:r>
      <w:r>
        <w:rPr>
          <w:rFonts w:ascii="仿宋" w:hAnsi="仿宋" w:eastAsia="仿宋"/>
          <w:b/>
          <w:color w:val="000000"/>
          <w:sz w:val="32"/>
          <w:szCs w:val="32"/>
        </w:rPr>
        <w:t>48.27%</w:t>
      </w:r>
      <w:r>
        <w:rPr>
          <w:rFonts w:hint="eastAsia" w:ascii="仿宋" w:hAnsi="仿宋" w:eastAsia="仿宋"/>
          <w:b/>
          <w:color w:val="000000"/>
          <w:sz w:val="32"/>
          <w:szCs w:val="32"/>
        </w:rPr>
        <w:t>；上缴上级支出</w:t>
      </w:r>
      <w:r>
        <w:rPr>
          <w:rFonts w:ascii="仿宋" w:hAnsi="仿宋" w:eastAsia="仿宋"/>
          <w:b/>
          <w:color w:val="000000"/>
          <w:sz w:val="32"/>
          <w:szCs w:val="32"/>
        </w:rPr>
        <w:t>0</w:t>
      </w:r>
      <w:r>
        <w:rPr>
          <w:rFonts w:hint="eastAsia" w:ascii="仿宋" w:hAnsi="仿宋" w:eastAsia="仿宋"/>
          <w:b/>
          <w:color w:val="000000"/>
          <w:sz w:val="32"/>
          <w:szCs w:val="32"/>
        </w:rPr>
        <w:t>万元；经营支出</w:t>
      </w:r>
      <w:r>
        <w:rPr>
          <w:rFonts w:ascii="仿宋" w:hAnsi="仿宋" w:eastAsia="仿宋"/>
          <w:b/>
          <w:color w:val="000000"/>
          <w:sz w:val="32"/>
          <w:szCs w:val="32"/>
        </w:rPr>
        <w:t>0</w:t>
      </w:r>
      <w:r>
        <w:rPr>
          <w:rFonts w:hint="eastAsia" w:ascii="仿宋" w:hAnsi="仿宋" w:eastAsia="仿宋"/>
          <w:b/>
          <w:color w:val="000000"/>
          <w:sz w:val="32"/>
          <w:szCs w:val="32"/>
        </w:rPr>
        <w:t>万元；对附属单位补助支出</w:t>
      </w:r>
      <w:r>
        <w:rPr>
          <w:rFonts w:ascii="仿宋" w:hAnsi="仿宋" w:eastAsia="仿宋"/>
          <w:b/>
          <w:color w:val="000000"/>
          <w:sz w:val="32"/>
          <w:szCs w:val="32"/>
        </w:rPr>
        <w:t>0</w:t>
      </w:r>
      <w:r>
        <w:rPr>
          <w:rFonts w:hint="eastAsia" w:ascii="仿宋" w:hAnsi="仿宋" w:eastAsia="仿宋"/>
          <w:b/>
          <w:color w:val="000000"/>
          <w:sz w:val="32"/>
          <w:szCs w:val="32"/>
        </w:rPr>
        <w:t>万元。</w:t>
      </w:r>
    </w:p>
    <w:p>
      <w:pPr>
        <w:spacing w:line="600" w:lineRule="exact"/>
        <w:ind w:firstLine="642" w:firstLineChars="200"/>
        <w:rPr>
          <w:rFonts w:ascii="仿宋" w:hAnsi="仿宋" w:eastAsia="仿宋"/>
          <w:b/>
          <w:color w:val="000000"/>
          <w:sz w:val="32"/>
          <w:szCs w:val="32"/>
        </w:rPr>
      </w:pPr>
      <w:r>
        <w:rPr>
          <w:rFonts w:hint="eastAsia" w:ascii="仿宋" w:hAnsi="仿宋" w:eastAsia="仿宋"/>
          <w:b/>
          <w:color w:val="000000"/>
          <w:sz w:val="32"/>
          <w:szCs w:val="32"/>
        </w:rPr>
        <w:t>（图</w:t>
      </w:r>
      <w:r>
        <w:rPr>
          <w:rFonts w:ascii="仿宋" w:hAnsi="仿宋" w:eastAsia="仿宋"/>
          <w:b/>
          <w:color w:val="000000"/>
          <w:sz w:val="32"/>
          <w:szCs w:val="32"/>
        </w:rPr>
        <w:t>3</w:t>
      </w:r>
      <w:r>
        <w:rPr>
          <w:rFonts w:hint="eastAsia" w:ascii="仿宋" w:hAnsi="仿宋" w:eastAsia="仿宋"/>
          <w:b/>
          <w:color w:val="000000"/>
          <w:sz w:val="32"/>
          <w:szCs w:val="32"/>
        </w:rPr>
        <w:t>：支出决算结构图）</w:t>
      </w:r>
    </w:p>
    <w:p>
      <w:pPr>
        <w:spacing w:line="600" w:lineRule="exact"/>
        <w:ind w:firstLine="640"/>
        <w:rPr>
          <w:rFonts w:ascii="仿宋" w:hAnsi="仿宋" w:eastAsia="仿宋"/>
          <w:color w:val="000000"/>
          <w:sz w:val="32"/>
          <w:szCs w:val="32"/>
          <w:shd w:val="pct10" w:color="auto" w:fill="FFFFFF"/>
        </w:rPr>
      </w:pPr>
    </w:p>
    <w:p>
      <w:pPr>
        <w:spacing w:line="600" w:lineRule="exact"/>
        <w:ind w:firstLine="420" w:firstLineChars="200"/>
        <w:rPr>
          <w:rFonts w:ascii="仿宋" w:hAnsi="仿宋" w:eastAsia="仿宋"/>
          <w:color w:val="000000"/>
          <w:sz w:val="32"/>
          <w:szCs w:val="32"/>
        </w:rPr>
      </w:pPr>
      <w:r>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485130" cy="1843405"/>
            <wp:effectExtent l="0" t="0" r="0" b="0"/>
            <wp:wrapNone/>
            <wp:docPr id="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pic:cNvPicPr>
                      <a:picLocks noChangeAspect="1"/>
                    </pic:cNvPicPr>
                  </pic:nvPicPr>
                  <pic:blipFill>
                    <a:blip r:embed="rId8"/>
                    <a:stretch>
                      <a:fillRect/>
                    </a:stretch>
                  </pic:blipFill>
                  <pic:spPr>
                    <a:xfrm>
                      <a:off x="0" y="0"/>
                      <a:ext cx="5485130" cy="1843405"/>
                    </a:xfrm>
                    <a:prstGeom prst="rect">
                      <a:avLst/>
                    </a:prstGeom>
                    <a:noFill/>
                    <a:ln>
                      <a:noFill/>
                    </a:ln>
                  </pic:spPr>
                </pic:pic>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outlineLvl w:val="1"/>
        <w:rPr>
          <w:rStyle w:val="18"/>
          <w:rFonts w:ascii="黑体" w:hAnsi="黑体" w:eastAsia="黑体"/>
          <w:b w:val="0"/>
        </w:rPr>
      </w:pPr>
      <w:bookmarkStart w:id="30" w:name="_Toc15377208"/>
      <w:bookmarkStart w:id="31" w:name="_Toc15396606"/>
      <w:r>
        <w:rPr>
          <w:rFonts w:hint="eastAsia" w:ascii="黑体" w:hAnsi="黑体" w:eastAsia="黑体"/>
          <w:color w:val="000000"/>
          <w:sz w:val="32"/>
          <w:szCs w:val="32"/>
        </w:rPr>
        <w:t>四、财</w:t>
      </w:r>
      <w:r>
        <w:rPr>
          <w:rStyle w:val="18"/>
          <w:rFonts w:hint="eastAsia" w:ascii="黑体" w:hAnsi="黑体" w:eastAsia="黑体"/>
          <w:b w:val="0"/>
        </w:rPr>
        <w:t>政拨款收入支出决算总体情况说明</w:t>
      </w:r>
      <w:bookmarkEnd w:id="30"/>
      <w:bookmarkEnd w:id="31"/>
    </w:p>
    <w:p>
      <w:pPr>
        <w:spacing w:line="600" w:lineRule="exact"/>
        <w:ind w:firstLine="640" w:firstLineChars="200"/>
        <w:rPr>
          <w:rFonts w:ascii="仿宋" w:hAnsi="仿宋" w:eastAsia="仿宋"/>
          <w:color w:val="000000"/>
          <w:sz w:val="32"/>
          <w:szCs w:val="32"/>
        </w:rPr>
      </w:pPr>
      <w:r>
        <w:rPr>
          <w:rFonts w:ascii="仿宋" w:hAnsi="仿宋" w:eastAsia="仿宋"/>
          <w:color w:val="000000"/>
          <w:sz w:val="32"/>
          <w:szCs w:val="32"/>
        </w:rPr>
        <w:t>2018</w:t>
      </w:r>
      <w:r>
        <w:rPr>
          <w:rFonts w:hint="eastAsia" w:ascii="仿宋" w:hAnsi="仿宋" w:eastAsia="仿宋"/>
          <w:color w:val="000000"/>
          <w:sz w:val="32"/>
          <w:szCs w:val="32"/>
        </w:rPr>
        <w:t>年财政拨款收入总计</w:t>
      </w:r>
      <w:r>
        <w:rPr>
          <w:rFonts w:ascii="仿宋" w:hAnsi="仿宋" w:eastAsia="仿宋"/>
          <w:color w:val="000000"/>
          <w:sz w:val="32"/>
          <w:szCs w:val="32"/>
        </w:rPr>
        <w:t>2825</w:t>
      </w:r>
      <w:r>
        <w:rPr>
          <w:rFonts w:hint="eastAsia" w:ascii="仿宋" w:hAnsi="仿宋" w:eastAsia="仿宋"/>
          <w:color w:val="000000"/>
          <w:sz w:val="32"/>
          <w:szCs w:val="32"/>
        </w:rPr>
        <w:t>万元、支出总计</w:t>
      </w:r>
      <w:r>
        <w:rPr>
          <w:rFonts w:ascii="仿宋" w:hAnsi="仿宋" w:eastAsia="仿宋"/>
          <w:color w:val="000000"/>
          <w:sz w:val="32"/>
          <w:szCs w:val="32"/>
        </w:rPr>
        <w:t>2866</w:t>
      </w:r>
      <w:r>
        <w:rPr>
          <w:rFonts w:hint="eastAsia" w:ascii="仿宋" w:hAnsi="仿宋" w:eastAsia="仿宋"/>
          <w:color w:val="000000"/>
          <w:sz w:val="32"/>
          <w:szCs w:val="32"/>
        </w:rPr>
        <w:t>万元。与</w:t>
      </w:r>
      <w:r>
        <w:rPr>
          <w:rFonts w:ascii="仿宋" w:hAnsi="仿宋" w:eastAsia="仿宋"/>
          <w:color w:val="000000"/>
          <w:sz w:val="32"/>
          <w:szCs w:val="32"/>
        </w:rPr>
        <w:t>2017</w:t>
      </w:r>
      <w:r>
        <w:rPr>
          <w:rFonts w:hint="eastAsia" w:ascii="仿宋" w:hAnsi="仿宋" w:eastAsia="仿宋"/>
          <w:color w:val="000000"/>
          <w:sz w:val="32"/>
          <w:szCs w:val="32"/>
        </w:rPr>
        <w:t>年相比，财政拨款收入增加</w:t>
      </w:r>
      <w:r>
        <w:rPr>
          <w:rFonts w:ascii="仿宋" w:hAnsi="仿宋" w:eastAsia="仿宋"/>
          <w:color w:val="000000"/>
          <w:sz w:val="32"/>
          <w:szCs w:val="32"/>
        </w:rPr>
        <w:t>590.57</w:t>
      </w:r>
      <w:r>
        <w:rPr>
          <w:rFonts w:hint="eastAsia" w:ascii="仿宋" w:hAnsi="仿宋" w:eastAsia="仿宋"/>
          <w:color w:val="000000"/>
          <w:sz w:val="32"/>
          <w:szCs w:val="32"/>
        </w:rPr>
        <w:t>万元、增长</w:t>
      </w:r>
      <w:r>
        <w:rPr>
          <w:rFonts w:ascii="仿宋" w:hAnsi="仿宋" w:eastAsia="仿宋"/>
          <w:color w:val="000000"/>
          <w:sz w:val="32"/>
          <w:szCs w:val="32"/>
        </w:rPr>
        <w:t>26%</w:t>
      </w:r>
      <w:r>
        <w:rPr>
          <w:rFonts w:hint="eastAsia" w:ascii="仿宋" w:hAnsi="仿宋" w:eastAsia="仿宋"/>
          <w:color w:val="000000"/>
          <w:sz w:val="32"/>
          <w:szCs w:val="32"/>
        </w:rPr>
        <w:t>；支出总计增长</w:t>
      </w:r>
      <w:r>
        <w:rPr>
          <w:rFonts w:ascii="仿宋" w:hAnsi="仿宋" w:eastAsia="仿宋"/>
          <w:color w:val="000000"/>
          <w:sz w:val="32"/>
          <w:szCs w:val="32"/>
        </w:rPr>
        <w:t>443.15</w:t>
      </w:r>
      <w:r>
        <w:rPr>
          <w:rFonts w:hint="eastAsia" w:ascii="仿宋" w:hAnsi="仿宋" w:eastAsia="仿宋"/>
          <w:color w:val="000000"/>
          <w:sz w:val="32"/>
          <w:szCs w:val="32"/>
        </w:rPr>
        <w:t>万元，增长</w:t>
      </w:r>
      <w:r>
        <w:rPr>
          <w:rFonts w:ascii="仿宋" w:hAnsi="仿宋" w:eastAsia="仿宋"/>
          <w:color w:val="000000"/>
          <w:sz w:val="32"/>
          <w:szCs w:val="32"/>
        </w:rPr>
        <w:t>18.29%</w:t>
      </w:r>
      <w:r>
        <w:rPr>
          <w:rFonts w:hint="eastAsia" w:ascii="仿宋" w:hAnsi="仿宋" w:eastAsia="仿宋"/>
          <w:color w:val="000000"/>
          <w:sz w:val="32"/>
          <w:szCs w:val="32"/>
        </w:rPr>
        <w:t>。主要变动原因详见</w:t>
      </w:r>
      <w:r>
        <w:rPr>
          <w:rFonts w:ascii="仿宋" w:hAnsi="仿宋" w:eastAsia="仿宋"/>
          <w:color w:val="000000"/>
          <w:sz w:val="32"/>
          <w:szCs w:val="32"/>
        </w:rPr>
        <w:t>1.1</w:t>
      </w:r>
      <w:r>
        <w:rPr>
          <w:rFonts w:hint="eastAsia" w:ascii="仿宋" w:hAnsi="仿宋" w:eastAsia="仿宋"/>
          <w:color w:val="000000"/>
          <w:sz w:val="32"/>
          <w:szCs w:val="32"/>
        </w:rPr>
        <w:t>主要指标变动情况表。</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w:t>
      </w:r>
      <w:r>
        <w:rPr>
          <w:rFonts w:ascii="仿宋" w:hAnsi="仿宋" w:eastAsia="仿宋"/>
          <w:color w:val="000000"/>
          <w:sz w:val="32"/>
          <w:szCs w:val="32"/>
        </w:rPr>
        <w:t>4</w:t>
      </w:r>
      <w:r>
        <w:rPr>
          <w:rFonts w:hint="eastAsia" w:ascii="仿宋" w:hAnsi="仿宋" w:eastAsia="仿宋"/>
          <w:color w:val="000000"/>
          <w:sz w:val="32"/>
          <w:szCs w:val="32"/>
        </w:rPr>
        <w:t>：财政拨款收、支决算总计变动情况）（柱状图）</w:t>
      </w:r>
    </w:p>
    <w:p>
      <w:pPr>
        <w:spacing w:line="600" w:lineRule="exact"/>
        <w:ind w:firstLine="420" w:firstLineChars="200"/>
        <w:rPr>
          <w:rFonts w:ascii="仿宋" w:hAnsi="仿宋" w:eastAsia="仿宋"/>
          <w:color w:val="000000"/>
          <w:sz w:val="32"/>
          <w:szCs w:val="32"/>
        </w:rPr>
      </w:pPr>
      <w:r>
        <w:drawing>
          <wp:anchor distT="0" distB="0" distL="114300" distR="114300" simplePos="0" relativeHeight="251662336" behindDoc="0" locked="0" layoutInCell="1" allowOverlap="1">
            <wp:simplePos x="0" y="0"/>
            <wp:positionH relativeFrom="column">
              <wp:posOffset>438150</wp:posOffset>
            </wp:positionH>
            <wp:positionV relativeFrom="paragraph">
              <wp:posOffset>114300</wp:posOffset>
            </wp:positionV>
            <wp:extent cx="4619625" cy="2771775"/>
            <wp:effectExtent l="0" t="0" r="9525" b="9525"/>
            <wp:wrapNone/>
            <wp:docPr id="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pic:cNvPicPr>
                      <a:picLocks noChangeAspect="1"/>
                    </pic:cNvPicPr>
                  </pic:nvPicPr>
                  <pic:blipFill>
                    <a:blip r:embed="rId9"/>
                    <a:stretch>
                      <a:fillRect/>
                    </a:stretch>
                  </pic:blipFill>
                  <pic:spPr>
                    <a:xfrm>
                      <a:off x="0" y="0"/>
                      <a:ext cx="4619625" cy="2771775"/>
                    </a:xfrm>
                    <a:prstGeom prst="rect">
                      <a:avLst/>
                    </a:prstGeom>
                    <a:noFill/>
                    <a:ln>
                      <a:noFill/>
                    </a:ln>
                  </pic:spPr>
                </pic:pic>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（除国有资本经营预算外，数据来源于财决</w:t>
      </w:r>
      <w:r>
        <w:rPr>
          <w:rFonts w:ascii="仿宋" w:hAnsi="仿宋" w:eastAsia="仿宋"/>
          <w:b/>
          <w:color w:val="000000"/>
          <w:sz w:val="32"/>
          <w:szCs w:val="32"/>
        </w:rPr>
        <w:t>Z01-1</w:t>
      </w:r>
      <w:r>
        <w:rPr>
          <w:rFonts w:hint="eastAsia" w:ascii="仿宋" w:hAnsi="仿宋" w:eastAsia="仿宋"/>
          <w:b/>
          <w:color w:val="000000"/>
          <w:sz w:val="32"/>
          <w:szCs w:val="32"/>
        </w:rPr>
        <w:t>表，口径为“总计”数</w:t>
      </w:r>
      <w:r>
        <w:rPr>
          <w:rFonts w:ascii="仿宋" w:hAnsi="仿宋" w:eastAsia="仿宋"/>
          <w:b/>
          <w:color w:val="000000"/>
          <w:sz w:val="32"/>
          <w:szCs w:val="32"/>
        </w:rPr>
        <w:t>+</w:t>
      </w:r>
      <w:r>
        <w:rPr>
          <w:rFonts w:hint="eastAsia" w:ascii="仿宋" w:hAnsi="仿宋" w:eastAsia="仿宋"/>
          <w:b/>
          <w:color w:val="000000"/>
          <w:sz w:val="32"/>
          <w:szCs w:val="32"/>
        </w:rPr>
        <w:t>国有资本经营预算。）</w:t>
      </w:r>
    </w:p>
    <w:p>
      <w:pPr>
        <w:spacing w:line="600" w:lineRule="exact"/>
        <w:ind w:firstLine="640" w:firstLineChars="200"/>
        <w:outlineLvl w:val="1"/>
        <w:rPr>
          <w:rStyle w:val="18"/>
          <w:rFonts w:ascii="黑体" w:hAnsi="黑体" w:eastAsia="黑体"/>
          <w:b w:val="0"/>
        </w:rPr>
      </w:pPr>
      <w:bookmarkStart w:id="32" w:name="_Toc15377209"/>
      <w:bookmarkStart w:id="33"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18"/>
          <w:rFonts w:hint="eastAsia" w:ascii="黑体" w:hAnsi="黑体" w:eastAsia="黑体"/>
          <w:b w:val="0"/>
        </w:rPr>
        <w:t>般公共预算财政拨款支出决算情况说明</w:t>
      </w:r>
      <w:bookmarkEnd w:id="32"/>
      <w:bookmarkEnd w:id="33"/>
    </w:p>
    <w:p>
      <w:pPr>
        <w:spacing w:line="600" w:lineRule="exact"/>
        <w:ind w:firstLine="642"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42" w:firstLineChars="200"/>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年一般公共预算财政拨款支出</w:t>
      </w:r>
      <w:r>
        <w:rPr>
          <w:rFonts w:ascii="仿宋" w:hAnsi="仿宋" w:eastAsia="仿宋"/>
          <w:b/>
          <w:color w:val="000000"/>
          <w:sz w:val="32"/>
          <w:szCs w:val="32"/>
        </w:rPr>
        <w:t>2866</w:t>
      </w:r>
      <w:r>
        <w:rPr>
          <w:rFonts w:hint="eastAsia" w:ascii="仿宋" w:hAnsi="仿宋" w:eastAsia="仿宋"/>
          <w:b/>
          <w:color w:val="000000"/>
          <w:sz w:val="32"/>
          <w:szCs w:val="32"/>
        </w:rPr>
        <w:t>万元，占本年支出合计的</w:t>
      </w:r>
      <w:r>
        <w:rPr>
          <w:rFonts w:ascii="仿宋" w:hAnsi="仿宋" w:eastAsia="仿宋"/>
          <w:b/>
          <w:color w:val="000000"/>
          <w:sz w:val="32"/>
          <w:szCs w:val="32"/>
        </w:rPr>
        <w:t>72.29%</w:t>
      </w:r>
      <w:r>
        <w:rPr>
          <w:rFonts w:hint="eastAsia" w:ascii="仿宋" w:hAnsi="仿宋" w:eastAsia="仿宋"/>
          <w:b/>
          <w:color w:val="000000"/>
          <w:sz w:val="32"/>
          <w:szCs w:val="32"/>
        </w:rPr>
        <w:t>。与</w:t>
      </w:r>
      <w:r>
        <w:rPr>
          <w:rFonts w:ascii="仿宋" w:hAnsi="仿宋" w:eastAsia="仿宋"/>
          <w:b/>
          <w:color w:val="000000"/>
          <w:sz w:val="32"/>
          <w:szCs w:val="32"/>
        </w:rPr>
        <w:t>2017</w:t>
      </w:r>
      <w:r>
        <w:rPr>
          <w:rFonts w:hint="eastAsia" w:ascii="仿宋" w:hAnsi="仿宋" w:eastAsia="仿宋"/>
          <w:b/>
          <w:color w:val="000000"/>
          <w:sz w:val="32"/>
          <w:szCs w:val="32"/>
        </w:rPr>
        <w:t>年相比，一般公共预算财政拨款增加</w:t>
      </w:r>
      <w:r>
        <w:rPr>
          <w:rFonts w:ascii="仿宋" w:hAnsi="仿宋" w:eastAsia="仿宋"/>
          <w:b/>
          <w:color w:val="000000"/>
          <w:sz w:val="32"/>
          <w:szCs w:val="32"/>
        </w:rPr>
        <w:t>443.15</w:t>
      </w:r>
      <w:r>
        <w:rPr>
          <w:rFonts w:hint="eastAsia" w:ascii="仿宋" w:hAnsi="仿宋" w:eastAsia="仿宋"/>
          <w:b/>
          <w:color w:val="000000"/>
          <w:sz w:val="32"/>
          <w:szCs w:val="32"/>
        </w:rPr>
        <w:t>万元，增长</w:t>
      </w:r>
      <w:r>
        <w:rPr>
          <w:rFonts w:ascii="仿宋" w:hAnsi="仿宋" w:eastAsia="仿宋"/>
          <w:b/>
          <w:color w:val="000000"/>
          <w:sz w:val="32"/>
          <w:szCs w:val="32"/>
        </w:rPr>
        <w:t>18.29%</w:t>
      </w:r>
      <w:r>
        <w:rPr>
          <w:rFonts w:hint="eastAsia" w:ascii="仿宋" w:hAnsi="仿宋" w:eastAsia="仿宋"/>
          <w:b/>
          <w:color w:val="000000"/>
          <w:sz w:val="32"/>
          <w:szCs w:val="32"/>
        </w:rPr>
        <w:t>。主要变动原因是</w:t>
      </w:r>
      <w:r>
        <w:rPr>
          <w:rFonts w:hint="eastAsia" w:ascii="仿宋" w:hAnsi="仿宋" w:eastAsia="仿宋" w:cs="Arial"/>
          <w:b/>
          <w:color w:val="000000"/>
          <w:kern w:val="0"/>
          <w:sz w:val="32"/>
          <w:szCs w:val="32"/>
        </w:rPr>
        <w:t>增加攀西战略资源开发试验区省部联席会会议经费及项目精细化管理信息经费等。</w:t>
      </w:r>
    </w:p>
    <w:p>
      <w:pPr>
        <w:spacing w:line="600" w:lineRule="exact"/>
        <w:ind w:firstLine="642" w:firstLineChars="200"/>
        <w:rPr>
          <w:rFonts w:ascii="仿宋" w:hAnsi="仿宋" w:eastAsia="仿宋"/>
          <w:b/>
          <w:color w:val="000000"/>
          <w:sz w:val="32"/>
          <w:szCs w:val="32"/>
        </w:rPr>
      </w:pPr>
      <w:r>
        <w:rPr>
          <w:rFonts w:hint="eastAsia" w:ascii="仿宋" w:hAnsi="仿宋" w:eastAsia="仿宋"/>
          <w:b/>
          <w:color w:val="000000"/>
          <w:sz w:val="32"/>
          <w:szCs w:val="32"/>
        </w:rPr>
        <w:t>（图</w:t>
      </w:r>
      <w:r>
        <w:rPr>
          <w:rFonts w:ascii="仿宋" w:hAnsi="仿宋" w:eastAsia="仿宋"/>
          <w:b/>
          <w:color w:val="000000"/>
          <w:sz w:val="32"/>
          <w:szCs w:val="32"/>
        </w:rPr>
        <w:t>5</w:t>
      </w:r>
      <w:r>
        <w:rPr>
          <w:rFonts w:hint="eastAsia" w:ascii="仿宋" w:hAnsi="仿宋" w:eastAsia="仿宋"/>
          <w:b/>
          <w:color w:val="000000"/>
          <w:sz w:val="32"/>
          <w:szCs w:val="32"/>
        </w:rPr>
        <w:t>：一般公共预算财政拨款支出决算变动情况）（柱状图）</w:t>
      </w:r>
    </w:p>
    <w:p>
      <w:pPr>
        <w:spacing w:line="600" w:lineRule="exact"/>
        <w:ind w:firstLine="420" w:firstLineChars="200"/>
        <w:rPr>
          <w:rFonts w:ascii="仿宋" w:hAnsi="仿宋" w:eastAsia="仿宋"/>
          <w:color w:val="000000"/>
          <w:sz w:val="32"/>
          <w:szCs w:val="32"/>
        </w:rPr>
      </w:pPr>
      <w:r>
        <w:drawing>
          <wp:anchor distT="0" distB="0" distL="114300" distR="114300" simplePos="0" relativeHeight="251663360" behindDoc="0" locked="0" layoutInCell="1" allowOverlap="1">
            <wp:simplePos x="0" y="0"/>
            <wp:positionH relativeFrom="column">
              <wp:posOffset>266700</wp:posOffset>
            </wp:positionH>
            <wp:positionV relativeFrom="paragraph">
              <wp:posOffset>171450</wp:posOffset>
            </wp:positionV>
            <wp:extent cx="4590415" cy="2762250"/>
            <wp:effectExtent l="0" t="0" r="635" b="0"/>
            <wp:wrapNone/>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r:embed="rId10"/>
                    <a:stretch>
                      <a:fillRect/>
                    </a:stretch>
                  </pic:blipFill>
                  <pic:spPr>
                    <a:xfrm>
                      <a:off x="0" y="0"/>
                      <a:ext cx="4590415" cy="2762250"/>
                    </a:xfrm>
                    <a:prstGeom prst="rect">
                      <a:avLst/>
                    </a:prstGeom>
                    <a:noFill/>
                    <a:ln>
                      <a:noFill/>
                    </a:ln>
                  </pic:spPr>
                </pic:pic>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35" w:name="_Toc15377211"/>
    </w:p>
    <w:p>
      <w:pPr>
        <w:spacing w:line="600" w:lineRule="exact"/>
        <w:ind w:firstLine="642" w:firstLineChars="200"/>
        <w:outlineLvl w:val="2"/>
        <w:rPr>
          <w:rFonts w:ascii="仿宋" w:hAnsi="仿宋" w:eastAsia="仿宋"/>
          <w:b/>
          <w:color w:val="000000"/>
          <w:sz w:val="32"/>
          <w:szCs w:val="32"/>
        </w:rPr>
      </w:pPr>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年一般公共预算财政拨款支出</w:t>
      </w:r>
      <w:r>
        <w:rPr>
          <w:rFonts w:ascii="仿宋" w:hAnsi="仿宋" w:eastAsia="仿宋"/>
          <w:b/>
          <w:color w:val="000000"/>
          <w:sz w:val="32"/>
          <w:szCs w:val="32"/>
        </w:rPr>
        <w:t>2866</w:t>
      </w:r>
      <w:r>
        <w:rPr>
          <w:rFonts w:hint="eastAsia" w:ascii="仿宋" w:hAnsi="仿宋" w:eastAsia="仿宋"/>
          <w:b/>
          <w:color w:val="000000"/>
          <w:sz w:val="32"/>
          <w:szCs w:val="32"/>
        </w:rPr>
        <w:t>万元，主要用于以下方面</w:t>
      </w:r>
      <w:r>
        <w:rPr>
          <w:rFonts w:ascii="仿宋" w:hAnsi="仿宋" w:eastAsia="仿宋"/>
          <w:b/>
          <w:color w:val="000000"/>
          <w:sz w:val="32"/>
          <w:szCs w:val="32"/>
        </w:rPr>
        <w:t>:</w:t>
      </w:r>
      <w:r>
        <w:rPr>
          <w:rFonts w:hint="eastAsia" w:ascii="仿宋" w:hAnsi="仿宋" w:eastAsia="仿宋"/>
          <w:b/>
          <w:color w:val="000000"/>
          <w:sz w:val="32"/>
          <w:szCs w:val="32"/>
        </w:rPr>
        <w:t>一般公共服务（类）支出</w:t>
      </w:r>
      <w:r>
        <w:rPr>
          <w:rFonts w:ascii="仿宋" w:hAnsi="仿宋" w:eastAsia="仿宋"/>
          <w:b/>
          <w:color w:val="000000"/>
          <w:sz w:val="32"/>
          <w:szCs w:val="32"/>
        </w:rPr>
        <w:t>1969.84</w:t>
      </w:r>
      <w:r>
        <w:rPr>
          <w:rFonts w:hint="eastAsia" w:ascii="仿宋" w:hAnsi="仿宋" w:eastAsia="仿宋"/>
          <w:b/>
          <w:color w:val="000000"/>
          <w:sz w:val="32"/>
          <w:szCs w:val="32"/>
        </w:rPr>
        <w:t>万元，占</w:t>
      </w:r>
      <w:r>
        <w:rPr>
          <w:rFonts w:ascii="仿宋" w:hAnsi="仿宋" w:eastAsia="仿宋"/>
          <w:b/>
          <w:color w:val="000000"/>
          <w:sz w:val="32"/>
          <w:szCs w:val="32"/>
        </w:rPr>
        <w:t>68.73%</w:t>
      </w:r>
      <w:r>
        <w:rPr>
          <w:rFonts w:hint="eastAsia" w:ascii="仿宋" w:hAnsi="仿宋" w:eastAsia="仿宋"/>
          <w:b/>
          <w:color w:val="000000"/>
          <w:sz w:val="32"/>
          <w:szCs w:val="32"/>
        </w:rPr>
        <w:t>；教育支出（类）</w:t>
      </w:r>
      <w:r>
        <w:rPr>
          <w:rFonts w:ascii="仿宋" w:hAnsi="仿宋" w:eastAsia="仿宋"/>
          <w:b/>
          <w:color w:val="000000"/>
          <w:sz w:val="32"/>
          <w:szCs w:val="32"/>
        </w:rPr>
        <w:t>0</w:t>
      </w:r>
      <w:r>
        <w:rPr>
          <w:rFonts w:hint="eastAsia" w:ascii="仿宋" w:hAnsi="仿宋" w:eastAsia="仿宋"/>
          <w:b/>
          <w:color w:val="000000"/>
          <w:sz w:val="32"/>
          <w:szCs w:val="32"/>
        </w:rPr>
        <w:t>万元；科学技术（类）支出</w:t>
      </w:r>
      <w:r>
        <w:rPr>
          <w:rFonts w:ascii="仿宋" w:hAnsi="仿宋" w:eastAsia="仿宋"/>
          <w:b/>
          <w:color w:val="000000"/>
          <w:sz w:val="32"/>
          <w:szCs w:val="32"/>
        </w:rPr>
        <w:t>0</w:t>
      </w:r>
      <w:r>
        <w:rPr>
          <w:rFonts w:hint="eastAsia" w:ascii="仿宋" w:hAnsi="仿宋" w:eastAsia="仿宋"/>
          <w:b/>
          <w:color w:val="000000"/>
          <w:sz w:val="32"/>
          <w:szCs w:val="32"/>
        </w:rPr>
        <w:t>万元；社会保障和就业（类）支出</w:t>
      </w:r>
      <w:r>
        <w:rPr>
          <w:rFonts w:ascii="仿宋" w:hAnsi="仿宋" w:eastAsia="仿宋"/>
          <w:b/>
          <w:color w:val="000000"/>
          <w:sz w:val="32"/>
          <w:szCs w:val="32"/>
        </w:rPr>
        <w:t>397.48</w:t>
      </w:r>
      <w:r>
        <w:rPr>
          <w:rFonts w:hint="eastAsia" w:ascii="仿宋" w:hAnsi="仿宋" w:eastAsia="仿宋"/>
          <w:b/>
          <w:color w:val="000000"/>
          <w:sz w:val="32"/>
          <w:szCs w:val="32"/>
        </w:rPr>
        <w:t>万元，占</w:t>
      </w:r>
      <w:r>
        <w:rPr>
          <w:rFonts w:ascii="仿宋" w:hAnsi="仿宋" w:eastAsia="仿宋"/>
          <w:b/>
          <w:color w:val="000000"/>
          <w:sz w:val="32"/>
          <w:szCs w:val="32"/>
        </w:rPr>
        <w:t>13.89%</w:t>
      </w:r>
      <w:r>
        <w:rPr>
          <w:rFonts w:hint="eastAsia" w:ascii="仿宋" w:hAnsi="仿宋" w:eastAsia="仿宋"/>
          <w:b/>
          <w:color w:val="000000"/>
          <w:sz w:val="32"/>
          <w:szCs w:val="32"/>
        </w:rPr>
        <w:t>；城乡社区支出</w:t>
      </w:r>
      <w:r>
        <w:rPr>
          <w:rFonts w:ascii="仿宋" w:hAnsi="仿宋" w:eastAsia="仿宋"/>
          <w:b/>
          <w:color w:val="000000"/>
          <w:sz w:val="32"/>
          <w:szCs w:val="32"/>
        </w:rPr>
        <w:t>312.17</w:t>
      </w:r>
      <w:r>
        <w:rPr>
          <w:rFonts w:hint="eastAsia" w:ascii="仿宋" w:hAnsi="仿宋" w:eastAsia="仿宋"/>
          <w:b/>
          <w:color w:val="000000"/>
          <w:sz w:val="32"/>
          <w:szCs w:val="32"/>
        </w:rPr>
        <w:t>万元，占</w:t>
      </w:r>
      <w:r>
        <w:rPr>
          <w:rFonts w:ascii="仿宋" w:hAnsi="仿宋" w:eastAsia="仿宋"/>
          <w:b/>
          <w:color w:val="000000"/>
          <w:sz w:val="32"/>
          <w:szCs w:val="32"/>
        </w:rPr>
        <w:t>10.88%</w:t>
      </w:r>
      <w:r>
        <w:rPr>
          <w:rFonts w:hint="eastAsia" w:ascii="仿宋" w:hAnsi="仿宋" w:eastAsia="仿宋"/>
          <w:b/>
          <w:color w:val="000000"/>
          <w:sz w:val="32"/>
          <w:szCs w:val="32"/>
        </w:rPr>
        <w:t>；医疗卫生支出</w:t>
      </w:r>
      <w:r>
        <w:rPr>
          <w:rFonts w:ascii="仿宋" w:hAnsi="仿宋" w:eastAsia="仿宋"/>
          <w:b/>
          <w:color w:val="000000"/>
          <w:sz w:val="32"/>
          <w:szCs w:val="32"/>
        </w:rPr>
        <w:t>0</w:t>
      </w:r>
      <w:r>
        <w:rPr>
          <w:rFonts w:hint="eastAsia" w:ascii="仿宋" w:hAnsi="仿宋" w:eastAsia="仿宋"/>
          <w:b/>
          <w:color w:val="000000"/>
          <w:sz w:val="32"/>
          <w:szCs w:val="32"/>
        </w:rPr>
        <w:t>万元；住房保障支出</w:t>
      </w:r>
      <w:r>
        <w:rPr>
          <w:rFonts w:ascii="仿宋" w:hAnsi="仿宋" w:eastAsia="仿宋"/>
          <w:b/>
          <w:color w:val="000000"/>
          <w:sz w:val="32"/>
          <w:szCs w:val="32"/>
        </w:rPr>
        <w:t>136.16</w:t>
      </w:r>
      <w:r>
        <w:rPr>
          <w:rFonts w:hint="eastAsia" w:ascii="仿宋" w:hAnsi="仿宋" w:eastAsia="仿宋"/>
          <w:b/>
          <w:color w:val="000000"/>
          <w:sz w:val="32"/>
          <w:szCs w:val="32"/>
        </w:rPr>
        <w:t>万元，占</w:t>
      </w:r>
      <w:r>
        <w:rPr>
          <w:rFonts w:ascii="仿宋" w:hAnsi="仿宋" w:eastAsia="仿宋"/>
          <w:b/>
          <w:color w:val="000000"/>
          <w:sz w:val="32"/>
          <w:szCs w:val="32"/>
        </w:rPr>
        <w:t>4.75%</w:t>
      </w:r>
      <w:r>
        <w:rPr>
          <w:rFonts w:hint="eastAsia" w:ascii="仿宋" w:hAnsi="仿宋" w:eastAsia="仿宋"/>
          <w:b/>
          <w:color w:val="000000"/>
          <w:sz w:val="32"/>
          <w:szCs w:val="32"/>
        </w:rPr>
        <w:t>；其他支出</w:t>
      </w:r>
      <w:r>
        <w:rPr>
          <w:rFonts w:ascii="仿宋" w:hAnsi="仿宋" w:eastAsia="仿宋"/>
          <w:b/>
          <w:color w:val="000000"/>
          <w:sz w:val="32"/>
          <w:szCs w:val="32"/>
        </w:rPr>
        <w:t>50.35</w:t>
      </w:r>
      <w:r>
        <w:rPr>
          <w:rFonts w:hint="eastAsia" w:ascii="仿宋" w:hAnsi="仿宋" w:eastAsia="仿宋"/>
          <w:b/>
          <w:color w:val="000000"/>
          <w:sz w:val="32"/>
          <w:szCs w:val="32"/>
        </w:rPr>
        <w:t>万元，占</w:t>
      </w:r>
      <w:r>
        <w:rPr>
          <w:rFonts w:ascii="仿宋" w:hAnsi="仿宋" w:eastAsia="仿宋"/>
          <w:b/>
          <w:color w:val="000000"/>
          <w:sz w:val="32"/>
          <w:szCs w:val="32"/>
        </w:rPr>
        <w:t>1.75%</w:t>
      </w:r>
      <w:r>
        <w:rPr>
          <w:rFonts w:hint="eastAsia" w:ascii="仿宋" w:hAnsi="仿宋" w:eastAsia="仿宋"/>
          <w:b/>
          <w:color w:val="000000"/>
          <w:sz w:val="32"/>
          <w:szCs w:val="32"/>
        </w:rPr>
        <w:t>。（罗列全部功能分类科目，至类级。）</w:t>
      </w:r>
    </w:p>
    <w:p>
      <w:pPr>
        <w:spacing w:line="600" w:lineRule="exact"/>
        <w:ind w:firstLine="642" w:firstLineChars="200"/>
        <w:rPr>
          <w:rFonts w:ascii="仿宋" w:hAnsi="仿宋" w:eastAsia="仿宋"/>
          <w:b/>
          <w:color w:val="000000"/>
          <w:sz w:val="32"/>
          <w:szCs w:val="32"/>
        </w:rPr>
      </w:pPr>
      <w:r>
        <w:rPr>
          <w:rFonts w:hint="eastAsia" w:ascii="仿宋" w:hAnsi="仿宋" w:eastAsia="仿宋"/>
          <w:b/>
          <w:color w:val="000000"/>
          <w:sz w:val="32"/>
          <w:szCs w:val="32"/>
        </w:rPr>
        <w:t>（图</w:t>
      </w:r>
      <w:r>
        <w:rPr>
          <w:rFonts w:ascii="仿宋" w:hAnsi="仿宋" w:eastAsia="仿宋"/>
          <w:b/>
          <w:color w:val="000000"/>
          <w:sz w:val="32"/>
          <w:szCs w:val="32"/>
        </w:rPr>
        <w:t>6</w:t>
      </w:r>
      <w:r>
        <w:rPr>
          <w:rFonts w:hint="eastAsia" w:ascii="仿宋" w:hAnsi="仿宋" w:eastAsia="仿宋"/>
          <w:b/>
          <w:color w:val="000000"/>
          <w:sz w:val="32"/>
          <w:szCs w:val="32"/>
        </w:rPr>
        <w:t>：一般公共预算财政拨款支出决算结构）（饼状图）</w:t>
      </w: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642" w:firstLineChars="200"/>
        <w:rPr>
          <w:rFonts w:ascii="仿宋" w:hAnsi="仿宋" w:eastAsia="仿宋"/>
          <w:b/>
          <w:color w:val="000000"/>
          <w:sz w:val="32"/>
          <w:szCs w:val="32"/>
        </w:rPr>
      </w:pPr>
    </w:p>
    <w:p>
      <w:pPr>
        <w:spacing w:line="600" w:lineRule="exact"/>
        <w:ind w:firstLine="420" w:firstLineChars="200"/>
        <w:rPr>
          <w:rFonts w:ascii="仿宋" w:hAnsi="仿宋" w:eastAsia="仿宋"/>
          <w:b/>
          <w:color w:val="000000"/>
          <w:sz w:val="32"/>
          <w:szCs w:val="32"/>
        </w:rPr>
      </w:pPr>
      <w:r>
        <w:drawing>
          <wp:anchor distT="0" distB="0" distL="114300" distR="114300" simplePos="0" relativeHeight="251664384" behindDoc="0" locked="0" layoutInCell="1" allowOverlap="1">
            <wp:simplePos x="0" y="0"/>
            <wp:positionH relativeFrom="column">
              <wp:posOffset>428625</wp:posOffset>
            </wp:positionH>
            <wp:positionV relativeFrom="paragraph">
              <wp:posOffset>-2457450</wp:posOffset>
            </wp:positionV>
            <wp:extent cx="4590415" cy="2762250"/>
            <wp:effectExtent l="0" t="0" r="635" b="0"/>
            <wp:wrapNone/>
            <wp:docPr id="6"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pic:cNvPicPr>
                      <a:picLocks noChangeAspect="1"/>
                    </pic:cNvPicPr>
                  </pic:nvPicPr>
                  <pic:blipFill>
                    <a:blip r:embed="rId11"/>
                    <a:stretch>
                      <a:fillRect/>
                    </a:stretch>
                  </pic:blipFill>
                  <pic:spPr>
                    <a:xfrm>
                      <a:off x="0" y="0"/>
                      <a:ext cx="4590415" cy="2762250"/>
                    </a:xfrm>
                    <a:prstGeom prst="rect">
                      <a:avLst/>
                    </a:prstGeom>
                    <a:noFill/>
                    <a:ln>
                      <a:noFill/>
                    </a:ln>
                  </pic:spPr>
                </pic:pic>
              </a:graphicData>
            </a:graphic>
          </wp:anchor>
        </w:drawing>
      </w:r>
    </w:p>
    <w:p>
      <w:pPr>
        <w:spacing w:line="600" w:lineRule="exact"/>
        <w:ind w:firstLine="642" w:firstLineChars="200"/>
        <w:rPr>
          <w:rFonts w:ascii="仿宋" w:hAnsi="仿宋" w:eastAsia="仿宋"/>
          <w:b/>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2" w:firstLineChars="200"/>
        <w:outlineLvl w:val="2"/>
        <w:rPr>
          <w:rFonts w:ascii="仿宋" w:hAnsi="仿宋" w:eastAsia="仿宋"/>
          <w:color w:val="FF0000"/>
          <w:sz w:val="32"/>
          <w:szCs w:val="32"/>
        </w:rPr>
      </w:pPr>
      <w:bookmarkStart w:id="37" w:name="_Toc15378460"/>
      <w:bookmarkStart w:id="38" w:name="_Toc15377444"/>
      <w:bookmarkStart w:id="39" w:name="_Toc15377213"/>
      <w:r>
        <w:rPr>
          <w:rFonts w:ascii="仿宋" w:hAnsi="仿宋" w:eastAsia="仿宋"/>
          <w:b/>
          <w:color w:val="000000"/>
          <w:sz w:val="32"/>
          <w:szCs w:val="32"/>
        </w:rPr>
        <w:t>2018</w:t>
      </w:r>
      <w:r>
        <w:rPr>
          <w:rFonts w:hint="eastAsia" w:ascii="仿宋" w:hAnsi="仿宋" w:eastAsia="仿宋"/>
          <w:b/>
          <w:color w:val="000000"/>
          <w:sz w:val="32"/>
          <w:szCs w:val="32"/>
        </w:rPr>
        <w:t>年般公共预算支出决算数为</w:t>
      </w:r>
      <w:r>
        <w:rPr>
          <w:rFonts w:ascii="仿宋" w:hAnsi="仿宋" w:eastAsia="仿宋"/>
          <w:b/>
          <w:color w:val="000000"/>
          <w:sz w:val="32"/>
          <w:szCs w:val="32"/>
        </w:rPr>
        <w:t>2866</w:t>
      </w:r>
      <w:r>
        <w:rPr>
          <w:rFonts w:hint="eastAsia" w:ascii="仿宋" w:hAnsi="仿宋" w:eastAsia="仿宋"/>
          <w:color w:val="000000"/>
          <w:sz w:val="32"/>
          <w:szCs w:val="32"/>
        </w:rPr>
        <w:t>，</w:t>
      </w:r>
      <w:r>
        <w:rPr>
          <w:rStyle w:val="15"/>
          <w:rFonts w:hint="eastAsia" w:ascii="仿宋" w:hAnsi="仿宋" w:eastAsia="仿宋"/>
          <w:bCs/>
          <w:color w:val="000000"/>
          <w:sz w:val="32"/>
          <w:szCs w:val="32"/>
        </w:rPr>
        <w:t>完成预算</w:t>
      </w:r>
      <w:r>
        <w:rPr>
          <w:rStyle w:val="15"/>
          <w:rFonts w:ascii="仿宋" w:hAnsi="仿宋" w:eastAsia="仿宋"/>
          <w:bCs/>
          <w:color w:val="000000"/>
          <w:sz w:val="32"/>
          <w:szCs w:val="32"/>
        </w:rPr>
        <w:t>98.42%</w:t>
      </w:r>
      <w:r>
        <w:rPr>
          <w:rStyle w:val="15"/>
          <w:rFonts w:hint="eastAsia" w:ascii="仿宋" w:hAnsi="仿宋" w:eastAsia="仿宋"/>
          <w:bCs/>
          <w:color w:val="000000"/>
          <w:sz w:val="32"/>
          <w:szCs w:val="32"/>
        </w:rPr>
        <w:t>。其中：</w:t>
      </w:r>
      <w:bookmarkEnd w:id="37"/>
      <w:bookmarkEnd w:id="38"/>
      <w:bookmarkEnd w:id="39"/>
    </w:p>
    <w:p>
      <w:pPr>
        <w:spacing w:line="600" w:lineRule="exact"/>
        <w:ind w:firstLine="642" w:firstLineChars="200"/>
        <w:rPr>
          <w:rStyle w:val="15"/>
          <w:rFonts w:ascii="仿宋" w:hAnsi="仿宋" w:eastAsia="仿宋"/>
          <w:bCs/>
          <w:color w:val="000000"/>
          <w:sz w:val="32"/>
          <w:szCs w:val="32"/>
        </w:rPr>
      </w:pPr>
      <w:r>
        <w:rPr>
          <w:rStyle w:val="15"/>
          <w:rFonts w:ascii="仿宋" w:hAnsi="仿宋" w:eastAsia="仿宋"/>
          <w:bCs/>
          <w:color w:val="000000"/>
          <w:sz w:val="32"/>
          <w:szCs w:val="32"/>
        </w:rPr>
        <w:t>1.</w:t>
      </w:r>
      <w:r>
        <w:rPr>
          <w:rStyle w:val="15"/>
          <w:rFonts w:hint="eastAsia" w:ascii="仿宋" w:hAnsi="仿宋" w:eastAsia="仿宋"/>
          <w:bCs/>
          <w:color w:val="000000"/>
          <w:sz w:val="32"/>
          <w:szCs w:val="32"/>
        </w:rPr>
        <w:t>一般公共服务（类）发展与改革事务（款）行政运行（项）</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1356.38</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Fonts w:ascii="仿宋" w:hAnsi="仿宋" w:eastAsia="仿宋" w:cs="Arial"/>
          <w:b/>
          <w:color w:val="000000"/>
          <w:kern w:val="0"/>
          <w:sz w:val="32"/>
          <w:szCs w:val="32"/>
        </w:rPr>
      </w:pPr>
      <w:r>
        <w:rPr>
          <w:rStyle w:val="15"/>
          <w:rFonts w:hint="eastAsia" w:ascii="仿宋" w:hAnsi="仿宋" w:eastAsia="仿宋"/>
          <w:bCs/>
          <w:color w:val="000000"/>
          <w:sz w:val="32"/>
          <w:szCs w:val="32"/>
        </w:rPr>
        <w:t>一般行政管理事务（项）：支出决算为</w:t>
      </w:r>
      <w:r>
        <w:rPr>
          <w:rStyle w:val="15"/>
          <w:rFonts w:ascii="仿宋" w:hAnsi="仿宋" w:eastAsia="仿宋"/>
          <w:bCs/>
          <w:color w:val="000000"/>
          <w:sz w:val="32"/>
          <w:szCs w:val="32"/>
        </w:rPr>
        <w:t>295.29</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87%</w:t>
      </w:r>
      <w:r>
        <w:rPr>
          <w:rStyle w:val="15"/>
          <w:rFonts w:hint="eastAsia" w:ascii="仿宋" w:hAnsi="仿宋" w:eastAsia="仿宋"/>
          <w:bCs/>
          <w:color w:val="000000"/>
          <w:sz w:val="32"/>
          <w:szCs w:val="32"/>
        </w:rPr>
        <w:t>，决算数小于预算数的主要原因是政府采购</w:t>
      </w:r>
      <w:r>
        <w:rPr>
          <w:rFonts w:hint="eastAsia" w:ascii="仿宋" w:hAnsi="仿宋" w:eastAsia="仿宋" w:cs="Arial"/>
          <w:b/>
          <w:color w:val="000000"/>
          <w:kern w:val="0"/>
          <w:sz w:val="32"/>
          <w:szCs w:val="32"/>
        </w:rPr>
        <w:t>项目精细化管理信息信息系统</w:t>
      </w:r>
      <w:r>
        <w:rPr>
          <w:rFonts w:ascii="仿宋" w:hAnsi="仿宋" w:eastAsia="仿宋" w:cs="Arial"/>
          <w:b/>
          <w:color w:val="000000"/>
          <w:kern w:val="0"/>
          <w:sz w:val="32"/>
          <w:szCs w:val="32"/>
        </w:rPr>
        <w:t>40.68</w:t>
      </w:r>
      <w:r>
        <w:rPr>
          <w:rFonts w:hint="eastAsia" w:ascii="仿宋" w:hAnsi="仿宋" w:eastAsia="仿宋" w:cs="Arial"/>
          <w:b/>
          <w:color w:val="000000"/>
          <w:kern w:val="0"/>
          <w:sz w:val="32"/>
          <w:szCs w:val="32"/>
        </w:rPr>
        <w:t>万元结转</w:t>
      </w:r>
      <w:r>
        <w:rPr>
          <w:rFonts w:ascii="仿宋" w:hAnsi="仿宋" w:eastAsia="仿宋" w:cs="Arial"/>
          <w:b/>
          <w:color w:val="000000"/>
          <w:kern w:val="0"/>
          <w:sz w:val="32"/>
          <w:szCs w:val="32"/>
        </w:rPr>
        <w:t>2019</w:t>
      </w:r>
      <w:r>
        <w:rPr>
          <w:rFonts w:hint="eastAsia" w:ascii="仿宋" w:hAnsi="仿宋" w:eastAsia="仿宋" w:cs="Arial"/>
          <w:b/>
          <w:color w:val="000000"/>
          <w:kern w:val="0"/>
          <w:sz w:val="32"/>
          <w:szCs w:val="32"/>
        </w:rPr>
        <w:t>年待完成验收后支付。</w:t>
      </w:r>
    </w:p>
    <w:p>
      <w:pPr>
        <w:spacing w:line="600" w:lineRule="exact"/>
        <w:ind w:firstLine="642" w:firstLineChars="200"/>
        <w:rPr>
          <w:rStyle w:val="15"/>
          <w:rFonts w:ascii="仿宋" w:hAnsi="仿宋" w:eastAsia="仿宋"/>
          <w:bCs/>
          <w:color w:val="000000"/>
          <w:sz w:val="32"/>
          <w:szCs w:val="32"/>
        </w:rPr>
      </w:pPr>
      <w:r>
        <w:rPr>
          <w:rFonts w:hint="eastAsia" w:ascii="仿宋" w:hAnsi="仿宋" w:eastAsia="仿宋" w:cs="Arial"/>
          <w:b/>
          <w:color w:val="000000"/>
          <w:kern w:val="0"/>
          <w:sz w:val="32"/>
          <w:szCs w:val="32"/>
        </w:rPr>
        <w:t>战略规划与实施（项）：</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20</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物价管理（项）：支出决算为</w:t>
      </w:r>
      <w:r>
        <w:rPr>
          <w:rStyle w:val="15"/>
          <w:rFonts w:ascii="仿宋" w:hAnsi="仿宋" w:eastAsia="仿宋"/>
          <w:bCs/>
          <w:color w:val="000000"/>
          <w:sz w:val="32"/>
          <w:szCs w:val="32"/>
        </w:rPr>
        <w:t>23.9</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Fonts w:hint="eastAsia" w:ascii="仿宋" w:hAnsi="仿宋" w:eastAsia="仿宋"/>
          <w:b/>
          <w:color w:val="000000"/>
          <w:sz w:val="32"/>
          <w:szCs w:val="32"/>
        </w:rPr>
        <w:t>事业运行（项）：</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137.89</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其他发展与改革事务支出：支出决算为</w:t>
      </w:r>
      <w:r>
        <w:rPr>
          <w:rStyle w:val="15"/>
          <w:rFonts w:ascii="仿宋" w:hAnsi="仿宋" w:eastAsia="仿宋"/>
          <w:bCs/>
          <w:color w:val="000000"/>
          <w:sz w:val="32"/>
          <w:szCs w:val="32"/>
        </w:rPr>
        <w:t>112.4</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Fonts w:ascii="仿宋" w:hAnsi="仿宋" w:eastAsia="仿宋"/>
          <w:color w:val="000000"/>
          <w:sz w:val="32"/>
          <w:szCs w:val="32"/>
        </w:rPr>
      </w:pPr>
      <w:r>
        <w:rPr>
          <w:rStyle w:val="15"/>
          <w:rFonts w:ascii="仿宋" w:hAnsi="仿宋" w:eastAsia="仿宋"/>
          <w:bCs/>
          <w:color w:val="000000"/>
          <w:sz w:val="32"/>
          <w:szCs w:val="32"/>
        </w:rPr>
        <w:t xml:space="preserve">2. </w:t>
      </w:r>
      <w:r>
        <w:rPr>
          <w:rStyle w:val="15"/>
          <w:rFonts w:hint="eastAsia" w:ascii="仿宋" w:hAnsi="仿宋" w:eastAsia="仿宋"/>
          <w:bCs/>
          <w:color w:val="000000"/>
          <w:sz w:val="32"/>
          <w:szCs w:val="32"/>
        </w:rPr>
        <w:t>一般公共服务（类）人力资源事务（款）其他人力资源事务（项）</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6.24</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Fonts w:ascii="仿宋" w:hAnsi="仿宋" w:eastAsia="仿宋"/>
          <w:color w:val="000000"/>
          <w:sz w:val="32"/>
          <w:szCs w:val="32"/>
        </w:rPr>
      </w:pPr>
      <w:r>
        <w:rPr>
          <w:rStyle w:val="15"/>
          <w:rFonts w:ascii="仿宋" w:hAnsi="仿宋" w:eastAsia="仿宋"/>
          <w:bCs/>
          <w:color w:val="000000"/>
          <w:sz w:val="32"/>
          <w:szCs w:val="32"/>
        </w:rPr>
        <w:t xml:space="preserve">3. </w:t>
      </w:r>
      <w:r>
        <w:rPr>
          <w:rStyle w:val="15"/>
          <w:rFonts w:hint="eastAsia" w:ascii="仿宋" w:hAnsi="仿宋" w:eastAsia="仿宋"/>
          <w:bCs/>
          <w:color w:val="000000"/>
          <w:sz w:val="32"/>
          <w:szCs w:val="32"/>
        </w:rPr>
        <w:t>一般公共服务（类）组织事务（款）其他组织事务（项）</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17.73</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Fonts w:ascii="仿宋" w:hAnsi="仿宋" w:eastAsia="仿宋"/>
          <w:b/>
          <w:color w:val="000000"/>
          <w:sz w:val="32"/>
          <w:szCs w:val="32"/>
        </w:rPr>
      </w:pPr>
      <w:r>
        <w:rPr>
          <w:rStyle w:val="15"/>
          <w:rFonts w:ascii="仿宋" w:hAnsi="仿宋" w:eastAsia="仿宋"/>
          <w:bCs/>
          <w:color w:val="000000"/>
          <w:sz w:val="32"/>
          <w:szCs w:val="32"/>
        </w:rPr>
        <w:t>4.</w:t>
      </w:r>
      <w:r>
        <w:rPr>
          <w:rStyle w:val="15"/>
          <w:rFonts w:hint="eastAsia" w:ascii="仿宋" w:hAnsi="仿宋" w:eastAsia="仿宋"/>
          <w:bCs/>
          <w:color w:val="000000"/>
          <w:sz w:val="32"/>
          <w:szCs w:val="32"/>
        </w:rPr>
        <w:t>文化体育与传媒（类）</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（款）</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（项）</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0</w:t>
      </w:r>
      <w:r>
        <w:rPr>
          <w:rStyle w:val="15"/>
          <w:rFonts w:hint="eastAsia" w:ascii="仿宋" w:hAnsi="仿宋" w:eastAsia="仿宋"/>
          <w:bCs/>
          <w:color w:val="000000"/>
          <w:sz w:val="32"/>
          <w:szCs w:val="32"/>
        </w:rPr>
        <w:t>万元。</w:t>
      </w:r>
    </w:p>
    <w:p>
      <w:pPr>
        <w:spacing w:line="600" w:lineRule="exact"/>
        <w:ind w:firstLine="642" w:firstLineChars="200"/>
        <w:rPr>
          <w:rStyle w:val="15"/>
          <w:rFonts w:ascii="仿宋" w:hAnsi="仿宋" w:eastAsia="仿宋"/>
          <w:bCs/>
          <w:color w:val="000000"/>
          <w:sz w:val="32"/>
          <w:szCs w:val="32"/>
        </w:rPr>
      </w:pPr>
      <w:r>
        <w:rPr>
          <w:rStyle w:val="15"/>
          <w:rFonts w:ascii="仿宋" w:hAnsi="仿宋" w:eastAsia="仿宋"/>
          <w:bCs/>
          <w:color w:val="000000"/>
          <w:sz w:val="32"/>
          <w:szCs w:val="32"/>
        </w:rPr>
        <w:t>5.</w:t>
      </w:r>
      <w:r>
        <w:rPr>
          <w:rStyle w:val="15"/>
          <w:rFonts w:hint="eastAsia" w:ascii="仿宋" w:hAnsi="仿宋" w:eastAsia="仿宋"/>
          <w:bCs/>
          <w:color w:val="000000"/>
          <w:sz w:val="32"/>
          <w:szCs w:val="32"/>
        </w:rPr>
        <w:t>社会保障和就业（类）行政事业单位离退休（款）未归口管理的行政单位离退休（项）</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243.6</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Fonts w:hint="eastAsia" w:ascii="仿宋" w:hAnsi="仿宋" w:eastAsia="仿宋"/>
          <w:b/>
          <w:color w:val="000000"/>
          <w:sz w:val="32"/>
          <w:szCs w:val="32"/>
        </w:rPr>
        <w:t>机关事业单位基本养老保险缴费（项）支出：</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134.96</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Fonts w:hint="eastAsia" w:ascii="仿宋" w:hAnsi="仿宋" w:eastAsia="仿宋"/>
          <w:b/>
          <w:color w:val="000000"/>
          <w:sz w:val="32"/>
          <w:szCs w:val="32"/>
        </w:rPr>
        <w:t>机关事业单位职业年金缴费（项）支出：</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1.18</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抚恤（款）死亡抚恤（项）：支出决算为</w:t>
      </w:r>
      <w:r>
        <w:rPr>
          <w:rStyle w:val="15"/>
          <w:rFonts w:ascii="仿宋" w:hAnsi="仿宋" w:eastAsia="仿宋"/>
          <w:bCs/>
          <w:color w:val="000000"/>
          <w:sz w:val="32"/>
          <w:szCs w:val="32"/>
        </w:rPr>
        <w:t>16.74</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Style w:val="15"/>
          <w:rFonts w:ascii="仿宋" w:hAnsi="仿宋" w:eastAsia="仿宋"/>
          <w:bCs/>
          <w:color w:val="000000"/>
          <w:sz w:val="32"/>
          <w:szCs w:val="32"/>
        </w:rPr>
      </w:pPr>
      <w:r>
        <w:rPr>
          <w:rStyle w:val="15"/>
          <w:rFonts w:hint="eastAsia" w:ascii="仿宋" w:hAnsi="仿宋" w:eastAsia="仿宋"/>
          <w:bCs/>
          <w:color w:val="000000"/>
          <w:sz w:val="32"/>
          <w:szCs w:val="32"/>
        </w:rPr>
        <w:t>社会福利（款）儿童福利（项）：支出决算为</w:t>
      </w:r>
      <w:r>
        <w:rPr>
          <w:rStyle w:val="15"/>
          <w:rFonts w:ascii="仿宋" w:hAnsi="仿宋" w:eastAsia="仿宋"/>
          <w:bCs/>
          <w:color w:val="000000"/>
          <w:sz w:val="32"/>
          <w:szCs w:val="32"/>
        </w:rPr>
        <w:t>1</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2" w:firstLineChars="200"/>
        <w:rPr>
          <w:rFonts w:ascii="仿宋" w:hAnsi="仿宋" w:eastAsia="仿宋"/>
          <w:color w:val="000000"/>
          <w:sz w:val="32"/>
          <w:szCs w:val="32"/>
        </w:rPr>
      </w:pPr>
      <w:r>
        <w:rPr>
          <w:rStyle w:val="15"/>
          <w:rFonts w:ascii="仿宋" w:hAnsi="仿宋" w:eastAsia="仿宋"/>
          <w:bCs/>
          <w:color w:val="000000"/>
          <w:sz w:val="32"/>
          <w:szCs w:val="32"/>
        </w:rPr>
        <w:t>6.</w:t>
      </w:r>
      <w:r>
        <w:rPr>
          <w:rStyle w:val="15"/>
          <w:rFonts w:hint="eastAsia" w:ascii="仿宋" w:hAnsi="仿宋" w:eastAsia="仿宋"/>
          <w:bCs/>
          <w:color w:val="000000"/>
          <w:sz w:val="32"/>
          <w:szCs w:val="32"/>
        </w:rPr>
        <w:t>城乡社区支出（类）其他城乡社区支出（款）其他城乡社区支出（项）</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312.17</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r>
        <w:rPr>
          <w:rStyle w:val="15"/>
          <w:rFonts w:ascii="仿宋" w:hAnsi="仿宋" w:eastAsia="仿宋"/>
          <w:bCs/>
          <w:color w:val="000000"/>
          <w:sz w:val="32"/>
          <w:szCs w:val="32"/>
        </w:rPr>
        <w:t xml:space="preserve">   </w:t>
      </w:r>
    </w:p>
    <w:p>
      <w:pPr>
        <w:spacing w:line="600" w:lineRule="exact"/>
        <w:ind w:firstLine="640"/>
        <w:rPr>
          <w:rStyle w:val="15"/>
          <w:rFonts w:ascii="仿宋" w:hAnsi="仿宋" w:eastAsia="仿宋"/>
          <w:bCs/>
          <w:color w:val="000000"/>
          <w:sz w:val="32"/>
          <w:szCs w:val="32"/>
        </w:rPr>
      </w:pPr>
      <w:r>
        <w:rPr>
          <w:rFonts w:ascii="仿宋" w:hAnsi="仿宋" w:eastAsia="仿宋"/>
          <w:b/>
          <w:color w:val="000000"/>
          <w:sz w:val="32"/>
          <w:szCs w:val="32"/>
        </w:rPr>
        <w:t>7.</w:t>
      </w:r>
      <w:r>
        <w:rPr>
          <w:rFonts w:hint="eastAsia" w:ascii="仿宋" w:hAnsi="仿宋" w:eastAsia="仿宋"/>
          <w:b/>
          <w:color w:val="000000"/>
          <w:sz w:val="32"/>
          <w:szCs w:val="32"/>
        </w:rPr>
        <w:t>住房保障支出（类）住房改革支出（款）住房公积金（项）：</w:t>
      </w:r>
      <w:r>
        <w:rPr>
          <w:rStyle w:val="15"/>
          <w:rFonts w:hint="eastAsia" w:ascii="仿宋" w:hAnsi="仿宋" w:eastAsia="仿宋"/>
          <w:bCs/>
          <w:color w:val="000000"/>
          <w:sz w:val="32"/>
          <w:szCs w:val="32"/>
        </w:rPr>
        <w:t>支出决算为</w:t>
      </w:r>
      <w:r>
        <w:rPr>
          <w:rStyle w:val="15"/>
          <w:rFonts w:ascii="仿宋" w:hAnsi="仿宋" w:eastAsia="仿宋"/>
          <w:bCs/>
          <w:color w:val="000000"/>
          <w:sz w:val="32"/>
          <w:szCs w:val="32"/>
        </w:rPr>
        <w:t>136.16</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r>
        <w:rPr>
          <w:rStyle w:val="15"/>
          <w:rFonts w:ascii="仿宋" w:hAnsi="仿宋" w:eastAsia="仿宋"/>
          <w:bCs/>
          <w:color w:val="000000"/>
          <w:sz w:val="32"/>
          <w:szCs w:val="32"/>
        </w:rPr>
        <w:t xml:space="preserve">   </w:t>
      </w:r>
    </w:p>
    <w:p>
      <w:pPr>
        <w:spacing w:line="600" w:lineRule="exact"/>
        <w:ind w:firstLine="640"/>
        <w:rPr>
          <w:rFonts w:ascii="仿宋" w:hAnsi="仿宋" w:eastAsia="仿宋"/>
          <w:b/>
          <w:color w:val="000000"/>
          <w:sz w:val="32"/>
          <w:szCs w:val="32"/>
        </w:rPr>
      </w:pPr>
      <w:r>
        <w:rPr>
          <w:rStyle w:val="15"/>
          <w:rFonts w:ascii="仿宋" w:hAnsi="仿宋" w:eastAsia="仿宋"/>
          <w:bCs/>
          <w:color w:val="000000"/>
          <w:sz w:val="32"/>
          <w:szCs w:val="32"/>
        </w:rPr>
        <w:t>8.</w:t>
      </w:r>
      <w:r>
        <w:rPr>
          <w:rStyle w:val="15"/>
          <w:rFonts w:hint="eastAsia" w:ascii="仿宋" w:hAnsi="仿宋" w:eastAsia="仿宋"/>
          <w:bCs/>
          <w:color w:val="000000"/>
          <w:sz w:val="32"/>
          <w:szCs w:val="32"/>
        </w:rPr>
        <w:t>其他支出（类）其他支出（款）其他支出（项）：支出决算为</w:t>
      </w:r>
      <w:r>
        <w:rPr>
          <w:rStyle w:val="15"/>
          <w:rFonts w:ascii="仿宋" w:hAnsi="仿宋" w:eastAsia="仿宋"/>
          <w:bCs/>
          <w:color w:val="000000"/>
          <w:sz w:val="32"/>
          <w:szCs w:val="32"/>
        </w:rPr>
        <w:t>50.35</w:t>
      </w:r>
      <w:r>
        <w:rPr>
          <w:rStyle w:val="15"/>
          <w:rFonts w:hint="eastAsia" w:ascii="仿宋" w:hAnsi="仿宋" w:eastAsia="仿宋"/>
          <w:bCs/>
          <w:color w:val="000000"/>
          <w:sz w:val="32"/>
          <w:szCs w:val="32"/>
        </w:rPr>
        <w:t>万元，完成预算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08</w:t>
      </w:r>
      <w:r>
        <w:rPr>
          <w:rFonts w:hint="eastAsia" w:ascii="仿宋" w:hAnsi="仿宋" w:eastAsia="仿宋"/>
          <w:b/>
          <w:color w:val="000000"/>
          <w:sz w:val="32"/>
          <w:szCs w:val="32"/>
        </w:rPr>
        <w:t>表，罗列全部功能分类科目至项级。上述“预算”口径为调整预算数。增减变动原因为决算数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和调整预算数</w:t>
      </w:r>
      <w:r>
        <w:rPr>
          <w:rFonts w:ascii="仿宋" w:hAnsi="仿宋" w:eastAsia="仿宋"/>
          <w:b/>
          <w:color w:val="000000"/>
          <w:sz w:val="32"/>
          <w:szCs w:val="32"/>
        </w:rPr>
        <w:t>&lt;</w:t>
      </w:r>
      <w:r>
        <w:rPr>
          <w:rFonts w:hint="eastAsia" w:ascii="仿宋" w:hAnsi="仿宋" w:eastAsia="仿宋"/>
          <w:b/>
          <w:color w:val="000000"/>
          <w:sz w:val="32"/>
          <w:szCs w:val="32"/>
        </w:rPr>
        <w:t>项级</w:t>
      </w:r>
      <w:r>
        <w:rPr>
          <w:rFonts w:ascii="仿宋" w:hAnsi="仿宋" w:eastAsia="仿宋"/>
          <w:b/>
          <w:color w:val="000000"/>
          <w:sz w:val="32"/>
          <w:szCs w:val="32"/>
        </w:rPr>
        <w:t>&gt;</w:t>
      </w:r>
      <w:r>
        <w:rPr>
          <w:rFonts w:hint="eastAsia" w:ascii="仿宋" w:hAnsi="仿宋" w:eastAsia="仿宋"/>
          <w:b/>
          <w:color w:val="000000"/>
          <w:sz w:val="32"/>
          <w:szCs w:val="32"/>
        </w:rPr>
        <w:t>比较，与预算数持平可以不写原因。）</w:t>
      </w:r>
    </w:p>
    <w:p>
      <w:pPr>
        <w:tabs>
          <w:tab w:val="right" w:pos="8306"/>
        </w:tabs>
        <w:spacing w:line="600" w:lineRule="exact"/>
        <w:ind w:firstLine="640"/>
        <w:outlineLvl w:val="1"/>
        <w:rPr>
          <w:rStyle w:val="18"/>
        </w:rPr>
      </w:pPr>
      <w:bookmarkStart w:id="40" w:name="_Toc15396608"/>
      <w:bookmarkStart w:id="4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18"/>
          <w:rFonts w:hint="eastAsia" w:ascii="黑体" w:hAnsi="黑体" w:eastAsia="黑体"/>
          <w:b w:val="0"/>
        </w:rPr>
        <w:t>般公共预算财政拨款基本支出决算情况说明</w:t>
      </w:r>
      <w:bookmarkEnd w:id="40"/>
      <w:bookmarkEnd w:id="41"/>
      <w:r>
        <w:rPr>
          <w:rStyle w:val="18"/>
          <w:rFonts w:ascii="黑体" w:hAnsi="黑体" w:eastAsia="黑体"/>
          <w:b w:val="0"/>
        </w:rPr>
        <w:tab/>
      </w:r>
    </w:p>
    <w:p>
      <w:pPr>
        <w:spacing w:line="600" w:lineRule="exact"/>
        <w:ind w:firstLine="645"/>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年一般公共预算财政拨款基本支出</w:t>
      </w:r>
      <w:r>
        <w:rPr>
          <w:rFonts w:ascii="仿宋" w:hAnsi="仿宋" w:eastAsia="仿宋"/>
          <w:b/>
          <w:color w:val="000000"/>
          <w:sz w:val="32"/>
          <w:szCs w:val="32"/>
        </w:rPr>
        <w:t>2050.89</w:t>
      </w:r>
      <w:r>
        <w:rPr>
          <w:rFonts w:hint="eastAsia" w:ascii="仿宋" w:hAnsi="仿宋" w:eastAsia="仿宋"/>
          <w:b/>
          <w:color w:val="000000"/>
          <w:sz w:val="32"/>
          <w:szCs w:val="32"/>
        </w:rPr>
        <w:t>万元，其中：</w:t>
      </w:r>
    </w:p>
    <w:p>
      <w:pPr>
        <w:spacing w:line="600" w:lineRule="exact"/>
        <w:ind w:firstLine="645"/>
        <w:rPr>
          <w:rFonts w:ascii="仿宋" w:hAnsi="仿宋" w:eastAsia="仿宋"/>
          <w:b/>
          <w:color w:val="000000"/>
          <w:sz w:val="32"/>
          <w:szCs w:val="32"/>
        </w:rPr>
      </w:pPr>
      <w:r>
        <w:rPr>
          <w:rFonts w:hint="eastAsia" w:ascii="仿宋" w:hAnsi="仿宋" w:eastAsia="仿宋"/>
          <w:b/>
          <w:color w:val="000000"/>
          <w:sz w:val="32"/>
          <w:szCs w:val="32"/>
        </w:rPr>
        <w:t>人员经费</w:t>
      </w:r>
      <w:r>
        <w:rPr>
          <w:rFonts w:ascii="仿宋" w:hAnsi="仿宋" w:eastAsia="仿宋"/>
          <w:b/>
          <w:color w:val="000000"/>
          <w:sz w:val="32"/>
          <w:szCs w:val="32"/>
        </w:rPr>
        <w:t>1874.27</w:t>
      </w:r>
      <w:r>
        <w:rPr>
          <w:rFonts w:hint="eastAsia" w:ascii="仿宋" w:hAnsi="仿宋" w:eastAsia="仿宋"/>
          <w:b/>
          <w:color w:val="000000"/>
          <w:sz w:val="32"/>
          <w:szCs w:val="32"/>
        </w:rPr>
        <w:t>万元，主要包括：基本工资、津贴补贴、奖金、绩效工资、机关事业单位基本养老保险缴费、职业年金缴费、职工基本医疗保险缴费、公务员医疗补助缴费、其他社会保障缴费、住房公积金、其他工资福利支出、离休费、退休费、抚恤金、生活补助、医疗费补助、其他对个人和家庭的补助支出等。</w:t>
      </w:r>
      <w:r>
        <w:rPr>
          <w:rFonts w:ascii="仿宋" w:hAnsi="仿宋" w:eastAsia="仿宋"/>
          <w:b/>
          <w:color w:val="000000"/>
          <w:sz w:val="32"/>
          <w:szCs w:val="32"/>
        </w:rPr>
        <w:br w:type="textWrapping"/>
      </w:r>
      <w:r>
        <w:rPr>
          <w:rFonts w:hint="eastAsia" w:ascii="仿宋" w:hAnsi="仿宋" w:eastAsia="仿宋"/>
          <w:b/>
          <w:color w:val="000000"/>
          <w:sz w:val="32"/>
          <w:szCs w:val="32"/>
        </w:rPr>
        <w:t>　　公用经费</w:t>
      </w:r>
      <w:r>
        <w:rPr>
          <w:rFonts w:ascii="仿宋" w:hAnsi="仿宋" w:eastAsia="仿宋"/>
          <w:b/>
          <w:color w:val="000000"/>
          <w:sz w:val="32"/>
          <w:szCs w:val="32"/>
        </w:rPr>
        <w:t>176.62</w:t>
      </w:r>
      <w:r>
        <w:rPr>
          <w:rFonts w:hint="eastAsia" w:ascii="仿宋" w:hAnsi="仿宋" w:eastAsia="仿宋"/>
          <w:b/>
          <w:color w:val="000000"/>
          <w:sz w:val="32"/>
          <w:szCs w:val="32"/>
        </w:rPr>
        <w:t>万元，主要包括：办公费、印刷费、水费、电费、邮电费、差旅费、因公出国（境）费用、维修（护）费、租赁费、会议费、培训费、公务接待费、工会经费、福利费、公务用车运行维护费、其他交通费、其他商品和服务支出等。</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07</w:t>
      </w:r>
      <w:r>
        <w:rPr>
          <w:rFonts w:hint="eastAsia" w:ascii="仿宋" w:hAnsi="仿宋" w:eastAsia="仿宋"/>
          <w:b/>
          <w:color w:val="000000"/>
          <w:sz w:val="32"/>
          <w:szCs w:val="32"/>
        </w:rPr>
        <w:t>表，根据本部门实际支出情况罗列全部经济分类科目。）</w:t>
      </w:r>
    </w:p>
    <w:p>
      <w:pPr>
        <w:spacing w:line="600" w:lineRule="exact"/>
        <w:ind w:firstLine="640"/>
        <w:outlineLvl w:val="1"/>
        <w:rPr>
          <w:rStyle w:val="18"/>
          <w:rFonts w:ascii="黑体" w:hAnsi="黑体" w:eastAsia="黑体"/>
          <w:b w:val="0"/>
        </w:rPr>
      </w:pPr>
      <w:bookmarkStart w:id="42" w:name="_Toc15377215"/>
      <w:bookmarkStart w:id="43" w:name="_Toc15396609"/>
      <w:r>
        <w:rPr>
          <w:rFonts w:hint="eastAsia" w:ascii="黑体" w:eastAsia="黑体"/>
          <w:color w:val="000000"/>
          <w:sz w:val="32"/>
          <w:szCs w:val="32"/>
        </w:rPr>
        <w:t>七、</w:t>
      </w:r>
      <w:r>
        <w:rPr>
          <w:rStyle w:val="18"/>
          <w:rFonts w:hint="eastAsia" w:ascii="黑体" w:hAnsi="黑体" w:eastAsia="黑体"/>
        </w:rPr>
        <w:t>“</w:t>
      </w:r>
      <w:r>
        <w:rPr>
          <w:rStyle w:val="18"/>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600" w:lineRule="exact"/>
        <w:ind w:firstLine="640"/>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年“三公”经费财政拨款支出决算为</w:t>
      </w:r>
      <w:r>
        <w:rPr>
          <w:rFonts w:ascii="仿宋" w:hAnsi="仿宋" w:eastAsia="仿宋"/>
          <w:b/>
          <w:color w:val="000000"/>
          <w:sz w:val="32"/>
          <w:szCs w:val="32"/>
        </w:rPr>
        <w:t>8.79</w:t>
      </w:r>
      <w:r>
        <w:rPr>
          <w:rFonts w:hint="eastAsia" w:ascii="仿宋" w:hAnsi="仿宋" w:eastAsia="仿宋"/>
          <w:b/>
          <w:color w:val="000000"/>
          <w:sz w:val="32"/>
          <w:szCs w:val="32"/>
        </w:rPr>
        <w:t>万元，完成预算</w:t>
      </w:r>
      <w:r>
        <w:rPr>
          <w:rFonts w:ascii="仿宋" w:hAnsi="仿宋" w:eastAsia="仿宋"/>
          <w:b/>
          <w:color w:val="000000"/>
          <w:sz w:val="32"/>
          <w:szCs w:val="32"/>
        </w:rPr>
        <w:t>68.2%</w:t>
      </w:r>
      <w:r>
        <w:rPr>
          <w:rFonts w:hint="eastAsia" w:ascii="仿宋" w:hAnsi="仿宋" w:eastAsia="仿宋"/>
          <w:b/>
          <w:color w:val="000000"/>
          <w:sz w:val="32"/>
          <w:szCs w:val="32"/>
        </w:rPr>
        <w:t>，决算数小于预算数的主要原因是：</w:t>
      </w:r>
    </w:p>
    <w:p>
      <w:pPr>
        <w:autoSpaceDE w:val="0"/>
        <w:autoSpaceDN w:val="0"/>
        <w:adjustRightInd w:val="0"/>
        <w:jc w:val="left"/>
        <w:rPr>
          <w:rFonts w:ascii="仿宋" w:hAnsi="仿宋" w:eastAsia="仿宋"/>
          <w:b/>
          <w:color w:val="000000"/>
          <w:sz w:val="32"/>
          <w:szCs w:val="32"/>
        </w:rPr>
      </w:pPr>
      <w:r>
        <w:rPr>
          <w:rFonts w:ascii="仿宋" w:hAnsi="仿宋" w:eastAsia="仿宋"/>
          <w:b/>
          <w:color w:val="000000"/>
          <w:sz w:val="32"/>
          <w:szCs w:val="32"/>
        </w:rPr>
        <w:t xml:space="preserve">    1</w:t>
      </w:r>
      <w:r>
        <w:rPr>
          <w:rFonts w:hint="eastAsia" w:ascii="仿宋" w:hAnsi="仿宋" w:eastAsia="仿宋"/>
          <w:b/>
          <w:color w:val="000000"/>
          <w:sz w:val="32"/>
          <w:szCs w:val="32"/>
        </w:rPr>
        <w:t>、公务用车运行维护费财政预算数</w:t>
      </w:r>
      <w:r>
        <w:rPr>
          <w:rFonts w:ascii="仿宋" w:hAnsi="仿宋" w:eastAsia="仿宋"/>
          <w:b/>
          <w:color w:val="000000"/>
          <w:sz w:val="32"/>
          <w:szCs w:val="32"/>
        </w:rPr>
        <w:t>9</w:t>
      </w:r>
      <w:r>
        <w:rPr>
          <w:rFonts w:hint="eastAsia" w:ascii="仿宋" w:hAnsi="仿宋" w:eastAsia="仿宋"/>
          <w:b/>
          <w:color w:val="000000"/>
          <w:sz w:val="32"/>
          <w:szCs w:val="32"/>
        </w:rPr>
        <w:t>万元，财政拨款决算数</w:t>
      </w:r>
      <w:r>
        <w:rPr>
          <w:rFonts w:ascii="仿宋" w:hAnsi="仿宋" w:eastAsia="仿宋"/>
          <w:b/>
          <w:color w:val="000000"/>
          <w:sz w:val="32"/>
          <w:szCs w:val="32"/>
        </w:rPr>
        <w:t>6.21</w:t>
      </w:r>
      <w:r>
        <w:rPr>
          <w:rFonts w:hint="eastAsia" w:ascii="仿宋" w:hAnsi="仿宋" w:eastAsia="仿宋"/>
          <w:b/>
          <w:color w:val="000000"/>
          <w:sz w:val="32"/>
          <w:szCs w:val="32"/>
        </w:rPr>
        <w:t>万元，完成预算</w:t>
      </w:r>
      <w:r>
        <w:rPr>
          <w:rFonts w:ascii="仿宋" w:hAnsi="仿宋" w:eastAsia="仿宋"/>
          <w:b/>
          <w:color w:val="000000"/>
          <w:sz w:val="32"/>
          <w:szCs w:val="32"/>
        </w:rPr>
        <w:t>69%</w:t>
      </w:r>
      <w:r>
        <w:rPr>
          <w:rFonts w:hint="eastAsia" w:ascii="仿宋" w:hAnsi="仿宋" w:eastAsia="仿宋"/>
          <w:b/>
          <w:color w:val="000000"/>
          <w:sz w:val="32"/>
          <w:szCs w:val="32"/>
        </w:rPr>
        <w:t>，小于预算数的主要原因是我委进一步加强了公务用车管理，</w:t>
      </w:r>
      <w:r>
        <w:rPr>
          <w:rFonts w:hint="eastAsia" w:ascii="仿宋" w:hAnsi="仿宋" w:eastAsia="仿宋" w:cs="仿宋_GB2312-WinCharSetFFFF-H"/>
          <w:b/>
          <w:kern w:val="0"/>
          <w:sz w:val="32"/>
          <w:szCs w:val="32"/>
        </w:rPr>
        <w:t>按照厉行节约、科学规范、公开透明、安全高效的原则，以实现公务出行便捷合理、交通费用节约可控、车辆管理规范透明、监管问责科学有效的目标。</w:t>
      </w:r>
    </w:p>
    <w:p>
      <w:pPr>
        <w:spacing w:line="600" w:lineRule="exact"/>
        <w:ind w:firstLine="640"/>
        <w:rPr>
          <w:rFonts w:ascii="仿宋" w:hAnsi="仿宋" w:eastAsia="仿宋"/>
          <w:b/>
          <w:color w:val="000000"/>
          <w:sz w:val="32"/>
          <w:szCs w:val="32"/>
        </w:rPr>
      </w:pPr>
      <w:r>
        <w:rPr>
          <w:rFonts w:ascii="仿宋" w:hAnsi="仿宋" w:eastAsia="仿宋"/>
          <w:b/>
          <w:color w:val="000000"/>
          <w:sz w:val="32"/>
          <w:szCs w:val="32"/>
        </w:rPr>
        <w:t>2</w:t>
      </w:r>
      <w:r>
        <w:rPr>
          <w:rFonts w:hint="eastAsia" w:ascii="仿宋" w:hAnsi="仿宋" w:eastAsia="仿宋"/>
          <w:b/>
          <w:color w:val="000000"/>
          <w:sz w:val="32"/>
          <w:szCs w:val="32"/>
        </w:rPr>
        <w:t>、公务接待费财政预算数</w:t>
      </w:r>
      <w:r>
        <w:rPr>
          <w:rFonts w:ascii="仿宋" w:hAnsi="仿宋" w:eastAsia="仿宋"/>
          <w:b/>
          <w:color w:val="000000"/>
          <w:sz w:val="32"/>
          <w:szCs w:val="32"/>
        </w:rPr>
        <w:t>3.6</w:t>
      </w:r>
      <w:r>
        <w:rPr>
          <w:rFonts w:hint="eastAsia" w:ascii="仿宋" w:hAnsi="仿宋" w:eastAsia="仿宋"/>
          <w:b/>
          <w:color w:val="000000"/>
          <w:sz w:val="32"/>
          <w:szCs w:val="32"/>
        </w:rPr>
        <w:t>万元，财政拨款决算数</w:t>
      </w:r>
      <w:r>
        <w:rPr>
          <w:rFonts w:ascii="仿宋" w:hAnsi="仿宋" w:eastAsia="仿宋"/>
          <w:b/>
          <w:color w:val="000000"/>
          <w:sz w:val="32"/>
          <w:szCs w:val="32"/>
        </w:rPr>
        <w:t>2.28</w:t>
      </w:r>
      <w:r>
        <w:rPr>
          <w:rFonts w:hint="eastAsia" w:ascii="仿宋" w:hAnsi="仿宋" w:eastAsia="仿宋"/>
          <w:b/>
          <w:color w:val="000000"/>
          <w:sz w:val="32"/>
          <w:szCs w:val="32"/>
        </w:rPr>
        <w:t>万元，完成预算</w:t>
      </w:r>
      <w:r>
        <w:rPr>
          <w:rFonts w:ascii="仿宋" w:hAnsi="仿宋" w:eastAsia="仿宋"/>
          <w:b/>
          <w:color w:val="000000"/>
          <w:sz w:val="32"/>
          <w:szCs w:val="32"/>
        </w:rPr>
        <w:t>63.3%</w:t>
      </w:r>
      <w:r>
        <w:rPr>
          <w:rFonts w:hint="eastAsia" w:ascii="仿宋" w:hAnsi="仿宋" w:eastAsia="仿宋"/>
          <w:b/>
          <w:color w:val="000000"/>
          <w:sz w:val="32"/>
          <w:szCs w:val="32"/>
        </w:rPr>
        <w:t>，小于预算数的主要原因是我委</w:t>
      </w:r>
      <w:r>
        <w:rPr>
          <w:rFonts w:hint="eastAsia" w:ascii="仿宋" w:hAnsi="仿宋" w:eastAsia="仿宋"/>
          <w:b/>
          <w:color w:val="333333"/>
          <w:sz w:val="32"/>
          <w:szCs w:val="32"/>
        </w:rPr>
        <w:t>对公务接待严格执行《攀枝花市党政机关国内公务接待费管理办法》等相关规定，坚持有利公务、务实节俭、严格标准、高效透明、对口接待的原则，</w:t>
      </w:r>
      <w:r>
        <w:rPr>
          <w:rFonts w:hint="eastAsia" w:ascii="仿宋" w:hAnsi="仿宋" w:eastAsia="仿宋"/>
          <w:b/>
          <w:sz w:val="32"/>
          <w:szCs w:val="32"/>
        </w:rPr>
        <w:t>严格控制人员数量和经费预算，严格实行公务接待审批控制制度。</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（上述“预算”口径为调整预算数，包括政府性基金支出决算情况。）</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600" w:lineRule="exact"/>
        <w:ind w:firstLine="640"/>
        <w:rPr>
          <w:rFonts w:ascii="仿宋" w:hAnsi="仿宋" w:eastAsia="仿宋"/>
          <w:b/>
          <w:color w:val="000000"/>
          <w:sz w:val="32"/>
          <w:szCs w:val="32"/>
        </w:rPr>
      </w:pPr>
      <w:r>
        <w:rPr>
          <w:rFonts w:ascii="仿宋" w:hAnsi="仿宋" w:eastAsia="仿宋"/>
          <w:b/>
          <w:color w:val="000000"/>
          <w:sz w:val="32"/>
          <w:szCs w:val="32"/>
        </w:rPr>
        <w:t>2018</w:t>
      </w:r>
      <w:r>
        <w:rPr>
          <w:rFonts w:hint="eastAsia" w:ascii="仿宋" w:hAnsi="仿宋" w:eastAsia="仿宋"/>
          <w:b/>
          <w:color w:val="000000"/>
          <w:sz w:val="32"/>
          <w:szCs w:val="32"/>
        </w:rPr>
        <w:t>年“三公”经费财政拨款支出决算中，因公出国（境）费支出决算</w:t>
      </w:r>
      <w:r>
        <w:rPr>
          <w:rFonts w:ascii="仿宋" w:hAnsi="仿宋" w:eastAsia="仿宋"/>
          <w:b/>
          <w:color w:val="000000"/>
          <w:sz w:val="32"/>
          <w:szCs w:val="32"/>
        </w:rPr>
        <w:t>0.3</w:t>
      </w:r>
      <w:r>
        <w:rPr>
          <w:rFonts w:hint="eastAsia" w:ascii="仿宋" w:hAnsi="仿宋" w:eastAsia="仿宋"/>
          <w:b/>
          <w:color w:val="000000"/>
          <w:sz w:val="32"/>
          <w:szCs w:val="32"/>
        </w:rPr>
        <w:t>万元，占</w:t>
      </w:r>
      <w:r>
        <w:rPr>
          <w:rFonts w:ascii="仿宋" w:hAnsi="仿宋" w:eastAsia="仿宋"/>
          <w:b/>
          <w:color w:val="000000"/>
          <w:sz w:val="32"/>
          <w:szCs w:val="32"/>
        </w:rPr>
        <w:t>3.41%</w:t>
      </w:r>
      <w:r>
        <w:rPr>
          <w:rFonts w:hint="eastAsia" w:ascii="仿宋" w:hAnsi="仿宋" w:eastAsia="仿宋"/>
          <w:b/>
          <w:color w:val="000000"/>
          <w:sz w:val="32"/>
          <w:szCs w:val="32"/>
        </w:rPr>
        <w:t>；公务用车购置及运行维护费支出决算</w:t>
      </w:r>
      <w:r>
        <w:rPr>
          <w:rFonts w:ascii="仿宋" w:hAnsi="仿宋" w:eastAsia="仿宋"/>
          <w:b/>
          <w:color w:val="000000"/>
          <w:sz w:val="32"/>
          <w:szCs w:val="32"/>
        </w:rPr>
        <w:t>6.21</w:t>
      </w:r>
      <w:r>
        <w:rPr>
          <w:rFonts w:hint="eastAsia" w:ascii="仿宋" w:hAnsi="仿宋" w:eastAsia="仿宋"/>
          <w:b/>
          <w:color w:val="000000"/>
          <w:sz w:val="32"/>
          <w:szCs w:val="32"/>
        </w:rPr>
        <w:t>万元，占</w:t>
      </w:r>
      <w:r>
        <w:rPr>
          <w:rFonts w:ascii="仿宋" w:hAnsi="仿宋" w:eastAsia="仿宋"/>
          <w:b/>
          <w:color w:val="000000"/>
          <w:sz w:val="32"/>
          <w:szCs w:val="32"/>
        </w:rPr>
        <w:t>70.65%</w:t>
      </w:r>
      <w:r>
        <w:rPr>
          <w:rFonts w:hint="eastAsia" w:ascii="仿宋" w:hAnsi="仿宋" w:eastAsia="仿宋"/>
          <w:b/>
          <w:color w:val="000000"/>
          <w:sz w:val="32"/>
          <w:szCs w:val="32"/>
        </w:rPr>
        <w:t>；公务接待费支出决算</w:t>
      </w:r>
      <w:r>
        <w:rPr>
          <w:rFonts w:ascii="仿宋" w:hAnsi="仿宋" w:eastAsia="仿宋"/>
          <w:b/>
          <w:color w:val="000000"/>
          <w:sz w:val="32"/>
          <w:szCs w:val="32"/>
        </w:rPr>
        <w:t>2.28</w:t>
      </w:r>
      <w:r>
        <w:rPr>
          <w:rFonts w:hint="eastAsia" w:ascii="仿宋" w:hAnsi="仿宋" w:eastAsia="仿宋"/>
          <w:b/>
          <w:color w:val="000000"/>
          <w:sz w:val="32"/>
          <w:szCs w:val="32"/>
        </w:rPr>
        <w:t>万元，占</w:t>
      </w:r>
      <w:r>
        <w:rPr>
          <w:rFonts w:ascii="仿宋" w:hAnsi="仿宋" w:eastAsia="仿宋"/>
          <w:b/>
          <w:color w:val="000000"/>
          <w:sz w:val="32"/>
          <w:szCs w:val="32"/>
        </w:rPr>
        <w:t>25.94%</w:t>
      </w:r>
      <w:r>
        <w:rPr>
          <w:rFonts w:hint="eastAsia" w:ascii="仿宋" w:hAnsi="仿宋" w:eastAsia="仿宋"/>
          <w:b/>
          <w:color w:val="000000"/>
          <w:sz w:val="32"/>
          <w:szCs w:val="32"/>
        </w:rPr>
        <w:t>。具体情况如下：</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（图</w:t>
      </w:r>
      <w:r>
        <w:rPr>
          <w:rFonts w:ascii="仿宋" w:hAnsi="仿宋" w:eastAsia="仿宋"/>
          <w:b/>
          <w:color w:val="000000"/>
          <w:sz w:val="32"/>
          <w:szCs w:val="32"/>
        </w:rPr>
        <w:t>8</w:t>
      </w:r>
      <w:r>
        <w:rPr>
          <w:rFonts w:hint="eastAsia" w:ascii="仿宋" w:hAnsi="仿宋" w:eastAsia="仿宋"/>
          <w:b/>
          <w:color w:val="000000"/>
          <w:sz w:val="32"/>
          <w:szCs w:val="32"/>
        </w:rPr>
        <w:t>：“三公”经费财政拨款支出结构）（饼状图）</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ascii="仿宋_GB2312" w:eastAsia="仿宋_GB2312"/>
          <w:b/>
          <w:color w:val="000000"/>
          <w:sz w:val="32"/>
          <w:szCs w:val="32"/>
        </w:rPr>
        <w:t>0.3</w:t>
      </w:r>
      <w:r>
        <w:rPr>
          <w:rFonts w:hint="eastAsia" w:ascii="仿宋_GB2312" w:eastAsia="仿宋_GB2312"/>
          <w:b/>
          <w:color w:val="000000"/>
          <w:sz w:val="32"/>
          <w:szCs w:val="32"/>
        </w:rPr>
        <w:t>万元，</w:t>
      </w:r>
      <w:r>
        <w:rPr>
          <w:rStyle w:val="15"/>
          <w:rFonts w:hint="eastAsia" w:ascii="仿宋" w:hAnsi="仿宋" w:eastAsia="仿宋"/>
          <w:bCs/>
          <w:color w:val="000000"/>
          <w:sz w:val="32"/>
          <w:szCs w:val="32"/>
        </w:rPr>
        <w:t>完成预算</w:t>
      </w:r>
      <w:r>
        <w:rPr>
          <w:rStyle w:val="15"/>
          <w:rFonts w:ascii="仿宋" w:hAnsi="仿宋" w:eastAsia="仿宋"/>
          <w:bCs/>
          <w:color w:val="000000"/>
          <w:sz w:val="32"/>
          <w:szCs w:val="32"/>
        </w:rPr>
        <w:t>100%</w:t>
      </w:r>
      <w:r>
        <w:rPr>
          <w:rStyle w:val="15"/>
          <w:rFonts w:hint="eastAsia" w:ascii="仿宋" w:hAnsi="仿宋" w:eastAsia="仿宋"/>
          <w:bCs/>
          <w:color w:val="000000"/>
          <w:sz w:val="32"/>
          <w:szCs w:val="32"/>
        </w:rPr>
        <w:t>。</w:t>
      </w:r>
      <w:r>
        <w:rPr>
          <w:rFonts w:hint="eastAsia" w:ascii="仿宋_GB2312" w:eastAsia="仿宋_GB2312"/>
          <w:b/>
          <w:color w:val="000000"/>
          <w:sz w:val="32"/>
          <w:szCs w:val="32"/>
        </w:rPr>
        <w:t>全年安排因公出国（境）团组</w:t>
      </w:r>
      <w:r>
        <w:rPr>
          <w:rFonts w:ascii="仿宋_GB2312" w:eastAsia="仿宋_GB2312"/>
          <w:b/>
          <w:color w:val="000000"/>
          <w:sz w:val="32"/>
          <w:szCs w:val="32"/>
        </w:rPr>
        <w:t>1</w:t>
      </w:r>
      <w:r>
        <w:rPr>
          <w:rFonts w:hint="eastAsia" w:ascii="仿宋_GB2312" w:eastAsia="仿宋_GB2312"/>
          <w:b/>
          <w:color w:val="000000"/>
          <w:sz w:val="32"/>
          <w:szCs w:val="32"/>
        </w:rPr>
        <w:t>次，出国（境）</w:t>
      </w:r>
      <w:r>
        <w:rPr>
          <w:rFonts w:ascii="仿宋_GB2312" w:eastAsia="仿宋_GB2312"/>
          <w:b/>
          <w:color w:val="000000"/>
          <w:sz w:val="32"/>
          <w:szCs w:val="32"/>
        </w:rPr>
        <w:t>1</w:t>
      </w:r>
      <w:r>
        <w:rPr>
          <w:rFonts w:hint="eastAsia" w:ascii="仿宋_GB2312" w:eastAsia="仿宋_GB2312"/>
          <w:b/>
          <w:color w:val="000000"/>
          <w:sz w:val="32"/>
          <w:szCs w:val="32"/>
        </w:rPr>
        <w:t>人。因公出国（境）支出决算比</w:t>
      </w:r>
      <w:r>
        <w:rPr>
          <w:rFonts w:ascii="仿宋_GB2312" w:eastAsia="仿宋_GB2312"/>
          <w:b/>
          <w:color w:val="000000"/>
          <w:sz w:val="32"/>
          <w:szCs w:val="32"/>
        </w:rPr>
        <w:t>2017</w:t>
      </w:r>
      <w:r>
        <w:rPr>
          <w:rFonts w:hint="eastAsia" w:ascii="仿宋_GB2312" w:eastAsia="仿宋_GB2312"/>
          <w:b/>
          <w:color w:val="000000"/>
          <w:sz w:val="32"/>
          <w:szCs w:val="32"/>
        </w:rPr>
        <w:t>年减少</w:t>
      </w:r>
      <w:r>
        <w:rPr>
          <w:rFonts w:ascii="仿宋_GB2312" w:eastAsia="仿宋_GB2312"/>
          <w:b/>
          <w:color w:val="000000"/>
          <w:sz w:val="32"/>
          <w:szCs w:val="32"/>
        </w:rPr>
        <w:t>6.26</w:t>
      </w:r>
      <w:r>
        <w:rPr>
          <w:rFonts w:hint="eastAsia" w:ascii="仿宋_GB2312" w:eastAsia="仿宋_GB2312"/>
          <w:b/>
          <w:color w:val="000000"/>
          <w:sz w:val="32"/>
          <w:szCs w:val="32"/>
        </w:rPr>
        <w:t>万元，下降</w:t>
      </w:r>
      <w:r>
        <w:rPr>
          <w:rFonts w:ascii="仿宋_GB2312" w:eastAsia="仿宋_GB2312"/>
          <w:b/>
          <w:color w:val="000000"/>
          <w:sz w:val="32"/>
          <w:szCs w:val="32"/>
        </w:rPr>
        <w:t>95%</w:t>
      </w:r>
      <w:r>
        <w:rPr>
          <w:rFonts w:hint="eastAsia" w:ascii="仿宋_GB2312" w:eastAsia="仿宋_GB2312"/>
          <w:b/>
          <w:color w:val="000000"/>
          <w:sz w:val="32"/>
          <w:szCs w:val="32"/>
        </w:rPr>
        <w:t>。</w:t>
      </w:r>
    </w:p>
    <w:p>
      <w:pPr>
        <w:spacing w:line="600" w:lineRule="exact"/>
        <w:ind w:firstLine="640"/>
        <w:rPr>
          <w:rFonts w:ascii="仿宋_GB2312" w:eastAsia="仿宋_GB2312"/>
          <w:b/>
          <w:color w:val="000000"/>
          <w:sz w:val="32"/>
          <w:szCs w:val="32"/>
        </w:rPr>
      </w:pPr>
      <w:r>
        <w:rPr>
          <w:rFonts w:hint="eastAsia" w:ascii="仿宋_GB2312" w:eastAsia="仿宋_GB2312"/>
          <w:b/>
          <w:color w:val="000000"/>
          <w:sz w:val="32"/>
          <w:szCs w:val="32"/>
        </w:rPr>
        <w:t>开支内容包括：</w:t>
      </w:r>
    </w:p>
    <w:p>
      <w:pPr>
        <w:spacing w:line="600" w:lineRule="exact"/>
        <w:ind w:firstLine="640"/>
        <w:rPr>
          <w:rFonts w:ascii="仿宋_GB2312" w:eastAsia="仿宋_GB2312"/>
          <w:b/>
          <w:color w:val="000000"/>
          <w:sz w:val="32"/>
          <w:szCs w:val="32"/>
        </w:rPr>
      </w:pPr>
      <w:r>
        <w:rPr>
          <w:rFonts w:hint="eastAsia" w:ascii="仿宋_GB2312" w:eastAsia="仿宋_GB2312"/>
          <w:b/>
          <w:color w:val="000000"/>
          <w:sz w:val="32"/>
          <w:szCs w:val="32"/>
        </w:rPr>
        <w:t>团组名称：</w:t>
      </w:r>
      <w:r>
        <w:rPr>
          <w:rFonts w:hint="eastAsia" w:ascii="仿宋_GB2312" w:eastAsia="仿宋_GB2312"/>
          <w:b/>
          <w:sz w:val="32"/>
          <w:szCs w:val="32"/>
        </w:rPr>
        <w:t>省发展改革委组织的香港赛马会四川持续发展项目川港人才交流计划协调机制交流团赴香港学习交流</w:t>
      </w:r>
    </w:p>
    <w:p>
      <w:pPr>
        <w:spacing w:line="600" w:lineRule="exact"/>
        <w:ind w:firstLine="640"/>
        <w:rPr>
          <w:rFonts w:ascii="仿宋_GB2312" w:eastAsia="仿宋_GB2312"/>
          <w:b/>
          <w:color w:val="000000"/>
          <w:sz w:val="32"/>
          <w:szCs w:val="32"/>
        </w:rPr>
      </w:pPr>
      <w:r>
        <w:rPr>
          <w:rFonts w:hint="eastAsia" w:ascii="仿宋_GB2312" w:eastAsia="仿宋_GB2312"/>
          <w:b/>
          <w:color w:val="000000"/>
          <w:sz w:val="32"/>
          <w:szCs w:val="32"/>
        </w:rPr>
        <w:t>出访地点：香港</w:t>
      </w:r>
    </w:p>
    <w:p>
      <w:pPr>
        <w:ind w:firstLine="630"/>
        <w:rPr>
          <w:rFonts w:ascii="仿宋" w:hAnsi="仿宋" w:eastAsia="仿宋"/>
          <w:b/>
          <w:sz w:val="32"/>
          <w:szCs w:val="32"/>
        </w:rPr>
      </w:pPr>
      <w:r>
        <w:rPr>
          <w:rFonts w:hint="eastAsia" w:ascii="仿宋_GB2312" w:eastAsia="仿宋_GB2312"/>
          <w:b/>
          <w:color w:val="000000"/>
          <w:sz w:val="32"/>
          <w:szCs w:val="32"/>
        </w:rPr>
        <w:t>取得成效：</w:t>
      </w:r>
      <w:r>
        <w:rPr>
          <w:rFonts w:hint="eastAsia" w:ascii="仿宋_GB2312" w:eastAsia="仿宋_GB2312"/>
          <w:b/>
          <w:sz w:val="32"/>
          <w:szCs w:val="32"/>
        </w:rPr>
        <w:t>学习借鉴香港特区在创新、自由贸易、专业服务等方面的先进理念，探讨川港在“一带一路”建设、融入粤港澳大湾区、战略新兴产业、科技创新、基础设施建设等方面的合作事宜。</w:t>
      </w:r>
      <w:r>
        <w:rPr>
          <w:rFonts w:ascii="仿宋_GB2312" w:eastAsia="仿宋_GB2312"/>
          <w:b/>
          <w:sz w:val="32"/>
          <w:szCs w:val="32"/>
        </w:rPr>
        <w:t>1</w:t>
      </w:r>
      <w:r>
        <w:rPr>
          <w:rFonts w:hint="eastAsia" w:ascii="仿宋_GB2312" w:eastAsia="仿宋_GB2312"/>
          <w:b/>
          <w:sz w:val="32"/>
          <w:szCs w:val="32"/>
        </w:rPr>
        <w:t>）对香港的再认识。通过本次学习交流，进一步深化了对香港的总体认识；</w:t>
      </w:r>
      <w:r>
        <w:rPr>
          <w:rFonts w:ascii="仿宋_GB2312" w:eastAsia="仿宋_GB2312"/>
          <w:b/>
          <w:sz w:val="32"/>
          <w:szCs w:val="32"/>
        </w:rPr>
        <w:t>2</w:t>
      </w:r>
      <w:r>
        <w:rPr>
          <w:rFonts w:hint="eastAsia" w:ascii="仿宋_GB2312" w:eastAsia="仿宋_GB2312"/>
          <w:b/>
          <w:sz w:val="32"/>
          <w:szCs w:val="32"/>
        </w:rPr>
        <w:t>）重视项目“软件”投入。近年来，内地投资项目建设力度强劲，高速公路、铁路、城市道路、机场等硬件基础设施建设突飞猛进，部分设施已与香港不相上下，甚至还要超前一些。但在城市软环境建设、项目后期运行服务、项目管理者和使用者相关能力素质提升、与关联项目的联动建设运行等事关投资项目生命周期内效益发挥程度的“软件”投入较少，重视度不够；</w:t>
      </w:r>
      <w:r>
        <w:rPr>
          <w:rFonts w:ascii="仿宋_GB2312" w:eastAsia="仿宋_GB2312"/>
          <w:b/>
          <w:sz w:val="32"/>
          <w:szCs w:val="32"/>
        </w:rPr>
        <w:t>3</w:t>
      </w:r>
      <w:r>
        <w:rPr>
          <w:rFonts w:hint="eastAsia" w:ascii="仿宋_GB2312" w:eastAsia="仿宋_GB2312"/>
          <w:b/>
          <w:sz w:val="32"/>
          <w:szCs w:val="32"/>
        </w:rPr>
        <w:t>）</w:t>
      </w:r>
      <w:r>
        <w:rPr>
          <w:rFonts w:hint="eastAsia" w:ascii="仿宋" w:hAnsi="仿宋" w:eastAsia="仿宋"/>
          <w:b/>
          <w:sz w:val="32"/>
          <w:szCs w:val="32"/>
        </w:rPr>
        <w:t>主动融入粤港澳大湾区建设。去年我市在</w:t>
      </w:r>
      <w:r>
        <w:rPr>
          <w:rFonts w:hint="eastAsia" w:ascii="仿宋" w:hAnsi="仿宋" w:eastAsia="仿宋" w:cs="Arial"/>
          <w:b/>
          <w:color w:val="191919"/>
          <w:sz w:val="32"/>
          <w:szCs w:val="32"/>
          <w:shd w:val="clear" w:color="auto" w:fill="FFFFFF"/>
        </w:rPr>
        <w:t>北京、上海、</w:t>
      </w:r>
      <w:r>
        <w:rPr>
          <w:rFonts w:hint="eastAsia" w:ascii="仿宋" w:hAnsi="仿宋" w:eastAsia="仿宋"/>
          <w:b/>
          <w:sz w:val="32"/>
          <w:szCs w:val="32"/>
        </w:rPr>
        <w:t>香港、澳门等地举办了</w:t>
      </w:r>
      <w:r>
        <w:rPr>
          <w:rFonts w:hint="eastAsia" w:ascii="仿宋" w:hAnsi="仿宋" w:eastAsia="仿宋" w:cs="Arial"/>
          <w:b/>
          <w:color w:val="191919"/>
          <w:sz w:val="32"/>
          <w:szCs w:val="32"/>
          <w:shd w:val="clear" w:color="auto" w:fill="FFFFFF"/>
        </w:rPr>
        <w:t>攀枝花芒果品牌推介会，为拓展我市芒果出口国际市场搭建了良好地平台，芒果出口达</w:t>
      </w:r>
      <w:r>
        <w:rPr>
          <w:rFonts w:ascii="仿宋" w:hAnsi="仿宋" w:eastAsia="仿宋" w:cs="Arial"/>
          <w:b/>
          <w:color w:val="191919"/>
          <w:sz w:val="32"/>
          <w:szCs w:val="32"/>
          <w:shd w:val="clear" w:color="auto" w:fill="FFFFFF"/>
        </w:rPr>
        <w:t>2</w:t>
      </w:r>
      <w:r>
        <w:rPr>
          <w:rFonts w:hint="eastAsia" w:ascii="仿宋" w:hAnsi="仿宋" w:eastAsia="仿宋" w:cs="Arial"/>
          <w:b/>
          <w:color w:val="191919"/>
          <w:sz w:val="32"/>
          <w:szCs w:val="32"/>
          <w:shd w:val="clear" w:color="auto" w:fill="FFFFFF"/>
        </w:rPr>
        <w:t>万吨。建议进一步加强与香港的经贸合作，积极主动融入</w:t>
      </w:r>
      <w:r>
        <w:rPr>
          <w:rFonts w:hint="eastAsia" w:ascii="仿宋" w:hAnsi="仿宋" w:eastAsia="仿宋"/>
          <w:b/>
          <w:sz w:val="32"/>
          <w:szCs w:val="32"/>
        </w:rPr>
        <w:t>粤港澳大湾区建设，充分利用香港对接国际、国内两大市场的优势，加强与香港贸发局等机构合作，推动芒果、蔬菜、枇杷等特色农产品以及钒钛制品通过香港便捷的商贸平台“走出去”。同时，可借鉴港铁公司的成熟模式，统筹好城市公共交通规划，适时引进有实力的投资商加快城市公共交通特别是轨道交通建设步伐，为城市发展提供新动能。</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b/>
          <w:color w:val="000000"/>
          <w:sz w:val="32"/>
          <w:szCs w:val="32"/>
        </w:rPr>
        <w:t>6.21</w:t>
      </w:r>
      <w:r>
        <w:rPr>
          <w:rFonts w:hint="eastAsia" w:ascii="仿宋_GB2312" w:eastAsia="仿宋_GB2312"/>
          <w:b/>
          <w:color w:val="000000"/>
          <w:sz w:val="32"/>
          <w:szCs w:val="32"/>
        </w:rPr>
        <w:t>万元</w:t>
      </w:r>
      <w:r>
        <w:rPr>
          <w:rFonts w:ascii="仿宋_GB2312" w:eastAsia="仿宋_GB2312"/>
          <w:b/>
          <w:color w:val="000000"/>
          <w:sz w:val="32"/>
          <w:szCs w:val="32"/>
        </w:rPr>
        <w:t>,</w:t>
      </w:r>
      <w:r>
        <w:rPr>
          <w:rStyle w:val="15"/>
          <w:rFonts w:hint="eastAsia" w:ascii="仿宋" w:hAnsi="仿宋" w:eastAsia="仿宋"/>
          <w:bCs/>
          <w:color w:val="000000"/>
          <w:sz w:val="32"/>
          <w:szCs w:val="32"/>
        </w:rPr>
        <w:t>完成预算</w:t>
      </w:r>
      <w:r>
        <w:rPr>
          <w:rStyle w:val="15"/>
          <w:rFonts w:ascii="仿宋" w:hAnsi="仿宋" w:eastAsia="仿宋"/>
          <w:bCs/>
          <w:color w:val="000000"/>
          <w:sz w:val="32"/>
          <w:szCs w:val="32"/>
        </w:rPr>
        <w:t>69%</w:t>
      </w:r>
      <w:r>
        <w:rPr>
          <w:rStyle w:val="15"/>
          <w:rFonts w:hint="eastAsia" w:ascii="仿宋" w:hAnsi="仿宋" w:eastAsia="仿宋"/>
          <w:bCs/>
          <w:color w:val="000000"/>
          <w:sz w:val="32"/>
          <w:szCs w:val="32"/>
        </w:rPr>
        <w:t>。</w:t>
      </w:r>
      <w:r>
        <w:rPr>
          <w:rFonts w:hint="eastAsia" w:ascii="仿宋" w:hAnsi="仿宋" w:eastAsia="仿宋"/>
          <w:b/>
          <w:color w:val="000000"/>
          <w:sz w:val="32"/>
          <w:szCs w:val="32"/>
        </w:rPr>
        <w:t>公务用车购置及运行维护费支出决算比</w:t>
      </w:r>
      <w:r>
        <w:rPr>
          <w:rFonts w:ascii="仿宋" w:hAnsi="仿宋" w:eastAsia="仿宋"/>
          <w:color w:val="000000"/>
          <w:sz w:val="32"/>
          <w:szCs w:val="32"/>
        </w:rPr>
        <w:t>2017</w:t>
      </w:r>
      <w:r>
        <w:rPr>
          <w:rFonts w:hint="eastAsia" w:ascii="仿宋_GB2312" w:eastAsia="仿宋_GB2312"/>
          <w:b/>
          <w:color w:val="000000"/>
          <w:sz w:val="32"/>
          <w:szCs w:val="32"/>
        </w:rPr>
        <w:t>年减少</w:t>
      </w:r>
      <w:r>
        <w:rPr>
          <w:rFonts w:ascii="仿宋_GB2312" w:eastAsia="仿宋_GB2312"/>
          <w:b/>
          <w:color w:val="000000"/>
          <w:sz w:val="32"/>
          <w:szCs w:val="32"/>
        </w:rPr>
        <w:t>3.64</w:t>
      </w:r>
      <w:r>
        <w:rPr>
          <w:rFonts w:hint="eastAsia" w:ascii="仿宋_GB2312" w:eastAsia="仿宋_GB2312"/>
          <w:b/>
          <w:color w:val="000000"/>
          <w:sz w:val="32"/>
          <w:szCs w:val="32"/>
        </w:rPr>
        <w:t>万元，下降</w:t>
      </w:r>
      <w:r>
        <w:rPr>
          <w:rFonts w:ascii="仿宋_GB2312" w:eastAsia="仿宋_GB2312"/>
          <w:b/>
          <w:color w:val="000000"/>
          <w:sz w:val="32"/>
          <w:szCs w:val="32"/>
        </w:rPr>
        <w:t>36.95%</w:t>
      </w:r>
      <w:r>
        <w:rPr>
          <w:rFonts w:hint="eastAsia" w:ascii="仿宋_GB2312" w:eastAsia="仿宋_GB2312"/>
          <w:b/>
          <w:color w:val="000000"/>
          <w:sz w:val="32"/>
          <w:szCs w:val="32"/>
        </w:rPr>
        <w:t>。主要原因是</w:t>
      </w:r>
      <w:r>
        <w:rPr>
          <w:rFonts w:hint="eastAsia" w:ascii="仿宋" w:hAnsi="仿宋" w:eastAsia="仿宋"/>
          <w:b/>
          <w:color w:val="000000"/>
          <w:sz w:val="32"/>
          <w:szCs w:val="32"/>
        </w:rPr>
        <w:t>我委</w:t>
      </w:r>
      <w:r>
        <w:rPr>
          <w:rFonts w:hint="eastAsia" w:ascii="仿宋" w:hAnsi="仿宋" w:eastAsia="仿宋" w:cs="方正小标宋简体-WinCharSetFFFF-H"/>
          <w:b/>
          <w:kern w:val="0"/>
          <w:sz w:val="32"/>
          <w:szCs w:val="32"/>
        </w:rPr>
        <w:t>进一步加强机关公务用车管理，</w:t>
      </w:r>
      <w:r>
        <w:rPr>
          <w:rFonts w:hint="eastAsia" w:ascii="仿宋" w:hAnsi="仿宋" w:eastAsia="仿宋"/>
          <w:b/>
          <w:color w:val="000000"/>
          <w:sz w:val="32"/>
          <w:szCs w:val="32"/>
        </w:rPr>
        <w:t>严格控制各项费用支出，</w:t>
      </w:r>
      <w:r>
        <w:rPr>
          <w:rFonts w:hint="eastAsia" w:ascii="仿宋" w:hAnsi="仿宋" w:eastAsia="仿宋" w:cs="仿宋_GB2312-WinCharSetFFFF-H"/>
          <w:b/>
          <w:kern w:val="0"/>
          <w:sz w:val="32"/>
          <w:szCs w:val="32"/>
        </w:rPr>
        <w:t>强化纪检监察部门对公务用车制度执行情况的监督检查</w:t>
      </w:r>
      <w:r>
        <w:rPr>
          <w:rFonts w:hint="eastAsia" w:ascii="仿宋_GB2312" w:eastAsia="仿宋_GB2312"/>
          <w:b/>
          <w:color w:val="000000"/>
          <w:sz w:val="32"/>
          <w:szCs w:val="32"/>
        </w:rPr>
        <w:t>。</w:t>
      </w:r>
    </w:p>
    <w:p>
      <w:pPr>
        <w:spacing w:line="600" w:lineRule="exact"/>
        <w:ind w:firstLine="642" w:firstLineChars="200"/>
        <w:rPr>
          <w:rFonts w:ascii="仿宋" w:hAnsi="仿宋" w:eastAsia="仿宋"/>
          <w:b/>
          <w:color w:val="000000"/>
          <w:sz w:val="32"/>
          <w:szCs w:val="32"/>
        </w:rPr>
      </w:pPr>
      <w:r>
        <w:rPr>
          <w:rFonts w:hint="eastAsia" w:ascii="仿宋_GB2312" w:eastAsia="仿宋_GB2312"/>
          <w:b/>
          <w:color w:val="000000"/>
          <w:sz w:val="32"/>
          <w:szCs w:val="32"/>
        </w:rPr>
        <w:t>其中：公务用车购置支出</w:t>
      </w:r>
      <w:r>
        <w:rPr>
          <w:rFonts w:ascii="仿宋_GB2312" w:eastAsia="仿宋_GB2312"/>
          <w:b/>
          <w:color w:val="000000"/>
          <w:sz w:val="32"/>
          <w:szCs w:val="32"/>
        </w:rPr>
        <w:t>0</w:t>
      </w:r>
      <w:r>
        <w:rPr>
          <w:rFonts w:hint="eastAsia" w:ascii="仿宋_GB2312" w:eastAsia="仿宋_GB2312"/>
          <w:b/>
          <w:color w:val="000000"/>
          <w:sz w:val="32"/>
          <w:szCs w:val="32"/>
        </w:rPr>
        <w:t>万元。截至</w:t>
      </w:r>
      <w:r>
        <w:rPr>
          <w:rFonts w:ascii="仿宋_GB2312" w:eastAsia="仿宋_GB2312"/>
          <w:b/>
          <w:color w:val="000000"/>
          <w:sz w:val="32"/>
          <w:szCs w:val="32"/>
        </w:rPr>
        <w:t>2018</w:t>
      </w:r>
      <w:r>
        <w:rPr>
          <w:rFonts w:hint="eastAsia" w:ascii="仿宋_GB2312" w:eastAsia="仿宋_GB2312"/>
          <w:b/>
          <w:color w:val="000000"/>
          <w:sz w:val="32"/>
          <w:szCs w:val="32"/>
        </w:rPr>
        <w:t>年</w:t>
      </w:r>
      <w:r>
        <w:rPr>
          <w:rFonts w:ascii="仿宋_GB2312" w:eastAsia="仿宋_GB2312"/>
          <w:b/>
          <w:color w:val="000000"/>
          <w:sz w:val="32"/>
          <w:szCs w:val="32"/>
        </w:rPr>
        <w:t>12</w:t>
      </w:r>
      <w:r>
        <w:rPr>
          <w:rFonts w:hint="eastAsia" w:ascii="仿宋_GB2312" w:eastAsia="仿宋_GB2312"/>
          <w:b/>
          <w:color w:val="000000"/>
          <w:sz w:val="32"/>
          <w:szCs w:val="32"/>
        </w:rPr>
        <w:t>月底，单位共有公务用车</w:t>
      </w:r>
      <w:r>
        <w:rPr>
          <w:rFonts w:ascii="仿宋_GB2312" w:eastAsia="仿宋_GB2312"/>
          <w:b/>
          <w:color w:val="000000"/>
          <w:sz w:val="32"/>
          <w:szCs w:val="32"/>
        </w:rPr>
        <w:t>5</w:t>
      </w:r>
      <w:r>
        <w:rPr>
          <w:rFonts w:hint="eastAsia" w:ascii="仿宋_GB2312" w:eastAsia="仿宋_GB2312"/>
          <w:b/>
          <w:color w:val="000000"/>
          <w:sz w:val="32"/>
          <w:szCs w:val="32"/>
        </w:rPr>
        <w:t>辆，其中：</w:t>
      </w:r>
      <w:r>
        <w:rPr>
          <w:rFonts w:hint="eastAsia" w:ascii="仿宋" w:hAnsi="仿宋" w:eastAsia="仿宋"/>
          <w:b/>
          <w:color w:val="000000"/>
          <w:sz w:val="32"/>
          <w:szCs w:val="32"/>
        </w:rPr>
        <w:t>轿车</w:t>
      </w:r>
      <w:r>
        <w:rPr>
          <w:rFonts w:ascii="仿宋" w:hAnsi="仿宋" w:eastAsia="仿宋"/>
          <w:b/>
          <w:color w:val="000000"/>
          <w:sz w:val="32"/>
          <w:szCs w:val="32"/>
        </w:rPr>
        <w:t>2</w:t>
      </w:r>
      <w:r>
        <w:rPr>
          <w:rFonts w:hint="eastAsia" w:ascii="仿宋" w:hAnsi="仿宋" w:eastAsia="仿宋"/>
          <w:b/>
          <w:color w:val="000000"/>
          <w:sz w:val="32"/>
          <w:szCs w:val="32"/>
        </w:rPr>
        <w:t>辆（已由市机关事务管理局于</w:t>
      </w:r>
      <w:r>
        <w:rPr>
          <w:rFonts w:ascii="仿宋" w:hAnsi="仿宋" w:eastAsia="仿宋"/>
          <w:b/>
          <w:color w:val="000000"/>
          <w:sz w:val="32"/>
          <w:szCs w:val="32"/>
        </w:rPr>
        <w:t>2016</w:t>
      </w:r>
      <w:r>
        <w:rPr>
          <w:rFonts w:hint="eastAsia" w:ascii="仿宋" w:hAnsi="仿宋" w:eastAsia="仿宋"/>
          <w:b/>
          <w:color w:val="000000"/>
          <w:sz w:val="32"/>
          <w:szCs w:val="32"/>
        </w:rPr>
        <w:t>年</w:t>
      </w:r>
      <w:r>
        <w:rPr>
          <w:rFonts w:ascii="仿宋" w:hAnsi="仿宋" w:eastAsia="仿宋"/>
          <w:b/>
          <w:color w:val="000000"/>
          <w:sz w:val="32"/>
          <w:szCs w:val="32"/>
        </w:rPr>
        <w:t>8</w:t>
      </w:r>
      <w:r>
        <w:rPr>
          <w:rFonts w:hint="eastAsia" w:ascii="仿宋" w:hAnsi="仿宋" w:eastAsia="仿宋"/>
          <w:b/>
          <w:color w:val="000000"/>
          <w:sz w:val="32"/>
          <w:szCs w:val="32"/>
        </w:rPr>
        <w:t>月</w:t>
      </w:r>
      <w:r>
        <w:rPr>
          <w:rFonts w:ascii="仿宋" w:hAnsi="仿宋" w:eastAsia="仿宋"/>
          <w:b/>
          <w:color w:val="000000"/>
          <w:sz w:val="32"/>
          <w:szCs w:val="32"/>
        </w:rPr>
        <w:t>5</w:t>
      </w:r>
      <w:r>
        <w:rPr>
          <w:rFonts w:hint="eastAsia" w:ascii="仿宋" w:hAnsi="仿宋" w:eastAsia="仿宋"/>
          <w:b/>
          <w:color w:val="000000"/>
          <w:sz w:val="32"/>
          <w:szCs w:val="32"/>
        </w:rPr>
        <w:t>日调拨至市机关后勤服务中心）、越野车</w:t>
      </w:r>
      <w:r>
        <w:rPr>
          <w:rFonts w:ascii="仿宋" w:hAnsi="仿宋" w:eastAsia="仿宋"/>
          <w:b/>
          <w:color w:val="000000"/>
          <w:sz w:val="32"/>
          <w:szCs w:val="32"/>
        </w:rPr>
        <w:t>2</w:t>
      </w:r>
      <w:r>
        <w:rPr>
          <w:rFonts w:hint="eastAsia" w:ascii="仿宋" w:hAnsi="仿宋" w:eastAsia="仿宋"/>
          <w:b/>
          <w:color w:val="000000"/>
          <w:sz w:val="32"/>
          <w:szCs w:val="32"/>
        </w:rPr>
        <w:t>辆、商务车</w:t>
      </w:r>
      <w:r>
        <w:rPr>
          <w:rFonts w:ascii="仿宋" w:hAnsi="仿宋" w:eastAsia="仿宋"/>
          <w:b/>
          <w:color w:val="000000"/>
          <w:sz w:val="32"/>
          <w:szCs w:val="32"/>
        </w:rPr>
        <w:t>1</w:t>
      </w:r>
      <w:r>
        <w:rPr>
          <w:rFonts w:hint="eastAsia" w:ascii="仿宋" w:hAnsi="仿宋" w:eastAsia="仿宋"/>
          <w:b/>
          <w:color w:val="000000"/>
          <w:sz w:val="32"/>
          <w:szCs w:val="32"/>
        </w:rPr>
        <w:t>辆（已由市机关事务管理局于</w:t>
      </w:r>
      <w:r>
        <w:rPr>
          <w:rFonts w:ascii="仿宋" w:hAnsi="仿宋" w:eastAsia="仿宋"/>
          <w:b/>
          <w:color w:val="000000"/>
          <w:sz w:val="32"/>
          <w:szCs w:val="32"/>
        </w:rPr>
        <w:t>2016</w:t>
      </w:r>
      <w:r>
        <w:rPr>
          <w:rFonts w:hint="eastAsia" w:ascii="仿宋" w:hAnsi="仿宋" w:eastAsia="仿宋"/>
          <w:b/>
          <w:color w:val="000000"/>
          <w:sz w:val="32"/>
          <w:szCs w:val="32"/>
        </w:rPr>
        <w:t>年</w:t>
      </w:r>
      <w:r>
        <w:rPr>
          <w:rFonts w:ascii="仿宋" w:hAnsi="仿宋" w:eastAsia="仿宋"/>
          <w:b/>
          <w:color w:val="000000"/>
          <w:sz w:val="32"/>
          <w:szCs w:val="32"/>
        </w:rPr>
        <w:t>7</w:t>
      </w:r>
      <w:r>
        <w:rPr>
          <w:rFonts w:hint="eastAsia" w:ascii="仿宋" w:hAnsi="仿宋" w:eastAsia="仿宋"/>
          <w:b/>
          <w:color w:val="000000"/>
          <w:sz w:val="32"/>
          <w:szCs w:val="32"/>
        </w:rPr>
        <w:t>月</w:t>
      </w:r>
      <w:r>
        <w:rPr>
          <w:rFonts w:ascii="仿宋" w:hAnsi="仿宋" w:eastAsia="仿宋"/>
          <w:b/>
          <w:color w:val="000000"/>
          <w:sz w:val="32"/>
          <w:szCs w:val="32"/>
        </w:rPr>
        <w:t>26</w:t>
      </w:r>
      <w:r>
        <w:rPr>
          <w:rFonts w:hint="eastAsia" w:ascii="仿宋" w:hAnsi="仿宋" w:eastAsia="仿宋"/>
          <w:b/>
          <w:color w:val="000000"/>
          <w:sz w:val="32"/>
          <w:szCs w:val="32"/>
        </w:rPr>
        <w:t>日调拨至市纪委）。</w:t>
      </w:r>
      <w:r>
        <w:rPr>
          <w:rFonts w:ascii="仿宋" w:hAnsi="仿宋" w:eastAsia="仿宋"/>
          <w:b/>
          <w:color w:val="000000"/>
          <w:sz w:val="32"/>
          <w:szCs w:val="32"/>
        </w:rPr>
        <w:t xml:space="preserve">            </w:t>
      </w:r>
    </w:p>
    <w:p>
      <w:pPr>
        <w:spacing w:line="600" w:lineRule="exact"/>
        <w:ind w:firstLine="642" w:firstLineChars="200"/>
        <w:rPr>
          <w:rFonts w:ascii="仿宋_GB2312" w:eastAsia="仿宋_GB2312"/>
          <w:b/>
          <w:color w:val="000000"/>
          <w:sz w:val="32"/>
          <w:szCs w:val="32"/>
        </w:rPr>
      </w:pPr>
      <w:r>
        <w:rPr>
          <w:rFonts w:hint="eastAsia" w:ascii="仿宋_GB2312" w:eastAsia="仿宋_GB2312"/>
          <w:b/>
          <w:color w:val="000000"/>
          <w:sz w:val="32"/>
          <w:szCs w:val="32"/>
        </w:rPr>
        <w:t>公务用车运行维护费支出</w:t>
      </w:r>
      <w:r>
        <w:rPr>
          <w:rFonts w:ascii="仿宋_GB2312" w:eastAsia="仿宋_GB2312"/>
          <w:b/>
          <w:color w:val="000000"/>
          <w:sz w:val="32"/>
          <w:szCs w:val="32"/>
        </w:rPr>
        <w:t>6.21</w:t>
      </w:r>
      <w:r>
        <w:rPr>
          <w:rFonts w:hint="eastAsia" w:ascii="仿宋_GB2312" w:eastAsia="仿宋_GB2312"/>
          <w:b/>
          <w:color w:val="000000"/>
          <w:sz w:val="32"/>
          <w:szCs w:val="32"/>
        </w:rPr>
        <w:t>万元。主要用于</w:t>
      </w:r>
      <w:r>
        <w:rPr>
          <w:rFonts w:hint="eastAsia" w:ascii="仿宋" w:hAnsi="仿宋" w:eastAsia="仿宋"/>
          <w:b/>
          <w:color w:val="000000"/>
          <w:sz w:val="32"/>
          <w:szCs w:val="32"/>
        </w:rPr>
        <w:t>攀</w:t>
      </w:r>
      <w:r>
        <w:rPr>
          <w:rFonts w:hint="eastAsia" w:ascii="仿宋" w:hAnsi="仿宋" w:eastAsia="仿宋" w:cs="仿宋"/>
          <w:b/>
          <w:bCs/>
          <w:sz w:val="32"/>
          <w:szCs w:val="32"/>
        </w:rPr>
        <w:t>枝花市重大项目前期工作、招投标管理工作、全面深化区域合作领导小组工作、双创工作、康养产业工作、成昆铁路扩能改造、价格监督检查、农产品成本及重要商品成本调查、价格监测、价格认证、重点项目稽查</w:t>
      </w:r>
      <w:r>
        <w:rPr>
          <w:rFonts w:hint="eastAsia" w:ascii="仿宋_GB2312" w:eastAsia="仿宋_GB2312"/>
          <w:b/>
          <w:color w:val="000000"/>
          <w:sz w:val="32"/>
          <w:szCs w:val="32"/>
        </w:rPr>
        <w:t>（具体工作）等所需的公务用车燃料费、维修费、过路过桥费、保险费等支出。</w:t>
      </w:r>
    </w:p>
    <w:p>
      <w:pPr>
        <w:spacing w:line="600" w:lineRule="exact"/>
        <w:ind w:firstLine="640"/>
        <w:rPr>
          <w:rFonts w:ascii="仿宋" w:hAnsi="仿宋" w:eastAsia="仿宋"/>
          <w:b/>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2</w:t>
      </w:r>
      <w:r>
        <w:rPr>
          <w:rFonts w:ascii="仿宋_GB2312" w:eastAsia="仿宋_GB2312"/>
          <w:b/>
          <w:color w:val="000000"/>
          <w:sz w:val="32"/>
          <w:szCs w:val="32"/>
        </w:rPr>
        <w:t>.28</w:t>
      </w:r>
      <w:r>
        <w:rPr>
          <w:rFonts w:hint="eastAsia" w:ascii="仿宋_GB2312" w:eastAsia="仿宋_GB2312"/>
          <w:b/>
          <w:color w:val="000000"/>
          <w:sz w:val="32"/>
          <w:szCs w:val="32"/>
        </w:rPr>
        <w:t>万元，</w:t>
      </w:r>
      <w:r>
        <w:rPr>
          <w:rStyle w:val="15"/>
          <w:rFonts w:hint="eastAsia" w:ascii="仿宋" w:hAnsi="仿宋" w:eastAsia="仿宋"/>
          <w:bCs/>
          <w:color w:val="000000"/>
          <w:sz w:val="32"/>
          <w:szCs w:val="32"/>
        </w:rPr>
        <w:t>完成预算</w:t>
      </w:r>
      <w:r>
        <w:rPr>
          <w:rStyle w:val="15"/>
          <w:rFonts w:ascii="仿宋" w:hAnsi="仿宋" w:eastAsia="仿宋"/>
          <w:bCs/>
          <w:color w:val="000000"/>
          <w:sz w:val="32"/>
          <w:szCs w:val="32"/>
        </w:rPr>
        <w:t>63.3%</w:t>
      </w:r>
      <w:r>
        <w:rPr>
          <w:rStyle w:val="15"/>
          <w:rFonts w:hint="eastAsia" w:ascii="仿宋" w:hAnsi="仿宋" w:eastAsia="仿宋"/>
          <w:b w:val="0"/>
          <w:bCs/>
          <w:color w:val="000000"/>
          <w:sz w:val="32"/>
          <w:szCs w:val="32"/>
        </w:rPr>
        <w:t>。</w:t>
      </w:r>
      <w:r>
        <w:rPr>
          <w:rFonts w:hint="eastAsia" w:ascii="仿宋_GB2312" w:eastAsia="仿宋_GB2312"/>
          <w:b/>
          <w:color w:val="000000"/>
          <w:sz w:val="32"/>
          <w:szCs w:val="32"/>
        </w:rPr>
        <w:t>公务接待费支出决算比</w:t>
      </w:r>
      <w:r>
        <w:rPr>
          <w:rFonts w:ascii="仿宋_GB2312" w:eastAsia="仿宋_GB2312"/>
          <w:b/>
          <w:color w:val="000000"/>
          <w:sz w:val="32"/>
          <w:szCs w:val="32"/>
        </w:rPr>
        <w:t>2017</w:t>
      </w:r>
      <w:r>
        <w:rPr>
          <w:rFonts w:hint="eastAsia" w:ascii="仿宋_GB2312" w:eastAsia="仿宋_GB2312"/>
          <w:b/>
          <w:color w:val="000000"/>
          <w:sz w:val="32"/>
          <w:szCs w:val="32"/>
        </w:rPr>
        <w:t>年减少</w:t>
      </w:r>
      <w:r>
        <w:rPr>
          <w:rFonts w:ascii="仿宋_GB2312" w:eastAsia="仿宋_GB2312"/>
          <w:b/>
          <w:color w:val="000000"/>
          <w:sz w:val="32"/>
          <w:szCs w:val="32"/>
        </w:rPr>
        <w:t>0.1</w:t>
      </w:r>
      <w:r>
        <w:rPr>
          <w:rFonts w:hint="eastAsia" w:ascii="仿宋_GB2312" w:eastAsia="仿宋_GB2312"/>
          <w:b/>
          <w:color w:val="000000"/>
          <w:sz w:val="32"/>
          <w:szCs w:val="32"/>
        </w:rPr>
        <w:t>万元，下降</w:t>
      </w:r>
      <w:r>
        <w:rPr>
          <w:rFonts w:ascii="仿宋_GB2312" w:eastAsia="仿宋_GB2312"/>
          <w:b/>
          <w:color w:val="000000"/>
          <w:sz w:val="32"/>
          <w:szCs w:val="32"/>
        </w:rPr>
        <w:t>4.2%</w:t>
      </w:r>
      <w:r>
        <w:rPr>
          <w:rFonts w:hint="eastAsia" w:ascii="仿宋_GB2312" w:eastAsia="仿宋_GB2312"/>
          <w:b/>
          <w:color w:val="000000"/>
          <w:sz w:val="32"/>
          <w:szCs w:val="32"/>
        </w:rPr>
        <w:t>。主要原因是</w:t>
      </w:r>
      <w:r>
        <w:rPr>
          <w:rFonts w:hint="eastAsia" w:ascii="仿宋" w:hAnsi="仿宋" w:eastAsia="仿宋"/>
          <w:b/>
          <w:color w:val="000000"/>
          <w:sz w:val="32"/>
          <w:szCs w:val="32"/>
        </w:rPr>
        <w:t>我委</w:t>
      </w:r>
      <w:r>
        <w:rPr>
          <w:rFonts w:hint="eastAsia" w:ascii="仿宋" w:hAnsi="仿宋" w:eastAsia="仿宋"/>
          <w:b/>
          <w:color w:val="333333"/>
          <w:sz w:val="32"/>
          <w:szCs w:val="32"/>
        </w:rPr>
        <w:t>对公务接待严格执行《攀枝花市党政机关国内公务接待费管理办法》等相关规定，坚持有利公务、务实节俭、严格标准、高效透明、对口接待的原则，</w:t>
      </w:r>
      <w:r>
        <w:rPr>
          <w:rFonts w:hint="eastAsia" w:ascii="仿宋" w:hAnsi="仿宋" w:eastAsia="仿宋"/>
          <w:b/>
          <w:sz w:val="32"/>
          <w:szCs w:val="32"/>
        </w:rPr>
        <w:t>严格控制人员数量和经费预算，严格实行公务接待审批控制制度。</w:t>
      </w:r>
    </w:p>
    <w:p>
      <w:pPr>
        <w:spacing w:line="600" w:lineRule="exact"/>
        <w:ind w:firstLine="642" w:firstLineChars="200"/>
        <w:rPr>
          <w:rFonts w:ascii="仿宋_GB2312" w:eastAsia="仿宋_GB2312"/>
          <w:b/>
          <w:color w:val="000000"/>
          <w:sz w:val="32"/>
          <w:szCs w:val="32"/>
        </w:rPr>
      </w:pPr>
      <w:r>
        <w:rPr>
          <w:rFonts w:hint="eastAsia" w:ascii="仿宋_GB2312" w:eastAsia="仿宋_GB2312"/>
          <w:b/>
          <w:color w:val="000000"/>
          <w:sz w:val="32"/>
          <w:szCs w:val="32"/>
        </w:rPr>
        <w:t>主要用于执行公务、开展业务活动开支的用餐费等。国内公务接待</w:t>
      </w:r>
      <w:r>
        <w:rPr>
          <w:rFonts w:ascii="仿宋_GB2312" w:eastAsia="仿宋_GB2312"/>
          <w:b/>
          <w:color w:val="000000"/>
          <w:sz w:val="32"/>
          <w:szCs w:val="32"/>
        </w:rPr>
        <w:t>19</w:t>
      </w:r>
      <w:r>
        <w:rPr>
          <w:rFonts w:hint="eastAsia" w:ascii="仿宋_GB2312" w:eastAsia="仿宋_GB2312"/>
          <w:b/>
          <w:color w:val="000000"/>
          <w:sz w:val="32"/>
          <w:szCs w:val="32"/>
        </w:rPr>
        <w:t>批次，</w:t>
      </w:r>
      <w:r>
        <w:rPr>
          <w:rFonts w:ascii="仿宋_GB2312" w:eastAsia="仿宋_GB2312"/>
          <w:b/>
          <w:color w:val="000000"/>
          <w:sz w:val="32"/>
          <w:szCs w:val="32"/>
        </w:rPr>
        <w:t>121</w:t>
      </w:r>
      <w:r>
        <w:rPr>
          <w:rFonts w:hint="eastAsia" w:ascii="仿宋_GB2312" w:eastAsia="仿宋_GB2312"/>
          <w:b/>
          <w:color w:val="000000"/>
          <w:sz w:val="32"/>
          <w:szCs w:val="32"/>
        </w:rPr>
        <w:t>人次（不包括陪同人员），共计支出</w:t>
      </w:r>
      <w:r>
        <w:rPr>
          <w:rFonts w:ascii="仿宋_GB2312" w:eastAsia="仿宋_GB2312"/>
          <w:b/>
          <w:color w:val="000000"/>
          <w:sz w:val="32"/>
          <w:szCs w:val="32"/>
        </w:rPr>
        <w:t>2.28</w:t>
      </w:r>
      <w:r>
        <w:rPr>
          <w:rFonts w:hint="eastAsia" w:ascii="仿宋_GB2312" w:eastAsia="仿宋_GB2312"/>
          <w:b/>
          <w:color w:val="000000"/>
          <w:sz w:val="32"/>
          <w:szCs w:val="32"/>
        </w:rPr>
        <w:t>万元，具体内容包括：（接待具体项目、金额）。其中：</w:t>
      </w:r>
    </w:p>
    <w:tbl>
      <w:tblPr>
        <w:tblStyle w:val="13"/>
        <w:tblW w:w="8237" w:type="dxa"/>
        <w:tblInd w:w="93" w:type="dxa"/>
        <w:tblLayout w:type="autofit"/>
        <w:tblCellMar>
          <w:top w:w="0" w:type="dxa"/>
          <w:left w:w="108" w:type="dxa"/>
          <w:bottom w:w="0" w:type="dxa"/>
          <w:right w:w="108" w:type="dxa"/>
        </w:tblCellMar>
      </w:tblPr>
      <w:tblGrid>
        <w:gridCol w:w="520"/>
        <w:gridCol w:w="6016"/>
        <w:gridCol w:w="1701"/>
      </w:tblGrid>
      <w:tr>
        <w:tblPrEx>
          <w:tblCellMar>
            <w:top w:w="0" w:type="dxa"/>
            <w:left w:w="108" w:type="dxa"/>
            <w:bottom w:w="0" w:type="dxa"/>
            <w:right w:w="108" w:type="dxa"/>
          </w:tblCellMar>
        </w:tblPrEx>
        <w:trPr>
          <w:trHeight w:val="225" w:hRule="atLeast"/>
        </w:trPr>
        <w:tc>
          <w:tcPr>
            <w:tcW w:w="52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hint="eastAsia" w:ascii="仿宋" w:hAnsi="仿宋" w:eastAsia="仿宋" w:cs="Arial"/>
                <w:color w:val="000000"/>
                <w:kern w:val="0"/>
                <w:sz w:val="18"/>
                <w:szCs w:val="18"/>
              </w:rPr>
              <w:t>序号</w:t>
            </w:r>
          </w:p>
        </w:tc>
        <w:tc>
          <w:tcPr>
            <w:tcW w:w="6016"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hint="eastAsia" w:ascii="仿宋" w:hAnsi="仿宋" w:eastAsia="仿宋" w:cs="Arial"/>
                <w:color w:val="000000"/>
                <w:kern w:val="0"/>
                <w:sz w:val="18"/>
                <w:szCs w:val="18"/>
              </w:rPr>
              <w:t>摘要</w:t>
            </w:r>
          </w:p>
        </w:tc>
        <w:tc>
          <w:tcPr>
            <w:tcW w:w="1701" w:type="dxa"/>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w:t>
            </w:r>
            <w:r>
              <w:rPr>
                <w:rFonts w:hint="eastAsia" w:ascii="仿宋" w:hAnsi="仿宋" w:eastAsia="仿宋" w:cs="Arial"/>
                <w:color w:val="000000"/>
                <w:kern w:val="0"/>
                <w:sz w:val="18"/>
                <w:szCs w:val="18"/>
              </w:rPr>
              <w:t>金额</w:t>
            </w:r>
            <w:r>
              <w:rPr>
                <w:rFonts w:ascii="仿宋" w:hAnsi="仿宋" w:eastAsia="仿宋" w:cs="Arial"/>
                <w:color w:val="000000"/>
                <w:kern w:val="0"/>
                <w:sz w:val="18"/>
                <w:szCs w:val="18"/>
              </w:rPr>
              <w:t xml:space="preserve">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熊仙凤报卡付富腾酒家</w:t>
            </w:r>
            <w:r>
              <w:rPr>
                <w:rFonts w:ascii="仿宋" w:hAnsi="仿宋" w:eastAsia="仿宋" w:cs="Arial"/>
                <w:color w:val="000000"/>
                <w:kern w:val="0"/>
                <w:sz w:val="18"/>
                <w:szCs w:val="18"/>
              </w:rPr>
              <w:t>18.1.9</w:t>
            </w:r>
            <w:r>
              <w:rPr>
                <w:rFonts w:hint="eastAsia" w:ascii="仿宋" w:hAnsi="仿宋" w:eastAsia="仿宋" w:cs="Arial"/>
                <w:color w:val="000000"/>
                <w:kern w:val="0"/>
                <w:sz w:val="18"/>
                <w:szCs w:val="18"/>
              </w:rPr>
              <w:t>接待凉山认证</w:t>
            </w:r>
            <w:r>
              <w:rPr>
                <w:rFonts w:ascii="仿宋" w:hAnsi="仿宋" w:eastAsia="仿宋" w:cs="Arial"/>
                <w:color w:val="000000"/>
                <w:kern w:val="0"/>
                <w:sz w:val="18"/>
                <w:szCs w:val="18"/>
              </w:rPr>
              <w:t>4</w:t>
            </w:r>
            <w:r>
              <w:rPr>
                <w:rFonts w:hint="eastAsia" w:ascii="仿宋" w:hAnsi="仿宋" w:eastAsia="仿宋" w:cs="Arial"/>
                <w:color w:val="000000"/>
                <w:kern w:val="0"/>
                <w:sz w:val="18"/>
                <w:szCs w:val="18"/>
              </w:rPr>
              <w:t>人涉案调查餐费陪</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1,050.00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2</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曾坤报卡付川粤铭荟</w:t>
            </w:r>
            <w:r>
              <w:rPr>
                <w:rFonts w:ascii="仿宋" w:hAnsi="仿宋" w:eastAsia="仿宋" w:cs="Arial"/>
                <w:color w:val="000000"/>
                <w:kern w:val="0"/>
                <w:sz w:val="18"/>
                <w:szCs w:val="18"/>
              </w:rPr>
              <w:t>18.3.27</w:t>
            </w:r>
            <w:r>
              <w:rPr>
                <w:rFonts w:hint="eastAsia" w:ascii="仿宋" w:hAnsi="仿宋" w:eastAsia="仿宋" w:cs="Arial"/>
                <w:color w:val="000000"/>
                <w:kern w:val="0"/>
                <w:sz w:val="18"/>
                <w:szCs w:val="18"/>
              </w:rPr>
              <w:t>接待省发改</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人重大政策实施调研餐费陪</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952.00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3</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何江川报转支付金海</w:t>
            </w:r>
            <w:r>
              <w:rPr>
                <w:rFonts w:ascii="仿宋" w:hAnsi="仿宋" w:eastAsia="仿宋" w:cs="Arial"/>
                <w:color w:val="000000"/>
                <w:kern w:val="0"/>
                <w:sz w:val="18"/>
                <w:szCs w:val="18"/>
              </w:rPr>
              <w:t>17.12.26</w:t>
            </w:r>
            <w:r>
              <w:rPr>
                <w:rFonts w:hint="eastAsia" w:ascii="仿宋" w:hAnsi="仿宋" w:eastAsia="仿宋" w:cs="Arial"/>
                <w:color w:val="000000"/>
                <w:kern w:val="0"/>
                <w:sz w:val="18"/>
                <w:szCs w:val="18"/>
              </w:rPr>
              <w:t>接待绵阳扶贫检查</w:t>
            </w:r>
            <w:r>
              <w:rPr>
                <w:rFonts w:ascii="仿宋" w:hAnsi="仿宋" w:eastAsia="仿宋" w:cs="Arial"/>
                <w:color w:val="000000"/>
                <w:kern w:val="0"/>
                <w:sz w:val="18"/>
                <w:szCs w:val="18"/>
              </w:rPr>
              <w:t>20</w:t>
            </w:r>
            <w:r>
              <w:rPr>
                <w:rFonts w:hint="eastAsia" w:ascii="仿宋" w:hAnsi="仿宋" w:eastAsia="仿宋" w:cs="Arial"/>
                <w:color w:val="000000"/>
                <w:kern w:val="0"/>
                <w:sz w:val="18"/>
                <w:szCs w:val="18"/>
              </w:rPr>
              <w:t>人餐费陪</w:t>
            </w:r>
            <w:r>
              <w:rPr>
                <w:rFonts w:ascii="仿宋" w:hAnsi="仿宋" w:eastAsia="仿宋" w:cs="Arial"/>
                <w:color w:val="000000"/>
                <w:kern w:val="0"/>
                <w:sz w:val="18"/>
                <w:szCs w:val="18"/>
              </w:rPr>
              <w:t>2</w:t>
            </w:r>
            <w:r>
              <w:rPr>
                <w:rFonts w:hint="eastAsia" w:ascii="仿宋" w:hAnsi="仿宋" w:eastAsia="仿宋" w:cs="Arial"/>
                <w:color w:val="000000"/>
                <w:kern w:val="0"/>
                <w:sz w:val="18"/>
                <w:szCs w:val="18"/>
              </w:rPr>
              <w:t>工</w:t>
            </w:r>
            <w:r>
              <w:rPr>
                <w:rFonts w:ascii="仿宋" w:hAnsi="仿宋" w:eastAsia="仿宋" w:cs="Arial"/>
                <w:color w:val="000000"/>
                <w:kern w:val="0"/>
                <w:sz w:val="18"/>
                <w:szCs w:val="18"/>
              </w:rPr>
              <w:t>4</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3,526.00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4</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何江川报卡付攀宾</w:t>
            </w:r>
            <w:r>
              <w:rPr>
                <w:rFonts w:ascii="仿宋" w:hAnsi="仿宋" w:eastAsia="仿宋" w:cs="Arial"/>
                <w:color w:val="000000"/>
                <w:kern w:val="0"/>
                <w:sz w:val="18"/>
                <w:szCs w:val="18"/>
              </w:rPr>
              <w:t>18.5.10</w:t>
            </w:r>
            <w:r>
              <w:rPr>
                <w:rFonts w:hint="eastAsia" w:ascii="仿宋" w:hAnsi="仿宋" w:eastAsia="仿宋" w:cs="Arial"/>
                <w:color w:val="000000"/>
                <w:kern w:val="0"/>
                <w:sz w:val="18"/>
                <w:szCs w:val="18"/>
              </w:rPr>
              <w:t>接待省发改等</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人调研生态修复餐费陪</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人</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900.00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5</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刘高华报转支金海</w:t>
            </w:r>
            <w:r>
              <w:rPr>
                <w:rFonts w:ascii="仿宋" w:hAnsi="仿宋" w:eastAsia="仿宋" w:cs="Arial"/>
                <w:color w:val="000000"/>
                <w:kern w:val="0"/>
                <w:sz w:val="18"/>
                <w:szCs w:val="18"/>
              </w:rPr>
              <w:t>18.1.12</w:t>
            </w:r>
            <w:r>
              <w:rPr>
                <w:rFonts w:hint="eastAsia" w:ascii="仿宋" w:hAnsi="仿宋" w:eastAsia="仿宋" w:cs="Arial"/>
                <w:color w:val="000000"/>
                <w:kern w:val="0"/>
                <w:sz w:val="18"/>
                <w:szCs w:val="18"/>
              </w:rPr>
              <w:t>接待省发改</w:t>
            </w:r>
            <w:r>
              <w:rPr>
                <w:rFonts w:ascii="仿宋" w:hAnsi="仿宋" w:eastAsia="仿宋" w:cs="Arial"/>
                <w:color w:val="000000"/>
                <w:kern w:val="0"/>
                <w:sz w:val="18"/>
                <w:szCs w:val="18"/>
              </w:rPr>
              <w:t>5</w:t>
            </w:r>
            <w:r>
              <w:rPr>
                <w:rFonts w:hint="eastAsia" w:ascii="仿宋" w:hAnsi="仿宋" w:eastAsia="仿宋" w:cs="Arial"/>
                <w:color w:val="000000"/>
                <w:kern w:val="0"/>
                <w:sz w:val="18"/>
                <w:szCs w:val="18"/>
              </w:rPr>
              <w:t>人征求代表意见餐费陪</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工</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1,560.00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6</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雷林报公务卡付吴天餐馆接待北京国合信用专家</w:t>
            </w:r>
            <w:r>
              <w:rPr>
                <w:rFonts w:ascii="仿宋" w:hAnsi="仿宋" w:eastAsia="仿宋" w:cs="Arial"/>
                <w:color w:val="000000"/>
                <w:kern w:val="0"/>
                <w:sz w:val="18"/>
                <w:szCs w:val="18"/>
              </w:rPr>
              <w:t>1</w:t>
            </w:r>
            <w:r>
              <w:rPr>
                <w:rFonts w:hint="eastAsia" w:ascii="仿宋" w:hAnsi="仿宋" w:eastAsia="仿宋" w:cs="Arial"/>
                <w:color w:val="000000"/>
                <w:kern w:val="0"/>
                <w:sz w:val="18"/>
                <w:szCs w:val="18"/>
              </w:rPr>
              <w:t>人餐费（陪</w:t>
            </w:r>
            <w:r>
              <w:rPr>
                <w:rFonts w:ascii="仿宋" w:hAnsi="仿宋" w:eastAsia="仿宋" w:cs="Arial"/>
                <w:color w:val="000000"/>
                <w:kern w:val="0"/>
                <w:sz w:val="18"/>
                <w:szCs w:val="18"/>
              </w:rPr>
              <w:t>2</w:t>
            </w:r>
            <w:r>
              <w:rPr>
                <w:rFonts w:hint="eastAsia" w:ascii="仿宋" w:hAnsi="仿宋" w:eastAsia="仿宋" w:cs="Arial"/>
                <w:color w:val="000000"/>
                <w:kern w:val="0"/>
                <w:sz w:val="18"/>
                <w:szCs w:val="18"/>
              </w:rPr>
              <w:t>）</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263.00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7</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常崇丽报卡付顺风顺水</w:t>
            </w:r>
            <w:r>
              <w:rPr>
                <w:rFonts w:ascii="仿宋" w:hAnsi="仿宋" w:eastAsia="仿宋" w:cs="Arial"/>
                <w:color w:val="000000"/>
                <w:kern w:val="0"/>
                <w:sz w:val="18"/>
                <w:szCs w:val="18"/>
              </w:rPr>
              <w:t>7.17</w:t>
            </w:r>
            <w:r>
              <w:rPr>
                <w:rFonts w:hint="eastAsia" w:ascii="仿宋" w:hAnsi="仿宋" w:eastAsia="仿宋" w:cs="Arial"/>
                <w:color w:val="000000"/>
                <w:kern w:val="0"/>
                <w:sz w:val="18"/>
                <w:szCs w:val="18"/>
              </w:rPr>
              <w:t>中国产经</w:t>
            </w:r>
            <w:r>
              <w:rPr>
                <w:rFonts w:ascii="仿宋" w:hAnsi="仿宋" w:eastAsia="仿宋" w:cs="Arial"/>
                <w:color w:val="000000"/>
                <w:kern w:val="0"/>
                <w:sz w:val="18"/>
                <w:szCs w:val="18"/>
              </w:rPr>
              <w:t>4</w:t>
            </w:r>
            <w:r>
              <w:rPr>
                <w:rFonts w:hint="eastAsia" w:ascii="仿宋" w:hAnsi="仿宋" w:eastAsia="仿宋" w:cs="Arial"/>
                <w:color w:val="000000"/>
                <w:kern w:val="0"/>
                <w:sz w:val="18"/>
                <w:szCs w:val="18"/>
              </w:rPr>
              <w:t>人洽谈智能交通餐费陪</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782.00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8</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常崇丽报卡付大笮风</w:t>
            </w:r>
            <w:r>
              <w:rPr>
                <w:rFonts w:ascii="仿宋" w:hAnsi="仿宋" w:eastAsia="仿宋" w:cs="Arial"/>
                <w:color w:val="000000"/>
                <w:kern w:val="0"/>
                <w:sz w:val="18"/>
                <w:szCs w:val="18"/>
              </w:rPr>
              <w:t>7.27</w:t>
            </w:r>
            <w:r>
              <w:rPr>
                <w:rFonts w:hint="eastAsia" w:ascii="仿宋" w:hAnsi="仿宋" w:eastAsia="仿宋" w:cs="Arial"/>
                <w:color w:val="000000"/>
                <w:kern w:val="0"/>
                <w:sz w:val="18"/>
                <w:szCs w:val="18"/>
              </w:rPr>
              <w:t>接待省能源局</w:t>
            </w:r>
            <w:r>
              <w:rPr>
                <w:rFonts w:ascii="仿宋" w:hAnsi="仿宋" w:eastAsia="仿宋" w:cs="Arial"/>
                <w:color w:val="000000"/>
                <w:kern w:val="0"/>
                <w:sz w:val="18"/>
                <w:szCs w:val="18"/>
              </w:rPr>
              <w:t>5</w:t>
            </w:r>
            <w:r>
              <w:rPr>
                <w:rFonts w:hint="eastAsia" w:ascii="仿宋" w:hAnsi="仿宋" w:eastAsia="仿宋" w:cs="Arial"/>
                <w:color w:val="000000"/>
                <w:kern w:val="0"/>
                <w:sz w:val="18"/>
                <w:szCs w:val="18"/>
              </w:rPr>
              <w:t>人抽查小水电整改餐费陪</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926.00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9</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常崇丽报公务卡付花舞人间接待省发改等</w:t>
            </w:r>
            <w:r>
              <w:rPr>
                <w:rFonts w:ascii="仿宋" w:hAnsi="仿宋" w:eastAsia="仿宋" w:cs="Arial"/>
                <w:color w:val="000000"/>
                <w:kern w:val="0"/>
                <w:sz w:val="18"/>
                <w:szCs w:val="18"/>
              </w:rPr>
              <w:t>2</w:t>
            </w:r>
            <w:r>
              <w:rPr>
                <w:rFonts w:hint="eastAsia" w:ascii="仿宋" w:hAnsi="仿宋" w:eastAsia="仿宋" w:cs="Arial"/>
                <w:color w:val="000000"/>
                <w:kern w:val="0"/>
                <w:sz w:val="18"/>
                <w:szCs w:val="18"/>
              </w:rPr>
              <w:t>人小水电整改餐费陪</w:t>
            </w:r>
            <w:r>
              <w:rPr>
                <w:rFonts w:ascii="仿宋" w:hAnsi="仿宋" w:eastAsia="仿宋" w:cs="Arial"/>
                <w:color w:val="000000"/>
                <w:kern w:val="0"/>
                <w:sz w:val="18"/>
                <w:szCs w:val="18"/>
              </w:rPr>
              <w:t>2</w:t>
            </w:r>
            <w:r>
              <w:rPr>
                <w:rFonts w:hint="eastAsia" w:ascii="仿宋" w:hAnsi="仿宋" w:eastAsia="仿宋" w:cs="Arial"/>
                <w:color w:val="000000"/>
                <w:kern w:val="0"/>
                <w:sz w:val="18"/>
                <w:szCs w:val="18"/>
              </w:rPr>
              <w:t>人</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422.00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10</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罗辉报卡付攀宾</w:t>
            </w:r>
            <w:r>
              <w:rPr>
                <w:rFonts w:ascii="仿宋" w:hAnsi="仿宋" w:eastAsia="仿宋" w:cs="Arial"/>
                <w:color w:val="000000"/>
                <w:kern w:val="0"/>
                <w:sz w:val="18"/>
                <w:szCs w:val="18"/>
              </w:rPr>
              <w:t>9.6</w:t>
            </w:r>
            <w:r>
              <w:rPr>
                <w:rFonts w:hint="eastAsia" w:ascii="仿宋" w:hAnsi="仿宋" w:eastAsia="仿宋" w:cs="Arial"/>
                <w:color w:val="000000"/>
                <w:kern w:val="0"/>
                <w:sz w:val="18"/>
                <w:szCs w:val="18"/>
              </w:rPr>
              <w:t>接待赤水党政代表团</w:t>
            </w:r>
            <w:r>
              <w:rPr>
                <w:rFonts w:ascii="仿宋" w:hAnsi="仿宋" w:eastAsia="仿宋" w:cs="Arial"/>
                <w:color w:val="000000"/>
                <w:kern w:val="0"/>
                <w:sz w:val="18"/>
                <w:szCs w:val="18"/>
              </w:rPr>
              <w:t>18</w:t>
            </w:r>
            <w:r>
              <w:rPr>
                <w:rFonts w:hint="eastAsia" w:ascii="仿宋" w:hAnsi="仿宋" w:eastAsia="仿宋" w:cs="Arial"/>
                <w:color w:val="000000"/>
                <w:kern w:val="0"/>
                <w:sz w:val="18"/>
                <w:szCs w:val="18"/>
              </w:rPr>
              <w:t>人考察康养餐费陪</w:t>
            </w:r>
            <w:r>
              <w:rPr>
                <w:rFonts w:ascii="仿宋" w:hAnsi="仿宋" w:eastAsia="仿宋" w:cs="Arial"/>
                <w:color w:val="000000"/>
                <w:kern w:val="0"/>
                <w:sz w:val="18"/>
                <w:szCs w:val="18"/>
              </w:rPr>
              <w:t>5</w:t>
            </w:r>
            <w:r>
              <w:rPr>
                <w:rFonts w:hint="eastAsia" w:ascii="仿宋" w:hAnsi="仿宋" w:eastAsia="仿宋" w:cs="Arial"/>
                <w:color w:val="000000"/>
                <w:kern w:val="0"/>
                <w:sz w:val="18"/>
                <w:szCs w:val="18"/>
              </w:rPr>
              <w:t>人工</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1,408.00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11</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陈淑云报卡付大笮风</w:t>
            </w:r>
            <w:r>
              <w:rPr>
                <w:rFonts w:ascii="仿宋" w:hAnsi="仿宋" w:eastAsia="仿宋" w:cs="Arial"/>
                <w:color w:val="000000"/>
                <w:kern w:val="0"/>
                <w:sz w:val="18"/>
                <w:szCs w:val="18"/>
              </w:rPr>
              <w:t>18.10.15</w:t>
            </w:r>
            <w:r>
              <w:rPr>
                <w:rFonts w:hint="eastAsia" w:ascii="仿宋" w:hAnsi="仿宋" w:eastAsia="仿宋" w:cs="Arial"/>
                <w:color w:val="000000"/>
                <w:kern w:val="0"/>
                <w:sz w:val="18"/>
                <w:szCs w:val="18"/>
              </w:rPr>
              <w:t>接待省监审局</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人成本调查餐费陪</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900.00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12</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杨建报转支付金海</w:t>
            </w:r>
            <w:r>
              <w:rPr>
                <w:rFonts w:ascii="仿宋" w:hAnsi="仿宋" w:eastAsia="仿宋" w:cs="Arial"/>
                <w:color w:val="000000"/>
                <w:kern w:val="0"/>
                <w:sz w:val="18"/>
                <w:szCs w:val="18"/>
              </w:rPr>
              <w:t>18.6.14</w:t>
            </w:r>
            <w:r>
              <w:rPr>
                <w:rFonts w:hint="eastAsia" w:ascii="仿宋" w:hAnsi="仿宋" w:eastAsia="仿宋" w:cs="Arial"/>
                <w:color w:val="000000"/>
                <w:kern w:val="0"/>
                <w:sz w:val="18"/>
                <w:szCs w:val="18"/>
              </w:rPr>
              <w:t>接待省发改</w:t>
            </w:r>
            <w:r>
              <w:rPr>
                <w:rFonts w:ascii="仿宋" w:hAnsi="仿宋" w:eastAsia="仿宋" w:cs="Arial"/>
                <w:color w:val="000000"/>
                <w:kern w:val="0"/>
                <w:sz w:val="18"/>
                <w:szCs w:val="18"/>
              </w:rPr>
              <w:t>8</w:t>
            </w:r>
            <w:r>
              <w:rPr>
                <w:rFonts w:hint="eastAsia" w:ascii="仿宋" w:hAnsi="仿宋" w:eastAsia="仿宋" w:cs="Arial"/>
                <w:color w:val="000000"/>
                <w:kern w:val="0"/>
                <w:sz w:val="18"/>
                <w:szCs w:val="18"/>
              </w:rPr>
              <w:t>人调研钒电池等餐费陪</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工</w:t>
            </w:r>
            <w:r>
              <w:rPr>
                <w:rFonts w:ascii="仿宋" w:hAnsi="仿宋" w:eastAsia="仿宋" w:cs="Arial"/>
                <w:color w:val="000000"/>
                <w:kern w:val="0"/>
                <w:sz w:val="18"/>
                <w:szCs w:val="18"/>
              </w:rPr>
              <w:t>1</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1,494.00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13</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万虹报卡付大笮风</w:t>
            </w:r>
            <w:r>
              <w:rPr>
                <w:rFonts w:ascii="仿宋" w:hAnsi="仿宋" w:eastAsia="仿宋" w:cs="Arial"/>
                <w:color w:val="000000"/>
                <w:kern w:val="0"/>
                <w:sz w:val="18"/>
                <w:szCs w:val="18"/>
              </w:rPr>
              <w:t>18.4.26</w:t>
            </w:r>
            <w:r>
              <w:rPr>
                <w:rFonts w:hint="eastAsia" w:ascii="仿宋" w:hAnsi="仿宋" w:eastAsia="仿宋" w:cs="Arial"/>
                <w:color w:val="000000"/>
                <w:kern w:val="0"/>
                <w:sz w:val="18"/>
                <w:szCs w:val="18"/>
              </w:rPr>
              <w:t>接待华坪发改</w:t>
            </w:r>
            <w:r>
              <w:rPr>
                <w:rFonts w:ascii="仿宋" w:hAnsi="仿宋" w:eastAsia="仿宋" w:cs="Arial"/>
                <w:color w:val="000000"/>
                <w:kern w:val="0"/>
                <w:sz w:val="18"/>
                <w:szCs w:val="18"/>
              </w:rPr>
              <w:t>4</w:t>
            </w:r>
            <w:r>
              <w:rPr>
                <w:rFonts w:hint="eastAsia" w:ascii="仿宋" w:hAnsi="仿宋" w:eastAsia="仿宋" w:cs="Arial"/>
                <w:color w:val="000000"/>
                <w:kern w:val="0"/>
                <w:sz w:val="18"/>
                <w:szCs w:val="18"/>
              </w:rPr>
              <w:t>人考察石龙坝货运餐费陪</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592.00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14</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沈慧萍报公务卡付攀宾</w:t>
            </w:r>
            <w:r>
              <w:rPr>
                <w:rFonts w:ascii="仿宋" w:hAnsi="仿宋" w:eastAsia="仿宋" w:cs="Arial"/>
                <w:color w:val="000000"/>
                <w:kern w:val="0"/>
                <w:sz w:val="18"/>
                <w:szCs w:val="18"/>
              </w:rPr>
              <w:t>9.27</w:t>
            </w:r>
            <w:r>
              <w:rPr>
                <w:rFonts w:hint="eastAsia" w:ascii="仿宋" w:hAnsi="仿宋" w:eastAsia="仿宋" w:cs="Arial"/>
                <w:color w:val="000000"/>
                <w:kern w:val="0"/>
                <w:sz w:val="18"/>
                <w:szCs w:val="18"/>
              </w:rPr>
              <w:t>接待省能源监管办</w:t>
            </w:r>
            <w:r>
              <w:rPr>
                <w:rFonts w:ascii="仿宋" w:hAnsi="仿宋" w:eastAsia="仿宋" w:cs="Arial"/>
                <w:color w:val="000000"/>
                <w:kern w:val="0"/>
                <w:sz w:val="18"/>
                <w:szCs w:val="18"/>
              </w:rPr>
              <w:t>12</w:t>
            </w:r>
            <w:r>
              <w:rPr>
                <w:rFonts w:hint="eastAsia" w:ascii="仿宋" w:hAnsi="仿宋" w:eastAsia="仿宋" w:cs="Arial"/>
                <w:color w:val="000000"/>
                <w:kern w:val="0"/>
                <w:sz w:val="18"/>
                <w:szCs w:val="18"/>
              </w:rPr>
              <w:t>人营商核查餐费陪</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2,000.00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15</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朱刚报卡付大笮风</w:t>
            </w:r>
            <w:r>
              <w:rPr>
                <w:rFonts w:ascii="仿宋" w:hAnsi="仿宋" w:eastAsia="仿宋" w:cs="Arial"/>
                <w:color w:val="000000"/>
                <w:kern w:val="0"/>
                <w:sz w:val="18"/>
                <w:szCs w:val="18"/>
              </w:rPr>
              <w:t>10.14</w:t>
            </w:r>
            <w:r>
              <w:rPr>
                <w:rFonts w:hint="eastAsia" w:ascii="仿宋" w:hAnsi="仿宋" w:eastAsia="仿宋" w:cs="Arial"/>
                <w:color w:val="000000"/>
                <w:kern w:val="0"/>
                <w:sz w:val="18"/>
                <w:szCs w:val="18"/>
              </w:rPr>
              <w:t>接待成都发改</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人调研考察监测等餐费陪</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694.00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16</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胡渝报卡付大笮风</w:t>
            </w:r>
            <w:r>
              <w:rPr>
                <w:rFonts w:ascii="仿宋" w:hAnsi="仿宋" w:eastAsia="仿宋" w:cs="Arial"/>
                <w:color w:val="000000"/>
                <w:kern w:val="0"/>
                <w:sz w:val="18"/>
                <w:szCs w:val="18"/>
              </w:rPr>
              <w:t>18.7.9</w:t>
            </w:r>
            <w:r>
              <w:rPr>
                <w:rFonts w:hint="eastAsia" w:ascii="仿宋" w:hAnsi="仿宋" w:eastAsia="仿宋" w:cs="Arial"/>
                <w:color w:val="000000"/>
                <w:kern w:val="0"/>
                <w:sz w:val="18"/>
                <w:szCs w:val="18"/>
              </w:rPr>
              <w:t>接待省发改</w:t>
            </w:r>
            <w:r>
              <w:rPr>
                <w:rFonts w:ascii="仿宋" w:hAnsi="仿宋" w:eastAsia="仿宋" w:cs="Arial"/>
                <w:color w:val="000000"/>
                <w:kern w:val="0"/>
                <w:sz w:val="18"/>
                <w:szCs w:val="18"/>
              </w:rPr>
              <w:t>6</w:t>
            </w:r>
            <w:r>
              <w:rPr>
                <w:rFonts w:hint="eastAsia" w:ascii="仿宋" w:hAnsi="仿宋" w:eastAsia="仿宋" w:cs="Arial"/>
                <w:color w:val="000000"/>
                <w:kern w:val="0"/>
                <w:sz w:val="18"/>
                <w:szCs w:val="18"/>
              </w:rPr>
              <w:t>人稽查投资项目餐费陪</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工</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1,410.00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17</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常崇丽报卡付顺风</w:t>
            </w:r>
            <w:r>
              <w:rPr>
                <w:rFonts w:ascii="仿宋" w:hAnsi="仿宋" w:eastAsia="仿宋" w:cs="Arial"/>
                <w:color w:val="000000"/>
                <w:kern w:val="0"/>
                <w:sz w:val="18"/>
                <w:szCs w:val="18"/>
              </w:rPr>
              <w:t>18.11.29</w:t>
            </w:r>
            <w:r>
              <w:rPr>
                <w:rFonts w:hint="eastAsia" w:ascii="仿宋" w:hAnsi="仿宋" w:eastAsia="仿宋" w:cs="Arial"/>
                <w:color w:val="000000"/>
                <w:kern w:val="0"/>
                <w:sz w:val="18"/>
                <w:szCs w:val="18"/>
              </w:rPr>
              <w:t>接待省能源局</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人督导小水电整改餐费陪</w:t>
            </w:r>
            <w:r>
              <w:rPr>
                <w:rFonts w:ascii="仿宋" w:hAnsi="仿宋" w:eastAsia="仿宋" w:cs="Arial"/>
                <w:color w:val="000000"/>
                <w:kern w:val="0"/>
                <w:sz w:val="18"/>
                <w:szCs w:val="18"/>
              </w:rPr>
              <w:t>2</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418.00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18</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何江川报转支金海</w:t>
            </w:r>
            <w:r>
              <w:rPr>
                <w:rFonts w:ascii="仿宋" w:hAnsi="仿宋" w:eastAsia="仿宋" w:cs="Arial"/>
                <w:color w:val="000000"/>
                <w:kern w:val="0"/>
                <w:sz w:val="18"/>
                <w:szCs w:val="18"/>
              </w:rPr>
              <w:t>18.11.5</w:t>
            </w:r>
            <w:r>
              <w:rPr>
                <w:rFonts w:hint="eastAsia" w:ascii="仿宋" w:hAnsi="仿宋" w:eastAsia="仿宋" w:cs="Arial"/>
                <w:color w:val="000000"/>
                <w:kern w:val="0"/>
                <w:sz w:val="18"/>
                <w:szCs w:val="18"/>
              </w:rPr>
              <w:t>接待成都发改等</w:t>
            </w:r>
            <w:r>
              <w:rPr>
                <w:rFonts w:ascii="仿宋" w:hAnsi="仿宋" w:eastAsia="仿宋" w:cs="Arial"/>
                <w:color w:val="000000"/>
                <w:kern w:val="0"/>
                <w:sz w:val="18"/>
                <w:szCs w:val="18"/>
              </w:rPr>
              <w:t>11</w:t>
            </w:r>
            <w:r>
              <w:rPr>
                <w:rFonts w:hint="eastAsia" w:ascii="仿宋" w:hAnsi="仿宋" w:eastAsia="仿宋" w:cs="Arial"/>
                <w:color w:val="000000"/>
                <w:kern w:val="0"/>
                <w:sz w:val="18"/>
                <w:szCs w:val="18"/>
              </w:rPr>
              <w:t>人易地扶贫复查陪</w:t>
            </w:r>
            <w:r>
              <w:rPr>
                <w:rFonts w:ascii="仿宋" w:hAnsi="仿宋" w:eastAsia="仿宋" w:cs="Arial"/>
                <w:color w:val="000000"/>
                <w:kern w:val="0"/>
                <w:sz w:val="18"/>
                <w:szCs w:val="18"/>
              </w:rPr>
              <w:t>3</w:t>
            </w:r>
            <w:r>
              <w:rPr>
                <w:rFonts w:hint="eastAsia" w:ascii="仿宋" w:hAnsi="仿宋" w:eastAsia="仿宋" w:cs="Arial"/>
                <w:color w:val="000000"/>
                <w:kern w:val="0"/>
                <w:sz w:val="18"/>
                <w:szCs w:val="18"/>
              </w:rPr>
              <w:t>工</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2,265.00 </w:t>
            </w:r>
          </w:p>
        </w:tc>
      </w:tr>
      <w:tr>
        <w:tblPrEx>
          <w:tblCellMar>
            <w:top w:w="0" w:type="dxa"/>
            <w:left w:w="108" w:type="dxa"/>
            <w:bottom w:w="0" w:type="dxa"/>
            <w:right w:w="108" w:type="dxa"/>
          </w:tblCellMar>
        </w:tblPrEx>
        <w:trPr>
          <w:trHeight w:val="360"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19</w:t>
            </w:r>
          </w:p>
        </w:tc>
        <w:tc>
          <w:tcPr>
            <w:tcW w:w="6016" w:type="dxa"/>
            <w:tcBorders>
              <w:top w:val="nil"/>
              <w:left w:val="nil"/>
              <w:bottom w:val="single" w:color="auto" w:sz="4" w:space="0"/>
              <w:right w:val="single" w:color="auto" w:sz="4" w:space="0"/>
            </w:tcBorders>
            <w:vAlign w:val="center"/>
          </w:tcPr>
          <w:p>
            <w:pPr>
              <w:widowControl/>
              <w:jc w:val="left"/>
              <w:rPr>
                <w:rFonts w:ascii="仿宋" w:hAnsi="仿宋" w:eastAsia="仿宋" w:cs="Arial"/>
                <w:color w:val="000000"/>
                <w:kern w:val="0"/>
                <w:sz w:val="18"/>
                <w:szCs w:val="18"/>
              </w:rPr>
            </w:pPr>
            <w:r>
              <w:rPr>
                <w:rFonts w:hint="eastAsia" w:ascii="仿宋" w:hAnsi="仿宋" w:eastAsia="仿宋" w:cs="Arial"/>
                <w:color w:val="000000"/>
                <w:kern w:val="0"/>
                <w:sz w:val="18"/>
                <w:szCs w:val="18"/>
              </w:rPr>
              <w:t>罗辉报公务卡付大笮风</w:t>
            </w:r>
            <w:r>
              <w:rPr>
                <w:rFonts w:ascii="仿宋" w:hAnsi="仿宋" w:eastAsia="仿宋" w:cs="Arial"/>
                <w:color w:val="000000"/>
                <w:kern w:val="0"/>
                <w:sz w:val="18"/>
                <w:szCs w:val="18"/>
              </w:rPr>
              <w:t>11.12</w:t>
            </w:r>
            <w:r>
              <w:rPr>
                <w:rFonts w:hint="eastAsia" w:ascii="仿宋" w:hAnsi="仿宋" w:eastAsia="仿宋" w:cs="Arial"/>
                <w:color w:val="000000"/>
                <w:kern w:val="0"/>
                <w:sz w:val="18"/>
                <w:szCs w:val="18"/>
              </w:rPr>
              <w:t>接待省政研室</w:t>
            </w:r>
            <w:r>
              <w:rPr>
                <w:rFonts w:ascii="仿宋" w:hAnsi="仿宋" w:eastAsia="仿宋" w:cs="Arial"/>
                <w:color w:val="000000"/>
                <w:kern w:val="0"/>
                <w:sz w:val="18"/>
                <w:szCs w:val="18"/>
              </w:rPr>
              <w:t>6</w:t>
            </w:r>
            <w:r>
              <w:rPr>
                <w:rFonts w:hint="eastAsia" w:ascii="仿宋" w:hAnsi="仿宋" w:eastAsia="仿宋" w:cs="Arial"/>
                <w:color w:val="000000"/>
                <w:kern w:val="0"/>
                <w:sz w:val="18"/>
                <w:szCs w:val="18"/>
              </w:rPr>
              <w:t>人调研一干多支餐费陪</w:t>
            </w:r>
            <w:r>
              <w:rPr>
                <w:rFonts w:ascii="仿宋" w:hAnsi="仿宋" w:eastAsia="仿宋" w:cs="Arial"/>
                <w:color w:val="000000"/>
                <w:kern w:val="0"/>
                <w:sz w:val="18"/>
                <w:szCs w:val="18"/>
              </w:rPr>
              <w:t>3</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1,211.00 </w:t>
            </w:r>
          </w:p>
        </w:tc>
      </w:tr>
      <w:tr>
        <w:tblPrEx>
          <w:tblCellMar>
            <w:top w:w="0" w:type="dxa"/>
            <w:left w:w="108" w:type="dxa"/>
            <w:bottom w:w="0" w:type="dxa"/>
            <w:right w:w="108" w:type="dxa"/>
          </w:tblCellMar>
        </w:tblPrEx>
        <w:trPr>
          <w:trHeight w:val="255" w:hRule="atLeast"/>
        </w:trPr>
        <w:tc>
          <w:tcPr>
            <w:tcW w:w="520" w:type="dxa"/>
            <w:tcBorders>
              <w:top w:val="nil"/>
              <w:left w:val="single" w:color="auto" w:sz="4" w:space="0"/>
              <w:bottom w:val="single" w:color="auto" w:sz="4" w:space="0"/>
              <w:right w:val="single" w:color="auto" w:sz="4" w:space="0"/>
            </w:tcBorders>
            <w:vAlign w:val="center"/>
          </w:tcPr>
          <w:p>
            <w:pPr>
              <w:widowControl/>
              <w:jc w:val="center"/>
              <w:rPr>
                <w:rFonts w:ascii="Arial" w:hAnsi="Arial" w:cs="Arial"/>
                <w:color w:val="000000"/>
                <w:kern w:val="0"/>
                <w:sz w:val="20"/>
                <w:szCs w:val="20"/>
              </w:rPr>
            </w:pPr>
            <w:r>
              <w:rPr>
                <w:rFonts w:hint="eastAsia" w:ascii="Arial" w:hAnsi="Arial" w:cs="Arial"/>
                <w:color w:val="000000"/>
                <w:kern w:val="0"/>
                <w:sz w:val="20"/>
                <w:szCs w:val="20"/>
              </w:rPr>
              <w:t>　</w:t>
            </w:r>
          </w:p>
        </w:tc>
        <w:tc>
          <w:tcPr>
            <w:tcW w:w="6016"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hint="eastAsia" w:ascii="仿宋" w:hAnsi="仿宋" w:eastAsia="仿宋" w:cs="Arial"/>
                <w:color w:val="000000"/>
                <w:kern w:val="0"/>
                <w:sz w:val="18"/>
                <w:szCs w:val="18"/>
              </w:rPr>
              <w:t>合计</w:t>
            </w:r>
          </w:p>
        </w:tc>
        <w:tc>
          <w:tcPr>
            <w:tcW w:w="1701" w:type="dxa"/>
            <w:tcBorders>
              <w:top w:val="nil"/>
              <w:left w:val="nil"/>
              <w:bottom w:val="single" w:color="auto" w:sz="4" w:space="0"/>
              <w:right w:val="single" w:color="auto" w:sz="4" w:space="0"/>
            </w:tcBorders>
            <w:vAlign w:val="center"/>
          </w:tcPr>
          <w:p>
            <w:pPr>
              <w:widowControl/>
              <w:jc w:val="center"/>
              <w:rPr>
                <w:rFonts w:ascii="仿宋" w:hAnsi="仿宋" w:eastAsia="仿宋" w:cs="Arial"/>
                <w:color w:val="000000"/>
                <w:kern w:val="0"/>
                <w:sz w:val="18"/>
                <w:szCs w:val="18"/>
              </w:rPr>
            </w:pPr>
            <w:r>
              <w:rPr>
                <w:rFonts w:ascii="仿宋" w:hAnsi="仿宋" w:eastAsia="仿宋" w:cs="Arial"/>
                <w:color w:val="000000"/>
                <w:kern w:val="0"/>
                <w:sz w:val="18"/>
                <w:szCs w:val="18"/>
              </w:rPr>
              <w:t xml:space="preserve">  22,773.00 </w:t>
            </w:r>
          </w:p>
        </w:tc>
      </w:tr>
    </w:tbl>
    <w:p>
      <w:pPr>
        <w:spacing w:line="600" w:lineRule="exact"/>
        <w:ind w:firstLine="642" w:firstLineChars="200"/>
        <w:rPr>
          <w:rFonts w:ascii="仿宋_GB2312" w:eastAsia="仿宋_GB2312"/>
          <w:b/>
          <w:color w:val="000000"/>
          <w:sz w:val="32"/>
          <w:szCs w:val="32"/>
        </w:rPr>
      </w:pPr>
      <w:r>
        <w:rPr>
          <w:rFonts w:hint="eastAsia" w:ascii="仿宋" w:hAnsi="仿宋" w:eastAsia="仿宋"/>
          <w:b/>
          <w:color w:val="000000"/>
          <w:sz w:val="32"/>
          <w:szCs w:val="32"/>
        </w:rPr>
        <w:t>外事接待支出</w:t>
      </w:r>
      <w:r>
        <w:rPr>
          <w:rFonts w:ascii="仿宋" w:hAnsi="仿宋" w:eastAsia="仿宋"/>
          <w:b/>
          <w:color w:val="000000"/>
          <w:sz w:val="32"/>
          <w:szCs w:val="32"/>
        </w:rPr>
        <w:t>0</w:t>
      </w:r>
      <w:r>
        <w:rPr>
          <w:rFonts w:hint="eastAsia" w:ascii="仿宋_GB2312" w:eastAsia="仿宋_GB2312"/>
          <w:b/>
          <w:color w:val="000000"/>
          <w:sz w:val="32"/>
          <w:szCs w:val="32"/>
        </w:rPr>
        <w:t>万元。</w:t>
      </w:r>
    </w:p>
    <w:p>
      <w:pPr>
        <w:spacing w:line="600" w:lineRule="exact"/>
        <w:ind w:firstLine="640"/>
        <w:rPr>
          <w:rFonts w:ascii="黑体" w:eastAsia="黑体"/>
          <w:b/>
          <w:color w:val="000000"/>
          <w:sz w:val="32"/>
          <w:szCs w:val="32"/>
        </w:rPr>
      </w:pPr>
      <w:r>
        <w:rPr>
          <w:rFonts w:hint="eastAsia" w:ascii="仿宋" w:hAnsi="仿宋" w:eastAsia="仿宋"/>
          <w:b/>
          <w:color w:val="000000"/>
          <w:sz w:val="32"/>
          <w:szCs w:val="32"/>
        </w:rPr>
        <w:t>其他国内公务接待支出</w:t>
      </w:r>
      <w:r>
        <w:rPr>
          <w:rFonts w:ascii="仿宋" w:hAnsi="仿宋" w:eastAsia="仿宋"/>
          <w:b/>
          <w:color w:val="000000"/>
          <w:sz w:val="32"/>
          <w:szCs w:val="32"/>
        </w:rPr>
        <w:t>0</w:t>
      </w:r>
      <w:r>
        <w:rPr>
          <w:rFonts w:hint="eastAsia" w:ascii="仿宋_GB2312" w:eastAsia="仿宋_GB2312"/>
          <w:b/>
          <w:color w:val="000000"/>
          <w:sz w:val="32"/>
          <w:szCs w:val="32"/>
        </w:rPr>
        <w:t>万元</w:t>
      </w:r>
      <w:bookmarkStart w:id="46" w:name="_Toc15396610"/>
      <w:bookmarkStart w:id="47" w:name="_Toc15377218"/>
      <w:r>
        <w:rPr>
          <w:rFonts w:ascii="仿宋_GB2312" w:eastAsia="仿宋_GB2312"/>
          <w:b/>
          <w:color w:val="000000"/>
          <w:sz w:val="32"/>
          <w:szCs w:val="32"/>
        </w:rPr>
        <w:t>.</w:t>
      </w:r>
    </w:p>
    <w:p>
      <w:pPr>
        <w:spacing w:line="600" w:lineRule="exact"/>
        <w:ind w:firstLine="640"/>
        <w:outlineLvl w:val="1"/>
        <w:rPr>
          <w:rStyle w:val="18"/>
          <w:rFonts w:ascii="黑体" w:hAnsi="黑体" w:eastAsia="黑体"/>
        </w:rPr>
      </w:pPr>
      <w:r>
        <w:rPr>
          <w:rFonts w:hint="eastAsia" w:ascii="黑体" w:eastAsia="黑体"/>
          <w:color w:val="000000"/>
          <w:sz w:val="32"/>
          <w:szCs w:val="32"/>
        </w:rPr>
        <w:t>八、</w:t>
      </w:r>
      <w:r>
        <w:rPr>
          <w:rStyle w:val="18"/>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numPr>
          <w:ilvl w:val="0"/>
          <w:numId w:val="2"/>
        </w:numPr>
        <w:spacing w:line="600" w:lineRule="exact"/>
        <w:ind w:firstLine="640"/>
        <w:outlineLvl w:val="1"/>
        <w:rPr>
          <w:rStyle w:val="18"/>
          <w:rFonts w:ascii="黑体" w:hAnsi="黑体" w:eastAsia="黑体"/>
          <w:b w:val="0"/>
        </w:rPr>
      </w:pPr>
      <w:bookmarkStart w:id="48" w:name="_Toc15396611"/>
      <w:bookmarkStart w:id="49" w:name="_Toc15377219"/>
      <w:r>
        <w:rPr>
          <w:rStyle w:val="18"/>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pStyle w:val="27"/>
        <w:numPr>
          <w:ilvl w:val="0"/>
          <w:numId w:val="3"/>
        </w:numPr>
        <w:spacing w:line="580" w:lineRule="exact"/>
        <w:ind w:firstLineChars="0"/>
        <w:rPr>
          <w:rStyle w:val="18"/>
          <w:rFonts w:ascii="黑体" w:hAnsi="黑体" w:eastAsia="黑体"/>
          <w:b w:val="0"/>
        </w:rPr>
      </w:pPr>
      <w:r>
        <w:rPr>
          <w:rStyle w:val="18"/>
          <w:rFonts w:hint="eastAsia" w:ascii="黑体" w:hAnsi="黑体" w:eastAsia="黑体"/>
          <w:b w:val="0"/>
        </w:rPr>
        <w:t>预算绩效情况说明</w:t>
      </w:r>
    </w:p>
    <w:p>
      <w:pPr>
        <w:numPr>
          <w:ilvl w:val="0"/>
          <w:numId w:val="4"/>
        </w:numPr>
        <w:spacing w:line="580" w:lineRule="exact"/>
        <w:ind w:firstLine="642"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年度“攀枝花市大众创业万众创新活动”工作经费支出项目开展了预算事前绩效评估，对</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个项目编制了绩效目标，预算执行过程中，选取</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个项目开展绩效监控。</w:t>
      </w:r>
      <w:r>
        <w:rPr>
          <w:rFonts w:ascii="仿宋_GB2312" w:hAnsi="仿宋_GB2312" w:eastAsia="仿宋_GB2312" w:cs="仿宋_GB2312"/>
          <w:sz w:val="32"/>
          <w:szCs w:val="32"/>
        </w:rPr>
        <w:t xml:space="preserve"> </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年部门整体支出开展绩效自评，从评价情况来看，</w:t>
      </w:r>
      <w:r>
        <w:rPr>
          <w:rFonts w:hint="eastAsia" w:ascii="仿宋_GB2312" w:hAnsi="楷体" w:eastAsia="仿宋_GB2312"/>
          <w:kern w:val="0"/>
          <w:sz w:val="32"/>
          <w:szCs w:val="32"/>
        </w:rPr>
        <w:t>我委</w:t>
      </w:r>
      <w:r>
        <w:rPr>
          <w:rFonts w:hint="eastAsia" w:ascii="仿宋_GB2312" w:eastAsia="仿宋_GB2312"/>
          <w:color w:val="434343"/>
          <w:sz w:val="32"/>
          <w:szCs w:val="32"/>
          <w:shd w:val="clear" w:color="auto" w:fill="FFFFFF"/>
        </w:rPr>
        <w:t>资金支出符合财经法规和财务管理制度规定以及有关专项资金管理办法的规定，资金</w:t>
      </w:r>
      <w:r>
        <w:rPr>
          <w:rFonts w:hint="eastAsia" w:ascii="仿宋_GB2312" w:eastAsia="仿宋_GB2312"/>
          <w:color w:val="434343"/>
          <w:sz w:val="32"/>
          <w:szCs w:val="32"/>
          <w:shd w:val="clear" w:color="auto" w:fill="FFFFFF"/>
          <w:lang w:eastAsia="zh-CN"/>
        </w:rPr>
        <w:t>拨</w:t>
      </w:r>
      <w:r>
        <w:rPr>
          <w:rFonts w:hint="eastAsia" w:ascii="仿宋_GB2312" w:eastAsia="仿宋_GB2312"/>
          <w:color w:val="434343"/>
          <w:sz w:val="32"/>
          <w:szCs w:val="32"/>
          <w:shd w:val="clear" w:color="auto" w:fill="FFFFFF"/>
        </w:rPr>
        <w:t>付审批程序和手续完整。“三公”经费均在年初预算控制数之内。制定了厉行节约制度，能做到节俭行政。年度会计核算符合会计法、《行政单位会计制度》以及相关会计准则的规定，会计报表能反映单位预算执行情况和财务状况，委机关财务机构健全，财务制度完善，健全完善了市发展改革委会议、差旅、公务接待、公务用车等内控制度。</w:t>
      </w:r>
      <w:r>
        <w:rPr>
          <w:rFonts w:hint="eastAsia" w:ascii="仿宋_GB2312" w:hAnsi="仿宋_GB2312" w:eastAsia="仿宋_GB2312" w:cs="仿宋_GB2312"/>
          <w:sz w:val="32"/>
          <w:szCs w:val="32"/>
        </w:rPr>
        <w:t>（简要说明整体绩效情况）。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 w:hAnsi="仿宋" w:eastAsia="仿宋" w:cs="楷体_GB2312"/>
          <w:b/>
          <w:bCs/>
          <w:sz w:val="32"/>
          <w:szCs w:val="32"/>
        </w:rPr>
        <w:t>项目绩效目标完成情况。</w:t>
      </w:r>
      <w:r>
        <w:rPr>
          <w:rFonts w:ascii="楷体_GB2312" w:hAnsi="楷体_GB2312" w:eastAsia="楷体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年度部门决算中反映“招投标管理工作经费”、攀枝花市项目精细化管理信息系统”等项目绩效目标实际完成情况。（本单位部门项目绩效目标个数在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个以上的，选取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个项目进行公开，目标个数在</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个以下的，全部进行公开，公开内容包括完成情况综述和完成情况表）。</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根据攀枝花市财政局关于</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年市级部门预算的批复（攀财资预</w:t>
      </w:r>
      <w:r>
        <w:rPr>
          <w:rFonts w:ascii="仿宋_GB2312" w:hAnsi="仿宋_GB2312" w:eastAsia="仿宋_GB2312" w:cs="仿宋_GB2312"/>
          <w:sz w:val="32"/>
          <w:szCs w:val="32"/>
        </w:rPr>
        <w:t>[2018]2</w:t>
      </w:r>
      <w:r>
        <w:rPr>
          <w:rFonts w:hint="eastAsia" w:ascii="仿宋_GB2312" w:hAnsi="仿宋_GB2312" w:eastAsia="仿宋_GB2312" w:cs="仿宋_GB2312"/>
          <w:sz w:val="32"/>
          <w:szCs w:val="32"/>
        </w:rPr>
        <w:t>号），对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年度“攀枝花市大众创业万众创新活动”工作经费支出绩效目标完成情况进行综述：</w:t>
      </w:r>
    </w:p>
    <w:p>
      <w:pPr>
        <w:spacing w:line="640" w:lineRule="exact"/>
        <w:rPr>
          <w:rFonts w:ascii="仿宋_GB2312" w:hAnsi="仿宋_GB2312" w:eastAsia="仿宋_GB2312" w:cs="仿宋_GB2312"/>
          <w:sz w:val="32"/>
          <w:szCs w:val="32"/>
        </w:rPr>
      </w:pPr>
      <w:r>
        <w:rPr>
          <w:rFonts w:ascii="仿宋" w:hAnsi="仿宋" w:eastAsia="仿宋"/>
          <w:b/>
          <w:sz w:val="32"/>
          <w:szCs w:val="32"/>
        </w:rPr>
        <w:t xml:space="preserve">    </w:t>
      </w:r>
      <w:r>
        <w:rPr>
          <w:rFonts w:hint="eastAsia" w:ascii="仿宋" w:hAnsi="仿宋" w:eastAsia="仿宋"/>
          <w:b/>
          <w:sz w:val="32"/>
          <w:szCs w:val="32"/>
        </w:rPr>
        <w:t>全年预算数</w:t>
      </w:r>
      <w:r>
        <w:rPr>
          <w:rFonts w:ascii="仿宋" w:hAnsi="仿宋" w:eastAsia="仿宋"/>
          <w:b/>
          <w:sz w:val="32"/>
          <w:szCs w:val="32"/>
        </w:rPr>
        <w:t>9</w:t>
      </w:r>
      <w:r>
        <w:rPr>
          <w:rFonts w:hint="eastAsia" w:ascii="仿宋" w:hAnsi="仿宋" w:eastAsia="仿宋"/>
          <w:b/>
          <w:sz w:val="32"/>
          <w:szCs w:val="32"/>
        </w:rPr>
        <w:t>万元，执行数</w:t>
      </w:r>
      <w:r>
        <w:rPr>
          <w:rFonts w:ascii="仿宋" w:hAnsi="仿宋" w:eastAsia="仿宋"/>
          <w:b/>
          <w:sz w:val="32"/>
          <w:szCs w:val="32"/>
        </w:rPr>
        <w:t>9</w:t>
      </w:r>
      <w:r>
        <w:rPr>
          <w:rFonts w:hint="eastAsia" w:ascii="仿宋" w:hAnsi="仿宋" w:eastAsia="仿宋"/>
          <w:b/>
          <w:sz w:val="32"/>
          <w:szCs w:val="32"/>
        </w:rPr>
        <w:t>万元，完成预算的</w:t>
      </w:r>
      <w:r>
        <w:rPr>
          <w:rFonts w:ascii="仿宋" w:hAnsi="仿宋" w:eastAsia="仿宋"/>
          <w:b/>
          <w:sz w:val="32"/>
          <w:szCs w:val="32"/>
        </w:rPr>
        <w:t>100%</w:t>
      </w:r>
      <w:r>
        <w:rPr>
          <w:rFonts w:hint="eastAsia" w:ascii="仿宋" w:hAnsi="仿宋" w:eastAsia="仿宋"/>
          <w:b/>
          <w:sz w:val="32"/>
          <w:szCs w:val="32"/>
        </w:rPr>
        <w:t>。</w:t>
      </w:r>
      <w:r>
        <w:rPr>
          <w:rFonts w:hint="eastAsia" w:ascii="仿宋" w:hAnsi="仿宋" w:eastAsia="仿宋"/>
          <w:b/>
          <w:color w:val="000000"/>
          <w:sz w:val="32"/>
          <w:szCs w:val="32"/>
        </w:rPr>
        <w:t>通过考察、学习、培训、调研、宣传等活动开展，促进市发展改革委对创新创业工作的认识，对于推动创新平台建设、攀西试验区科技创新工作开展等工作起到积极促进作用，加深各县区、市级各部门以及广大群众对创新创业工作的理解。由于项目实施，推动了我市钒钛新材料国家产业创新中心创建工作的开展。发现的主要问题：由于</w:t>
      </w:r>
      <w:r>
        <w:rPr>
          <w:rFonts w:ascii="仿宋" w:hAnsi="仿宋" w:eastAsia="仿宋"/>
          <w:b/>
          <w:color w:val="000000"/>
          <w:sz w:val="32"/>
          <w:szCs w:val="32"/>
        </w:rPr>
        <w:t>2018</w:t>
      </w:r>
      <w:r>
        <w:rPr>
          <w:rFonts w:hint="eastAsia" w:ascii="仿宋" w:hAnsi="仿宋" w:eastAsia="仿宋"/>
          <w:b/>
          <w:color w:val="000000"/>
          <w:sz w:val="32"/>
          <w:szCs w:val="32"/>
        </w:rPr>
        <w:t>年度双创活动周牵头部门由市发展改革委调整为市科知局，经费未能用于该项活动支出。下一步，我委将调整支出方向，将经费主要用于支持创新平台建设工作方面。</w:t>
      </w: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大众创业万众创新活动经费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市发展和改革委员会</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9</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9</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9</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9</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按照国务院统一部署，在全市开展大众创业万众创新活动周系列活动，提升全市群众对双创活动的认识，并积极参与进来，在全市持续掀起双创热潮。</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组织考察学习银川、广州国家产业创新中心建设情况，组织考察成都、西安、宝鸡、唐山城市转型创新发展情况，参加双创培训以及双创会议等。</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1042" w:hRule="atLeast"/>
        </w:trPr>
        <w:tc>
          <w:tcPr>
            <w:tcW w:w="390"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sz w:val="24"/>
              </w:rPr>
              <w:t>对标先进，考察学习外地创新创业先进经验</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组织考察</w:t>
            </w:r>
            <w:r>
              <w:rPr>
                <w:rFonts w:ascii="宋体" w:hAnsi="宋体" w:cs="宋体"/>
                <w:color w:val="000000"/>
                <w:kern w:val="0"/>
                <w:sz w:val="24"/>
              </w:rPr>
              <w:t>2</w:t>
            </w:r>
            <w:r>
              <w:rPr>
                <w:rFonts w:hint="eastAsia" w:ascii="宋体" w:hAnsi="宋体" w:cs="宋体"/>
                <w:color w:val="000000"/>
                <w:kern w:val="0"/>
                <w:sz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组织考察</w:t>
            </w:r>
            <w:r>
              <w:rPr>
                <w:rFonts w:ascii="宋体" w:hAnsi="宋体" w:cs="宋体"/>
                <w:color w:val="000000"/>
                <w:sz w:val="24"/>
              </w:rPr>
              <w:t>2</w:t>
            </w:r>
            <w:r>
              <w:rPr>
                <w:rFonts w:hint="eastAsia" w:ascii="宋体" w:hAnsi="宋体" w:cs="宋体"/>
                <w:color w:val="000000"/>
                <w:sz w:val="24"/>
              </w:rPr>
              <w:t>次</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025"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参加双创培训、会议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参加创新发展培训、会议、调研等</w:t>
            </w:r>
            <w:r>
              <w:rPr>
                <w:rFonts w:ascii="宋体" w:hAnsi="宋体" w:cs="宋体"/>
                <w:color w:val="000000"/>
                <w:sz w:val="24"/>
              </w:rPr>
              <w:t>6</w:t>
            </w:r>
            <w:r>
              <w:rPr>
                <w:rFonts w:hint="eastAsia" w:ascii="宋体" w:hAnsi="宋体" w:cs="宋体"/>
                <w:color w:val="000000"/>
                <w:sz w:val="24"/>
              </w:rPr>
              <w:t>次</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参加创新发展培训、会议、调研等</w:t>
            </w:r>
            <w:r>
              <w:rPr>
                <w:rFonts w:ascii="宋体" w:hAnsi="宋体" w:cs="宋体"/>
                <w:color w:val="000000"/>
                <w:sz w:val="24"/>
              </w:rPr>
              <w:t>6</w:t>
            </w:r>
            <w:r>
              <w:rPr>
                <w:rFonts w:hint="eastAsia" w:ascii="宋体" w:hAnsi="宋体" w:cs="宋体"/>
                <w:color w:val="000000"/>
                <w:sz w:val="24"/>
              </w:rPr>
              <w:t>次</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宋体" w:cs="宋体"/>
                <w:color w:val="000000"/>
                <w:sz w:val="24"/>
              </w:rPr>
            </w:pPr>
            <w:r>
              <w:rPr>
                <w:rFonts w:hint="eastAsia" w:ascii="宋体" w:hAnsi="宋体" w:cs="宋体"/>
                <w:color w:val="000000"/>
                <w:sz w:val="24"/>
              </w:rPr>
              <w:t>双创工作办公用品购置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双创工作日常办公经费</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宣传对象、形式和手段运用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到省发展改革委对接国家钒钛产业创新中心创建等事宜，考察学习银川、广州国家产业创新中心创建、建设经验，到成都、西安、宝鸡、唐山学习城市转型创新发展经验，参加开发区创新高质量发展培训，调研县区双创工作开展情况等。</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1025" w:type="dxa"/>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对标先进，考察学习外地创新创业先进经验</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6.8</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组织考察学习银川、广州国家产业创新中心建设情况，</w:t>
            </w:r>
            <w:r>
              <w:rPr>
                <w:rFonts w:hint="eastAsia" w:ascii="宋体" w:hAnsi="宋体" w:cs="宋体"/>
                <w:color w:val="000000"/>
                <w:kern w:val="0"/>
                <w:sz w:val="24"/>
              </w:rPr>
              <w:t>对接国家钒钛新材料创业创新中心申报工作；</w:t>
            </w:r>
            <w:r>
              <w:rPr>
                <w:rFonts w:hint="eastAsia" w:ascii="宋体" w:hAnsi="宋体" w:cs="宋体"/>
                <w:color w:val="000000"/>
                <w:sz w:val="24"/>
              </w:rPr>
              <w:t>组织考察成都、西安、宝鸡、唐山城市转型创新发展情况等，费用共计约</w:t>
            </w:r>
            <w:r>
              <w:rPr>
                <w:rFonts w:ascii="宋体" w:hAnsi="宋体" w:cs="宋体"/>
                <w:color w:val="000000"/>
                <w:sz w:val="24"/>
              </w:rPr>
              <w:t>6.8</w:t>
            </w:r>
            <w:r>
              <w:rPr>
                <w:rFonts w:hint="eastAsia" w:ascii="宋体" w:hAnsi="宋体" w:cs="宋体"/>
                <w:color w:val="000000"/>
                <w:sz w:val="24"/>
              </w:rPr>
              <w:t>万元</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1025" w:type="dxa"/>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参加双创培训、会议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2</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参加创新发展培训、会议、调研等费用共计约</w:t>
            </w:r>
            <w:r>
              <w:rPr>
                <w:rFonts w:ascii="宋体" w:hAnsi="宋体" w:cs="宋体"/>
                <w:color w:val="000000"/>
                <w:sz w:val="24"/>
              </w:rPr>
              <w:t>2</w:t>
            </w:r>
            <w:r>
              <w:rPr>
                <w:rFonts w:hint="eastAsia" w:ascii="宋体" w:hAnsi="宋体" w:cs="宋体"/>
                <w:color w:val="000000"/>
                <w:sz w:val="24"/>
              </w:rPr>
              <w:t>万元</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1025" w:type="dxa"/>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双创工作办公用品购置</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hAnsi="宋体" w:cs="宋体"/>
                <w:color w:val="000000"/>
                <w:sz w:val="24"/>
              </w:rPr>
              <w:t>0.2</w:t>
            </w:r>
            <w:r>
              <w:rPr>
                <w:rFonts w:hint="eastAsia" w:ascii="宋体" w:hAnsi="宋体" w:cs="宋体"/>
                <w:color w:val="000000"/>
                <w:sz w:val="24"/>
              </w:rPr>
              <w:t>万元</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双创工作日常办公经费共计约</w:t>
            </w:r>
            <w:r>
              <w:rPr>
                <w:rFonts w:ascii="宋体" w:hAnsi="宋体" w:cs="宋体"/>
                <w:color w:val="000000"/>
                <w:sz w:val="24"/>
              </w:rPr>
              <w:t>0.2</w:t>
            </w:r>
            <w:r>
              <w:rPr>
                <w:rFonts w:hint="eastAsia" w:ascii="宋体" w:hAnsi="宋体" w:cs="宋体"/>
                <w:color w:val="000000"/>
                <w:sz w:val="24"/>
              </w:rPr>
              <w:t>万元</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对工作促进作用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促进市级各级部门、广大群众认识双创活动，并积极参与进来，在全社会持续掀起创新创业热潮。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通过考察、学习、培训、调研、宣传等活动开展，促进市发展改革委对创新创业工作的认识，对于推动创新平台建设、攀西试验区科技创新工作开展等工作起到积极促进作用，加深各县区、市级各部门以及广大群众对创新创业工作的理解。</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可持续影响指标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公众对双创活动的参与度和知晓度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18"/>
                <w:szCs w:val="18"/>
              </w:rPr>
              <w:t>公众参与度≥</w:t>
            </w:r>
            <w:r>
              <w:rPr>
                <w:rFonts w:ascii="宋体" w:hAnsi="宋体" w:cs="宋体"/>
                <w:color w:val="000000"/>
                <w:kern w:val="0"/>
                <w:sz w:val="18"/>
                <w:szCs w:val="18"/>
              </w:rPr>
              <w:t>80%</w:t>
            </w:r>
            <w:r>
              <w:rPr>
                <w:rFonts w:hint="eastAsia" w:ascii="宋体" w:hAnsi="宋体" w:cs="宋体"/>
                <w:color w:val="000000"/>
                <w:kern w:val="0"/>
                <w:sz w:val="18"/>
                <w:szCs w:val="18"/>
              </w:rPr>
              <w:t>，公众知晓度≥</w:t>
            </w:r>
            <w:r>
              <w:rPr>
                <w:rFonts w:ascii="宋体" w:hAnsi="宋体" w:cs="宋体"/>
                <w:color w:val="000000"/>
                <w:kern w:val="0"/>
                <w:sz w:val="18"/>
                <w:szCs w:val="18"/>
              </w:rPr>
              <w:t>80%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hAnsi="宋体" w:cs="宋体"/>
                <w:color w:val="000000"/>
                <w:kern w:val="0"/>
                <w:sz w:val="18"/>
                <w:szCs w:val="18"/>
              </w:rPr>
              <w:t>公众参与度≥</w:t>
            </w:r>
            <w:r>
              <w:rPr>
                <w:rFonts w:ascii="宋体" w:hAnsi="宋体" w:cs="宋体"/>
                <w:color w:val="000000"/>
                <w:kern w:val="0"/>
                <w:sz w:val="18"/>
                <w:szCs w:val="18"/>
              </w:rPr>
              <w:t>80%</w:t>
            </w:r>
            <w:r>
              <w:rPr>
                <w:rFonts w:hint="eastAsia" w:ascii="宋体" w:hAnsi="宋体" w:cs="宋体"/>
                <w:color w:val="000000"/>
                <w:kern w:val="0"/>
                <w:sz w:val="18"/>
                <w:szCs w:val="18"/>
              </w:rPr>
              <w:t>，公众知晓度≥</w:t>
            </w:r>
            <w:r>
              <w:rPr>
                <w:rFonts w:ascii="宋体" w:hAnsi="宋体" w:cs="宋体"/>
                <w:color w:val="000000"/>
                <w:kern w:val="0"/>
                <w:sz w:val="18"/>
                <w:szCs w:val="18"/>
              </w:rPr>
              <w:t>80%</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1025" w:type="dxa"/>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开展活动单位满意度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活动单位满意度≥</w:t>
            </w:r>
            <w:r>
              <w:rPr>
                <w:rFonts w:ascii="宋体" w:hAnsi="宋体" w:cs="宋体"/>
                <w:color w:val="000000"/>
                <w:sz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活动单位满意度≥</w:t>
            </w:r>
            <w:r>
              <w:rPr>
                <w:rFonts w:ascii="宋体" w:hAnsi="宋体" w:cs="宋体"/>
                <w:color w:val="000000"/>
                <w:sz w:val="24"/>
              </w:rPr>
              <w:t>90%</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367"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1025" w:type="dxa"/>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公众满意度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公众满意度≥</w:t>
            </w:r>
            <w:r>
              <w:rPr>
                <w:rFonts w:ascii="宋体" w:hAnsi="宋体" w:cs="宋体"/>
                <w:color w:val="000000"/>
                <w:sz w:val="24"/>
              </w:rPr>
              <w:t>90%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公众满意度≥</w:t>
            </w:r>
            <w:r>
              <w:rPr>
                <w:rFonts w:ascii="宋体" w:hAnsi="宋体" w:cs="宋体"/>
                <w:color w:val="000000"/>
                <w:sz w:val="24"/>
              </w:rPr>
              <w:t>90%</w:t>
            </w:r>
          </w:p>
        </w:tc>
      </w:tr>
    </w:tbl>
    <w:p>
      <w:pPr>
        <w:rPr>
          <w:rFonts w:ascii="Calibri" w:hAnsi="Calibri"/>
        </w:rPr>
      </w:pPr>
    </w:p>
    <w:p>
      <w:pPr>
        <w:numPr>
          <w:ilvl w:val="0"/>
          <w:numId w:val="4"/>
        </w:numPr>
        <w:spacing w:line="580" w:lineRule="exact"/>
        <w:ind w:firstLine="642"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年部门整体支出绩效评价情况开展自评，《市发展改革委</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hint="eastAsia" w:ascii="仿宋" w:hAnsi="仿宋" w:eastAsia="仿宋" w:cs="方正小标宋简体"/>
          <w:sz w:val="32"/>
          <w:szCs w:val="32"/>
        </w:rPr>
        <w:t>第三届中国康养产业发展论坛会场展场策划实施经费</w:t>
      </w:r>
      <w:r>
        <w:rPr>
          <w:rFonts w:hint="eastAsia" w:ascii="仿宋_GB2312" w:hAnsi="仿宋_GB2312" w:eastAsia="仿宋_GB2312" w:cs="仿宋_GB2312"/>
          <w:sz w:val="32"/>
          <w:szCs w:val="32"/>
        </w:rPr>
        <w:t>项目开展了绩效评价，《项目</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年绩效评价报告》见附件。（非涉密部门均需公开部门整体支出评价报告，部门自行组织的绩效评价情况根据部门实际公开）</w:t>
      </w:r>
    </w:p>
    <w:p>
      <w:pPr>
        <w:spacing w:line="580" w:lineRule="exact"/>
        <w:jc w:val="center"/>
        <w:rPr>
          <w:rFonts w:ascii="方正小标宋简体" w:hAnsi="方正小标宋简体" w:eastAsia="方正小标宋简体" w:cs="方正小标宋简体"/>
          <w:sz w:val="44"/>
          <w:szCs w:val="44"/>
        </w:rPr>
      </w:pPr>
    </w:p>
    <w:p>
      <w:pPr>
        <w:spacing w:line="600" w:lineRule="exact"/>
        <w:ind w:firstLine="800" w:firstLineChars="250"/>
        <w:outlineLvl w:val="1"/>
        <w:rPr>
          <w:rStyle w:val="18"/>
          <w:rFonts w:ascii="黑体" w:hAnsi="黑体" w:eastAsia="黑体"/>
        </w:rPr>
      </w:pPr>
      <w:bookmarkStart w:id="50" w:name="_Toc15396612"/>
      <w:bookmarkStart w:id="51" w:name="_Toc15377221"/>
      <w:r>
        <w:rPr>
          <w:rFonts w:hint="eastAsia" w:ascii="黑体" w:hAnsi="黑体" w:eastAsia="黑体"/>
          <w:color w:val="000000"/>
          <w:sz w:val="32"/>
          <w:szCs w:val="32"/>
        </w:rPr>
        <w:t>十</w:t>
      </w:r>
      <w:r>
        <w:rPr>
          <w:rStyle w:val="18"/>
          <w:rFonts w:hint="eastAsia" w:ascii="黑体" w:hAnsi="黑体" w:eastAsia="黑体"/>
        </w:rPr>
        <w:t>一、</w:t>
      </w:r>
      <w:r>
        <w:rPr>
          <w:rStyle w:val="18"/>
          <w:rFonts w:hint="eastAsia" w:ascii="黑体" w:hAnsi="黑体" w:eastAsia="黑体"/>
          <w:b w:val="0"/>
        </w:rPr>
        <w:t>其他重要事项的情况说明</w:t>
      </w:r>
      <w:bookmarkEnd w:id="50"/>
      <w:bookmarkEnd w:id="51"/>
    </w:p>
    <w:p>
      <w:pPr>
        <w:spacing w:line="600" w:lineRule="exact"/>
        <w:ind w:firstLine="642"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600" w:lineRule="exact"/>
        <w:ind w:firstLine="642" w:firstLineChars="200"/>
        <w:rPr>
          <w:rFonts w:ascii="仿宋_GB2312" w:eastAsia="仿宋_GB2312"/>
          <w:b/>
          <w:color w:val="000000"/>
          <w:sz w:val="32"/>
          <w:szCs w:val="32"/>
        </w:rPr>
      </w:pPr>
      <w:r>
        <w:rPr>
          <w:rFonts w:ascii="仿宋_GB2312" w:eastAsia="仿宋_GB2312"/>
          <w:b/>
          <w:color w:val="000000"/>
          <w:sz w:val="32"/>
          <w:szCs w:val="32"/>
        </w:rPr>
        <w:t>2018</w:t>
      </w:r>
      <w:r>
        <w:rPr>
          <w:rFonts w:hint="eastAsia" w:ascii="仿宋_GB2312" w:eastAsia="仿宋_GB2312"/>
          <w:b/>
          <w:color w:val="000000"/>
          <w:sz w:val="32"/>
          <w:szCs w:val="32"/>
        </w:rPr>
        <w:t>年，市发展改革委机关运行经费支出</w:t>
      </w:r>
      <w:r>
        <w:rPr>
          <w:rFonts w:ascii="仿宋_GB2312" w:eastAsia="仿宋_GB2312"/>
          <w:b/>
          <w:color w:val="000000"/>
          <w:sz w:val="32"/>
          <w:szCs w:val="32"/>
        </w:rPr>
        <w:t>176.62</w:t>
      </w:r>
      <w:r>
        <w:rPr>
          <w:rFonts w:hint="eastAsia" w:ascii="仿宋_GB2312" w:eastAsia="仿宋_GB2312"/>
          <w:b/>
          <w:color w:val="000000"/>
          <w:sz w:val="32"/>
          <w:szCs w:val="32"/>
        </w:rPr>
        <w:t>万元，比</w:t>
      </w:r>
      <w:r>
        <w:rPr>
          <w:rFonts w:ascii="仿宋_GB2312" w:eastAsia="仿宋_GB2312"/>
          <w:b/>
          <w:color w:val="000000"/>
          <w:sz w:val="32"/>
          <w:szCs w:val="32"/>
        </w:rPr>
        <w:t>2017</w:t>
      </w:r>
      <w:r>
        <w:rPr>
          <w:rFonts w:hint="eastAsia" w:ascii="仿宋_GB2312" w:eastAsia="仿宋_GB2312"/>
          <w:b/>
          <w:color w:val="000000"/>
          <w:sz w:val="32"/>
          <w:szCs w:val="32"/>
        </w:rPr>
        <w:t>年增加</w:t>
      </w:r>
      <w:r>
        <w:rPr>
          <w:rFonts w:ascii="仿宋_GB2312" w:eastAsia="仿宋_GB2312"/>
          <w:b/>
          <w:color w:val="000000"/>
          <w:sz w:val="32"/>
          <w:szCs w:val="32"/>
        </w:rPr>
        <w:t>2.56</w:t>
      </w:r>
      <w:r>
        <w:rPr>
          <w:rFonts w:hint="eastAsia" w:ascii="仿宋_GB2312" w:eastAsia="仿宋_GB2312"/>
          <w:b/>
          <w:color w:val="000000"/>
          <w:sz w:val="32"/>
          <w:szCs w:val="32"/>
        </w:rPr>
        <w:t>万元，增长</w:t>
      </w:r>
      <w:r>
        <w:rPr>
          <w:rFonts w:ascii="仿宋_GB2312" w:eastAsia="仿宋_GB2312"/>
          <w:b/>
          <w:color w:val="000000"/>
          <w:sz w:val="32"/>
          <w:szCs w:val="32"/>
        </w:rPr>
        <w:t>1.47%</w:t>
      </w:r>
      <w:r>
        <w:rPr>
          <w:rFonts w:hint="eastAsia" w:ascii="仿宋_GB2312" w:eastAsia="仿宋_GB2312"/>
          <w:b/>
          <w:color w:val="000000"/>
          <w:sz w:val="32"/>
          <w:szCs w:val="32"/>
        </w:rPr>
        <w:t>。主要原因是为争取项目资金等工作差旅费等有所增加。</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600" w:lineRule="exact"/>
        <w:ind w:firstLine="642" w:firstLineChars="200"/>
        <w:rPr>
          <w:rFonts w:ascii="仿宋_GB2312" w:eastAsia="仿宋_GB2312"/>
          <w:b/>
          <w:color w:val="000000"/>
          <w:sz w:val="32"/>
          <w:szCs w:val="32"/>
        </w:rPr>
      </w:pPr>
      <w:r>
        <w:rPr>
          <w:rFonts w:ascii="仿宋_GB2312" w:eastAsia="仿宋_GB2312"/>
          <w:b/>
          <w:color w:val="000000"/>
          <w:sz w:val="32"/>
          <w:szCs w:val="32"/>
        </w:rPr>
        <w:t>2018</w:t>
      </w:r>
      <w:r>
        <w:rPr>
          <w:rFonts w:hint="eastAsia" w:ascii="仿宋_GB2312" w:eastAsia="仿宋_GB2312"/>
          <w:b/>
          <w:color w:val="000000"/>
          <w:sz w:val="32"/>
          <w:szCs w:val="32"/>
        </w:rPr>
        <w:t>年，市发展改革委政府采购支出总额</w:t>
      </w:r>
      <w:r>
        <w:rPr>
          <w:rFonts w:ascii="仿宋_GB2312" w:eastAsia="仿宋_GB2312"/>
          <w:b/>
          <w:color w:val="000000"/>
          <w:sz w:val="32"/>
          <w:szCs w:val="32"/>
        </w:rPr>
        <w:t>213.38</w:t>
      </w:r>
      <w:r>
        <w:rPr>
          <w:rFonts w:hint="eastAsia" w:ascii="仿宋_GB2312" w:eastAsia="仿宋_GB2312"/>
          <w:b/>
          <w:color w:val="000000"/>
          <w:sz w:val="32"/>
          <w:szCs w:val="32"/>
        </w:rPr>
        <w:t>万元，其中：政府采购货物支出</w:t>
      </w:r>
      <w:r>
        <w:rPr>
          <w:rFonts w:ascii="仿宋_GB2312" w:eastAsia="仿宋_GB2312"/>
          <w:b/>
          <w:color w:val="000000"/>
          <w:sz w:val="32"/>
          <w:szCs w:val="32"/>
        </w:rPr>
        <w:t>6.13</w:t>
      </w:r>
      <w:r>
        <w:rPr>
          <w:rFonts w:hint="eastAsia" w:ascii="仿宋_GB2312" w:eastAsia="仿宋_GB2312"/>
          <w:b/>
          <w:color w:val="000000"/>
          <w:sz w:val="32"/>
          <w:szCs w:val="32"/>
        </w:rPr>
        <w:t>万元、政府采购工程支出</w:t>
      </w:r>
      <w:r>
        <w:rPr>
          <w:rFonts w:ascii="仿宋_GB2312" w:eastAsia="仿宋_GB2312"/>
          <w:b/>
          <w:color w:val="000000"/>
          <w:sz w:val="32"/>
          <w:szCs w:val="32"/>
        </w:rPr>
        <w:t>0</w:t>
      </w:r>
      <w:r>
        <w:rPr>
          <w:rFonts w:hint="eastAsia" w:ascii="仿宋_GB2312" w:eastAsia="仿宋_GB2312"/>
          <w:b/>
          <w:color w:val="000000"/>
          <w:sz w:val="32"/>
          <w:szCs w:val="32"/>
        </w:rPr>
        <w:t>万元、政府采购服务支出</w:t>
      </w:r>
      <w:r>
        <w:rPr>
          <w:rFonts w:ascii="仿宋_GB2312" w:eastAsia="仿宋_GB2312"/>
          <w:b/>
          <w:color w:val="000000"/>
          <w:sz w:val="32"/>
          <w:szCs w:val="32"/>
        </w:rPr>
        <w:t>207.25</w:t>
      </w:r>
      <w:r>
        <w:rPr>
          <w:rFonts w:hint="eastAsia" w:ascii="仿宋_GB2312" w:eastAsia="仿宋_GB2312"/>
          <w:b/>
          <w:color w:val="000000"/>
          <w:sz w:val="32"/>
          <w:szCs w:val="32"/>
        </w:rPr>
        <w:t>万元。</w:t>
      </w:r>
    </w:p>
    <w:p>
      <w:pPr>
        <w:spacing w:line="600" w:lineRule="exact"/>
        <w:ind w:firstLine="642" w:firstLineChars="200"/>
        <w:rPr>
          <w:rFonts w:ascii="仿宋" w:hAnsi="仿宋" w:eastAsia="仿宋"/>
          <w:b/>
          <w:color w:val="000000"/>
          <w:sz w:val="32"/>
          <w:szCs w:val="32"/>
        </w:rPr>
      </w:pPr>
      <w:r>
        <w:rPr>
          <w:rFonts w:hint="eastAsia" w:ascii="仿宋" w:hAnsi="仿宋" w:eastAsia="仿宋"/>
          <w:b/>
          <w:color w:val="000000"/>
          <w:sz w:val="32"/>
          <w:szCs w:val="32"/>
        </w:rPr>
        <w:t>政府采购货物支出主要用于环资项目、产业项目、攀西资源开发、交通能源项目、铁路建设项目、项目稽查、价格监督检查、价格认证等工作需要购置办公设备等。</w:t>
      </w:r>
    </w:p>
    <w:p>
      <w:pPr>
        <w:spacing w:line="600" w:lineRule="exact"/>
        <w:ind w:firstLine="642" w:firstLineChars="200"/>
        <w:rPr>
          <w:rFonts w:ascii="仿宋" w:hAnsi="仿宋" w:eastAsia="仿宋"/>
          <w:b/>
          <w:color w:val="000000"/>
          <w:sz w:val="32"/>
          <w:szCs w:val="32"/>
        </w:rPr>
      </w:pPr>
      <w:r>
        <w:rPr>
          <w:rFonts w:hint="eastAsia" w:ascii="仿宋" w:hAnsi="仿宋" w:eastAsia="仿宋"/>
          <w:b/>
          <w:color w:val="000000"/>
          <w:sz w:val="32"/>
          <w:szCs w:val="32"/>
        </w:rPr>
        <w:t>政府采购服务支出</w:t>
      </w:r>
      <w:r>
        <w:rPr>
          <w:rFonts w:ascii="仿宋" w:hAnsi="仿宋" w:eastAsia="仿宋"/>
          <w:b/>
          <w:color w:val="000000"/>
          <w:sz w:val="32"/>
          <w:szCs w:val="32"/>
        </w:rPr>
        <w:t>207.25</w:t>
      </w:r>
      <w:r>
        <w:rPr>
          <w:rFonts w:hint="eastAsia" w:ascii="仿宋" w:hAnsi="仿宋" w:eastAsia="仿宋"/>
          <w:b/>
          <w:color w:val="000000"/>
          <w:sz w:val="32"/>
          <w:szCs w:val="32"/>
        </w:rPr>
        <w:t>万元为攀枝花市项目精细化管理信息系统</w:t>
      </w:r>
      <w:r>
        <w:rPr>
          <w:rFonts w:ascii="仿宋" w:hAnsi="仿宋" w:eastAsia="仿宋"/>
          <w:b/>
          <w:color w:val="000000"/>
          <w:sz w:val="32"/>
          <w:szCs w:val="32"/>
        </w:rPr>
        <w:t>189.65</w:t>
      </w:r>
      <w:r>
        <w:rPr>
          <w:rFonts w:hint="eastAsia" w:ascii="仿宋" w:hAnsi="仿宋" w:eastAsia="仿宋"/>
          <w:b/>
          <w:color w:val="000000"/>
          <w:sz w:val="32"/>
          <w:szCs w:val="32"/>
        </w:rPr>
        <w:t>万元、编制攀枝花市十三五基本公共服务均等化规划</w:t>
      </w:r>
      <w:r>
        <w:rPr>
          <w:rFonts w:ascii="仿宋" w:hAnsi="仿宋" w:eastAsia="仿宋"/>
          <w:b/>
          <w:color w:val="000000"/>
          <w:sz w:val="32"/>
          <w:szCs w:val="32"/>
        </w:rPr>
        <w:t>17.6</w:t>
      </w:r>
      <w:r>
        <w:rPr>
          <w:rFonts w:hint="eastAsia" w:ascii="仿宋" w:hAnsi="仿宋" w:eastAsia="仿宋"/>
          <w:b/>
          <w:color w:val="000000"/>
          <w:sz w:val="32"/>
          <w:szCs w:val="32"/>
        </w:rPr>
        <w:t>万元。</w:t>
      </w:r>
    </w:p>
    <w:p>
      <w:pPr>
        <w:spacing w:line="600" w:lineRule="exact"/>
        <w:ind w:firstLine="642" w:firstLineChars="200"/>
        <w:rPr>
          <w:rFonts w:ascii="仿宋_GB2312" w:eastAsia="仿宋_GB2312"/>
          <w:color w:val="000000"/>
          <w:sz w:val="32"/>
          <w:szCs w:val="32"/>
        </w:rPr>
      </w:pPr>
      <w:r>
        <w:rPr>
          <w:rFonts w:hint="eastAsia" w:ascii="仿宋_GB2312" w:eastAsia="仿宋_GB2312"/>
          <w:b/>
          <w:color w:val="000000"/>
          <w:sz w:val="32"/>
          <w:szCs w:val="32"/>
        </w:rPr>
        <w:t>授予中小企业合同金额</w:t>
      </w:r>
      <w:r>
        <w:rPr>
          <w:rFonts w:ascii="仿宋_GB2312" w:eastAsia="仿宋_GB2312"/>
          <w:b/>
          <w:color w:val="000000"/>
          <w:sz w:val="32"/>
          <w:szCs w:val="32"/>
        </w:rPr>
        <w:t>0</w:t>
      </w:r>
      <w:r>
        <w:rPr>
          <w:rFonts w:hint="eastAsia" w:ascii="仿宋_GB2312" w:eastAsia="仿宋_GB2312"/>
          <w:b/>
          <w:color w:val="000000"/>
          <w:sz w:val="32"/>
          <w:szCs w:val="32"/>
        </w:rPr>
        <w:t>万元</w:t>
      </w:r>
      <w:r>
        <w:rPr>
          <w:rFonts w:hint="eastAsia" w:ascii="仿宋_GB2312" w:eastAsia="仿宋_GB2312"/>
          <w:color w:val="000000"/>
          <w:sz w:val="32"/>
          <w:szCs w:val="32"/>
        </w:rPr>
        <w:t>。</w:t>
      </w:r>
      <w:r>
        <w:rPr>
          <w:rFonts w:ascii="仿宋_GB2312" w:eastAsia="仿宋_GB2312"/>
          <w:color w:val="000000"/>
          <w:sz w:val="32"/>
          <w:szCs w:val="32"/>
        </w:rPr>
        <w:t xml:space="preserve"> </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CS06</w:t>
      </w:r>
      <w:r>
        <w:rPr>
          <w:rFonts w:hint="eastAsia" w:ascii="仿宋" w:hAnsi="仿宋" w:eastAsia="仿宋"/>
          <w:b/>
          <w:color w:val="00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600" w:lineRule="exact"/>
        <w:ind w:firstLine="642" w:firstLineChars="200"/>
        <w:jc w:val="left"/>
        <w:rPr>
          <w:rFonts w:ascii="仿宋_GB2312" w:eastAsia="仿宋_GB2312"/>
          <w:b/>
          <w:color w:val="000000"/>
          <w:sz w:val="32"/>
          <w:szCs w:val="32"/>
        </w:rPr>
      </w:pPr>
      <w:r>
        <w:rPr>
          <w:rFonts w:hint="eastAsia" w:ascii="仿宋_GB2312" w:eastAsia="仿宋_GB2312"/>
          <w:b/>
          <w:color w:val="000000"/>
          <w:sz w:val="32"/>
          <w:szCs w:val="32"/>
        </w:rPr>
        <w:t>截至</w:t>
      </w:r>
      <w:r>
        <w:rPr>
          <w:rFonts w:ascii="仿宋_GB2312" w:eastAsia="仿宋_GB2312"/>
          <w:b/>
          <w:color w:val="000000"/>
          <w:sz w:val="32"/>
          <w:szCs w:val="32"/>
        </w:rPr>
        <w:t>2018</w:t>
      </w:r>
      <w:r>
        <w:rPr>
          <w:rFonts w:hint="eastAsia" w:ascii="仿宋_GB2312" w:eastAsia="仿宋_GB2312"/>
          <w:b/>
          <w:color w:val="000000"/>
          <w:sz w:val="32"/>
          <w:szCs w:val="32"/>
        </w:rPr>
        <w:t>年</w:t>
      </w:r>
      <w:r>
        <w:rPr>
          <w:rFonts w:ascii="仿宋_GB2312" w:eastAsia="仿宋_GB2312"/>
          <w:b/>
          <w:color w:val="000000"/>
          <w:sz w:val="32"/>
          <w:szCs w:val="32"/>
        </w:rPr>
        <w:t>12</w:t>
      </w:r>
      <w:r>
        <w:rPr>
          <w:rFonts w:hint="eastAsia" w:ascii="仿宋_GB2312" w:eastAsia="仿宋_GB2312"/>
          <w:b/>
          <w:color w:val="000000"/>
          <w:sz w:val="32"/>
          <w:szCs w:val="32"/>
        </w:rPr>
        <w:t>月</w:t>
      </w:r>
      <w:r>
        <w:rPr>
          <w:rFonts w:ascii="仿宋_GB2312" w:eastAsia="仿宋_GB2312"/>
          <w:b/>
          <w:color w:val="000000"/>
          <w:sz w:val="32"/>
          <w:szCs w:val="32"/>
        </w:rPr>
        <w:t>31</w:t>
      </w:r>
      <w:r>
        <w:rPr>
          <w:rFonts w:hint="eastAsia" w:ascii="仿宋_GB2312" w:eastAsia="仿宋_GB2312"/>
          <w:b/>
          <w:color w:val="000000"/>
          <w:sz w:val="32"/>
          <w:szCs w:val="32"/>
        </w:rPr>
        <w:t>日，市发展改革委共有车辆</w:t>
      </w:r>
      <w:r>
        <w:rPr>
          <w:rFonts w:ascii="仿宋_GB2312" w:eastAsia="仿宋_GB2312"/>
          <w:b/>
          <w:color w:val="000000"/>
          <w:sz w:val="32"/>
          <w:szCs w:val="32"/>
        </w:rPr>
        <w:t>5</w:t>
      </w:r>
      <w:r>
        <w:rPr>
          <w:rFonts w:hint="eastAsia" w:ascii="仿宋_GB2312" w:eastAsia="仿宋_GB2312"/>
          <w:b/>
          <w:color w:val="000000"/>
          <w:sz w:val="32"/>
          <w:szCs w:val="32"/>
        </w:rPr>
        <w:t>辆，其中：部级领导干部用车</w:t>
      </w:r>
      <w:r>
        <w:rPr>
          <w:rFonts w:ascii="仿宋_GB2312" w:eastAsia="仿宋_GB2312"/>
          <w:b/>
          <w:color w:val="000000"/>
          <w:sz w:val="32"/>
          <w:szCs w:val="32"/>
        </w:rPr>
        <w:t>0</w:t>
      </w:r>
      <w:r>
        <w:rPr>
          <w:rFonts w:hint="eastAsia" w:ascii="仿宋_GB2312" w:eastAsia="仿宋_GB2312"/>
          <w:b/>
          <w:color w:val="000000"/>
          <w:sz w:val="32"/>
          <w:szCs w:val="32"/>
        </w:rPr>
        <w:t>辆、一般公务用车</w:t>
      </w:r>
      <w:r>
        <w:rPr>
          <w:rFonts w:ascii="仿宋_GB2312" w:eastAsia="仿宋_GB2312"/>
          <w:b/>
          <w:color w:val="000000"/>
          <w:sz w:val="32"/>
          <w:szCs w:val="32"/>
        </w:rPr>
        <w:t>5</w:t>
      </w:r>
      <w:r>
        <w:rPr>
          <w:rFonts w:hint="eastAsia" w:ascii="仿宋_GB2312" w:eastAsia="仿宋_GB2312"/>
          <w:b/>
          <w:color w:val="000000"/>
          <w:sz w:val="32"/>
          <w:szCs w:val="32"/>
        </w:rPr>
        <w:t>辆（</w:t>
      </w:r>
      <w:r>
        <w:rPr>
          <w:rFonts w:hint="eastAsia" w:ascii="仿宋" w:hAnsi="仿宋" w:eastAsia="仿宋"/>
          <w:b/>
          <w:color w:val="000000"/>
          <w:sz w:val="32"/>
          <w:szCs w:val="32"/>
        </w:rPr>
        <w:t>轿车</w:t>
      </w:r>
      <w:r>
        <w:rPr>
          <w:rFonts w:ascii="仿宋" w:hAnsi="仿宋" w:eastAsia="仿宋"/>
          <w:b/>
          <w:color w:val="000000"/>
          <w:sz w:val="32"/>
          <w:szCs w:val="32"/>
        </w:rPr>
        <w:t>2</w:t>
      </w:r>
      <w:r>
        <w:rPr>
          <w:rFonts w:hint="eastAsia" w:ascii="仿宋" w:hAnsi="仿宋" w:eastAsia="仿宋"/>
          <w:b/>
          <w:color w:val="000000"/>
          <w:sz w:val="32"/>
          <w:szCs w:val="32"/>
        </w:rPr>
        <w:t>辆已由市机关事务管理局于</w:t>
      </w:r>
      <w:r>
        <w:rPr>
          <w:rFonts w:ascii="仿宋" w:hAnsi="仿宋" w:eastAsia="仿宋"/>
          <w:b/>
          <w:color w:val="000000"/>
          <w:sz w:val="32"/>
          <w:szCs w:val="32"/>
        </w:rPr>
        <w:t>2016</w:t>
      </w:r>
      <w:r>
        <w:rPr>
          <w:rFonts w:hint="eastAsia" w:ascii="仿宋" w:hAnsi="仿宋" w:eastAsia="仿宋"/>
          <w:b/>
          <w:color w:val="000000"/>
          <w:sz w:val="32"/>
          <w:szCs w:val="32"/>
        </w:rPr>
        <w:t>年</w:t>
      </w:r>
      <w:r>
        <w:rPr>
          <w:rFonts w:ascii="仿宋" w:hAnsi="仿宋" w:eastAsia="仿宋"/>
          <w:b/>
          <w:color w:val="000000"/>
          <w:sz w:val="32"/>
          <w:szCs w:val="32"/>
        </w:rPr>
        <w:t>8</w:t>
      </w:r>
      <w:r>
        <w:rPr>
          <w:rFonts w:hint="eastAsia" w:ascii="仿宋" w:hAnsi="仿宋" w:eastAsia="仿宋"/>
          <w:b/>
          <w:color w:val="000000"/>
          <w:sz w:val="32"/>
          <w:szCs w:val="32"/>
        </w:rPr>
        <w:t>月</w:t>
      </w:r>
      <w:r>
        <w:rPr>
          <w:rFonts w:ascii="仿宋" w:hAnsi="仿宋" w:eastAsia="仿宋"/>
          <w:b/>
          <w:color w:val="000000"/>
          <w:sz w:val="32"/>
          <w:szCs w:val="32"/>
        </w:rPr>
        <w:t>5</w:t>
      </w:r>
      <w:r>
        <w:rPr>
          <w:rFonts w:hint="eastAsia" w:ascii="仿宋" w:hAnsi="仿宋" w:eastAsia="仿宋"/>
          <w:b/>
          <w:color w:val="000000"/>
          <w:sz w:val="32"/>
          <w:szCs w:val="32"/>
        </w:rPr>
        <w:t>日调拨至市机关后勤服务中心、商务车</w:t>
      </w:r>
      <w:r>
        <w:rPr>
          <w:rFonts w:ascii="仿宋" w:hAnsi="仿宋" w:eastAsia="仿宋"/>
          <w:b/>
          <w:color w:val="000000"/>
          <w:sz w:val="32"/>
          <w:szCs w:val="32"/>
        </w:rPr>
        <w:t>1</w:t>
      </w:r>
      <w:r>
        <w:rPr>
          <w:rFonts w:hint="eastAsia" w:ascii="仿宋" w:hAnsi="仿宋" w:eastAsia="仿宋"/>
          <w:b/>
          <w:color w:val="000000"/>
          <w:sz w:val="32"/>
          <w:szCs w:val="32"/>
        </w:rPr>
        <w:t>辆已由市机关事务管理局于</w:t>
      </w:r>
      <w:r>
        <w:rPr>
          <w:rFonts w:ascii="仿宋" w:hAnsi="仿宋" w:eastAsia="仿宋"/>
          <w:b/>
          <w:color w:val="000000"/>
          <w:sz w:val="32"/>
          <w:szCs w:val="32"/>
        </w:rPr>
        <w:t>2016</w:t>
      </w:r>
      <w:r>
        <w:rPr>
          <w:rFonts w:hint="eastAsia" w:ascii="仿宋" w:hAnsi="仿宋" w:eastAsia="仿宋"/>
          <w:b/>
          <w:color w:val="000000"/>
          <w:sz w:val="32"/>
          <w:szCs w:val="32"/>
        </w:rPr>
        <w:t>年</w:t>
      </w:r>
      <w:r>
        <w:rPr>
          <w:rFonts w:ascii="仿宋" w:hAnsi="仿宋" w:eastAsia="仿宋"/>
          <w:b/>
          <w:color w:val="000000"/>
          <w:sz w:val="32"/>
          <w:szCs w:val="32"/>
        </w:rPr>
        <w:t>7</w:t>
      </w:r>
      <w:r>
        <w:rPr>
          <w:rFonts w:hint="eastAsia" w:ascii="仿宋" w:hAnsi="仿宋" w:eastAsia="仿宋"/>
          <w:b/>
          <w:color w:val="000000"/>
          <w:sz w:val="32"/>
          <w:szCs w:val="32"/>
        </w:rPr>
        <w:t>月</w:t>
      </w:r>
      <w:r>
        <w:rPr>
          <w:rFonts w:ascii="仿宋" w:hAnsi="仿宋" w:eastAsia="仿宋"/>
          <w:b/>
          <w:color w:val="000000"/>
          <w:sz w:val="32"/>
          <w:szCs w:val="32"/>
        </w:rPr>
        <w:t>26</w:t>
      </w:r>
      <w:r>
        <w:rPr>
          <w:rFonts w:hint="eastAsia" w:ascii="仿宋" w:hAnsi="仿宋" w:eastAsia="仿宋"/>
          <w:b/>
          <w:color w:val="000000"/>
          <w:sz w:val="32"/>
          <w:szCs w:val="32"/>
        </w:rPr>
        <w:t>日调拨至市纪委，实际在用越野车</w:t>
      </w:r>
      <w:r>
        <w:rPr>
          <w:rFonts w:ascii="仿宋" w:hAnsi="仿宋" w:eastAsia="仿宋"/>
          <w:b/>
          <w:color w:val="000000"/>
          <w:sz w:val="32"/>
          <w:szCs w:val="32"/>
        </w:rPr>
        <w:t>2</w:t>
      </w:r>
      <w:r>
        <w:rPr>
          <w:rFonts w:hint="eastAsia" w:ascii="仿宋" w:hAnsi="仿宋" w:eastAsia="仿宋"/>
          <w:b/>
          <w:color w:val="000000"/>
          <w:sz w:val="32"/>
          <w:szCs w:val="32"/>
        </w:rPr>
        <w:t>辆）。</w:t>
      </w:r>
      <w:r>
        <w:rPr>
          <w:rFonts w:ascii="仿宋" w:hAnsi="仿宋" w:eastAsia="仿宋"/>
          <w:b/>
          <w:color w:val="000000"/>
          <w:sz w:val="32"/>
          <w:szCs w:val="32"/>
        </w:rPr>
        <w:t xml:space="preserve"> </w:t>
      </w:r>
      <w:r>
        <w:rPr>
          <w:rFonts w:hint="eastAsia" w:ascii="仿宋_GB2312" w:eastAsia="仿宋_GB2312"/>
          <w:b/>
          <w:color w:val="000000"/>
          <w:sz w:val="32"/>
          <w:szCs w:val="32"/>
        </w:rPr>
        <w:t>一般执法执勤用车</w:t>
      </w:r>
      <w:r>
        <w:rPr>
          <w:rFonts w:ascii="仿宋_GB2312" w:eastAsia="仿宋_GB2312"/>
          <w:b/>
          <w:color w:val="000000"/>
          <w:sz w:val="32"/>
          <w:szCs w:val="32"/>
        </w:rPr>
        <w:t>0</w:t>
      </w:r>
      <w:r>
        <w:rPr>
          <w:rFonts w:hint="eastAsia" w:ascii="仿宋_GB2312" w:eastAsia="仿宋_GB2312"/>
          <w:b/>
          <w:color w:val="000000"/>
          <w:sz w:val="32"/>
          <w:szCs w:val="32"/>
        </w:rPr>
        <w:t>辆、特种专业技术用车</w:t>
      </w:r>
      <w:r>
        <w:rPr>
          <w:rFonts w:ascii="仿宋_GB2312" w:eastAsia="仿宋_GB2312"/>
          <w:b/>
          <w:color w:val="000000"/>
          <w:sz w:val="32"/>
          <w:szCs w:val="32"/>
        </w:rPr>
        <w:t>0</w:t>
      </w:r>
      <w:r>
        <w:rPr>
          <w:rFonts w:hint="eastAsia" w:ascii="仿宋_GB2312" w:eastAsia="仿宋_GB2312"/>
          <w:b/>
          <w:color w:val="000000"/>
          <w:sz w:val="32"/>
          <w:szCs w:val="32"/>
        </w:rPr>
        <w:t>辆、其他用车</w:t>
      </w:r>
      <w:r>
        <w:rPr>
          <w:rFonts w:ascii="仿宋_GB2312" w:eastAsia="仿宋_GB2312"/>
          <w:b/>
          <w:color w:val="000000"/>
          <w:sz w:val="32"/>
          <w:szCs w:val="32"/>
        </w:rPr>
        <w:t>0</w:t>
      </w:r>
      <w:r>
        <w:rPr>
          <w:rFonts w:hint="eastAsia" w:ascii="仿宋_GB2312" w:eastAsia="仿宋_GB2312"/>
          <w:b/>
          <w:color w:val="000000"/>
          <w:sz w:val="32"/>
          <w:szCs w:val="32"/>
        </w:rPr>
        <w:t>辆，单价</w:t>
      </w:r>
      <w:r>
        <w:rPr>
          <w:rFonts w:ascii="仿宋_GB2312" w:eastAsia="仿宋_GB2312"/>
          <w:b/>
          <w:color w:val="000000"/>
          <w:sz w:val="32"/>
          <w:szCs w:val="32"/>
        </w:rPr>
        <w:t>50</w:t>
      </w:r>
      <w:r>
        <w:rPr>
          <w:rFonts w:hint="eastAsia" w:ascii="仿宋_GB2312" w:eastAsia="仿宋_GB2312"/>
          <w:b/>
          <w:color w:val="000000"/>
          <w:sz w:val="32"/>
          <w:szCs w:val="32"/>
        </w:rPr>
        <w:t>万元以上通用设备</w:t>
      </w:r>
      <w:r>
        <w:rPr>
          <w:rFonts w:ascii="仿宋_GB2312" w:eastAsia="仿宋_GB2312"/>
          <w:b/>
          <w:color w:val="000000"/>
          <w:sz w:val="32"/>
          <w:szCs w:val="32"/>
        </w:rPr>
        <w:t>0</w:t>
      </w:r>
      <w:r>
        <w:rPr>
          <w:rFonts w:hint="eastAsia" w:ascii="仿宋_GB2312" w:eastAsia="仿宋_GB2312"/>
          <w:b/>
          <w:color w:val="000000"/>
          <w:sz w:val="32"/>
          <w:szCs w:val="32"/>
        </w:rPr>
        <w:t>台（套），单价</w:t>
      </w:r>
      <w:r>
        <w:rPr>
          <w:rFonts w:ascii="仿宋_GB2312" w:eastAsia="仿宋_GB2312"/>
          <w:b/>
          <w:color w:val="000000"/>
          <w:sz w:val="32"/>
          <w:szCs w:val="32"/>
        </w:rPr>
        <w:t>100</w:t>
      </w:r>
      <w:r>
        <w:rPr>
          <w:rFonts w:hint="eastAsia" w:ascii="仿宋_GB2312" w:eastAsia="仿宋_GB2312"/>
          <w:b/>
          <w:color w:val="000000"/>
          <w:sz w:val="32"/>
          <w:szCs w:val="32"/>
        </w:rPr>
        <w:t>万元以上专用设备</w:t>
      </w:r>
      <w:r>
        <w:rPr>
          <w:rFonts w:ascii="仿宋_GB2312" w:eastAsia="仿宋_GB2312"/>
          <w:b/>
          <w:color w:val="000000"/>
          <w:sz w:val="32"/>
          <w:szCs w:val="32"/>
        </w:rPr>
        <w:t>0</w:t>
      </w:r>
      <w:r>
        <w:rPr>
          <w:rFonts w:hint="eastAsia" w:ascii="仿宋_GB2312" w:eastAsia="仿宋_GB2312"/>
          <w:b/>
          <w:color w:val="000000"/>
          <w:sz w:val="32"/>
          <w:szCs w:val="32"/>
        </w:rPr>
        <w:t>台（套）。</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r>
        <w:rPr>
          <w:rFonts w:hint="eastAsia" w:ascii="仿宋" w:hAnsi="仿宋" w:eastAsia="仿宋"/>
          <w:b/>
          <w:color w:val="000000"/>
          <w:sz w:val="32"/>
          <w:szCs w:val="32"/>
        </w:rPr>
        <w:t>（数据来源财决</w:t>
      </w:r>
      <w:r>
        <w:rPr>
          <w:rFonts w:ascii="仿宋" w:hAnsi="仿宋" w:eastAsia="仿宋"/>
          <w:b/>
          <w:color w:val="000000"/>
          <w:sz w:val="32"/>
          <w:szCs w:val="32"/>
        </w:rPr>
        <w:t>CS05</w:t>
      </w:r>
      <w:r>
        <w:rPr>
          <w:rFonts w:hint="eastAsia" w:ascii="仿宋" w:hAnsi="仿宋" w:eastAsia="仿宋"/>
          <w:b/>
          <w:color w:val="000000"/>
          <w:sz w:val="32"/>
          <w:szCs w:val="32"/>
        </w:rPr>
        <w:t>表，按部门决算报表填报数据罗列车辆情况。）</w:t>
      </w:r>
    </w:p>
    <w:p>
      <w:pPr>
        <w:spacing w:line="600" w:lineRule="atLeast"/>
        <w:ind w:firstLine="642" w:firstLineChars="200"/>
        <w:rPr>
          <w:rFonts w:ascii="仿宋_GB2312" w:eastAsia="仿宋_GB2312"/>
          <w:b/>
          <w:color w:val="000000"/>
          <w:sz w:val="32"/>
          <w:szCs w:val="32"/>
        </w:rPr>
      </w:pP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5"/>
        </w:numPr>
        <w:spacing w:line="600" w:lineRule="exact"/>
        <w:ind w:firstLine="662" w:firstLineChars="150"/>
        <w:jc w:val="center"/>
        <w:outlineLvl w:val="0"/>
        <w:rPr>
          <w:rStyle w:val="17"/>
          <w:rFonts w:ascii="黑体" w:hAnsi="黑体" w:eastAsia="黑体"/>
          <w:b w:val="0"/>
        </w:rPr>
      </w:pPr>
      <w:bookmarkStart w:id="55" w:name="_Toc15377225"/>
      <w:bookmarkStart w:id="56" w:name="_Toc15396613"/>
      <w:r>
        <w:rPr>
          <w:rFonts w:hint="eastAsia" w:ascii="黑体" w:hAnsi="黑体" w:eastAsia="黑体"/>
          <w:b/>
          <w:color w:val="000000"/>
          <w:sz w:val="44"/>
          <w:szCs w:val="44"/>
        </w:rPr>
        <w:t>名</w:t>
      </w:r>
      <w:r>
        <w:rPr>
          <w:rStyle w:val="17"/>
          <w:rFonts w:hint="eastAsia" w:ascii="黑体" w:hAnsi="黑体" w:eastAsia="黑体"/>
          <w:b w:val="0"/>
        </w:rPr>
        <w:t>词解释</w:t>
      </w:r>
      <w:bookmarkEnd w:id="55"/>
      <w:bookmarkEnd w:id="56"/>
    </w:p>
    <w:p>
      <w:pPr>
        <w:spacing w:line="600" w:lineRule="exact"/>
        <w:jc w:val="left"/>
        <w:rPr>
          <w:rFonts w:ascii="宋体"/>
          <w:b/>
          <w:color w:val="000000"/>
          <w:sz w:val="44"/>
          <w:szCs w:val="44"/>
        </w:rPr>
      </w:pPr>
    </w:p>
    <w:p>
      <w:pPr>
        <w:pStyle w:val="26"/>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外交（类）…（款）…（项）：指……。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公共安全（类）…（款）…（项）：指……。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教育（类）…（款）…（项）：指……。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科学技术（类）…（款）…（项）：指……。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文化体育与传媒（类）…（款）…（项）：指……。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社会保障和就业（类）…（款）…（项）：指……。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医疗卫生与计划生育（类）…（款）…（项）：指……。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节能环保（类）…（款）…（项）：指……。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城乡社区（类）…（款）…（项）：指……。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农林水（类）…（款）…（项）：指……。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交通运输（类）…（款）…（项）：指……。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21.</w:t>
      </w:r>
      <w:r>
        <w:rPr>
          <w:rFonts w:hint="eastAsia" w:ascii="仿宋_GB2312" w:eastAsia="仿宋_GB2312"/>
          <w:color w:val="000000"/>
          <w:sz w:val="32"/>
          <w:szCs w:val="32"/>
        </w:rPr>
        <w:t>资源勘探信息等（类）…（款）…（项）：指……。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22.</w:t>
      </w:r>
      <w:r>
        <w:rPr>
          <w:rFonts w:hint="eastAsia" w:ascii="仿宋_GB2312" w:eastAsia="仿宋_GB2312"/>
          <w:color w:val="000000"/>
          <w:sz w:val="32"/>
          <w:szCs w:val="32"/>
        </w:rPr>
        <w:t>商业服务业（类）…（款）…（项）：指……。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23.</w:t>
      </w:r>
      <w:r>
        <w:rPr>
          <w:rFonts w:hint="eastAsia" w:ascii="仿宋_GB2312" w:eastAsia="仿宋_GB2312"/>
          <w:color w:val="000000"/>
          <w:sz w:val="32"/>
          <w:szCs w:val="32"/>
        </w:rPr>
        <w:t>金融（类）…（款）…（项）：指……。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24.</w:t>
      </w:r>
      <w:r>
        <w:rPr>
          <w:rFonts w:hint="eastAsia" w:ascii="仿宋_GB2312" w:eastAsia="仿宋_GB2312"/>
          <w:color w:val="000000"/>
          <w:sz w:val="32"/>
          <w:szCs w:val="32"/>
        </w:rPr>
        <w:t>国土海洋气象等（类）…（款）…（项）：指……。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25.</w:t>
      </w:r>
      <w:r>
        <w:rPr>
          <w:rFonts w:hint="eastAsia" w:ascii="仿宋_GB2312" w:eastAsia="仿宋_GB2312"/>
          <w:color w:val="000000"/>
          <w:sz w:val="32"/>
          <w:szCs w:val="32"/>
        </w:rPr>
        <w:t>住房保障（类）…（款）…（项）：指……。</w:t>
      </w:r>
    </w:p>
    <w:p>
      <w:pPr>
        <w:ind w:firstLine="640" w:firstLineChars="200"/>
        <w:rPr>
          <w:rFonts w:ascii="仿宋_GB2312" w:eastAsia="仿宋_GB2312"/>
          <w:color w:val="000000"/>
          <w:sz w:val="32"/>
          <w:szCs w:val="32"/>
        </w:rPr>
      </w:pPr>
      <w:r>
        <w:rPr>
          <w:rFonts w:ascii="仿宋_GB2312" w:eastAsia="仿宋_GB2312"/>
          <w:color w:val="000000"/>
          <w:sz w:val="32"/>
          <w:szCs w:val="32"/>
        </w:rPr>
        <w:t>26.</w:t>
      </w:r>
      <w:r>
        <w:rPr>
          <w:rFonts w:hint="eastAsia" w:ascii="仿宋_GB2312" w:eastAsia="仿宋_GB2312"/>
          <w:color w:val="000000"/>
          <w:sz w:val="32"/>
          <w:szCs w:val="32"/>
        </w:rPr>
        <w:t>粮油物资储备（类）…（款）…（项）：指……。</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rPr>
      </w:pPr>
      <w:r>
        <w:rPr>
          <w:rFonts w:hint="eastAsia" w:ascii="仿宋" w:hAnsi="仿宋" w:eastAsia="仿宋"/>
          <w:b/>
          <w:color w:val="000000"/>
          <w:sz w:val="32"/>
          <w:szCs w:val="32"/>
        </w:rPr>
        <w:t>（解释本部门决算报表中全部功能分类科目至项级，请参照《</w:t>
      </w:r>
      <w:r>
        <w:rPr>
          <w:rFonts w:ascii="仿宋" w:hAnsi="仿宋" w:eastAsia="仿宋"/>
          <w:b/>
          <w:color w:val="000000"/>
          <w:sz w:val="32"/>
          <w:szCs w:val="32"/>
        </w:rPr>
        <w:t>2018</w:t>
      </w:r>
      <w:r>
        <w:rPr>
          <w:rFonts w:hint="eastAsia" w:ascii="仿宋" w:hAnsi="仿宋" w:eastAsia="仿宋"/>
          <w:b/>
          <w:color w:val="000000"/>
          <w:sz w:val="32"/>
          <w:szCs w:val="32"/>
        </w:rPr>
        <w:t>年政府收支分类科目》增减内容。）</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32.</w:t>
      </w:r>
      <w:r>
        <w:rPr>
          <w:rFonts w:hint="eastAsia" w:ascii="仿宋_GB2312" w:eastAsia="仿宋_GB2312"/>
          <w:sz w:val="32"/>
          <w:szCs w:val="32"/>
        </w:rPr>
        <w:t>……。</w:t>
      </w:r>
    </w:p>
    <w:p>
      <w:pPr>
        <w:pStyle w:val="26"/>
        <w:spacing w:line="560" w:lineRule="exact"/>
        <w:ind w:firstLine="640" w:firstLineChars="200"/>
        <w:rPr>
          <w:rFonts w:ascii="仿宋_GB2312" w:eastAsia="仿宋_GB2312" w:cs="黑体"/>
          <w:sz w:val="32"/>
          <w:szCs w:val="32"/>
        </w:rPr>
      </w:pPr>
    </w:p>
    <w:p>
      <w:pPr>
        <w:ind w:firstLine="642" w:firstLineChars="200"/>
        <w:rPr>
          <w:rFonts w:ascii="仿宋" w:hAnsi="仿宋" w:eastAsia="仿宋"/>
          <w:b/>
          <w:color w:val="000000"/>
          <w:sz w:val="32"/>
          <w:szCs w:val="32"/>
        </w:rPr>
      </w:pPr>
      <w:r>
        <w:rPr>
          <w:rFonts w:hint="eastAsia" w:ascii="仿宋" w:hAnsi="仿宋" w:eastAsia="仿宋"/>
          <w:b/>
          <w:color w:val="000000"/>
          <w:sz w:val="32"/>
          <w:szCs w:val="32"/>
        </w:rPr>
        <w:t>（名词解释部分请根据各部门实际列支情况罗列，并根据本部门职责职能增减名词解释内容。）</w:t>
      </w:r>
    </w:p>
    <w:p>
      <w:pPr>
        <w:spacing w:line="600" w:lineRule="exact"/>
        <w:jc w:val="center"/>
        <w:outlineLvl w:val="0"/>
        <w:rPr>
          <w:rStyle w:val="17"/>
          <w:rFonts w:ascii="黑体" w:hAnsi="黑体" w:eastAsia="黑体"/>
          <w:b w:val="0"/>
        </w:rPr>
      </w:pPr>
      <w:bookmarkStart w:id="57" w:name="_Toc15377226"/>
      <w:r>
        <w:rPr>
          <w:rFonts w:ascii="宋体"/>
          <w:b/>
          <w:color w:val="000000"/>
          <w:sz w:val="44"/>
          <w:szCs w:val="44"/>
        </w:rPr>
        <w:br w:type="page"/>
      </w:r>
      <w:bookmarkStart w:id="58" w:name="_Toc15396614"/>
      <w:r>
        <w:rPr>
          <w:rFonts w:hint="eastAsia" w:ascii="黑体" w:hAnsi="黑体" w:eastAsia="黑体"/>
          <w:color w:val="000000"/>
          <w:sz w:val="44"/>
          <w:szCs w:val="44"/>
        </w:rPr>
        <w:t>第</w:t>
      </w:r>
      <w:r>
        <w:rPr>
          <w:rStyle w:val="17"/>
          <w:rFonts w:hint="eastAsia" w:ascii="黑体" w:hAnsi="黑体" w:eastAsia="黑体"/>
          <w:b w:val="0"/>
        </w:rPr>
        <w:t>四部分</w:t>
      </w:r>
      <w:r>
        <w:rPr>
          <w:rStyle w:val="17"/>
          <w:rFonts w:ascii="黑体" w:hAnsi="黑体" w:eastAsia="黑体"/>
          <w:b w:val="0"/>
        </w:rPr>
        <w:t xml:space="preserve"> </w:t>
      </w:r>
      <w:r>
        <w:rPr>
          <w:rStyle w:val="17"/>
          <w:rFonts w:hint="eastAsia" w:ascii="黑体" w:hAnsi="黑体" w:eastAsia="黑体"/>
          <w:b w:val="0"/>
        </w:rPr>
        <w:t>附件</w:t>
      </w:r>
      <w:bookmarkEnd w:id="58"/>
    </w:p>
    <w:p>
      <w:pPr>
        <w:spacing w:line="600" w:lineRule="exact"/>
        <w:jc w:val="center"/>
        <w:outlineLvl w:val="0"/>
        <w:rPr>
          <w:rStyle w:val="17"/>
        </w:rPr>
      </w:pPr>
    </w:p>
    <w:p>
      <w:pPr>
        <w:pStyle w:val="3"/>
        <w:rPr>
          <w:rStyle w:val="17"/>
          <w:rFonts w:ascii="仿宋" w:hAnsi="仿宋" w:eastAsia="仿宋"/>
          <w:b w:val="0"/>
          <w:bCs w:val="0"/>
          <w:sz w:val="32"/>
          <w:szCs w:val="32"/>
        </w:rPr>
      </w:pPr>
      <w:bookmarkStart w:id="59" w:name="_Toc15396615"/>
      <w:r>
        <w:rPr>
          <w:rStyle w:val="17"/>
          <w:rFonts w:hint="eastAsia" w:ascii="仿宋" w:hAnsi="仿宋" w:eastAsia="仿宋"/>
          <w:b w:val="0"/>
          <w:bCs w:val="0"/>
          <w:sz w:val="32"/>
          <w:szCs w:val="32"/>
        </w:rPr>
        <w:t>附件</w:t>
      </w:r>
      <w:r>
        <w:rPr>
          <w:rStyle w:val="17"/>
          <w:rFonts w:ascii="仿宋" w:hAnsi="仿宋" w:eastAsia="仿宋"/>
          <w:b w:val="0"/>
          <w:bCs w:val="0"/>
          <w:sz w:val="32"/>
          <w:szCs w:val="32"/>
        </w:rPr>
        <w:t>1</w:t>
      </w:r>
      <w:bookmarkEnd w:id="59"/>
    </w:p>
    <w:p>
      <w:pPr>
        <w:spacing w:line="720" w:lineRule="exact"/>
        <w:jc w:val="center"/>
        <w:rPr>
          <w:rFonts w:ascii="方正小标宋简体" w:hAnsi="华文中宋" w:eastAsia="方正小标宋简体"/>
          <w:bCs/>
          <w:sz w:val="44"/>
          <w:szCs w:val="44"/>
        </w:rPr>
      </w:pPr>
      <w:bookmarkStart w:id="60" w:name="_Toc15396616"/>
      <w:r>
        <w:rPr>
          <w:rFonts w:hint="eastAsia" w:ascii="方正小标宋简体" w:hAnsi="华文中宋" w:eastAsia="方正小标宋简体"/>
          <w:bCs/>
          <w:sz w:val="44"/>
          <w:szCs w:val="44"/>
        </w:rPr>
        <w:t>攀枝花市发展和改革委员会</w:t>
      </w:r>
    </w:p>
    <w:p>
      <w:pPr>
        <w:spacing w:line="720" w:lineRule="exact"/>
        <w:jc w:val="center"/>
        <w:rPr>
          <w:rFonts w:ascii="方正小标宋简体" w:hAnsi="华文中宋" w:eastAsia="方正小标宋简体"/>
          <w:bCs/>
          <w:sz w:val="44"/>
          <w:szCs w:val="44"/>
        </w:rPr>
      </w:pPr>
      <w:r>
        <w:rPr>
          <w:rFonts w:ascii="方正小标宋简体" w:hAnsi="华文中宋" w:eastAsia="方正小标宋简体"/>
          <w:bCs/>
          <w:sz w:val="44"/>
          <w:szCs w:val="44"/>
        </w:rPr>
        <w:t xml:space="preserve"> 2018</w:t>
      </w:r>
      <w:r>
        <w:rPr>
          <w:rFonts w:hint="eastAsia" w:ascii="方正小标宋简体" w:hAnsi="华文中宋" w:eastAsia="方正小标宋简体"/>
          <w:bCs/>
          <w:sz w:val="44"/>
          <w:szCs w:val="44"/>
        </w:rPr>
        <w:t>年度部门支出绩效评价自评报告</w:t>
      </w:r>
    </w:p>
    <w:p>
      <w:pPr>
        <w:widowControl/>
        <w:jc w:val="left"/>
        <w:rPr>
          <w:rFonts w:ascii="仿宋_GB2312" w:hAnsi="仿宋_GB2312" w:eastAsia="仿宋_GB2312"/>
          <w:bCs/>
          <w:sz w:val="32"/>
          <w:szCs w:val="32"/>
        </w:rPr>
      </w:pPr>
    </w:p>
    <w:p>
      <w:pPr>
        <w:spacing w:line="640" w:lineRule="exact"/>
        <w:ind w:firstLine="472" w:firstLineChars="225"/>
        <w:rPr>
          <w:rFonts w:ascii="黑体" w:hAnsi="黑体" w:eastAsia="黑体"/>
          <w:bCs/>
          <w:sz w:val="32"/>
          <w:szCs w:val="32"/>
        </w:rPr>
      </w:pPr>
      <w:r>
        <w:t xml:space="preserve">  </w:t>
      </w:r>
      <w:r>
        <w:rPr>
          <w:rFonts w:hint="eastAsia" w:ascii="黑体" w:hAnsi="黑体" w:eastAsia="黑体"/>
          <w:bCs/>
          <w:sz w:val="32"/>
          <w:szCs w:val="32"/>
        </w:rPr>
        <w:t>一、部门概况</w:t>
      </w:r>
    </w:p>
    <w:p>
      <w:pPr>
        <w:pStyle w:val="12"/>
        <w:spacing w:after="0" w:line="640" w:lineRule="exact"/>
        <w:ind w:firstLine="720" w:firstLineChars="225"/>
        <w:rPr>
          <w:rFonts w:ascii="仿宋_GB2312" w:hAnsi="仿宋" w:eastAsia="仿宋_GB2312"/>
          <w:bCs/>
          <w:color w:val="000000"/>
          <w:sz w:val="32"/>
          <w:szCs w:val="32"/>
        </w:rPr>
      </w:pPr>
      <w:r>
        <w:rPr>
          <w:rFonts w:hint="eastAsia" w:ascii="仿宋_GB2312" w:hAnsi="仿宋" w:eastAsia="仿宋_GB2312"/>
          <w:bCs/>
          <w:sz w:val="32"/>
          <w:szCs w:val="32"/>
        </w:rPr>
        <w:t>根据《中共攀枝花市委</w:t>
      </w:r>
      <w:r>
        <w:rPr>
          <w:rFonts w:ascii="仿宋_GB2312" w:hAnsi="仿宋" w:eastAsia="仿宋_GB2312"/>
          <w:bCs/>
          <w:sz w:val="32"/>
          <w:szCs w:val="32"/>
        </w:rPr>
        <w:t xml:space="preserve"> </w:t>
      </w:r>
      <w:r>
        <w:rPr>
          <w:rFonts w:hint="eastAsia" w:ascii="仿宋_GB2312" w:hAnsi="仿宋" w:eastAsia="仿宋_GB2312"/>
          <w:bCs/>
          <w:sz w:val="32"/>
          <w:szCs w:val="32"/>
        </w:rPr>
        <w:t>攀枝花市人民政府关于印发〈攀枝花市人民政府机构改革方案〉和〈关于攀枝花市人民政府机构改革方案的实施意见〉的通知》（攀委发〔</w:t>
      </w:r>
      <w:r>
        <w:rPr>
          <w:rFonts w:ascii="仿宋_GB2312" w:hAnsi="仿宋" w:eastAsia="仿宋_GB2312"/>
          <w:bCs/>
          <w:sz w:val="32"/>
          <w:szCs w:val="32"/>
        </w:rPr>
        <w:t>2010</w:t>
      </w:r>
      <w:r>
        <w:rPr>
          <w:rFonts w:hint="eastAsia" w:ascii="仿宋_GB2312" w:hAnsi="仿宋" w:eastAsia="仿宋_GB2312"/>
          <w:bCs/>
          <w:sz w:val="32"/>
          <w:szCs w:val="32"/>
        </w:rPr>
        <w:t>〕</w:t>
      </w:r>
      <w:r>
        <w:rPr>
          <w:rFonts w:ascii="仿宋_GB2312" w:hAnsi="仿宋" w:eastAsia="仿宋_GB2312"/>
          <w:bCs/>
          <w:sz w:val="32"/>
          <w:szCs w:val="32"/>
        </w:rPr>
        <w:t>14</w:t>
      </w:r>
      <w:r>
        <w:rPr>
          <w:rFonts w:hint="eastAsia" w:ascii="仿宋_GB2312" w:hAnsi="仿宋" w:eastAsia="仿宋_GB2312"/>
          <w:bCs/>
          <w:sz w:val="32"/>
          <w:szCs w:val="32"/>
        </w:rPr>
        <w:t>号），设立攀枝花市发展和改革委员会</w:t>
      </w:r>
      <w:r>
        <w:rPr>
          <w:rFonts w:hint="eastAsia" w:ascii="仿宋_GB2312" w:hAnsi="仿宋" w:eastAsia="仿宋_GB2312"/>
          <w:bCs/>
          <w:color w:val="000000"/>
          <w:sz w:val="32"/>
          <w:szCs w:val="32"/>
        </w:rPr>
        <w:t>（简称市发展改革委）</w:t>
      </w:r>
      <w:r>
        <w:rPr>
          <w:rFonts w:ascii="仿宋_GB2312" w:hAnsi="仿宋" w:eastAsia="仿宋_GB2312"/>
          <w:bCs/>
          <w:color w:val="000000"/>
          <w:sz w:val="32"/>
          <w:szCs w:val="32"/>
        </w:rPr>
        <w:t>,</w:t>
      </w:r>
      <w:r>
        <w:rPr>
          <w:rFonts w:hint="eastAsia" w:ascii="仿宋_GB2312" w:hAnsi="仿宋" w:eastAsia="仿宋_GB2312"/>
          <w:bCs/>
          <w:color w:val="000000"/>
          <w:sz w:val="32"/>
          <w:szCs w:val="32"/>
        </w:rPr>
        <w:t>为市政府工作部门。</w:t>
      </w:r>
    </w:p>
    <w:p>
      <w:pPr>
        <w:spacing w:line="640" w:lineRule="exact"/>
        <w:ind w:firstLine="694" w:firstLineChars="217"/>
        <w:rPr>
          <w:rFonts w:eastAsia="仿宋_GB2312"/>
          <w:sz w:val="32"/>
          <w:szCs w:val="32"/>
        </w:rPr>
      </w:pPr>
      <w:r>
        <w:rPr>
          <w:rFonts w:hint="eastAsia" w:ascii="仿宋_GB2312" w:eastAsia="仿宋_GB2312"/>
          <w:sz w:val="32"/>
          <w:szCs w:val="32"/>
        </w:rPr>
        <w:t>我委预算管理级次是地市级，财务会计制度执行行政单位会计制度，</w:t>
      </w:r>
      <w:r>
        <w:rPr>
          <w:rFonts w:hint="eastAsia" w:eastAsia="仿宋_GB2312"/>
          <w:sz w:val="32"/>
          <w:szCs w:val="32"/>
        </w:rPr>
        <w:t>行政编制</w:t>
      </w:r>
      <w:r>
        <w:rPr>
          <w:rFonts w:eastAsia="仿宋_GB2312"/>
          <w:sz w:val="32"/>
          <w:szCs w:val="32"/>
        </w:rPr>
        <w:t>69</w:t>
      </w:r>
      <w:r>
        <w:rPr>
          <w:rFonts w:hint="eastAsia" w:eastAsia="仿宋_GB2312"/>
          <w:sz w:val="32"/>
          <w:szCs w:val="32"/>
        </w:rPr>
        <w:t>人，</w:t>
      </w:r>
      <w:r>
        <w:rPr>
          <w:rFonts w:eastAsia="仿宋_GB2312"/>
          <w:sz w:val="32"/>
          <w:szCs w:val="32"/>
        </w:rPr>
        <w:t>2018</w:t>
      </w:r>
      <w:r>
        <w:rPr>
          <w:rFonts w:hint="eastAsia" w:eastAsia="仿宋_GB2312"/>
          <w:sz w:val="32"/>
          <w:szCs w:val="32"/>
        </w:rPr>
        <w:t>年末实有人数</w:t>
      </w:r>
      <w:r>
        <w:rPr>
          <w:rFonts w:eastAsia="仿宋_GB2312"/>
          <w:sz w:val="32"/>
          <w:szCs w:val="32"/>
        </w:rPr>
        <w:t>65</w:t>
      </w:r>
      <w:r>
        <w:rPr>
          <w:rFonts w:hint="eastAsia" w:eastAsia="仿宋_GB2312"/>
          <w:sz w:val="32"/>
          <w:szCs w:val="32"/>
        </w:rPr>
        <w:t>人</w:t>
      </w:r>
      <w:r>
        <w:rPr>
          <w:rFonts w:eastAsia="仿宋_GB2312"/>
          <w:sz w:val="32"/>
          <w:szCs w:val="32"/>
        </w:rPr>
        <w:t>(</w:t>
      </w:r>
      <w:r>
        <w:rPr>
          <w:rFonts w:hint="eastAsia" w:eastAsia="仿宋_GB2312"/>
          <w:sz w:val="32"/>
          <w:szCs w:val="32"/>
        </w:rPr>
        <w:t>本年度调入</w:t>
      </w:r>
      <w:r>
        <w:rPr>
          <w:rFonts w:eastAsia="仿宋_GB2312"/>
          <w:sz w:val="32"/>
          <w:szCs w:val="32"/>
        </w:rPr>
        <w:t>1</w:t>
      </w:r>
      <w:r>
        <w:rPr>
          <w:rFonts w:hint="eastAsia" w:eastAsia="仿宋_GB2312"/>
          <w:sz w:val="32"/>
          <w:szCs w:val="32"/>
        </w:rPr>
        <w:t>人，新录用</w:t>
      </w:r>
      <w:r>
        <w:rPr>
          <w:rFonts w:eastAsia="仿宋_GB2312"/>
          <w:sz w:val="32"/>
          <w:szCs w:val="32"/>
        </w:rPr>
        <w:t>2</w:t>
      </w:r>
      <w:r>
        <w:rPr>
          <w:rFonts w:hint="eastAsia" w:eastAsia="仿宋_GB2312"/>
          <w:sz w:val="32"/>
          <w:szCs w:val="32"/>
        </w:rPr>
        <w:t>人，调出</w:t>
      </w:r>
      <w:r>
        <w:rPr>
          <w:rFonts w:eastAsia="仿宋_GB2312"/>
          <w:sz w:val="32"/>
          <w:szCs w:val="32"/>
        </w:rPr>
        <w:t>2</w:t>
      </w:r>
      <w:r>
        <w:rPr>
          <w:rFonts w:hint="eastAsia" w:eastAsia="仿宋_GB2312"/>
          <w:sz w:val="32"/>
          <w:szCs w:val="32"/>
        </w:rPr>
        <w:t>人，退休</w:t>
      </w:r>
      <w:r>
        <w:rPr>
          <w:rFonts w:eastAsia="仿宋_GB2312"/>
          <w:sz w:val="32"/>
          <w:szCs w:val="32"/>
        </w:rPr>
        <w:t>2</w:t>
      </w:r>
      <w:r>
        <w:rPr>
          <w:rFonts w:hint="eastAsia" w:eastAsia="仿宋_GB2312"/>
          <w:sz w:val="32"/>
          <w:szCs w:val="32"/>
        </w:rPr>
        <w:t>人</w:t>
      </w:r>
      <w:r>
        <w:rPr>
          <w:rFonts w:eastAsia="仿宋_GB2312"/>
          <w:sz w:val="32"/>
          <w:szCs w:val="32"/>
        </w:rPr>
        <w:t>);</w:t>
      </w:r>
      <w:r>
        <w:rPr>
          <w:rFonts w:hint="eastAsia" w:eastAsia="仿宋_GB2312"/>
          <w:sz w:val="32"/>
          <w:szCs w:val="32"/>
        </w:rPr>
        <w:t>工勤编制</w:t>
      </w:r>
      <w:r>
        <w:rPr>
          <w:rFonts w:eastAsia="仿宋_GB2312"/>
          <w:sz w:val="32"/>
          <w:szCs w:val="32"/>
        </w:rPr>
        <w:t>10</w:t>
      </w:r>
      <w:r>
        <w:rPr>
          <w:rFonts w:hint="eastAsia" w:eastAsia="仿宋_GB2312"/>
          <w:sz w:val="32"/>
          <w:szCs w:val="32"/>
        </w:rPr>
        <w:t>人，</w:t>
      </w:r>
      <w:r>
        <w:rPr>
          <w:rFonts w:eastAsia="仿宋_GB2312"/>
          <w:sz w:val="32"/>
          <w:szCs w:val="32"/>
        </w:rPr>
        <w:t>2018</w:t>
      </w:r>
      <w:r>
        <w:rPr>
          <w:rFonts w:hint="eastAsia" w:eastAsia="仿宋_GB2312"/>
          <w:sz w:val="32"/>
          <w:szCs w:val="32"/>
        </w:rPr>
        <w:t>年末实有人数</w:t>
      </w:r>
      <w:r>
        <w:rPr>
          <w:rFonts w:eastAsia="仿宋_GB2312"/>
          <w:sz w:val="32"/>
          <w:szCs w:val="32"/>
        </w:rPr>
        <w:t>7</w:t>
      </w:r>
      <w:r>
        <w:rPr>
          <w:rFonts w:hint="eastAsia" w:eastAsia="仿宋_GB2312"/>
          <w:sz w:val="32"/>
          <w:szCs w:val="32"/>
        </w:rPr>
        <w:t>人（本年度退休</w:t>
      </w:r>
      <w:r>
        <w:rPr>
          <w:rFonts w:eastAsia="仿宋_GB2312"/>
          <w:sz w:val="32"/>
          <w:szCs w:val="32"/>
        </w:rPr>
        <w:t>1</w:t>
      </w:r>
      <w:r>
        <w:rPr>
          <w:rFonts w:hint="eastAsia" w:eastAsia="仿宋_GB2312"/>
          <w:sz w:val="32"/>
          <w:szCs w:val="32"/>
        </w:rPr>
        <w:t>人）；事业编制</w:t>
      </w:r>
      <w:r>
        <w:rPr>
          <w:rFonts w:eastAsia="仿宋_GB2312"/>
          <w:sz w:val="32"/>
          <w:szCs w:val="32"/>
        </w:rPr>
        <w:t>10</w:t>
      </w:r>
      <w:r>
        <w:rPr>
          <w:rFonts w:hint="eastAsia" w:eastAsia="仿宋_GB2312"/>
          <w:sz w:val="32"/>
          <w:szCs w:val="32"/>
        </w:rPr>
        <w:t>人，</w:t>
      </w:r>
      <w:r>
        <w:rPr>
          <w:rFonts w:eastAsia="仿宋_GB2312"/>
          <w:sz w:val="32"/>
          <w:szCs w:val="32"/>
        </w:rPr>
        <w:t>2018</w:t>
      </w:r>
      <w:r>
        <w:rPr>
          <w:rFonts w:hint="eastAsia" w:eastAsia="仿宋_GB2312"/>
          <w:sz w:val="32"/>
          <w:szCs w:val="32"/>
        </w:rPr>
        <w:t>年末实有人数</w:t>
      </w:r>
      <w:r>
        <w:rPr>
          <w:rFonts w:eastAsia="仿宋_GB2312"/>
          <w:sz w:val="32"/>
          <w:szCs w:val="32"/>
        </w:rPr>
        <w:t>10</w:t>
      </w:r>
      <w:r>
        <w:rPr>
          <w:rFonts w:hint="eastAsia" w:eastAsia="仿宋_GB2312"/>
          <w:sz w:val="32"/>
          <w:szCs w:val="32"/>
        </w:rPr>
        <w:t>人；</w:t>
      </w:r>
    </w:p>
    <w:p>
      <w:pPr>
        <w:spacing w:line="640" w:lineRule="exact"/>
        <w:ind w:left="596" w:leftChars="284" w:firstLine="54" w:firstLineChars="17"/>
        <w:rPr>
          <w:rFonts w:eastAsia="仿宋_GB2312"/>
          <w:sz w:val="32"/>
          <w:szCs w:val="32"/>
        </w:rPr>
      </w:pPr>
      <w:r>
        <w:rPr>
          <w:rFonts w:hint="eastAsia" w:eastAsia="仿宋_GB2312"/>
          <w:sz w:val="32"/>
          <w:szCs w:val="32"/>
        </w:rPr>
        <w:t>离休人员</w:t>
      </w:r>
      <w:r>
        <w:rPr>
          <w:rFonts w:eastAsia="仿宋_GB2312"/>
          <w:sz w:val="32"/>
          <w:szCs w:val="32"/>
        </w:rPr>
        <w:t>4</w:t>
      </w:r>
      <w:r>
        <w:rPr>
          <w:rFonts w:hint="eastAsia" w:eastAsia="仿宋_GB2312"/>
          <w:sz w:val="32"/>
          <w:szCs w:val="32"/>
        </w:rPr>
        <w:t>人；退休人员</w:t>
      </w:r>
      <w:r>
        <w:rPr>
          <w:rFonts w:eastAsia="仿宋_GB2312"/>
          <w:sz w:val="32"/>
          <w:szCs w:val="32"/>
        </w:rPr>
        <w:t>80</w:t>
      </w:r>
      <w:r>
        <w:rPr>
          <w:rFonts w:hint="eastAsia" w:eastAsia="仿宋_GB2312"/>
          <w:sz w:val="32"/>
          <w:szCs w:val="32"/>
        </w:rPr>
        <w:t>人</w:t>
      </w:r>
      <w:r>
        <w:rPr>
          <w:rFonts w:eastAsia="仿宋_GB2312"/>
          <w:sz w:val="32"/>
          <w:szCs w:val="32"/>
        </w:rPr>
        <w:t>(</w:t>
      </w:r>
      <w:r>
        <w:rPr>
          <w:rFonts w:hint="eastAsia" w:eastAsia="仿宋_GB2312"/>
          <w:sz w:val="32"/>
          <w:szCs w:val="32"/>
        </w:rPr>
        <w:t>本年度去世</w:t>
      </w:r>
      <w:r>
        <w:rPr>
          <w:rFonts w:eastAsia="仿宋_GB2312"/>
          <w:sz w:val="32"/>
          <w:szCs w:val="32"/>
        </w:rPr>
        <w:t>1</w:t>
      </w:r>
      <w:r>
        <w:rPr>
          <w:rFonts w:hint="eastAsia" w:eastAsia="仿宋_GB2312"/>
          <w:sz w:val="32"/>
          <w:szCs w:val="32"/>
        </w:rPr>
        <w:t>人</w:t>
      </w:r>
      <w:r>
        <w:rPr>
          <w:rFonts w:eastAsia="仿宋_GB2312"/>
          <w:sz w:val="32"/>
          <w:szCs w:val="32"/>
        </w:rPr>
        <w:t>)</w:t>
      </w:r>
      <w:r>
        <w:rPr>
          <w:rFonts w:hint="eastAsia" w:eastAsia="仿宋_GB2312"/>
          <w:sz w:val="32"/>
          <w:szCs w:val="32"/>
        </w:rPr>
        <w:t>；</w:t>
      </w:r>
    </w:p>
    <w:p>
      <w:pPr>
        <w:spacing w:line="640" w:lineRule="exact"/>
        <w:ind w:left="596" w:leftChars="284" w:firstLine="54" w:firstLineChars="17"/>
        <w:rPr>
          <w:rFonts w:eastAsia="仿宋_GB2312"/>
          <w:sz w:val="32"/>
          <w:szCs w:val="32"/>
        </w:rPr>
      </w:pPr>
      <w:r>
        <w:rPr>
          <w:rFonts w:hint="eastAsia" w:eastAsia="仿宋_GB2312"/>
          <w:sz w:val="32"/>
          <w:szCs w:val="32"/>
        </w:rPr>
        <w:t>根据各项工作需要另行聘用人员</w:t>
      </w:r>
      <w:r>
        <w:rPr>
          <w:rFonts w:eastAsia="仿宋_GB2312"/>
          <w:sz w:val="32"/>
          <w:szCs w:val="32"/>
        </w:rPr>
        <w:t>1</w:t>
      </w:r>
      <w:r>
        <w:rPr>
          <w:rFonts w:hint="eastAsia" w:eastAsia="仿宋_GB2312"/>
          <w:sz w:val="32"/>
          <w:szCs w:val="32"/>
        </w:rPr>
        <w:t>人。</w:t>
      </w:r>
    </w:p>
    <w:p>
      <w:pPr>
        <w:ind w:firstLine="420" w:firstLineChars="200"/>
        <w:rPr>
          <w:rFonts w:ascii="黑体" w:hAnsi="黑体" w:eastAsia="黑体"/>
          <w:sz w:val="32"/>
          <w:szCs w:val="32"/>
        </w:rPr>
      </w:pPr>
      <w:r>
        <w:t xml:space="preserve">    </w:t>
      </w:r>
      <w:r>
        <w:rPr>
          <w:rFonts w:ascii="黑体" w:hAnsi="黑体" w:eastAsia="黑体"/>
          <w:sz w:val="32"/>
          <w:szCs w:val="32"/>
        </w:rPr>
        <w:t xml:space="preserve">  </w:t>
      </w:r>
      <w:r>
        <w:rPr>
          <w:rFonts w:hint="eastAsia" w:ascii="黑体" w:hAnsi="黑体" w:eastAsia="黑体"/>
          <w:sz w:val="32"/>
          <w:szCs w:val="32"/>
        </w:rPr>
        <w:t>二、部门财政资金收支情况</w:t>
      </w:r>
    </w:p>
    <w:p>
      <w:pPr>
        <w:snapToGrid w:val="0"/>
        <w:spacing w:line="360" w:lineRule="auto"/>
        <w:ind w:firstLine="642" w:firstLineChars="200"/>
        <w:rPr>
          <w:rFonts w:ascii="楷体" w:hAnsi="楷体" w:eastAsia="楷体"/>
          <w:b/>
          <w:sz w:val="32"/>
          <w:szCs w:val="32"/>
        </w:rPr>
      </w:pPr>
      <w:r>
        <w:rPr>
          <w:rFonts w:hint="eastAsia" w:ascii="楷体" w:hAnsi="楷体" w:eastAsia="楷体"/>
          <w:b/>
          <w:sz w:val="32"/>
          <w:szCs w:val="32"/>
        </w:rPr>
        <w:t>（一）部门财政资金收入情况</w:t>
      </w:r>
    </w:p>
    <w:p>
      <w:pPr>
        <w:snapToGrid w:val="0"/>
        <w:spacing w:line="360" w:lineRule="auto"/>
        <w:ind w:firstLine="640" w:firstLineChars="200"/>
        <w:rPr>
          <w:rFonts w:ascii="仿宋_GB2312" w:hAnsi="楷体" w:eastAsia="仿宋_GB2312"/>
          <w:sz w:val="32"/>
          <w:szCs w:val="32"/>
        </w:rPr>
      </w:pPr>
      <w:r>
        <w:rPr>
          <w:rFonts w:ascii="仿宋_GB2312" w:hAnsi="楷体" w:eastAsia="仿宋_GB2312"/>
          <w:sz w:val="32"/>
          <w:szCs w:val="32"/>
        </w:rPr>
        <w:t>2018</w:t>
      </w:r>
      <w:r>
        <w:rPr>
          <w:rFonts w:hint="eastAsia" w:ascii="仿宋_GB2312" w:hAnsi="楷体" w:eastAsia="仿宋_GB2312"/>
          <w:sz w:val="32"/>
          <w:szCs w:val="32"/>
        </w:rPr>
        <w:t>年部门（单位）收入</w:t>
      </w:r>
      <w:r>
        <w:rPr>
          <w:rFonts w:ascii="仿宋_GB2312" w:hAnsi="楷体" w:eastAsia="仿宋_GB2312"/>
          <w:sz w:val="32"/>
          <w:szCs w:val="32"/>
        </w:rPr>
        <w:t>7377.66</w:t>
      </w:r>
      <w:r>
        <w:rPr>
          <w:rFonts w:hint="eastAsia" w:ascii="仿宋_GB2312" w:hAnsi="楷体" w:eastAsia="仿宋_GB2312"/>
          <w:sz w:val="32"/>
          <w:szCs w:val="32"/>
        </w:rPr>
        <w:t>万元。</w:t>
      </w:r>
    </w:p>
    <w:p>
      <w:pPr>
        <w:snapToGrid w:val="0"/>
        <w:spacing w:line="640" w:lineRule="exact"/>
        <w:ind w:firstLine="640" w:firstLineChars="200"/>
        <w:rPr>
          <w:rFonts w:ascii="仿宋_GB2312" w:hAnsi="楷体" w:eastAsia="仿宋_GB2312"/>
          <w:sz w:val="32"/>
          <w:szCs w:val="32"/>
        </w:rPr>
      </w:pPr>
      <w:r>
        <w:rPr>
          <w:rFonts w:ascii="仿宋_GB2312" w:hAnsi="楷体" w:eastAsia="仿宋_GB2312"/>
          <w:sz w:val="32"/>
          <w:szCs w:val="32"/>
        </w:rPr>
        <w:t>1.</w:t>
      </w:r>
      <w:r>
        <w:rPr>
          <w:rFonts w:hint="eastAsia" w:ascii="仿宋_GB2312" w:hAnsi="楷体" w:eastAsia="仿宋_GB2312"/>
          <w:sz w:val="32"/>
          <w:szCs w:val="32"/>
        </w:rPr>
        <w:t>年初预算安排情况</w:t>
      </w:r>
      <w:r>
        <w:rPr>
          <w:rFonts w:ascii="仿宋_GB2312" w:hAnsi="楷体" w:eastAsia="仿宋_GB2312"/>
          <w:sz w:val="32"/>
          <w:szCs w:val="32"/>
        </w:rPr>
        <w:t>2215.51</w:t>
      </w:r>
      <w:r>
        <w:rPr>
          <w:rFonts w:hint="eastAsia" w:ascii="仿宋_GB2312" w:hAnsi="楷体" w:eastAsia="仿宋_GB2312"/>
          <w:sz w:val="32"/>
          <w:szCs w:val="32"/>
        </w:rPr>
        <w:t>万元，年度执行中根据人员变动及工作需要调整预算数为</w:t>
      </w:r>
      <w:r>
        <w:rPr>
          <w:rFonts w:ascii="仿宋_GB2312" w:hAnsi="楷体" w:eastAsia="仿宋_GB2312"/>
          <w:sz w:val="32"/>
          <w:szCs w:val="32"/>
        </w:rPr>
        <w:t>2825</w:t>
      </w:r>
      <w:r>
        <w:rPr>
          <w:rFonts w:hint="eastAsia" w:ascii="仿宋_GB2312" w:hAnsi="楷体" w:eastAsia="仿宋_GB2312"/>
          <w:sz w:val="32"/>
          <w:szCs w:val="32"/>
        </w:rPr>
        <w:t>万元。</w:t>
      </w:r>
    </w:p>
    <w:p>
      <w:pPr>
        <w:snapToGrid w:val="0"/>
        <w:spacing w:line="640" w:lineRule="exact"/>
        <w:ind w:firstLine="640" w:firstLineChars="200"/>
        <w:rPr>
          <w:rFonts w:ascii="仿宋_GB2312" w:hAnsi="楷体" w:eastAsia="仿宋_GB2312"/>
          <w:sz w:val="32"/>
          <w:szCs w:val="32"/>
        </w:rPr>
      </w:pPr>
      <w:r>
        <w:rPr>
          <w:rFonts w:ascii="仿宋_GB2312" w:hAnsi="楷体" w:eastAsia="仿宋_GB2312"/>
          <w:sz w:val="32"/>
          <w:szCs w:val="32"/>
        </w:rPr>
        <w:t>2.</w:t>
      </w:r>
      <w:r>
        <w:rPr>
          <w:rFonts w:hint="eastAsia" w:ascii="仿宋_GB2312" w:hAnsi="楷体" w:eastAsia="仿宋_GB2312"/>
          <w:sz w:val="32"/>
          <w:szCs w:val="32"/>
        </w:rPr>
        <w:t>其他收入</w:t>
      </w:r>
      <w:r>
        <w:rPr>
          <w:rFonts w:ascii="仿宋_GB2312" w:hAnsi="楷体" w:eastAsia="仿宋_GB2312"/>
          <w:sz w:val="32"/>
          <w:szCs w:val="32"/>
        </w:rPr>
        <w:t>4552.65</w:t>
      </w:r>
      <w:r>
        <w:rPr>
          <w:rFonts w:hint="eastAsia" w:ascii="仿宋_GB2312" w:hAnsi="楷体" w:eastAsia="仿宋_GB2312"/>
          <w:sz w:val="32"/>
          <w:szCs w:val="32"/>
        </w:rPr>
        <w:t>万元，其中：成昆铁路扩能改造征地拆迁费</w:t>
      </w:r>
      <w:r>
        <w:rPr>
          <w:rFonts w:ascii="仿宋_GB2312" w:hAnsi="楷体" w:eastAsia="仿宋_GB2312"/>
          <w:sz w:val="32"/>
          <w:szCs w:val="32"/>
        </w:rPr>
        <w:t>4500</w:t>
      </w:r>
      <w:r>
        <w:rPr>
          <w:rFonts w:hint="eastAsia" w:ascii="仿宋_GB2312" w:hAnsi="楷体" w:eastAsia="仿宋_GB2312"/>
          <w:sz w:val="32"/>
          <w:szCs w:val="32"/>
        </w:rPr>
        <w:t>万元。</w:t>
      </w:r>
    </w:p>
    <w:p>
      <w:pPr>
        <w:snapToGrid w:val="0"/>
        <w:spacing w:line="360" w:lineRule="auto"/>
        <w:ind w:firstLine="642" w:firstLineChars="200"/>
        <w:rPr>
          <w:rFonts w:ascii="楷体" w:hAnsi="楷体" w:eastAsia="楷体"/>
          <w:b/>
          <w:sz w:val="32"/>
          <w:szCs w:val="32"/>
        </w:rPr>
      </w:pPr>
      <w:r>
        <w:rPr>
          <w:rFonts w:hint="eastAsia" w:ascii="楷体" w:hAnsi="楷体" w:eastAsia="楷体"/>
          <w:b/>
          <w:sz w:val="32"/>
          <w:szCs w:val="32"/>
        </w:rPr>
        <w:t>（二）部门财政资金支出情况</w:t>
      </w:r>
    </w:p>
    <w:p>
      <w:pPr>
        <w:snapToGrid w:val="0"/>
        <w:spacing w:line="360" w:lineRule="auto"/>
        <w:ind w:firstLine="640" w:firstLineChars="200"/>
        <w:rPr>
          <w:rFonts w:ascii="仿宋_GB2312" w:hAnsi="楷体" w:eastAsia="仿宋_GB2312"/>
          <w:sz w:val="32"/>
          <w:szCs w:val="32"/>
        </w:rPr>
      </w:pPr>
      <w:r>
        <w:rPr>
          <w:rFonts w:ascii="仿宋_GB2312" w:hAnsi="楷体" w:eastAsia="仿宋_GB2312"/>
          <w:sz w:val="32"/>
          <w:szCs w:val="32"/>
        </w:rPr>
        <w:t>2018</w:t>
      </w:r>
      <w:r>
        <w:rPr>
          <w:rFonts w:hint="eastAsia" w:ascii="仿宋_GB2312" w:hAnsi="楷体" w:eastAsia="仿宋_GB2312"/>
          <w:sz w:val="32"/>
          <w:szCs w:val="32"/>
        </w:rPr>
        <w:t>年支出合计</w:t>
      </w:r>
      <w:r>
        <w:rPr>
          <w:rFonts w:ascii="仿宋_GB2312" w:hAnsi="楷体" w:eastAsia="仿宋_GB2312"/>
          <w:sz w:val="32"/>
          <w:szCs w:val="32"/>
        </w:rPr>
        <w:t>3964.34</w:t>
      </w:r>
      <w:r>
        <w:rPr>
          <w:rFonts w:hint="eastAsia" w:ascii="仿宋_GB2312" w:hAnsi="楷体" w:eastAsia="仿宋_GB2312"/>
          <w:sz w:val="32"/>
          <w:szCs w:val="32"/>
        </w:rPr>
        <w:t>万元，较</w:t>
      </w:r>
      <w:r>
        <w:rPr>
          <w:rFonts w:ascii="仿宋_GB2312" w:hAnsi="楷体" w:eastAsia="仿宋_GB2312"/>
          <w:sz w:val="32"/>
          <w:szCs w:val="32"/>
        </w:rPr>
        <w:t>2017</w:t>
      </w:r>
      <w:r>
        <w:rPr>
          <w:rFonts w:hint="eastAsia" w:ascii="仿宋_GB2312" w:hAnsi="楷体" w:eastAsia="仿宋_GB2312"/>
          <w:sz w:val="32"/>
          <w:szCs w:val="32"/>
        </w:rPr>
        <w:t>年</w:t>
      </w:r>
      <w:r>
        <w:rPr>
          <w:rFonts w:ascii="仿宋_GB2312" w:hAnsi="楷体" w:eastAsia="仿宋_GB2312"/>
          <w:sz w:val="32"/>
          <w:szCs w:val="32"/>
        </w:rPr>
        <w:t>14999.53</w:t>
      </w:r>
      <w:r>
        <w:rPr>
          <w:rFonts w:hint="eastAsia" w:ascii="仿宋_GB2312" w:hAnsi="楷体" w:eastAsia="仿宋_GB2312"/>
          <w:sz w:val="32"/>
          <w:szCs w:val="32"/>
        </w:rPr>
        <w:t>万元减少</w:t>
      </w:r>
      <w:r>
        <w:rPr>
          <w:rFonts w:ascii="仿宋_GB2312" w:hAnsi="楷体" w:eastAsia="仿宋_GB2312"/>
          <w:sz w:val="32"/>
          <w:szCs w:val="32"/>
        </w:rPr>
        <w:t>73.57%</w:t>
      </w:r>
      <w:r>
        <w:rPr>
          <w:rFonts w:hint="eastAsia" w:ascii="仿宋_GB2312" w:hAnsi="楷体" w:eastAsia="仿宋_GB2312"/>
          <w:sz w:val="32"/>
          <w:szCs w:val="32"/>
        </w:rPr>
        <w:t>，原因：</w:t>
      </w:r>
      <w:r>
        <w:rPr>
          <w:rFonts w:ascii="仿宋_GB2312" w:hAnsi="楷体" w:eastAsia="仿宋_GB2312"/>
          <w:sz w:val="32"/>
          <w:szCs w:val="32"/>
        </w:rPr>
        <w:t>2018</w:t>
      </w:r>
      <w:r>
        <w:rPr>
          <w:rFonts w:hint="eastAsia" w:ascii="仿宋_GB2312" w:hAnsi="楷体" w:eastAsia="仿宋_GB2312"/>
          <w:sz w:val="32"/>
          <w:szCs w:val="32"/>
        </w:rPr>
        <w:t>年成昆铁路扩能改造征地拆迁收入支出均较</w:t>
      </w:r>
      <w:r>
        <w:rPr>
          <w:rFonts w:ascii="仿宋_GB2312" w:hAnsi="楷体" w:eastAsia="仿宋_GB2312"/>
          <w:sz w:val="32"/>
          <w:szCs w:val="32"/>
        </w:rPr>
        <w:t>2017</w:t>
      </w:r>
      <w:r>
        <w:rPr>
          <w:rFonts w:hint="eastAsia" w:ascii="仿宋_GB2312" w:hAnsi="楷体" w:eastAsia="仿宋_GB2312"/>
          <w:sz w:val="32"/>
          <w:szCs w:val="32"/>
        </w:rPr>
        <w:t>年减少。</w:t>
      </w:r>
    </w:p>
    <w:p>
      <w:pPr>
        <w:pStyle w:val="12"/>
        <w:spacing w:after="0" w:line="640" w:lineRule="exact"/>
        <w:ind w:firstLine="735" w:firstLineChars="229"/>
        <w:rPr>
          <w:rFonts w:ascii="黑体" w:hAnsi="黑体" w:eastAsia="黑体"/>
          <w:b/>
          <w:bCs/>
          <w:color w:val="000000"/>
          <w:sz w:val="32"/>
          <w:szCs w:val="32"/>
        </w:rPr>
      </w:pPr>
      <w:r>
        <w:rPr>
          <w:rFonts w:hint="eastAsia" w:ascii="黑体" w:hAnsi="黑体" w:eastAsia="黑体"/>
          <w:b/>
          <w:bCs/>
          <w:color w:val="000000"/>
          <w:sz w:val="32"/>
          <w:szCs w:val="32"/>
        </w:rPr>
        <w:t>三、部门财政支出管理情况</w:t>
      </w:r>
    </w:p>
    <w:p>
      <w:pPr>
        <w:pStyle w:val="12"/>
        <w:spacing w:after="0" w:line="640" w:lineRule="exact"/>
        <w:ind w:firstLine="472" w:firstLineChars="147"/>
        <w:rPr>
          <w:rFonts w:ascii="仿宋_GB2312" w:hAnsi="宋体" w:eastAsia="仿宋_GB2312"/>
          <w:kern w:val="0"/>
          <w:sz w:val="32"/>
          <w:szCs w:val="32"/>
        </w:rPr>
      </w:pPr>
      <w:r>
        <w:rPr>
          <w:rFonts w:hint="eastAsia" w:ascii="楷体" w:hAnsi="楷体" w:eastAsia="楷体"/>
          <w:b/>
          <w:kern w:val="0"/>
          <w:sz w:val="32"/>
          <w:szCs w:val="32"/>
        </w:rPr>
        <w:t>（一）部门预算管理。</w:t>
      </w:r>
      <w:r>
        <w:rPr>
          <w:rFonts w:ascii="仿宋_GB2312" w:eastAsia="仿宋_GB2312"/>
          <w:kern w:val="0"/>
          <w:sz w:val="32"/>
          <w:szCs w:val="32"/>
        </w:rPr>
        <w:t>2018</w:t>
      </w:r>
      <w:r>
        <w:rPr>
          <w:rFonts w:hint="eastAsia" w:ascii="仿宋_GB2312" w:eastAsia="仿宋_GB2312"/>
          <w:kern w:val="0"/>
          <w:sz w:val="32"/>
          <w:szCs w:val="32"/>
        </w:rPr>
        <w:t>年我委严格</w:t>
      </w:r>
      <w:r>
        <w:rPr>
          <w:rFonts w:hint="eastAsia" w:ascii="仿宋_GB2312" w:hAnsi="宋体" w:eastAsia="仿宋_GB2312"/>
          <w:kern w:val="0"/>
          <w:sz w:val="32"/>
          <w:szCs w:val="32"/>
        </w:rPr>
        <w:t>按照预算管理有关规定进行部门预算编制。在预算编制安排中，认真执行市政府有关政策和文件要求，努力增收节支，控制行政成本，提高资金使用效益。人员工资和津补贴按政策规定据实保障，公用经费按照规定标准严格核定，项目支出按照履行职能需要和开展专项活动需求，结合资金保障能力核定。</w:t>
      </w:r>
    </w:p>
    <w:p>
      <w:pPr>
        <w:pStyle w:val="12"/>
        <w:spacing w:after="0" w:line="640" w:lineRule="exact"/>
        <w:ind w:firstLine="314" w:firstLineChars="98"/>
        <w:rPr>
          <w:rFonts w:ascii="仿宋_GB2312" w:hAnsi="黑体" w:eastAsia="仿宋_GB2312"/>
          <w:bCs/>
          <w:color w:val="000000"/>
          <w:sz w:val="32"/>
          <w:szCs w:val="32"/>
        </w:rPr>
      </w:pPr>
      <w:r>
        <w:rPr>
          <w:rFonts w:hint="eastAsia" w:ascii="楷体" w:hAnsi="楷体" w:eastAsia="楷体"/>
          <w:b/>
          <w:kern w:val="0"/>
          <w:sz w:val="32"/>
          <w:szCs w:val="32"/>
        </w:rPr>
        <w:t>（二）专项预算管理。</w:t>
      </w:r>
      <w:r>
        <w:rPr>
          <w:rFonts w:hint="eastAsia" w:ascii="仿宋_GB2312" w:eastAsia="仿宋_GB2312"/>
          <w:sz w:val="32"/>
          <w:szCs w:val="32"/>
        </w:rPr>
        <w:t>我委制定了切实有效的项目管理制度，执行总体较为有效，支出总额控制在预算总额以内，并按规定管理使用，较好的完成了</w:t>
      </w:r>
      <w:r>
        <w:rPr>
          <w:rFonts w:ascii="仿宋_GB2312" w:eastAsia="仿宋_GB2312"/>
          <w:sz w:val="32"/>
          <w:szCs w:val="32"/>
        </w:rPr>
        <w:t>2018</w:t>
      </w:r>
      <w:r>
        <w:rPr>
          <w:rFonts w:hint="eastAsia" w:ascii="仿宋_GB2312" w:eastAsia="仿宋_GB2312"/>
          <w:sz w:val="32"/>
          <w:szCs w:val="32"/>
        </w:rPr>
        <w:t>年任务目标，财政拨款支出总体控制较好。</w:t>
      </w:r>
    </w:p>
    <w:p>
      <w:pPr>
        <w:widowControl/>
        <w:spacing w:line="640" w:lineRule="exact"/>
        <w:ind w:firstLine="420"/>
        <w:jc w:val="left"/>
        <w:rPr>
          <w:rFonts w:ascii="仿宋_GB2312" w:hAnsi="黑体" w:eastAsia="仿宋_GB2312"/>
          <w:sz w:val="32"/>
          <w:szCs w:val="32"/>
        </w:rPr>
      </w:pPr>
      <w:r>
        <w:rPr>
          <w:rFonts w:hint="eastAsia" w:ascii="楷体" w:hAnsi="楷体" w:eastAsia="楷体"/>
          <w:b/>
          <w:sz w:val="32"/>
          <w:szCs w:val="32"/>
        </w:rPr>
        <w:t>（三）结果应用情况</w:t>
      </w:r>
      <w:r>
        <w:rPr>
          <w:rFonts w:hint="eastAsia" w:ascii="楷体" w:hAnsi="楷体" w:eastAsia="楷体"/>
          <w:b/>
          <w:kern w:val="0"/>
          <w:sz w:val="32"/>
          <w:szCs w:val="32"/>
        </w:rPr>
        <w:t>。</w:t>
      </w:r>
      <w:r>
        <w:rPr>
          <w:rFonts w:hint="eastAsia" w:ascii="仿宋_GB2312" w:hAnsi="楷体" w:eastAsia="仿宋_GB2312"/>
          <w:kern w:val="0"/>
          <w:sz w:val="32"/>
          <w:szCs w:val="32"/>
        </w:rPr>
        <w:t>我委</w:t>
      </w:r>
      <w:r>
        <w:rPr>
          <w:rFonts w:hint="eastAsia" w:ascii="仿宋_GB2312" w:eastAsia="仿宋_GB2312"/>
          <w:color w:val="434343"/>
          <w:sz w:val="32"/>
          <w:szCs w:val="32"/>
          <w:shd w:val="clear" w:color="auto" w:fill="FFFFFF"/>
        </w:rPr>
        <w:t>资金支出符合财经法规和财务管理制度规定以及有关专项资金管理办法的规定，资金</w:t>
      </w:r>
      <w:r>
        <w:rPr>
          <w:rFonts w:hint="eastAsia" w:ascii="仿宋_GB2312" w:eastAsia="仿宋_GB2312"/>
          <w:color w:val="434343"/>
          <w:sz w:val="32"/>
          <w:szCs w:val="32"/>
          <w:shd w:val="clear" w:color="auto" w:fill="FFFFFF"/>
          <w:lang w:eastAsia="zh-CN"/>
        </w:rPr>
        <w:t>拨</w:t>
      </w:r>
      <w:r>
        <w:rPr>
          <w:rFonts w:hint="eastAsia" w:ascii="仿宋_GB2312" w:eastAsia="仿宋_GB2312"/>
          <w:color w:val="434343"/>
          <w:sz w:val="32"/>
          <w:szCs w:val="32"/>
          <w:shd w:val="clear" w:color="auto" w:fill="FFFFFF"/>
        </w:rPr>
        <w:t>付审批程序和手续完整。“三公”经费均在年初预算控制数之内。制定了厉行节约制度，能做到节俭行政。年度会计核算符合会计法、《行政单位会计制度》以及相关会计准则的规定，会计报表能反映单位预算执行情况和财务状况，委机关财务机构健全，财务制度完善，健全完善了市发展改革委会议、差旅、公务接待、公务用车等内控制度。</w:t>
      </w:r>
      <w:r>
        <w:rPr>
          <w:rFonts w:ascii="仿宋_GB2312" w:hAnsi="黑体" w:eastAsia="仿宋_GB2312"/>
          <w:sz w:val="32"/>
          <w:szCs w:val="32"/>
        </w:rPr>
        <w:t xml:space="preserve">    </w:t>
      </w:r>
    </w:p>
    <w:p>
      <w:pPr>
        <w:widowControl/>
        <w:spacing w:line="640" w:lineRule="exact"/>
        <w:ind w:firstLine="579" w:firstLineChars="181"/>
        <w:jc w:val="left"/>
        <w:rPr>
          <w:rFonts w:ascii="黑体" w:hAnsi="黑体" w:eastAsia="黑体"/>
          <w:sz w:val="32"/>
          <w:szCs w:val="32"/>
        </w:rPr>
      </w:pPr>
      <w:r>
        <w:rPr>
          <w:rFonts w:hint="eastAsia" w:ascii="黑体" w:hAnsi="黑体" w:eastAsia="黑体"/>
          <w:sz w:val="32"/>
          <w:szCs w:val="32"/>
        </w:rPr>
        <w:t>四、评价结论及建议</w:t>
      </w:r>
    </w:p>
    <w:p>
      <w:pPr>
        <w:widowControl/>
        <w:spacing w:line="640" w:lineRule="exact"/>
        <w:ind w:firstLine="472" w:firstLineChars="147"/>
        <w:jc w:val="left"/>
        <w:rPr>
          <w:rFonts w:ascii="仿宋_GB2312" w:eastAsia="仿宋_GB2312"/>
          <w:color w:val="333333"/>
          <w:sz w:val="32"/>
          <w:szCs w:val="32"/>
          <w:shd w:val="clear" w:color="auto" w:fill="FFFFFF"/>
        </w:rPr>
      </w:pPr>
      <w:r>
        <w:rPr>
          <w:rFonts w:hint="eastAsia" w:ascii="楷体" w:hAnsi="楷体" w:eastAsia="楷体"/>
          <w:b/>
          <w:color w:val="333333"/>
          <w:sz w:val="32"/>
          <w:szCs w:val="32"/>
          <w:shd w:val="clear" w:color="auto" w:fill="FFFFFF"/>
        </w:rPr>
        <w:t>（一）评价结论。</w:t>
      </w:r>
      <w:r>
        <w:rPr>
          <w:rFonts w:hint="eastAsia" w:ascii="仿宋_GB2312" w:eastAsia="仿宋_GB2312"/>
          <w:color w:val="333333"/>
          <w:sz w:val="32"/>
          <w:szCs w:val="32"/>
          <w:shd w:val="clear" w:color="auto" w:fill="FFFFFF"/>
        </w:rPr>
        <w:t>我委</w:t>
      </w:r>
      <w:r>
        <w:rPr>
          <w:rFonts w:ascii="仿宋_GB2312" w:eastAsia="仿宋_GB2312"/>
          <w:color w:val="333333"/>
          <w:sz w:val="32"/>
          <w:szCs w:val="32"/>
          <w:shd w:val="clear" w:color="auto" w:fill="FFFFFF"/>
        </w:rPr>
        <w:t>2018</w:t>
      </w:r>
      <w:r>
        <w:rPr>
          <w:rFonts w:hint="eastAsia" w:ascii="仿宋_GB2312" w:eastAsia="仿宋_GB2312"/>
          <w:color w:val="333333"/>
          <w:sz w:val="32"/>
          <w:szCs w:val="32"/>
          <w:shd w:val="clear" w:color="auto" w:fill="FFFFFF"/>
        </w:rPr>
        <w:t>年整体支出严格按照国家的相关财务管理制度执行，财务制度健全、会计核算规范，依照计划管理使用部门财政资金，切实加强宏观战略谋划、项目资金争取、综合协调服务、经济运行调节和干部队伍建设，对发改工作的正常运行，全市重大项目的有效推进发挥了重要作用，各项工作取得了较好成效</w:t>
      </w:r>
      <w:r>
        <w:rPr>
          <w:rFonts w:hint="eastAsia" w:ascii="仿宋_GB2312" w:eastAsia="仿宋_GB2312"/>
          <w:color w:val="434343"/>
          <w:sz w:val="32"/>
          <w:szCs w:val="32"/>
          <w:shd w:val="clear" w:color="auto" w:fill="FFFFFF"/>
        </w:rPr>
        <w:t>，财政支出绩效良好。</w:t>
      </w:r>
    </w:p>
    <w:p>
      <w:pPr>
        <w:snapToGrid w:val="0"/>
        <w:spacing w:line="360" w:lineRule="auto"/>
        <w:ind w:firstLine="642" w:firstLineChars="200"/>
        <w:rPr>
          <w:rFonts w:ascii="楷体" w:hAnsi="楷体" w:eastAsia="楷体"/>
          <w:b/>
          <w:sz w:val="30"/>
          <w:szCs w:val="30"/>
        </w:rPr>
      </w:pPr>
      <w:r>
        <w:rPr>
          <w:rFonts w:hint="eastAsia" w:ascii="楷体" w:hAnsi="楷体" w:eastAsia="楷体"/>
          <w:b/>
          <w:sz w:val="32"/>
          <w:szCs w:val="32"/>
        </w:rPr>
        <w:t>（二）存在问题。</w:t>
      </w:r>
      <w:r>
        <w:rPr>
          <w:rFonts w:hint="eastAsia" w:ascii="仿宋_GB2312" w:hAnsi="楷体" w:eastAsia="仿宋_GB2312"/>
          <w:sz w:val="32"/>
          <w:szCs w:val="32"/>
        </w:rPr>
        <w:t>因我委多数项目工作时间跨度较大，涉及面广，如成昆铁路扩能改造项目工作、项目精细化管理信息系统等，一是各项目工作经费严格按照项目推进工作程序，严守各项财经纪律，逐一落实后形成支付；二是规划编制按照政府采购相关规定分进度支付费用。故部分预算资金需结转跨年使用。</w:t>
      </w:r>
    </w:p>
    <w:p>
      <w:pPr>
        <w:widowControl/>
        <w:ind w:firstLine="481" w:firstLineChars="150"/>
        <w:jc w:val="left"/>
        <w:rPr>
          <w:rFonts w:ascii="楷体" w:hAnsi="楷体" w:eastAsia="楷体"/>
          <w:sz w:val="32"/>
          <w:szCs w:val="32"/>
        </w:rPr>
      </w:pPr>
      <w:r>
        <w:rPr>
          <w:rFonts w:hint="eastAsia" w:ascii="楷体" w:hAnsi="楷体" w:eastAsia="楷体"/>
          <w:b/>
          <w:sz w:val="32"/>
          <w:szCs w:val="32"/>
        </w:rPr>
        <w:t>（三）改进建议</w:t>
      </w:r>
      <w:r>
        <w:rPr>
          <w:rFonts w:hint="eastAsia" w:ascii="楷体" w:hAnsi="楷体" w:eastAsia="楷体"/>
          <w:sz w:val="32"/>
          <w:szCs w:val="32"/>
        </w:rPr>
        <w:t>。无。</w:t>
      </w:r>
    </w:p>
    <w:p>
      <w:pPr>
        <w:widowControl/>
        <w:jc w:val="left"/>
      </w:pPr>
    </w:p>
    <w:p>
      <w:pPr>
        <w:widowControl/>
        <w:jc w:val="left"/>
      </w:pPr>
      <w:r>
        <w:t xml:space="preserve">                                   </w:t>
      </w:r>
    </w:p>
    <w:bookmarkEnd w:id="60"/>
    <w:p>
      <w:pPr>
        <w:pStyle w:val="3"/>
        <w:rPr>
          <w:rStyle w:val="17"/>
          <w:rFonts w:ascii="仿宋" w:hAnsi="仿宋" w:eastAsia="仿宋"/>
          <w:b w:val="0"/>
          <w:bCs w:val="0"/>
          <w:sz w:val="32"/>
          <w:szCs w:val="32"/>
        </w:rPr>
      </w:pPr>
      <w:bookmarkStart w:id="61" w:name="_Toc15396617"/>
      <w:r>
        <w:rPr>
          <w:rStyle w:val="17"/>
          <w:rFonts w:hint="eastAsia" w:ascii="仿宋" w:hAnsi="仿宋" w:eastAsia="仿宋"/>
          <w:b w:val="0"/>
          <w:bCs w:val="0"/>
          <w:sz w:val="32"/>
          <w:szCs w:val="32"/>
        </w:rPr>
        <w:t>附件</w:t>
      </w:r>
      <w:r>
        <w:rPr>
          <w:rStyle w:val="17"/>
          <w:rFonts w:ascii="仿宋" w:hAnsi="仿宋" w:eastAsia="仿宋"/>
          <w:b w:val="0"/>
          <w:bCs w:val="0"/>
          <w:sz w:val="32"/>
          <w:szCs w:val="32"/>
        </w:rPr>
        <w:t>2</w:t>
      </w:r>
      <w:bookmarkEnd w:id="61"/>
    </w:p>
    <w:p>
      <w:pPr>
        <w:spacing w:line="580" w:lineRule="exact"/>
        <w:jc w:val="center"/>
        <w:rPr>
          <w:rFonts w:ascii="黑体" w:hAnsi="黑体" w:eastAsia="黑体" w:cs="方正小标宋简体"/>
          <w:sz w:val="44"/>
          <w:szCs w:val="44"/>
        </w:rPr>
      </w:pPr>
      <w:r>
        <w:rPr>
          <w:rFonts w:hint="eastAsia" w:ascii="黑体" w:hAnsi="黑体" w:eastAsia="黑体" w:cs="方正小标宋简体"/>
          <w:sz w:val="44"/>
          <w:szCs w:val="44"/>
        </w:rPr>
        <w:t>第三届中国康养产业发展论坛会场展场策划实施经费项目支出绩效评价报告</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一、评价工作开展及项目情况</w:t>
      </w:r>
    </w:p>
    <w:p>
      <w:pPr>
        <w:spacing w:line="580" w:lineRule="exact"/>
        <w:ind w:firstLine="640" w:firstLineChars="200"/>
        <w:rPr>
          <w:rFonts w:ascii="仿宋" w:hAnsi="仿宋" w:eastAsia="仿宋" w:cs="FZFangSong-Z02"/>
          <w:color w:val="000000"/>
          <w:sz w:val="32"/>
          <w:szCs w:val="32"/>
        </w:rPr>
      </w:pPr>
      <w:r>
        <w:rPr>
          <w:rFonts w:hint="eastAsia" w:ascii="仿宋" w:hAnsi="仿宋" w:eastAsia="仿宋" w:cs="FZFangSong-Z02"/>
          <w:color w:val="000000"/>
          <w:sz w:val="32"/>
          <w:szCs w:val="32"/>
        </w:rPr>
        <w:t>为贯彻落实党中央、国务院关于推进健康中国建设决策部署，积极筹办民革中央、四川省政协在四川省攀枝花市举办的“第三届中国康养产业发展论坛”。</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主要任务：</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认真贯彻“五大发展理念”，进一步落实省第十一次党代会关于把攀枝花建成“全国阳光康养旅游目的地”的战略定位，持续培育康养产业，做好攀枝花“阳光”文章，积极争创中国（攀枝花）阳光康养产业发展示范区。总结、展示各地康养产业发展成就；交流经验；深入研讨康养产业发展重大课题，积极探索资源型城市产业结构调整城市转型发展新路径；推介“康养</w:t>
      </w:r>
      <w:r>
        <w:rPr>
          <w:rFonts w:ascii="仿宋" w:hAnsi="仿宋" w:eastAsia="仿宋"/>
          <w:sz w:val="32"/>
          <w:szCs w:val="32"/>
        </w:rPr>
        <w:t>+</w:t>
      </w:r>
      <w:r>
        <w:rPr>
          <w:rFonts w:hint="eastAsia" w:ascii="仿宋" w:hAnsi="仿宋" w:eastAsia="仿宋"/>
          <w:sz w:val="32"/>
          <w:szCs w:val="32"/>
        </w:rPr>
        <w:t>”产业项目，促进康养产业发展。</w:t>
      </w:r>
    </w:p>
    <w:p>
      <w:pPr>
        <w:autoSpaceDE w:val="0"/>
        <w:autoSpaceDN w:val="0"/>
        <w:adjustRightInd w:val="0"/>
        <w:ind w:firstLine="700"/>
        <w:rPr>
          <w:rFonts w:ascii="FZHei-B01" w:hAnsi="Calibri" w:eastAsia="FZHei-B01" w:cs="FZHei-B01"/>
          <w:color w:val="000000"/>
          <w:kern w:val="0"/>
          <w:sz w:val="33"/>
          <w:szCs w:val="33"/>
        </w:rPr>
      </w:pPr>
      <w:r>
        <w:rPr>
          <w:rFonts w:hint="eastAsia" w:ascii="FZHei-B01" w:hAnsi="Calibri" w:eastAsia="FZHei-B01" w:cs="FZHei-B01"/>
          <w:color w:val="000000"/>
          <w:kern w:val="0"/>
          <w:sz w:val="33"/>
          <w:szCs w:val="33"/>
        </w:rPr>
        <w:t>论坛嘉宾</w:t>
      </w:r>
      <w:r>
        <w:rPr>
          <w:rFonts w:ascii="FZHei-B01" w:hAnsi="Calibri" w:eastAsia="FZHei-B01" w:cs="FZHei-B01"/>
          <w:color w:val="000000"/>
          <w:kern w:val="0"/>
          <w:sz w:val="33"/>
          <w:szCs w:val="33"/>
        </w:rPr>
        <w:t xml:space="preserve"> </w:t>
      </w:r>
    </w:p>
    <w:p>
      <w:pPr>
        <w:autoSpaceDE w:val="0"/>
        <w:autoSpaceDN w:val="0"/>
        <w:adjustRightInd w:val="0"/>
        <w:ind w:firstLine="700"/>
        <w:rPr>
          <w:rFonts w:ascii="仿宋" w:hAnsi="仿宋" w:eastAsia="仿宋" w:cs="FZFangSong-Z02"/>
          <w:color w:val="000000"/>
          <w:kern w:val="0"/>
          <w:sz w:val="32"/>
          <w:szCs w:val="32"/>
        </w:rPr>
      </w:pPr>
      <w:r>
        <w:rPr>
          <w:rFonts w:hint="eastAsia" w:ascii="FZFangSong-Z02" w:hAnsi="Calibri" w:eastAsia="FZFangSong-Z02" w:cs="FZFangSong-Z02"/>
          <w:color w:val="000000"/>
          <w:kern w:val="0"/>
          <w:sz w:val="33"/>
          <w:szCs w:val="33"/>
        </w:rPr>
        <w:t>民革中央、四川省政协领导、全国政协相关专委会领导，国家部委及相关机构领导、四川省领导及省直相关部门领导、国内外相关领域的知名专家学者、国家级协会负责人、相关领域的知名企业家、相关城市领导及嘉宾等</w:t>
      </w:r>
      <w:r>
        <w:rPr>
          <w:rFonts w:ascii="FZFangSong-Z02" w:hAnsi="Calibri" w:eastAsia="FZFangSong-Z02" w:cs="FZFangSong-Z02"/>
          <w:color w:val="000000"/>
          <w:kern w:val="0"/>
          <w:sz w:val="33"/>
          <w:szCs w:val="33"/>
        </w:rPr>
        <w:t xml:space="preserve"> </w:t>
      </w:r>
      <w:r>
        <w:rPr>
          <w:rFonts w:ascii="仿宋" w:hAnsi="仿宋" w:eastAsia="仿宋" w:cs="FZFangSong-Z02"/>
          <w:color w:val="000000"/>
          <w:kern w:val="0"/>
          <w:sz w:val="32"/>
          <w:szCs w:val="32"/>
        </w:rPr>
        <w:t>300</w:t>
      </w:r>
      <w:r>
        <w:rPr>
          <w:rFonts w:hint="eastAsia" w:ascii="仿宋" w:hAnsi="仿宋" w:eastAsia="仿宋" w:cs="FZFangSong-Z02"/>
          <w:color w:val="000000"/>
          <w:kern w:val="0"/>
          <w:sz w:val="32"/>
          <w:szCs w:val="32"/>
        </w:rPr>
        <w:t>人左右</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二、评价结论及绩效分析</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（一）评价结论</w:t>
      </w:r>
    </w:p>
    <w:p>
      <w:pPr>
        <w:spacing w:line="580" w:lineRule="exact"/>
        <w:ind w:firstLine="640" w:firstLineChars="200"/>
        <w:rPr>
          <w:rFonts w:eastAsia="仿宋_GB2312"/>
          <w:color w:val="000000"/>
          <w:sz w:val="32"/>
          <w:szCs w:val="32"/>
        </w:rPr>
      </w:pPr>
      <w:r>
        <w:rPr>
          <w:rFonts w:hint="eastAsia" w:eastAsia="仿宋_GB2312"/>
          <w:color w:val="000000"/>
          <w:sz w:val="32"/>
          <w:szCs w:val="32"/>
        </w:rPr>
        <w:t>项目总体完成较好，项目做到专项专用，得分为</w:t>
      </w:r>
      <w:r>
        <w:rPr>
          <w:rFonts w:eastAsia="仿宋_GB2312"/>
          <w:color w:val="000000"/>
          <w:sz w:val="32"/>
          <w:szCs w:val="32"/>
        </w:rPr>
        <w:t>95</w:t>
      </w:r>
      <w:r>
        <w:rPr>
          <w:rFonts w:hint="eastAsia" w:eastAsia="仿宋_GB2312"/>
          <w:color w:val="000000"/>
          <w:sz w:val="32"/>
          <w:szCs w:val="32"/>
        </w:rPr>
        <w:t>分。</w:t>
      </w:r>
    </w:p>
    <w:p>
      <w:pPr>
        <w:jc w:val="center"/>
        <w:rPr>
          <w:rFonts w:ascii="黑体" w:hAnsi="黑体" w:eastAsia="黑体"/>
          <w:color w:val="000000"/>
          <w:sz w:val="32"/>
          <w:szCs w:val="32"/>
        </w:rPr>
      </w:pPr>
      <w:r>
        <w:rPr>
          <w:rFonts w:ascii="黑体" w:hAnsi="黑体" w:eastAsia="黑体"/>
          <w:color w:val="000000"/>
          <w:sz w:val="32"/>
          <w:szCs w:val="32"/>
        </w:rPr>
        <w:t>2018</w:t>
      </w:r>
      <w:r>
        <w:rPr>
          <w:rFonts w:hint="eastAsia" w:ascii="黑体" w:hAnsi="黑体" w:eastAsia="黑体"/>
          <w:color w:val="000000"/>
          <w:sz w:val="32"/>
          <w:szCs w:val="32"/>
        </w:rPr>
        <w:t>年项目支出绩效评价得分表</w:t>
      </w:r>
    </w:p>
    <w:tbl>
      <w:tblPr>
        <w:tblStyle w:val="13"/>
        <w:tblW w:w="85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7"/>
        <w:gridCol w:w="1658"/>
        <w:gridCol w:w="3535"/>
        <w:gridCol w:w="1311"/>
        <w:gridCol w:w="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297" w:type="dxa"/>
            <w:vAlign w:val="center"/>
          </w:tcPr>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单位名称</w:t>
            </w:r>
            <w:r>
              <w:rPr>
                <w:rFonts w:ascii="宋体" w:hAnsi="宋体" w:cs="宋体"/>
                <w:b/>
                <w:bCs/>
                <w:color w:val="000000"/>
                <w:kern w:val="0"/>
                <w:sz w:val="20"/>
                <w:szCs w:val="20"/>
              </w:rPr>
              <w:t>/</w:t>
            </w:r>
          </w:p>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项目名称</w:t>
            </w:r>
          </w:p>
        </w:tc>
        <w:tc>
          <w:tcPr>
            <w:tcW w:w="7260" w:type="dxa"/>
            <w:gridSpan w:val="4"/>
            <w:vAlign w:val="center"/>
          </w:tcPr>
          <w:p>
            <w:pPr>
              <w:widowControl/>
              <w:spacing w:line="260" w:lineRule="exact"/>
              <w:jc w:val="center"/>
              <w:rPr>
                <w:rFonts w:ascii="宋体" w:cs="宋体"/>
                <w:bCs/>
                <w:color w:val="000000"/>
                <w:kern w:val="0"/>
                <w:sz w:val="24"/>
              </w:rPr>
            </w:pPr>
            <w:r>
              <w:rPr>
                <w:rFonts w:hint="eastAsia" w:ascii="宋体" w:hAnsi="宋体" w:cs="方正小标宋简体"/>
                <w:sz w:val="24"/>
              </w:rPr>
              <w:t>第三届中国康养产业发展论坛会场展场策划实施经费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297" w:type="dxa"/>
            <w:vAlign w:val="center"/>
          </w:tcPr>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一级</w:t>
            </w:r>
          </w:p>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指标</w:t>
            </w:r>
          </w:p>
        </w:tc>
        <w:tc>
          <w:tcPr>
            <w:tcW w:w="1658" w:type="dxa"/>
            <w:vAlign w:val="center"/>
          </w:tcPr>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二级</w:t>
            </w:r>
          </w:p>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指标</w:t>
            </w:r>
          </w:p>
        </w:tc>
        <w:tc>
          <w:tcPr>
            <w:tcW w:w="3535" w:type="dxa"/>
            <w:vAlign w:val="center"/>
          </w:tcPr>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三级指标</w:t>
            </w:r>
          </w:p>
        </w:tc>
        <w:tc>
          <w:tcPr>
            <w:tcW w:w="1311" w:type="dxa"/>
            <w:vAlign w:val="center"/>
          </w:tcPr>
          <w:p>
            <w:pPr>
              <w:widowControl/>
              <w:spacing w:line="260" w:lineRule="exact"/>
              <w:jc w:val="center"/>
              <w:rPr>
                <w:rFonts w:ascii="宋体" w:cs="宋体"/>
                <w:b/>
                <w:bCs/>
                <w:color w:val="000000"/>
                <w:kern w:val="0"/>
                <w:sz w:val="20"/>
                <w:szCs w:val="20"/>
              </w:rPr>
            </w:pPr>
            <w:r>
              <w:rPr>
                <w:rFonts w:hint="eastAsia" w:ascii="宋体" w:hAnsi="宋体" w:cs="宋体"/>
                <w:b/>
                <w:bCs/>
                <w:color w:val="000000"/>
                <w:kern w:val="0"/>
                <w:sz w:val="20"/>
                <w:szCs w:val="20"/>
              </w:rPr>
              <w:t>分值</w:t>
            </w:r>
          </w:p>
        </w:tc>
        <w:tc>
          <w:tcPr>
            <w:tcW w:w="756" w:type="dxa"/>
            <w:vAlign w:val="center"/>
          </w:tcPr>
          <w:p>
            <w:pPr>
              <w:widowControl/>
              <w:spacing w:line="260" w:lineRule="exact"/>
              <w:jc w:val="center"/>
              <w:rPr>
                <w:rFonts w:ascii="宋体" w:cs="宋体"/>
                <w:b/>
                <w:bCs/>
                <w:color w:val="000000"/>
                <w:kern w:val="0"/>
                <w:sz w:val="24"/>
              </w:rPr>
            </w:pPr>
            <w:r>
              <w:rPr>
                <w:rFonts w:hint="eastAsia" w:ascii="宋体" w:hAnsi="宋体" w:cs="宋体"/>
                <w:b/>
                <w:bCs/>
                <w:color w:val="000000"/>
                <w:kern w:val="0"/>
                <w:sz w:val="24"/>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7"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20</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项目决策</w:t>
            </w:r>
          </w:p>
        </w:tc>
        <w:tc>
          <w:tcPr>
            <w:tcW w:w="1658"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10</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科学决策</w:t>
            </w: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必要性</w:t>
            </w:r>
            <w:r>
              <w:rPr>
                <w:rFonts w:ascii="宋体" w:cs="宋体"/>
                <w:color w:val="000000"/>
                <w:kern w:val="0"/>
                <w:sz w:val="20"/>
                <w:szCs w:val="20"/>
              </w:rPr>
              <w:br w:type="textWrapping"/>
            </w:r>
            <w:r>
              <w:rPr>
                <w:rFonts w:hint="eastAsia" w:ascii="宋体" w:hAnsi="宋体" w:cs="宋体"/>
                <w:color w:val="000000"/>
                <w:kern w:val="0"/>
                <w:sz w:val="20"/>
                <w:szCs w:val="20"/>
              </w:rPr>
              <w:t>（政策依据</w:t>
            </w:r>
            <w:r>
              <w:rPr>
                <w:rFonts w:ascii="宋体" w:hAnsi="宋体" w:cs="宋体"/>
                <w:color w:val="000000"/>
                <w:kern w:val="0"/>
                <w:sz w:val="20"/>
                <w:szCs w:val="20"/>
              </w:rPr>
              <w:t>)</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c>
          <w:tcPr>
            <w:tcW w:w="756" w:type="dxa"/>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可行性</w:t>
            </w:r>
            <w:r>
              <w:rPr>
                <w:rFonts w:ascii="宋体" w:cs="宋体"/>
                <w:color w:val="000000"/>
                <w:kern w:val="0"/>
                <w:sz w:val="20"/>
                <w:szCs w:val="20"/>
              </w:rPr>
              <w:br w:type="textWrapping"/>
            </w:r>
            <w:r>
              <w:rPr>
                <w:rFonts w:hint="eastAsia" w:ascii="宋体" w:hAnsi="宋体" w:cs="宋体"/>
                <w:color w:val="000000"/>
                <w:kern w:val="0"/>
                <w:sz w:val="20"/>
                <w:szCs w:val="20"/>
              </w:rPr>
              <w:t>（政策完善）</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c>
          <w:tcPr>
            <w:tcW w:w="756" w:type="dxa"/>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10</w:t>
            </w:r>
            <w:r>
              <w:rPr>
                <w:rFonts w:hint="eastAsia" w:ascii="宋体" w:hAnsi="宋体" w:cs="宋体"/>
                <w:color w:val="000000"/>
                <w:kern w:val="0"/>
                <w:sz w:val="20"/>
                <w:szCs w:val="20"/>
              </w:rPr>
              <w:t>）</w:t>
            </w:r>
            <w:r>
              <w:rPr>
                <w:rFonts w:ascii="宋体" w:cs="宋体"/>
                <w:color w:val="000000"/>
                <w:kern w:val="0"/>
                <w:sz w:val="20"/>
                <w:szCs w:val="20"/>
              </w:rPr>
              <w:br w:type="textWrapping"/>
            </w:r>
            <w:r>
              <w:rPr>
                <w:rFonts w:hint="eastAsia" w:ascii="宋体" w:hAnsi="宋体" w:cs="宋体"/>
                <w:color w:val="000000"/>
                <w:kern w:val="0"/>
                <w:sz w:val="20"/>
                <w:szCs w:val="20"/>
              </w:rPr>
              <w:t>绩效目标</w:t>
            </w:r>
            <w:r>
              <w:rPr>
                <w:rFonts w:ascii="宋体" w:hAnsi="宋体" w:cs="宋体"/>
                <w:color w:val="000000"/>
                <w:kern w:val="0"/>
                <w:sz w:val="20"/>
                <w:szCs w:val="20"/>
              </w:rPr>
              <w:t xml:space="preserve">    </w:t>
            </w: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明确性</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c>
          <w:tcPr>
            <w:tcW w:w="756" w:type="dxa"/>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合理性</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c>
          <w:tcPr>
            <w:tcW w:w="756" w:type="dxa"/>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297"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10</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项目管理</w:t>
            </w:r>
          </w:p>
        </w:tc>
        <w:tc>
          <w:tcPr>
            <w:tcW w:w="1658"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7</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资金管理</w:t>
            </w: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资金分配</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3</w:t>
            </w:r>
          </w:p>
        </w:tc>
        <w:tc>
          <w:tcPr>
            <w:tcW w:w="756" w:type="dxa"/>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textDirection w:val="tbRlV"/>
            <w:vAlign w:val="center"/>
          </w:tcPr>
          <w:p>
            <w:pPr>
              <w:widowControl/>
              <w:spacing w:line="260" w:lineRule="exact"/>
              <w:jc w:val="center"/>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资金使用</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4</w:t>
            </w:r>
          </w:p>
        </w:tc>
        <w:tc>
          <w:tcPr>
            <w:tcW w:w="756"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3</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项目执行</w:t>
            </w: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执行规范</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3</w:t>
            </w:r>
          </w:p>
        </w:tc>
        <w:tc>
          <w:tcPr>
            <w:tcW w:w="756" w:type="dxa"/>
            <w:vAlign w:val="center"/>
          </w:tcPr>
          <w:p>
            <w:pPr>
              <w:widowControl/>
              <w:spacing w:line="260" w:lineRule="exact"/>
              <w:jc w:val="center"/>
              <w:rPr>
                <w:rFonts w:ascii="宋体" w:hAnsi="宋体" w:cs="宋体"/>
                <w:color w:val="000000"/>
                <w:kern w:val="0"/>
                <w:sz w:val="20"/>
                <w:szCs w:val="20"/>
              </w:rPr>
            </w:pPr>
          </w:p>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297"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（特性指标</w:t>
            </w:r>
            <w:r>
              <w:rPr>
                <w:rFonts w:ascii="宋体" w:hAnsi="宋体" w:cs="宋体"/>
                <w:color w:val="000000"/>
                <w:kern w:val="0"/>
                <w:sz w:val="20"/>
                <w:szCs w:val="20"/>
              </w:rPr>
              <w:t>70</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项目绩效</w:t>
            </w:r>
            <w:r>
              <w:rPr>
                <w:rFonts w:ascii="宋体" w:hAnsi="宋体" w:cs="宋体"/>
                <w:color w:val="000000"/>
                <w:kern w:val="0"/>
                <w:sz w:val="20"/>
                <w:szCs w:val="20"/>
              </w:rPr>
              <w:t xml:space="preserve">  </w:t>
            </w:r>
          </w:p>
        </w:tc>
        <w:tc>
          <w:tcPr>
            <w:tcW w:w="1658"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20</w:t>
            </w:r>
            <w:r>
              <w:rPr>
                <w:rFonts w:hint="eastAsia" w:ascii="宋体" w:hAnsi="宋体" w:cs="宋体"/>
                <w:color w:val="000000"/>
                <w:kern w:val="0"/>
                <w:sz w:val="20"/>
                <w:szCs w:val="20"/>
              </w:rPr>
              <w:t>）</w:t>
            </w:r>
            <w:r>
              <w:rPr>
                <w:rFonts w:ascii="宋体" w:cs="宋体"/>
                <w:color w:val="000000"/>
                <w:kern w:val="0"/>
                <w:sz w:val="20"/>
                <w:szCs w:val="20"/>
              </w:rPr>
              <w:br w:type="textWrapping"/>
            </w:r>
            <w:r>
              <w:rPr>
                <w:rFonts w:hint="eastAsia" w:ascii="宋体" w:hAnsi="宋体" w:cs="宋体"/>
                <w:color w:val="000000"/>
                <w:kern w:val="0"/>
                <w:sz w:val="20"/>
                <w:szCs w:val="20"/>
              </w:rPr>
              <w:t>项目完成</w:t>
            </w: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完成数量</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 xml:space="preserve">5 </w:t>
            </w:r>
          </w:p>
        </w:tc>
        <w:tc>
          <w:tcPr>
            <w:tcW w:w="756"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完成质量</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 xml:space="preserve">5 </w:t>
            </w:r>
          </w:p>
        </w:tc>
        <w:tc>
          <w:tcPr>
            <w:tcW w:w="756"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完成时效</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c>
          <w:tcPr>
            <w:tcW w:w="756"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完成成本</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c>
          <w:tcPr>
            <w:tcW w:w="756"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restart"/>
            <w:textDirection w:val="tbRlV"/>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50</w:t>
            </w:r>
            <w:r>
              <w:rPr>
                <w:rFonts w:hint="eastAsia" w:ascii="宋体" w:hAnsi="宋体" w:cs="宋体"/>
                <w:color w:val="000000"/>
                <w:kern w:val="0"/>
                <w:sz w:val="20"/>
                <w:szCs w:val="20"/>
              </w:rPr>
              <w:t>分）</w:t>
            </w:r>
            <w:r>
              <w:rPr>
                <w:rFonts w:ascii="宋体" w:cs="宋体"/>
                <w:color w:val="000000"/>
                <w:kern w:val="0"/>
                <w:sz w:val="20"/>
                <w:szCs w:val="20"/>
              </w:rPr>
              <w:br w:type="textWrapping"/>
            </w:r>
            <w:r>
              <w:rPr>
                <w:rFonts w:hint="eastAsia" w:ascii="宋体" w:hAnsi="宋体" w:cs="宋体"/>
                <w:color w:val="000000"/>
                <w:kern w:val="0"/>
                <w:sz w:val="20"/>
                <w:szCs w:val="20"/>
              </w:rPr>
              <w:t>项目效益</w:t>
            </w: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经济效益（可选项）</w:t>
            </w:r>
          </w:p>
        </w:tc>
        <w:tc>
          <w:tcPr>
            <w:tcW w:w="1311" w:type="dxa"/>
            <w:vMerge w:val="restart"/>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40</w:t>
            </w:r>
          </w:p>
        </w:tc>
        <w:tc>
          <w:tcPr>
            <w:tcW w:w="756" w:type="dxa"/>
            <w:vMerge w:val="restart"/>
            <w:vAlign w:val="center"/>
          </w:tcPr>
          <w:p>
            <w:pPr>
              <w:spacing w:line="260" w:lineRule="exact"/>
              <w:jc w:val="center"/>
              <w:rPr>
                <w:rFonts w:ascii="宋体" w:hAnsi="宋体" w:cs="宋体"/>
                <w:color w:val="000000"/>
                <w:kern w:val="0"/>
                <w:sz w:val="20"/>
                <w:szCs w:val="20"/>
              </w:rPr>
            </w:pPr>
            <w:r>
              <w:rPr>
                <w:rFonts w:ascii="宋体" w:hAnsi="宋体" w:cs="宋体"/>
                <w:color w:val="000000"/>
                <w:kern w:val="0"/>
                <w:sz w:val="20"/>
                <w:szCs w:val="20"/>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社会效益（可选项）</w:t>
            </w:r>
          </w:p>
        </w:tc>
        <w:tc>
          <w:tcPr>
            <w:tcW w:w="1311" w:type="dxa"/>
            <w:vMerge w:val="continue"/>
            <w:vAlign w:val="center"/>
          </w:tcPr>
          <w:p>
            <w:pPr>
              <w:widowControl/>
              <w:spacing w:line="260" w:lineRule="exact"/>
              <w:jc w:val="left"/>
              <w:rPr>
                <w:rFonts w:ascii="宋体" w:cs="宋体"/>
                <w:color w:val="000000"/>
                <w:kern w:val="0"/>
                <w:sz w:val="20"/>
                <w:szCs w:val="20"/>
              </w:rPr>
            </w:pPr>
          </w:p>
        </w:tc>
        <w:tc>
          <w:tcPr>
            <w:tcW w:w="756" w:type="dxa"/>
            <w:vMerge w:val="continue"/>
          </w:tcPr>
          <w:p>
            <w:pPr>
              <w:widowControl/>
              <w:spacing w:line="260" w:lineRule="exact"/>
              <w:jc w:val="left"/>
              <w:rPr>
                <w:rFonts w:asci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生态效益（可选项）</w:t>
            </w:r>
          </w:p>
        </w:tc>
        <w:tc>
          <w:tcPr>
            <w:tcW w:w="1311" w:type="dxa"/>
            <w:vMerge w:val="continue"/>
            <w:vAlign w:val="center"/>
          </w:tcPr>
          <w:p>
            <w:pPr>
              <w:widowControl/>
              <w:spacing w:line="260" w:lineRule="exact"/>
              <w:jc w:val="left"/>
              <w:rPr>
                <w:rFonts w:ascii="宋体" w:cs="宋体"/>
                <w:color w:val="000000"/>
                <w:kern w:val="0"/>
                <w:sz w:val="20"/>
                <w:szCs w:val="20"/>
              </w:rPr>
            </w:pPr>
          </w:p>
        </w:tc>
        <w:tc>
          <w:tcPr>
            <w:tcW w:w="756" w:type="dxa"/>
            <w:vMerge w:val="continue"/>
          </w:tcPr>
          <w:p>
            <w:pPr>
              <w:widowControl/>
              <w:spacing w:line="260" w:lineRule="exact"/>
              <w:jc w:val="left"/>
              <w:rPr>
                <w:rFonts w:asci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可持续效益（可选项）</w:t>
            </w:r>
          </w:p>
        </w:tc>
        <w:tc>
          <w:tcPr>
            <w:tcW w:w="1311" w:type="dxa"/>
            <w:vMerge w:val="continue"/>
            <w:vAlign w:val="center"/>
          </w:tcPr>
          <w:p>
            <w:pPr>
              <w:widowControl/>
              <w:spacing w:line="260" w:lineRule="exact"/>
              <w:jc w:val="left"/>
              <w:rPr>
                <w:rFonts w:ascii="宋体" w:cs="宋体"/>
                <w:color w:val="000000"/>
                <w:kern w:val="0"/>
                <w:sz w:val="20"/>
                <w:szCs w:val="20"/>
              </w:rPr>
            </w:pPr>
          </w:p>
        </w:tc>
        <w:tc>
          <w:tcPr>
            <w:tcW w:w="756" w:type="dxa"/>
            <w:vMerge w:val="continue"/>
          </w:tcPr>
          <w:p>
            <w:pPr>
              <w:widowControl/>
              <w:spacing w:line="260" w:lineRule="exact"/>
              <w:jc w:val="left"/>
              <w:rPr>
                <w:rFonts w:asci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公平效率（可选项）</w:t>
            </w:r>
          </w:p>
        </w:tc>
        <w:tc>
          <w:tcPr>
            <w:tcW w:w="1311" w:type="dxa"/>
            <w:vMerge w:val="continue"/>
            <w:vAlign w:val="center"/>
          </w:tcPr>
          <w:p>
            <w:pPr>
              <w:widowControl/>
              <w:spacing w:line="260" w:lineRule="exact"/>
              <w:jc w:val="left"/>
              <w:rPr>
                <w:rFonts w:ascii="宋体" w:cs="宋体"/>
                <w:color w:val="000000"/>
                <w:kern w:val="0"/>
                <w:sz w:val="20"/>
                <w:szCs w:val="20"/>
              </w:rPr>
            </w:pPr>
          </w:p>
        </w:tc>
        <w:tc>
          <w:tcPr>
            <w:tcW w:w="756" w:type="dxa"/>
            <w:vMerge w:val="continue"/>
          </w:tcPr>
          <w:p>
            <w:pPr>
              <w:widowControl/>
              <w:spacing w:line="260" w:lineRule="exact"/>
              <w:jc w:val="left"/>
              <w:rPr>
                <w:rFonts w:asci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使用效率（可选项）</w:t>
            </w:r>
          </w:p>
        </w:tc>
        <w:tc>
          <w:tcPr>
            <w:tcW w:w="1311" w:type="dxa"/>
            <w:vMerge w:val="continue"/>
            <w:vAlign w:val="center"/>
          </w:tcPr>
          <w:p>
            <w:pPr>
              <w:widowControl/>
              <w:spacing w:line="260" w:lineRule="exact"/>
              <w:jc w:val="left"/>
              <w:rPr>
                <w:rFonts w:ascii="宋体" w:cs="宋体"/>
                <w:color w:val="000000"/>
                <w:kern w:val="0"/>
                <w:sz w:val="20"/>
                <w:szCs w:val="20"/>
              </w:rPr>
            </w:pPr>
          </w:p>
        </w:tc>
        <w:tc>
          <w:tcPr>
            <w:tcW w:w="756" w:type="dxa"/>
            <w:vMerge w:val="continue"/>
          </w:tcPr>
          <w:p>
            <w:pPr>
              <w:widowControl/>
              <w:spacing w:line="260" w:lineRule="exact"/>
              <w:jc w:val="left"/>
              <w:rPr>
                <w:rFonts w:ascii="宋体"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297" w:type="dxa"/>
            <w:vMerge w:val="continue"/>
            <w:vAlign w:val="center"/>
          </w:tcPr>
          <w:p>
            <w:pPr>
              <w:widowControl/>
              <w:spacing w:line="260" w:lineRule="exact"/>
              <w:jc w:val="left"/>
              <w:rPr>
                <w:rFonts w:ascii="宋体" w:cs="宋体"/>
                <w:color w:val="000000"/>
                <w:kern w:val="0"/>
                <w:sz w:val="20"/>
                <w:szCs w:val="20"/>
              </w:rPr>
            </w:pPr>
          </w:p>
        </w:tc>
        <w:tc>
          <w:tcPr>
            <w:tcW w:w="1658" w:type="dxa"/>
            <w:vMerge w:val="continue"/>
            <w:vAlign w:val="center"/>
          </w:tcPr>
          <w:p>
            <w:pPr>
              <w:widowControl/>
              <w:spacing w:line="260" w:lineRule="exact"/>
              <w:jc w:val="left"/>
              <w:rPr>
                <w:rFonts w:ascii="宋体" w:cs="宋体"/>
                <w:color w:val="000000"/>
                <w:kern w:val="0"/>
                <w:sz w:val="20"/>
                <w:szCs w:val="20"/>
              </w:rPr>
            </w:pPr>
          </w:p>
        </w:tc>
        <w:tc>
          <w:tcPr>
            <w:tcW w:w="3535" w:type="dxa"/>
            <w:vAlign w:val="center"/>
          </w:tcPr>
          <w:p>
            <w:pPr>
              <w:widowControl/>
              <w:spacing w:line="260" w:lineRule="exact"/>
              <w:jc w:val="center"/>
              <w:rPr>
                <w:rFonts w:ascii="宋体" w:cs="宋体"/>
                <w:color w:val="000000"/>
                <w:kern w:val="0"/>
                <w:sz w:val="20"/>
                <w:szCs w:val="20"/>
              </w:rPr>
            </w:pPr>
            <w:r>
              <w:rPr>
                <w:rFonts w:hint="eastAsia" w:ascii="宋体" w:hAnsi="宋体" w:cs="宋体"/>
                <w:color w:val="000000"/>
                <w:kern w:val="0"/>
                <w:sz w:val="20"/>
                <w:szCs w:val="20"/>
              </w:rPr>
              <w:t>服务对象满意度</w:t>
            </w:r>
            <w:r>
              <w:rPr>
                <w:rFonts w:ascii="宋体" w:hAnsi="宋体" w:cs="宋体"/>
                <w:color w:val="000000"/>
                <w:kern w:val="0"/>
                <w:sz w:val="20"/>
                <w:szCs w:val="20"/>
              </w:rPr>
              <w:t xml:space="preserve">    </w:t>
            </w:r>
          </w:p>
        </w:tc>
        <w:tc>
          <w:tcPr>
            <w:tcW w:w="1311" w:type="dxa"/>
            <w:vAlign w:val="center"/>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10</w:t>
            </w:r>
          </w:p>
        </w:tc>
        <w:tc>
          <w:tcPr>
            <w:tcW w:w="756" w:type="dxa"/>
          </w:tcPr>
          <w:p>
            <w:pPr>
              <w:widowControl/>
              <w:spacing w:line="260" w:lineRule="exact"/>
              <w:jc w:val="center"/>
              <w:rPr>
                <w:rFonts w:ascii="宋体" w:hAnsi="宋体" w:cs="宋体"/>
                <w:color w:val="000000"/>
                <w:kern w:val="0"/>
                <w:sz w:val="20"/>
                <w:szCs w:val="20"/>
              </w:rPr>
            </w:pPr>
            <w:r>
              <w:rPr>
                <w:rFonts w:ascii="宋体" w:hAnsi="宋体" w:cs="宋体"/>
                <w:color w:val="000000"/>
                <w:kern w:val="0"/>
                <w:sz w:val="20"/>
                <w:szCs w:val="20"/>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297" w:type="dxa"/>
            <w:vAlign w:val="center"/>
          </w:tcPr>
          <w:p>
            <w:pPr>
              <w:widowControl/>
              <w:spacing w:line="260" w:lineRule="exact"/>
              <w:jc w:val="left"/>
              <w:rPr>
                <w:rFonts w:ascii="宋体" w:cs="宋体"/>
                <w:color w:val="000000"/>
                <w:kern w:val="0"/>
                <w:sz w:val="20"/>
                <w:szCs w:val="20"/>
              </w:rPr>
            </w:pPr>
            <w:r>
              <w:rPr>
                <w:rFonts w:hint="eastAsia" w:ascii="宋体" w:hAnsi="宋体" w:cs="宋体"/>
                <w:color w:val="000000"/>
                <w:kern w:val="0"/>
                <w:sz w:val="20"/>
                <w:szCs w:val="20"/>
              </w:rPr>
              <w:t>总分</w:t>
            </w:r>
          </w:p>
        </w:tc>
        <w:tc>
          <w:tcPr>
            <w:tcW w:w="7260" w:type="dxa"/>
            <w:gridSpan w:val="4"/>
            <w:vAlign w:val="center"/>
          </w:tcPr>
          <w:p>
            <w:pPr>
              <w:widowControl/>
              <w:spacing w:line="260" w:lineRule="exact"/>
              <w:jc w:val="center"/>
              <w:rPr>
                <w:rFonts w:ascii="宋体" w:cs="宋体"/>
                <w:color w:val="000000"/>
                <w:kern w:val="0"/>
              </w:rPr>
            </w:pPr>
            <w:r>
              <w:rPr>
                <w:rFonts w:ascii="宋体" w:hAnsi="宋体" w:cs="宋体"/>
                <w:color w:val="000000"/>
                <w:kern w:val="0"/>
              </w:rPr>
              <w:t>95</w:t>
            </w:r>
            <w:r>
              <w:rPr>
                <w:rFonts w:hint="eastAsia" w:ascii="宋体" w:hAnsi="宋体" w:cs="宋体"/>
                <w:color w:val="000000"/>
                <w:kern w:val="0"/>
              </w:rPr>
              <w:t>分</w:t>
            </w:r>
          </w:p>
        </w:tc>
      </w:tr>
    </w:tbl>
    <w:p>
      <w:pPr>
        <w:spacing w:line="580" w:lineRule="exact"/>
        <w:ind w:firstLine="640" w:firstLineChars="200"/>
        <w:rPr>
          <w:rFonts w:ascii="仿宋" w:hAnsi="仿宋" w:eastAsia="仿宋"/>
          <w:sz w:val="32"/>
          <w:szCs w:val="32"/>
        </w:rPr>
      </w:pP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（二）绩效分析</w:t>
      </w:r>
    </w:p>
    <w:p>
      <w:pPr>
        <w:spacing w:line="58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、项目决策</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项目根据市政府工作安排，由市发展改革委按照要求策划、组织布展，充分展示攀枝花市“钒钛之都、阳光花城”</w:t>
      </w:r>
      <w:r>
        <w:rPr>
          <w:rFonts w:ascii="仿宋" w:hAnsi="仿宋" w:eastAsia="仿宋"/>
          <w:sz w:val="32"/>
          <w:szCs w:val="32"/>
        </w:rPr>
        <w:t xml:space="preserve"> </w:t>
      </w:r>
      <w:r>
        <w:rPr>
          <w:rFonts w:hint="eastAsia" w:ascii="仿宋" w:hAnsi="仿宋" w:eastAsia="仿宋"/>
          <w:sz w:val="32"/>
          <w:szCs w:val="32"/>
        </w:rPr>
        <w:t>“全国阳光康养旅游目的地”</w:t>
      </w:r>
      <w:r>
        <w:rPr>
          <w:rFonts w:hint="eastAsia" w:ascii="仿宋" w:hAnsi="仿宋" w:eastAsia="仿宋" w:cs="仿宋"/>
          <w:sz w:val="32"/>
          <w:szCs w:val="32"/>
        </w:rPr>
        <w:t>城市形象，突出城市形象，扩大城市宣传。</w:t>
      </w:r>
    </w:p>
    <w:p>
      <w:pPr>
        <w:spacing w:line="58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、项目管理</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资金分配科学合理，使用规范。严格遵守中央八项规定和省委十项规定。</w:t>
      </w:r>
    </w:p>
    <w:p>
      <w:pPr>
        <w:spacing w:line="580" w:lineRule="exact"/>
        <w:ind w:firstLine="640" w:firstLineChars="200"/>
        <w:rPr>
          <w:rFonts w:ascii="仿宋" w:hAnsi="仿宋" w:eastAsia="仿宋"/>
          <w:sz w:val="32"/>
          <w:szCs w:val="32"/>
        </w:rPr>
      </w:pPr>
      <w:r>
        <w:rPr>
          <w:rFonts w:ascii="仿宋" w:hAnsi="仿宋" w:eastAsia="仿宋" w:cs="仿宋"/>
          <w:sz w:val="32"/>
          <w:szCs w:val="32"/>
        </w:rPr>
        <w:t>3</w:t>
      </w:r>
      <w:r>
        <w:rPr>
          <w:rFonts w:hint="eastAsia" w:ascii="仿宋" w:hAnsi="仿宋" w:eastAsia="仿宋" w:cs="仿宋"/>
          <w:sz w:val="32"/>
          <w:szCs w:val="32"/>
        </w:rPr>
        <w:t>、项目绩效</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该项目</w:t>
      </w:r>
      <w:r>
        <w:rPr>
          <w:rFonts w:ascii="仿宋" w:hAnsi="仿宋" w:eastAsia="仿宋"/>
          <w:sz w:val="32"/>
          <w:szCs w:val="32"/>
        </w:rPr>
        <w:t>2017</w:t>
      </w:r>
      <w:r>
        <w:rPr>
          <w:rFonts w:hint="eastAsia" w:ascii="仿宋" w:hAnsi="仿宋" w:eastAsia="仿宋" w:cs="FZFangSong-Z02"/>
          <w:sz w:val="32"/>
          <w:szCs w:val="32"/>
        </w:rPr>
        <w:t>年</w:t>
      </w:r>
      <w:r>
        <w:rPr>
          <w:rFonts w:ascii="仿宋" w:hAnsi="仿宋" w:eastAsia="仿宋"/>
          <w:sz w:val="32"/>
          <w:szCs w:val="32"/>
        </w:rPr>
        <w:t>12</w:t>
      </w:r>
      <w:r>
        <w:rPr>
          <w:rFonts w:hint="eastAsia" w:ascii="仿宋" w:hAnsi="仿宋" w:eastAsia="仿宋" w:cs="FZFangSong-Z02"/>
          <w:sz w:val="32"/>
          <w:szCs w:val="32"/>
        </w:rPr>
        <w:t>月</w:t>
      </w:r>
      <w:r>
        <w:rPr>
          <w:rFonts w:ascii="仿宋" w:hAnsi="仿宋" w:eastAsia="仿宋"/>
          <w:sz w:val="32"/>
          <w:szCs w:val="32"/>
        </w:rPr>
        <w:t>6</w:t>
      </w:r>
      <w:r>
        <w:rPr>
          <w:rFonts w:ascii="仿宋" w:hAnsi="仿宋" w:eastAsia="仿宋" w:cs="FZFangSong-Z02"/>
          <w:sz w:val="32"/>
          <w:szCs w:val="32"/>
        </w:rPr>
        <w:t>—</w:t>
      </w:r>
      <w:r>
        <w:rPr>
          <w:rFonts w:ascii="仿宋" w:hAnsi="仿宋" w:eastAsia="仿宋"/>
          <w:sz w:val="32"/>
          <w:szCs w:val="32"/>
        </w:rPr>
        <w:t>7</w:t>
      </w:r>
      <w:r>
        <w:rPr>
          <w:rFonts w:hint="eastAsia" w:ascii="仿宋" w:hAnsi="仿宋" w:eastAsia="仿宋" w:cs="FZFangSong-Z02"/>
          <w:sz w:val="32"/>
          <w:szCs w:val="32"/>
        </w:rPr>
        <w:t>日</w:t>
      </w:r>
      <w:r>
        <w:rPr>
          <w:rFonts w:hint="eastAsia" w:ascii="FZFangSong-Z02" w:eastAsia="FZFangSong-Z02" w:cs="FZFangSong-Z02"/>
          <w:sz w:val="33"/>
          <w:szCs w:val="33"/>
        </w:rPr>
        <w:t>在四川省攀枝花市举办。项目审计</w:t>
      </w:r>
      <w:r>
        <w:rPr>
          <w:rFonts w:hint="eastAsia" w:ascii="仿宋" w:hAnsi="仿宋" w:eastAsia="仿宋" w:cs="仿宋"/>
          <w:sz w:val="32"/>
          <w:szCs w:val="32"/>
        </w:rPr>
        <w:t>在</w:t>
      </w:r>
      <w:r>
        <w:rPr>
          <w:rFonts w:ascii="仿宋" w:hAnsi="仿宋" w:eastAsia="仿宋" w:cs="仿宋"/>
          <w:sz w:val="32"/>
          <w:szCs w:val="32"/>
        </w:rPr>
        <w:t>2018</w:t>
      </w:r>
      <w:r>
        <w:rPr>
          <w:rFonts w:hint="eastAsia" w:ascii="仿宋" w:hAnsi="仿宋" w:eastAsia="仿宋" w:cs="仿宋"/>
          <w:sz w:val="32"/>
          <w:szCs w:val="32"/>
        </w:rPr>
        <w:t>年</w:t>
      </w:r>
      <w:r>
        <w:rPr>
          <w:rFonts w:ascii="仿宋" w:hAnsi="仿宋" w:eastAsia="仿宋" w:cs="仿宋"/>
          <w:sz w:val="32"/>
          <w:szCs w:val="32"/>
        </w:rPr>
        <w:t>12</w:t>
      </w:r>
      <w:r>
        <w:rPr>
          <w:rFonts w:hint="eastAsia" w:ascii="仿宋" w:hAnsi="仿宋" w:eastAsia="仿宋" w:cs="仿宋"/>
          <w:sz w:val="32"/>
          <w:szCs w:val="32"/>
        </w:rPr>
        <w:t>月以前全面完成。绩效指标达到预期设定的目标值，绩效目标完成较好。各项项目效益指标均达标，较大的提升了城市形象。</w:t>
      </w:r>
    </w:p>
    <w:p>
      <w:pPr>
        <w:spacing w:line="580" w:lineRule="exact"/>
        <w:ind w:firstLine="640" w:firstLineChars="200"/>
        <w:rPr>
          <w:rFonts w:ascii="仿宋" w:hAnsi="仿宋" w:eastAsia="仿宋" w:cs="仿宋"/>
          <w:sz w:val="32"/>
          <w:szCs w:val="32"/>
        </w:rPr>
      </w:pPr>
      <w:r>
        <w:rPr>
          <w:rFonts w:hint="eastAsia" w:ascii="仿宋" w:hAnsi="仿宋" w:eastAsia="仿宋" w:cs="仿宋"/>
          <w:sz w:val="32"/>
          <w:szCs w:val="32"/>
        </w:rPr>
        <w:t>三、存在主要问题</w:t>
      </w:r>
    </w:p>
    <w:p>
      <w:pPr>
        <w:spacing w:line="580" w:lineRule="exact"/>
        <w:ind w:firstLine="640" w:firstLineChars="200"/>
        <w:rPr>
          <w:rFonts w:ascii="仿宋" w:hAnsi="仿宋" w:eastAsia="仿宋"/>
          <w:sz w:val="32"/>
          <w:szCs w:val="32"/>
        </w:rPr>
      </w:pPr>
      <w:r>
        <w:rPr>
          <w:rFonts w:hint="eastAsia" w:ascii="仿宋" w:hAnsi="仿宋" w:eastAsia="仿宋"/>
          <w:sz w:val="32"/>
          <w:szCs w:val="32"/>
        </w:rPr>
        <w:t>需提升相关科室绩效运行监控管理机制，认真做好绩效监控工作，确保达到预期效果。</w:t>
      </w:r>
    </w:p>
    <w:p>
      <w:pPr>
        <w:numPr>
          <w:ilvl w:val="0"/>
          <w:numId w:val="6"/>
        </w:numPr>
        <w:spacing w:line="580" w:lineRule="exact"/>
        <w:rPr>
          <w:rFonts w:ascii="仿宋" w:hAnsi="仿宋" w:eastAsia="仿宋" w:cs="仿宋"/>
          <w:sz w:val="32"/>
          <w:szCs w:val="32"/>
        </w:rPr>
      </w:pPr>
      <w:r>
        <w:rPr>
          <w:rFonts w:hint="eastAsia" w:ascii="仿宋" w:hAnsi="仿宋" w:eastAsia="仿宋" w:cs="仿宋"/>
          <w:sz w:val="32"/>
          <w:szCs w:val="32"/>
        </w:rPr>
        <w:t>相关措施建议</w:t>
      </w:r>
    </w:p>
    <w:p>
      <w:pPr>
        <w:spacing w:line="580" w:lineRule="exact"/>
        <w:ind w:left="640" w:leftChars="305"/>
        <w:jc w:val="left"/>
        <w:rPr>
          <w:rFonts w:ascii="仿宋" w:hAnsi="仿宋" w:eastAsia="仿宋" w:cs="仿宋"/>
          <w:sz w:val="32"/>
          <w:szCs w:val="32"/>
        </w:rPr>
      </w:pPr>
      <w:r>
        <w:rPr>
          <w:rFonts w:hint="eastAsia" w:ascii="仿宋" w:hAnsi="仿宋" w:eastAsia="仿宋" w:cs="仿宋"/>
          <w:sz w:val="32"/>
          <w:szCs w:val="32"/>
        </w:rPr>
        <w:t>建议财政部门加强对项目资金拨付力度，确保项目目标绩效更高质量完成。</w:t>
      </w:r>
    </w:p>
    <w:p>
      <w:pPr>
        <w:spacing w:line="580" w:lineRule="exact"/>
        <w:ind w:firstLine="640" w:firstLineChars="200"/>
        <w:rPr>
          <w:rStyle w:val="17"/>
          <w:rFonts w:ascii="仿宋" w:hAnsi="仿宋" w:eastAsia="仿宋"/>
          <w:b w:val="0"/>
          <w:bCs w:val="0"/>
          <w:sz w:val="32"/>
          <w:szCs w:val="32"/>
        </w:rPr>
      </w:pPr>
    </w:p>
    <w:p>
      <w:pPr>
        <w:spacing w:line="580" w:lineRule="exact"/>
        <w:ind w:firstLine="640" w:firstLineChars="200"/>
        <w:rPr>
          <w:rFonts w:ascii="仿宋_GB2312" w:hAnsi="仿宋_GB2312" w:eastAsia="仿宋_GB2312" w:cs="仿宋_GB2312"/>
          <w:sz w:val="32"/>
          <w:szCs w:val="32"/>
        </w:rPr>
      </w:pPr>
    </w:p>
    <w:p>
      <w:pPr>
        <w:spacing w:line="600" w:lineRule="exact"/>
        <w:jc w:val="center"/>
        <w:outlineLvl w:val="0"/>
        <w:rPr>
          <w:rStyle w:val="17"/>
          <w:rFonts w:ascii="黑体" w:hAnsi="黑体" w:eastAsia="黑体"/>
          <w:b w:val="0"/>
        </w:rPr>
      </w:pPr>
      <w:bookmarkStart w:id="62" w:name="_Toc15396618"/>
      <w:r>
        <w:rPr>
          <w:rFonts w:hint="eastAsia" w:ascii="黑体" w:hAnsi="黑体" w:eastAsia="黑体"/>
          <w:color w:val="000000"/>
          <w:sz w:val="44"/>
          <w:szCs w:val="44"/>
        </w:rPr>
        <w:t>第</w:t>
      </w:r>
      <w:r>
        <w:rPr>
          <w:rStyle w:val="17"/>
          <w:rFonts w:hint="eastAsia" w:ascii="黑体" w:hAnsi="黑体" w:eastAsia="黑体"/>
          <w:b w:val="0"/>
        </w:rPr>
        <w:t>五部分</w:t>
      </w:r>
      <w:r>
        <w:rPr>
          <w:rStyle w:val="17"/>
          <w:rFonts w:ascii="黑体" w:hAnsi="黑体" w:eastAsia="黑体"/>
          <w:b w:val="0"/>
        </w:rPr>
        <w:t xml:space="preserve"> </w:t>
      </w:r>
      <w:r>
        <w:rPr>
          <w:rStyle w:val="17"/>
          <w:rFonts w:hint="eastAsia" w:ascii="黑体" w:hAnsi="黑体" w:eastAsia="黑体"/>
          <w:b w:val="0"/>
        </w:rPr>
        <w:t>附表</w:t>
      </w:r>
      <w:bookmarkEnd w:id="57"/>
      <w:bookmarkEnd w:id="62"/>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3" w:name="_Toc15396619"/>
      <w:r>
        <w:rPr>
          <w:rFonts w:hint="eastAsia" w:ascii="仿宋" w:hAnsi="仿宋" w:eastAsia="仿宋"/>
          <w:b w:val="0"/>
          <w:color w:val="000000"/>
        </w:rPr>
        <w:t>一、收</w:t>
      </w:r>
      <w:r>
        <w:rPr>
          <w:rStyle w:val="18"/>
          <w:rFonts w:hint="eastAsia" w:ascii="仿宋" w:hAnsi="仿宋" w:eastAsia="仿宋"/>
          <w:b w:val="0"/>
          <w:bCs w:val="0"/>
        </w:rPr>
        <w:t>入支出决算总表</w:t>
      </w:r>
      <w:bookmarkEnd w:id="63"/>
    </w:p>
    <w:p>
      <w:pPr>
        <w:pStyle w:val="3"/>
        <w:rPr>
          <w:rFonts w:ascii="仿宋" w:hAnsi="仿宋" w:eastAsia="仿宋"/>
          <w:color w:val="000000"/>
        </w:rPr>
      </w:pPr>
      <w:bookmarkStart w:id="64" w:name="_Toc15396620"/>
      <w:r>
        <w:rPr>
          <w:rFonts w:hint="eastAsia" w:ascii="仿宋" w:hAnsi="仿宋" w:eastAsia="仿宋"/>
          <w:b w:val="0"/>
          <w:color w:val="000000"/>
        </w:rPr>
        <w:t>二、收</w:t>
      </w:r>
      <w:r>
        <w:rPr>
          <w:rStyle w:val="18"/>
          <w:rFonts w:hint="eastAsia" w:ascii="仿宋" w:hAnsi="仿宋" w:eastAsia="仿宋"/>
          <w:b w:val="0"/>
          <w:bCs w:val="0"/>
        </w:rPr>
        <w:t>入总表</w:t>
      </w:r>
      <w:bookmarkEnd w:id="64"/>
    </w:p>
    <w:p>
      <w:pPr>
        <w:pStyle w:val="3"/>
        <w:rPr>
          <w:rFonts w:ascii="仿宋" w:hAnsi="仿宋" w:eastAsia="仿宋"/>
          <w:color w:val="000000"/>
        </w:rPr>
      </w:pPr>
      <w:bookmarkStart w:id="65" w:name="_Toc15396621"/>
      <w:r>
        <w:rPr>
          <w:rStyle w:val="18"/>
          <w:rFonts w:hint="eastAsia" w:ascii="仿宋" w:hAnsi="仿宋" w:eastAsia="仿宋"/>
          <w:b w:val="0"/>
          <w:bCs w:val="0"/>
        </w:rPr>
        <w:t>三、</w:t>
      </w:r>
      <w:r>
        <w:rPr>
          <w:rFonts w:hint="eastAsia" w:ascii="仿宋" w:hAnsi="仿宋" w:eastAsia="仿宋"/>
          <w:b w:val="0"/>
          <w:color w:val="000000"/>
        </w:rPr>
        <w:t>支</w:t>
      </w:r>
      <w:r>
        <w:rPr>
          <w:rStyle w:val="18"/>
          <w:rFonts w:hint="eastAsia" w:ascii="仿宋" w:hAnsi="仿宋" w:eastAsia="仿宋"/>
          <w:b w:val="0"/>
          <w:bCs w:val="0"/>
        </w:rPr>
        <w:t>出总表</w:t>
      </w:r>
      <w:bookmarkEnd w:id="65"/>
    </w:p>
    <w:p>
      <w:pPr>
        <w:pStyle w:val="3"/>
        <w:rPr>
          <w:rFonts w:ascii="仿宋" w:hAnsi="仿宋" w:eastAsia="仿宋"/>
          <w:b w:val="0"/>
          <w:color w:val="000000"/>
        </w:rPr>
      </w:pPr>
      <w:bookmarkStart w:id="66" w:name="_Toc15396622"/>
      <w:r>
        <w:rPr>
          <w:rStyle w:val="18"/>
          <w:rFonts w:hint="eastAsia" w:ascii="仿宋" w:hAnsi="仿宋" w:eastAsia="仿宋"/>
          <w:b w:val="0"/>
          <w:bCs w:val="0"/>
        </w:rPr>
        <w:t>四、</w:t>
      </w:r>
      <w:r>
        <w:rPr>
          <w:rFonts w:hint="eastAsia" w:ascii="仿宋" w:hAnsi="仿宋" w:eastAsia="仿宋"/>
          <w:b w:val="0"/>
          <w:color w:val="000000"/>
        </w:rPr>
        <w:t>财</w:t>
      </w:r>
      <w:r>
        <w:rPr>
          <w:rStyle w:val="18"/>
          <w:rFonts w:hint="eastAsia" w:ascii="仿宋" w:hAnsi="仿宋" w:eastAsia="仿宋"/>
          <w:b w:val="0"/>
          <w:bCs w:val="0"/>
        </w:rPr>
        <w:t>政拨款收入支出决算总表</w:t>
      </w:r>
      <w:bookmarkEnd w:id="66"/>
    </w:p>
    <w:p>
      <w:pPr>
        <w:pStyle w:val="3"/>
        <w:rPr>
          <w:rFonts w:ascii="仿宋" w:hAnsi="仿宋" w:eastAsia="仿宋"/>
          <w:color w:val="000000"/>
        </w:rPr>
      </w:pPr>
      <w:bookmarkStart w:id="67" w:name="_Toc15396623"/>
      <w:r>
        <w:rPr>
          <w:rStyle w:val="18"/>
          <w:rFonts w:hint="eastAsia" w:ascii="仿宋" w:hAnsi="仿宋" w:eastAsia="仿宋"/>
          <w:b w:val="0"/>
          <w:bCs w:val="0"/>
        </w:rPr>
        <w:t>五、</w:t>
      </w:r>
      <w:r>
        <w:rPr>
          <w:rFonts w:hint="eastAsia" w:ascii="仿宋" w:hAnsi="仿宋" w:eastAsia="仿宋"/>
          <w:b w:val="0"/>
          <w:color w:val="000000"/>
        </w:rPr>
        <w:t>财</w:t>
      </w:r>
      <w:r>
        <w:rPr>
          <w:rStyle w:val="18"/>
          <w:rFonts w:hint="eastAsia" w:ascii="仿宋" w:hAnsi="仿宋" w:eastAsia="仿宋"/>
          <w:b w:val="0"/>
          <w:bCs w:val="0"/>
        </w:rPr>
        <w:t>政拨款支出决算明细表（政府经济分类科目）</w:t>
      </w:r>
      <w:bookmarkEnd w:id="67"/>
    </w:p>
    <w:p>
      <w:pPr>
        <w:pStyle w:val="3"/>
        <w:rPr>
          <w:rFonts w:ascii="仿宋" w:hAnsi="仿宋" w:eastAsia="仿宋"/>
          <w:color w:val="000000"/>
        </w:rPr>
      </w:pPr>
      <w:bookmarkStart w:id="68" w:name="_Toc15396624"/>
      <w:r>
        <w:rPr>
          <w:rStyle w:val="18"/>
          <w:rFonts w:hint="eastAsia" w:ascii="仿宋" w:hAnsi="仿宋" w:eastAsia="仿宋"/>
          <w:b w:val="0"/>
          <w:bCs w:val="0"/>
        </w:rPr>
        <w:t>六、</w:t>
      </w:r>
      <w:r>
        <w:rPr>
          <w:rFonts w:hint="eastAsia" w:ascii="仿宋" w:hAnsi="仿宋" w:eastAsia="仿宋"/>
          <w:b w:val="0"/>
          <w:color w:val="000000"/>
        </w:rPr>
        <w:t>一</w:t>
      </w:r>
      <w:r>
        <w:rPr>
          <w:rStyle w:val="18"/>
          <w:rFonts w:hint="eastAsia" w:ascii="仿宋" w:hAnsi="仿宋" w:eastAsia="仿宋"/>
          <w:b w:val="0"/>
          <w:bCs w:val="0"/>
        </w:rPr>
        <w:t>般公共预算财政拨款支出决算表</w:t>
      </w:r>
      <w:bookmarkEnd w:id="68"/>
    </w:p>
    <w:p>
      <w:pPr>
        <w:pStyle w:val="3"/>
        <w:rPr>
          <w:rFonts w:ascii="仿宋" w:hAnsi="仿宋" w:eastAsia="仿宋"/>
          <w:color w:val="000000"/>
        </w:rPr>
      </w:pPr>
      <w:bookmarkStart w:id="69" w:name="_Toc15396625"/>
      <w:r>
        <w:rPr>
          <w:rStyle w:val="18"/>
          <w:rFonts w:hint="eastAsia" w:ascii="仿宋" w:hAnsi="仿宋" w:eastAsia="仿宋"/>
          <w:b w:val="0"/>
          <w:bCs w:val="0"/>
        </w:rPr>
        <w:t>七、</w:t>
      </w:r>
      <w:r>
        <w:rPr>
          <w:rFonts w:hint="eastAsia" w:ascii="仿宋" w:hAnsi="仿宋" w:eastAsia="仿宋"/>
          <w:b w:val="0"/>
          <w:color w:val="000000"/>
        </w:rPr>
        <w:t>一</w:t>
      </w:r>
      <w:r>
        <w:rPr>
          <w:rStyle w:val="18"/>
          <w:rFonts w:hint="eastAsia" w:ascii="仿宋" w:hAnsi="仿宋" w:eastAsia="仿宋"/>
          <w:b w:val="0"/>
          <w:bCs w:val="0"/>
        </w:rPr>
        <w:t>般公共预算财政拨款支出决算明细表</w:t>
      </w:r>
      <w:bookmarkEnd w:id="69"/>
    </w:p>
    <w:p>
      <w:pPr>
        <w:pStyle w:val="3"/>
        <w:rPr>
          <w:rFonts w:ascii="仿宋" w:hAnsi="仿宋" w:eastAsia="仿宋"/>
          <w:color w:val="000000"/>
        </w:rPr>
      </w:pPr>
      <w:bookmarkStart w:id="70" w:name="_Toc15396626"/>
      <w:r>
        <w:rPr>
          <w:rStyle w:val="18"/>
          <w:rFonts w:hint="eastAsia" w:ascii="仿宋" w:hAnsi="仿宋" w:eastAsia="仿宋"/>
          <w:b w:val="0"/>
          <w:bCs w:val="0"/>
        </w:rPr>
        <w:t>八、</w:t>
      </w:r>
      <w:r>
        <w:rPr>
          <w:rFonts w:hint="eastAsia" w:ascii="仿宋" w:hAnsi="仿宋" w:eastAsia="仿宋"/>
          <w:b w:val="0"/>
          <w:color w:val="000000"/>
        </w:rPr>
        <w:t>一</w:t>
      </w:r>
      <w:r>
        <w:rPr>
          <w:rStyle w:val="18"/>
          <w:rFonts w:hint="eastAsia" w:ascii="仿宋" w:hAnsi="仿宋" w:eastAsia="仿宋"/>
          <w:b w:val="0"/>
          <w:bCs w:val="0"/>
        </w:rPr>
        <w:t>般公共预算财政拨款基本支出决算表</w:t>
      </w:r>
      <w:bookmarkEnd w:id="70"/>
    </w:p>
    <w:p>
      <w:pPr>
        <w:pStyle w:val="3"/>
        <w:rPr>
          <w:rFonts w:ascii="仿宋" w:hAnsi="仿宋" w:eastAsia="仿宋"/>
          <w:color w:val="000000"/>
        </w:rPr>
      </w:pPr>
      <w:bookmarkStart w:id="71" w:name="_Toc15396627"/>
      <w:r>
        <w:rPr>
          <w:rStyle w:val="18"/>
          <w:rFonts w:hint="eastAsia" w:ascii="仿宋" w:hAnsi="仿宋" w:eastAsia="仿宋"/>
          <w:b w:val="0"/>
          <w:bCs w:val="0"/>
        </w:rPr>
        <w:t>九、</w:t>
      </w:r>
      <w:r>
        <w:rPr>
          <w:rFonts w:hint="eastAsia" w:ascii="仿宋" w:hAnsi="仿宋" w:eastAsia="仿宋"/>
          <w:b w:val="0"/>
          <w:color w:val="000000"/>
        </w:rPr>
        <w:t>一</w:t>
      </w:r>
      <w:r>
        <w:rPr>
          <w:rStyle w:val="18"/>
          <w:rFonts w:hint="eastAsia" w:ascii="仿宋" w:hAnsi="仿宋" w:eastAsia="仿宋"/>
          <w:b w:val="0"/>
          <w:bCs w:val="0"/>
        </w:rPr>
        <w:t>般公共预算财政拨款项目支出决算表</w:t>
      </w:r>
      <w:bookmarkEnd w:id="71"/>
    </w:p>
    <w:p>
      <w:pPr>
        <w:pStyle w:val="3"/>
        <w:rPr>
          <w:rFonts w:ascii="仿宋" w:hAnsi="仿宋" w:eastAsia="仿宋"/>
          <w:color w:val="000000"/>
        </w:rPr>
      </w:pPr>
      <w:bookmarkStart w:id="72" w:name="_Toc15396628"/>
      <w:r>
        <w:rPr>
          <w:rStyle w:val="18"/>
          <w:rFonts w:hint="eastAsia" w:ascii="仿宋" w:hAnsi="仿宋" w:eastAsia="仿宋"/>
          <w:b w:val="0"/>
          <w:bCs w:val="0"/>
        </w:rPr>
        <w:t>十、</w:t>
      </w:r>
      <w:r>
        <w:rPr>
          <w:rFonts w:hint="eastAsia" w:ascii="仿宋" w:hAnsi="仿宋" w:eastAsia="仿宋"/>
          <w:b w:val="0"/>
          <w:color w:val="000000"/>
        </w:rPr>
        <w:t>一</w:t>
      </w:r>
      <w:r>
        <w:rPr>
          <w:rStyle w:val="18"/>
          <w:rFonts w:hint="eastAsia" w:ascii="仿宋" w:hAnsi="仿宋" w:eastAsia="仿宋"/>
          <w:b w:val="0"/>
          <w:bCs w:val="0"/>
        </w:rPr>
        <w:t>般公共预算财政拨款“三公”经费支出决算表</w:t>
      </w:r>
      <w:bookmarkEnd w:id="72"/>
    </w:p>
    <w:p>
      <w:pPr>
        <w:pStyle w:val="3"/>
        <w:rPr>
          <w:rFonts w:ascii="仿宋" w:hAnsi="仿宋" w:eastAsia="仿宋"/>
          <w:color w:val="000000"/>
        </w:rPr>
      </w:pPr>
      <w:bookmarkStart w:id="73" w:name="_Toc15396629"/>
      <w:r>
        <w:rPr>
          <w:rStyle w:val="18"/>
          <w:rFonts w:hint="eastAsia" w:ascii="仿宋" w:hAnsi="仿宋" w:eastAsia="仿宋"/>
          <w:b w:val="0"/>
          <w:bCs w:val="0"/>
        </w:rPr>
        <w:t>十一、</w:t>
      </w:r>
      <w:r>
        <w:rPr>
          <w:rFonts w:hint="eastAsia" w:ascii="仿宋" w:hAnsi="仿宋" w:eastAsia="仿宋"/>
          <w:b w:val="0"/>
          <w:color w:val="000000"/>
        </w:rPr>
        <w:t>政</w:t>
      </w:r>
      <w:r>
        <w:rPr>
          <w:rStyle w:val="18"/>
          <w:rFonts w:hint="eastAsia" w:ascii="仿宋" w:hAnsi="仿宋" w:eastAsia="仿宋"/>
          <w:b w:val="0"/>
          <w:bCs w:val="0"/>
        </w:rPr>
        <w:t>府性基金预算财政拨款收入支出决算表</w:t>
      </w:r>
      <w:bookmarkEnd w:id="73"/>
      <w:r>
        <w:rPr>
          <w:rStyle w:val="18"/>
          <w:rFonts w:hint="eastAsia" w:ascii="仿宋" w:hAnsi="仿宋" w:eastAsia="仿宋"/>
          <w:b w:val="0"/>
          <w:bCs w:val="0"/>
        </w:rPr>
        <w:t>（此表无数据）</w:t>
      </w:r>
    </w:p>
    <w:p>
      <w:pPr>
        <w:pStyle w:val="3"/>
        <w:rPr>
          <w:rFonts w:ascii="仿宋" w:hAnsi="仿宋" w:eastAsia="仿宋"/>
          <w:color w:val="000000"/>
        </w:rPr>
      </w:pPr>
      <w:bookmarkStart w:id="74" w:name="_Toc15396630"/>
      <w:r>
        <w:rPr>
          <w:rStyle w:val="18"/>
          <w:rFonts w:hint="eastAsia" w:ascii="仿宋" w:hAnsi="仿宋" w:eastAsia="仿宋"/>
          <w:b w:val="0"/>
          <w:bCs w:val="0"/>
        </w:rPr>
        <w:t>十二、</w:t>
      </w:r>
      <w:r>
        <w:rPr>
          <w:rFonts w:hint="eastAsia" w:ascii="仿宋" w:hAnsi="仿宋" w:eastAsia="仿宋"/>
          <w:b w:val="0"/>
          <w:color w:val="000000"/>
        </w:rPr>
        <w:t>政</w:t>
      </w:r>
      <w:r>
        <w:rPr>
          <w:rStyle w:val="18"/>
          <w:rFonts w:hint="eastAsia" w:ascii="仿宋" w:hAnsi="仿宋" w:eastAsia="仿宋"/>
          <w:b w:val="0"/>
          <w:bCs w:val="0"/>
        </w:rPr>
        <w:t>府性基金预算财政拨款“三公”经费支出决算表</w:t>
      </w:r>
      <w:bookmarkEnd w:id="74"/>
      <w:r>
        <w:rPr>
          <w:rStyle w:val="18"/>
          <w:rFonts w:hint="eastAsia" w:ascii="仿宋" w:hAnsi="仿宋" w:eastAsia="仿宋"/>
          <w:b w:val="0"/>
          <w:bCs w:val="0"/>
        </w:rPr>
        <w:t>（此表无数据）</w:t>
      </w:r>
    </w:p>
    <w:p>
      <w:pPr>
        <w:pStyle w:val="3"/>
        <w:rPr>
          <w:rFonts w:ascii="仿宋" w:hAnsi="仿宋" w:eastAsia="仿宋"/>
          <w:color w:val="000000"/>
        </w:rPr>
      </w:pPr>
    </w:p>
    <w:p>
      <w:pPr>
        <w:pStyle w:val="3"/>
        <w:rPr>
          <w:rFonts w:ascii="仿宋" w:hAnsi="仿宋" w:eastAsia="仿宋"/>
          <w:color w:val="000000"/>
        </w:rPr>
      </w:pPr>
      <w:bookmarkStart w:id="75" w:name="_Toc15396631"/>
      <w:r>
        <w:rPr>
          <w:rStyle w:val="18"/>
          <w:rFonts w:hint="eastAsia" w:ascii="仿宋" w:hAnsi="仿宋" w:eastAsia="仿宋"/>
          <w:b w:val="0"/>
          <w:bCs w:val="0"/>
        </w:rPr>
        <w:t>十三、</w:t>
      </w:r>
      <w:r>
        <w:rPr>
          <w:rFonts w:hint="eastAsia" w:ascii="仿宋" w:hAnsi="仿宋" w:eastAsia="仿宋"/>
          <w:b w:val="0"/>
          <w:color w:val="000000"/>
        </w:rPr>
        <w:t>国</w:t>
      </w:r>
      <w:r>
        <w:rPr>
          <w:rStyle w:val="18"/>
          <w:rFonts w:hint="eastAsia" w:ascii="仿宋" w:hAnsi="仿宋" w:eastAsia="仿宋"/>
          <w:b w:val="0"/>
          <w:bCs w:val="0"/>
        </w:rPr>
        <w:t>有资本经营预算支出决算表</w:t>
      </w:r>
      <w:bookmarkEnd w:id="75"/>
      <w:r>
        <w:rPr>
          <w:rStyle w:val="18"/>
          <w:rFonts w:hint="eastAsia" w:ascii="仿宋" w:hAnsi="仿宋" w:eastAsia="仿宋"/>
          <w:b w:val="0"/>
          <w:bCs w:val="0"/>
        </w:rPr>
        <w:t>（此表无数据）</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A00002BF" w:usb1="38CF7CFA" w:usb2="00082016" w:usb3="00000000" w:csb0="00040001"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altName w:val="Droid Sans"/>
    <w:panose1 w:val="020B0604030504040204"/>
    <w:charset w:val="00"/>
    <w:family w:val="swiss"/>
    <w:pitch w:val="default"/>
    <w:sig w:usb0="00000000" w:usb1="00000000" w:usb2="00000029" w:usb3="00000000" w:csb0="200101FF" w:csb1="20280000"/>
  </w:font>
  <w:font w:name="Droid Sans">
    <w:panose1 w:val="020B0606030804020204"/>
    <w:charset w:val="00"/>
    <w:family w:val="auto"/>
    <w:pitch w:val="default"/>
    <w:sig w:usb0="E00002EF" w:usb1="4000205B" w:usb2="00000028" w:usb3="00000000" w:csb0="2000019F" w:csb1="00000000"/>
  </w:font>
  <w:font w:name="方正小标宋简体">
    <w:altName w:val="方正小标宋_GBK"/>
    <w:panose1 w:val="02000000000000000000"/>
    <w:charset w:val="86"/>
    <w:family w:val="script"/>
    <w:pitch w:val="default"/>
    <w:sig w:usb0="00000000" w:usb1="00000000" w:usb2="00000012" w:usb3="00000000" w:csb0="00040001" w:csb1="00000000"/>
  </w:font>
  <w:font w:name="方正小标宋_GBK">
    <w:panose1 w:val="02000000000000000000"/>
    <w:charset w:val="86"/>
    <w:family w:val="auto"/>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 w:name="仿宋_GB2312-WinCharSetFFFF-H">
    <w:altName w:val="方正仿宋_GBK"/>
    <w:panose1 w:val="00000000000000000000"/>
    <w:charset w:val="86"/>
    <w:family w:val="auto"/>
    <w:pitch w:val="default"/>
    <w:sig w:usb0="00000000" w:usb1="00000000" w:usb2="00000010" w:usb3="00000000" w:csb0="00040000" w:csb1="00000000"/>
  </w:font>
  <w:font w:name="方正仿宋_GBK">
    <w:panose1 w:val="02000000000000000000"/>
    <w:charset w:val="86"/>
    <w:family w:val="auto"/>
    <w:pitch w:val="default"/>
    <w:sig w:usb0="A00002BF" w:usb1="38CF7CFA" w:usb2="00082016" w:usb3="00000000" w:csb0="00040001" w:csb1="00000000"/>
  </w:font>
  <w:font w:name="方正小标宋简体-WinCharSetFFFF-H">
    <w:altName w:val="方正小标宋_GBK"/>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中宋">
    <w:altName w:val="方正书宋_GBK"/>
    <w:panose1 w:val="00000000000000000000"/>
    <w:charset w:val="86"/>
    <w:family w:val="auto"/>
    <w:pitch w:val="default"/>
    <w:sig w:usb0="00000000" w:usb1="00000000" w:usb2="00000010" w:usb3="00000000" w:csb0="0004009F" w:csb1="00000000"/>
  </w:font>
  <w:font w:name="FZFangSong-Z02">
    <w:panose1 w:val="02000000000000000000"/>
    <w:charset w:val="86"/>
    <w:family w:val="script"/>
    <w:pitch w:val="default"/>
    <w:sig w:usb0="A00002BF" w:usb1="38CF7CFA" w:usb2="00082016" w:usb3="00000000" w:csb0="00040001" w:csb1="00000000"/>
  </w:font>
  <w:font w:name="FZHei-B01">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41</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1">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2">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4">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abstractNum w:abstractNumId="5">
    <w:nsid w:val="53C72E44"/>
    <w:multiLevelType w:val="multilevel"/>
    <w:tmpl w:val="53C72E44"/>
    <w:lvl w:ilvl="0" w:tentative="0">
      <w:start w:val="4"/>
      <w:numFmt w:val="japaneseCounting"/>
      <w:lvlText w:val="%1、"/>
      <w:lvlJc w:val="left"/>
      <w:pPr>
        <w:tabs>
          <w:tab w:val="left" w:pos="1360"/>
        </w:tabs>
        <w:ind w:left="1360" w:hanging="720"/>
      </w:pPr>
      <w:rPr>
        <w:rFonts w:hint="default" w:cs="Times New Roman"/>
      </w:rPr>
    </w:lvl>
    <w:lvl w:ilvl="1" w:tentative="0">
      <w:start w:val="1"/>
      <w:numFmt w:val="lowerLetter"/>
      <w:lvlText w:val="%2)"/>
      <w:lvlJc w:val="left"/>
      <w:pPr>
        <w:tabs>
          <w:tab w:val="left" w:pos="1480"/>
        </w:tabs>
        <w:ind w:left="1480" w:hanging="420"/>
      </w:pPr>
      <w:rPr>
        <w:rFonts w:cs="Times New Roman"/>
      </w:rPr>
    </w:lvl>
    <w:lvl w:ilvl="2" w:tentative="0">
      <w:start w:val="1"/>
      <w:numFmt w:val="lowerRoman"/>
      <w:lvlText w:val="%3."/>
      <w:lvlJc w:val="right"/>
      <w:pPr>
        <w:tabs>
          <w:tab w:val="left" w:pos="1900"/>
        </w:tabs>
        <w:ind w:left="1900" w:hanging="420"/>
      </w:pPr>
      <w:rPr>
        <w:rFonts w:cs="Times New Roman"/>
      </w:rPr>
    </w:lvl>
    <w:lvl w:ilvl="3" w:tentative="0">
      <w:start w:val="1"/>
      <w:numFmt w:val="decimal"/>
      <w:lvlText w:val="%4."/>
      <w:lvlJc w:val="left"/>
      <w:pPr>
        <w:tabs>
          <w:tab w:val="left" w:pos="2320"/>
        </w:tabs>
        <w:ind w:left="2320" w:hanging="420"/>
      </w:pPr>
      <w:rPr>
        <w:rFonts w:cs="Times New Roman"/>
      </w:rPr>
    </w:lvl>
    <w:lvl w:ilvl="4" w:tentative="0">
      <w:start w:val="1"/>
      <w:numFmt w:val="lowerLetter"/>
      <w:lvlText w:val="%5)"/>
      <w:lvlJc w:val="left"/>
      <w:pPr>
        <w:tabs>
          <w:tab w:val="left" w:pos="2740"/>
        </w:tabs>
        <w:ind w:left="2740" w:hanging="420"/>
      </w:pPr>
      <w:rPr>
        <w:rFonts w:cs="Times New Roman"/>
      </w:rPr>
    </w:lvl>
    <w:lvl w:ilvl="5" w:tentative="0">
      <w:start w:val="1"/>
      <w:numFmt w:val="lowerRoman"/>
      <w:lvlText w:val="%6."/>
      <w:lvlJc w:val="right"/>
      <w:pPr>
        <w:tabs>
          <w:tab w:val="left" w:pos="3160"/>
        </w:tabs>
        <w:ind w:left="3160" w:hanging="420"/>
      </w:pPr>
      <w:rPr>
        <w:rFonts w:cs="Times New Roman"/>
      </w:rPr>
    </w:lvl>
    <w:lvl w:ilvl="6" w:tentative="0">
      <w:start w:val="1"/>
      <w:numFmt w:val="decimal"/>
      <w:lvlText w:val="%7."/>
      <w:lvlJc w:val="left"/>
      <w:pPr>
        <w:tabs>
          <w:tab w:val="left" w:pos="3580"/>
        </w:tabs>
        <w:ind w:left="3580" w:hanging="420"/>
      </w:pPr>
      <w:rPr>
        <w:rFonts w:cs="Times New Roman"/>
      </w:rPr>
    </w:lvl>
    <w:lvl w:ilvl="7" w:tentative="0">
      <w:start w:val="1"/>
      <w:numFmt w:val="lowerLetter"/>
      <w:lvlText w:val="%8)"/>
      <w:lvlJc w:val="left"/>
      <w:pPr>
        <w:tabs>
          <w:tab w:val="left" w:pos="4000"/>
        </w:tabs>
        <w:ind w:left="4000" w:hanging="420"/>
      </w:pPr>
      <w:rPr>
        <w:rFonts w:cs="Times New Roman"/>
      </w:rPr>
    </w:lvl>
    <w:lvl w:ilvl="8" w:tentative="0">
      <w:start w:val="1"/>
      <w:numFmt w:val="lowerRoman"/>
      <w:lvlText w:val="%9."/>
      <w:lvlJc w:val="right"/>
      <w:pPr>
        <w:tabs>
          <w:tab w:val="left" w:pos="4420"/>
        </w:tabs>
        <w:ind w:left="4420" w:hanging="420"/>
      </w:pPr>
      <w:rPr>
        <w:rFonts w:cs="Times New Roman"/>
      </w:r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3EF6"/>
    <w:rsid w:val="0005326E"/>
    <w:rsid w:val="0006487A"/>
    <w:rsid w:val="00065F8F"/>
    <w:rsid w:val="0006643F"/>
    <w:rsid w:val="000768F2"/>
    <w:rsid w:val="00081FC0"/>
    <w:rsid w:val="00084CFE"/>
    <w:rsid w:val="0009184B"/>
    <w:rsid w:val="0009593C"/>
    <w:rsid w:val="000B047F"/>
    <w:rsid w:val="000B5923"/>
    <w:rsid w:val="000B5A48"/>
    <w:rsid w:val="000B6817"/>
    <w:rsid w:val="000B6FF3"/>
    <w:rsid w:val="000C3467"/>
    <w:rsid w:val="000C3CA6"/>
    <w:rsid w:val="000D1267"/>
    <w:rsid w:val="000D1D50"/>
    <w:rsid w:val="000D5782"/>
    <w:rsid w:val="000E6613"/>
    <w:rsid w:val="000E7119"/>
    <w:rsid w:val="00114E9B"/>
    <w:rsid w:val="0014729F"/>
    <w:rsid w:val="00157BAB"/>
    <w:rsid w:val="00164F19"/>
    <w:rsid w:val="001654D1"/>
    <w:rsid w:val="0018106D"/>
    <w:rsid w:val="001877A7"/>
    <w:rsid w:val="00191536"/>
    <w:rsid w:val="00196687"/>
    <w:rsid w:val="001A7EAB"/>
    <w:rsid w:val="001B7B6F"/>
    <w:rsid w:val="001C0962"/>
    <w:rsid w:val="001C0CC3"/>
    <w:rsid w:val="001D7531"/>
    <w:rsid w:val="001E69F8"/>
    <w:rsid w:val="001E737D"/>
    <w:rsid w:val="001F0592"/>
    <w:rsid w:val="001F7506"/>
    <w:rsid w:val="002006CD"/>
    <w:rsid w:val="00202B36"/>
    <w:rsid w:val="00204B7A"/>
    <w:rsid w:val="0021101A"/>
    <w:rsid w:val="00220536"/>
    <w:rsid w:val="00235629"/>
    <w:rsid w:val="00247E5F"/>
    <w:rsid w:val="0025405B"/>
    <w:rsid w:val="00260C38"/>
    <w:rsid w:val="002616C0"/>
    <w:rsid w:val="002662AA"/>
    <w:rsid w:val="002667BD"/>
    <w:rsid w:val="00275D48"/>
    <w:rsid w:val="00280496"/>
    <w:rsid w:val="00294E6B"/>
    <w:rsid w:val="00295495"/>
    <w:rsid w:val="002B2613"/>
    <w:rsid w:val="002F1818"/>
    <w:rsid w:val="002F567B"/>
    <w:rsid w:val="00300820"/>
    <w:rsid w:val="003076C6"/>
    <w:rsid w:val="003216A9"/>
    <w:rsid w:val="00363DD9"/>
    <w:rsid w:val="0037013F"/>
    <w:rsid w:val="00380C92"/>
    <w:rsid w:val="003A484F"/>
    <w:rsid w:val="003B0BE0"/>
    <w:rsid w:val="003B0C1B"/>
    <w:rsid w:val="003B1BB3"/>
    <w:rsid w:val="003B688C"/>
    <w:rsid w:val="003C0291"/>
    <w:rsid w:val="003C39AE"/>
    <w:rsid w:val="003C7B60"/>
    <w:rsid w:val="003D1FB2"/>
    <w:rsid w:val="003D4EEE"/>
    <w:rsid w:val="003D66DA"/>
    <w:rsid w:val="003E1310"/>
    <w:rsid w:val="003E6F55"/>
    <w:rsid w:val="003F7DB6"/>
    <w:rsid w:val="004057A3"/>
    <w:rsid w:val="00406254"/>
    <w:rsid w:val="004223DE"/>
    <w:rsid w:val="00434489"/>
    <w:rsid w:val="00437085"/>
    <w:rsid w:val="00443880"/>
    <w:rsid w:val="004464F4"/>
    <w:rsid w:val="00455614"/>
    <w:rsid w:val="00466534"/>
    <w:rsid w:val="00470EAA"/>
    <w:rsid w:val="00471401"/>
    <w:rsid w:val="00473F31"/>
    <w:rsid w:val="0048263A"/>
    <w:rsid w:val="00487E5D"/>
    <w:rsid w:val="004A711F"/>
    <w:rsid w:val="004B199D"/>
    <w:rsid w:val="004B4690"/>
    <w:rsid w:val="004E0A2D"/>
    <w:rsid w:val="004E206B"/>
    <w:rsid w:val="004E6DF7"/>
    <w:rsid w:val="004F0FBD"/>
    <w:rsid w:val="00505A47"/>
    <w:rsid w:val="00512FDA"/>
    <w:rsid w:val="00513119"/>
    <w:rsid w:val="00520DA0"/>
    <w:rsid w:val="00557A99"/>
    <w:rsid w:val="005664BB"/>
    <w:rsid w:val="0057481D"/>
    <w:rsid w:val="005767EC"/>
    <w:rsid w:val="0058486E"/>
    <w:rsid w:val="005A1857"/>
    <w:rsid w:val="005D1C8B"/>
    <w:rsid w:val="005D5CED"/>
    <w:rsid w:val="005F1A4C"/>
    <w:rsid w:val="005F38DB"/>
    <w:rsid w:val="00605688"/>
    <w:rsid w:val="006070AF"/>
    <w:rsid w:val="00607E6C"/>
    <w:rsid w:val="006101B1"/>
    <w:rsid w:val="00614E44"/>
    <w:rsid w:val="00622830"/>
    <w:rsid w:val="00626214"/>
    <w:rsid w:val="00630AEF"/>
    <w:rsid w:val="006325F8"/>
    <w:rsid w:val="00634C9A"/>
    <w:rsid w:val="00636054"/>
    <w:rsid w:val="0064226A"/>
    <w:rsid w:val="006440E4"/>
    <w:rsid w:val="0066343B"/>
    <w:rsid w:val="00664777"/>
    <w:rsid w:val="00670310"/>
    <w:rsid w:val="006748A4"/>
    <w:rsid w:val="00683E73"/>
    <w:rsid w:val="006852E9"/>
    <w:rsid w:val="006957BE"/>
    <w:rsid w:val="006972E4"/>
    <w:rsid w:val="006A3141"/>
    <w:rsid w:val="006A5E34"/>
    <w:rsid w:val="006B2422"/>
    <w:rsid w:val="006B2B9A"/>
    <w:rsid w:val="006B7CD6"/>
    <w:rsid w:val="006C1937"/>
    <w:rsid w:val="006C62B0"/>
    <w:rsid w:val="006F020C"/>
    <w:rsid w:val="006F70CB"/>
    <w:rsid w:val="0070737B"/>
    <w:rsid w:val="007127B7"/>
    <w:rsid w:val="00716FFB"/>
    <w:rsid w:val="0073149B"/>
    <w:rsid w:val="007416B6"/>
    <w:rsid w:val="00746F48"/>
    <w:rsid w:val="0075404D"/>
    <w:rsid w:val="007617D1"/>
    <w:rsid w:val="0076182A"/>
    <w:rsid w:val="007639C3"/>
    <w:rsid w:val="00767B7E"/>
    <w:rsid w:val="007770C3"/>
    <w:rsid w:val="00784D24"/>
    <w:rsid w:val="00785FBA"/>
    <w:rsid w:val="00786E4A"/>
    <w:rsid w:val="007875EB"/>
    <w:rsid w:val="0079426B"/>
    <w:rsid w:val="007B2F00"/>
    <w:rsid w:val="007C7C7F"/>
    <w:rsid w:val="007D312A"/>
    <w:rsid w:val="007D3F19"/>
    <w:rsid w:val="007D6FC9"/>
    <w:rsid w:val="007E23B0"/>
    <w:rsid w:val="007E55DE"/>
    <w:rsid w:val="007E7DD3"/>
    <w:rsid w:val="007F1991"/>
    <w:rsid w:val="007F2C2F"/>
    <w:rsid w:val="007F55FC"/>
    <w:rsid w:val="007F5665"/>
    <w:rsid w:val="00800112"/>
    <w:rsid w:val="008253BB"/>
    <w:rsid w:val="0083706E"/>
    <w:rsid w:val="008423A5"/>
    <w:rsid w:val="00850625"/>
    <w:rsid w:val="00853718"/>
    <w:rsid w:val="00855221"/>
    <w:rsid w:val="00860645"/>
    <w:rsid w:val="008645EC"/>
    <w:rsid w:val="00871F71"/>
    <w:rsid w:val="00885AF4"/>
    <w:rsid w:val="008939CD"/>
    <w:rsid w:val="008A245F"/>
    <w:rsid w:val="008B768C"/>
    <w:rsid w:val="008C4DB1"/>
    <w:rsid w:val="008C4EAF"/>
    <w:rsid w:val="008C5176"/>
    <w:rsid w:val="008C7FD0"/>
    <w:rsid w:val="008D76D6"/>
    <w:rsid w:val="008E1DE7"/>
    <w:rsid w:val="008E707C"/>
    <w:rsid w:val="00900B08"/>
    <w:rsid w:val="00902155"/>
    <w:rsid w:val="00902FA3"/>
    <w:rsid w:val="00923564"/>
    <w:rsid w:val="0092392E"/>
    <w:rsid w:val="009315F9"/>
    <w:rsid w:val="00946945"/>
    <w:rsid w:val="00951248"/>
    <w:rsid w:val="0095152F"/>
    <w:rsid w:val="00954C49"/>
    <w:rsid w:val="00961B56"/>
    <w:rsid w:val="00963BE4"/>
    <w:rsid w:val="0097099F"/>
    <w:rsid w:val="00971997"/>
    <w:rsid w:val="00971FFC"/>
    <w:rsid w:val="0098660A"/>
    <w:rsid w:val="009931C3"/>
    <w:rsid w:val="009A64E5"/>
    <w:rsid w:val="009B2C43"/>
    <w:rsid w:val="009B4EAE"/>
    <w:rsid w:val="009B7573"/>
    <w:rsid w:val="009C22F4"/>
    <w:rsid w:val="009C2E98"/>
    <w:rsid w:val="009D3447"/>
    <w:rsid w:val="009D4711"/>
    <w:rsid w:val="009F1185"/>
    <w:rsid w:val="009F18CD"/>
    <w:rsid w:val="009F2A13"/>
    <w:rsid w:val="00A04EB0"/>
    <w:rsid w:val="00A13CC1"/>
    <w:rsid w:val="00A16847"/>
    <w:rsid w:val="00A16D08"/>
    <w:rsid w:val="00A237D8"/>
    <w:rsid w:val="00A268C4"/>
    <w:rsid w:val="00A307CD"/>
    <w:rsid w:val="00A34822"/>
    <w:rsid w:val="00A378AC"/>
    <w:rsid w:val="00A40A00"/>
    <w:rsid w:val="00A4142F"/>
    <w:rsid w:val="00A53E8B"/>
    <w:rsid w:val="00A56DF2"/>
    <w:rsid w:val="00A67AB5"/>
    <w:rsid w:val="00A91760"/>
    <w:rsid w:val="00A93B00"/>
    <w:rsid w:val="00A93C21"/>
    <w:rsid w:val="00AA5086"/>
    <w:rsid w:val="00AC3C6A"/>
    <w:rsid w:val="00AC564D"/>
    <w:rsid w:val="00AD5620"/>
    <w:rsid w:val="00AD7C1B"/>
    <w:rsid w:val="00AE16BA"/>
    <w:rsid w:val="00AE1EBE"/>
    <w:rsid w:val="00AF5551"/>
    <w:rsid w:val="00B03C9D"/>
    <w:rsid w:val="00B060AE"/>
    <w:rsid w:val="00B1015D"/>
    <w:rsid w:val="00B10517"/>
    <w:rsid w:val="00B14E76"/>
    <w:rsid w:val="00B15EB6"/>
    <w:rsid w:val="00B161B8"/>
    <w:rsid w:val="00B2048C"/>
    <w:rsid w:val="00B310B9"/>
    <w:rsid w:val="00B35F3F"/>
    <w:rsid w:val="00B36CBB"/>
    <w:rsid w:val="00B40E98"/>
    <w:rsid w:val="00B425E0"/>
    <w:rsid w:val="00B440AA"/>
    <w:rsid w:val="00B44B70"/>
    <w:rsid w:val="00B53C56"/>
    <w:rsid w:val="00B77EA6"/>
    <w:rsid w:val="00B81598"/>
    <w:rsid w:val="00B81E1D"/>
    <w:rsid w:val="00B841F1"/>
    <w:rsid w:val="00B944D6"/>
    <w:rsid w:val="00BB2BFF"/>
    <w:rsid w:val="00BB4DF0"/>
    <w:rsid w:val="00BC289F"/>
    <w:rsid w:val="00BC5361"/>
    <w:rsid w:val="00BC5460"/>
    <w:rsid w:val="00BC6B50"/>
    <w:rsid w:val="00BC6E00"/>
    <w:rsid w:val="00BD0E25"/>
    <w:rsid w:val="00BF5BD6"/>
    <w:rsid w:val="00C03E31"/>
    <w:rsid w:val="00C33E72"/>
    <w:rsid w:val="00C354B2"/>
    <w:rsid w:val="00C35554"/>
    <w:rsid w:val="00C42709"/>
    <w:rsid w:val="00C533CC"/>
    <w:rsid w:val="00C5751C"/>
    <w:rsid w:val="00C61BFC"/>
    <w:rsid w:val="00C62B85"/>
    <w:rsid w:val="00C65438"/>
    <w:rsid w:val="00C91CBB"/>
    <w:rsid w:val="00CB2C98"/>
    <w:rsid w:val="00CC09B6"/>
    <w:rsid w:val="00CC666F"/>
    <w:rsid w:val="00CD1E3F"/>
    <w:rsid w:val="00CE3767"/>
    <w:rsid w:val="00CE44F6"/>
    <w:rsid w:val="00CE49DA"/>
    <w:rsid w:val="00CE7B61"/>
    <w:rsid w:val="00D00095"/>
    <w:rsid w:val="00D20620"/>
    <w:rsid w:val="00D26091"/>
    <w:rsid w:val="00D34E7C"/>
    <w:rsid w:val="00D35489"/>
    <w:rsid w:val="00D51276"/>
    <w:rsid w:val="00D7035F"/>
    <w:rsid w:val="00D7446D"/>
    <w:rsid w:val="00DA65AC"/>
    <w:rsid w:val="00DB1913"/>
    <w:rsid w:val="00DC410D"/>
    <w:rsid w:val="00DC68CA"/>
    <w:rsid w:val="00DC7CBA"/>
    <w:rsid w:val="00DD5969"/>
    <w:rsid w:val="00DD73B7"/>
    <w:rsid w:val="00DE6375"/>
    <w:rsid w:val="00DF28BC"/>
    <w:rsid w:val="00DF2BCE"/>
    <w:rsid w:val="00DF34B9"/>
    <w:rsid w:val="00E01053"/>
    <w:rsid w:val="00E07ACF"/>
    <w:rsid w:val="00E331A1"/>
    <w:rsid w:val="00E33202"/>
    <w:rsid w:val="00E336A9"/>
    <w:rsid w:val="00E50624"/>
    <w:rsid w:val="00E568DF"/>
    <w:rsid w:val="00E64269"/>
    <w:rsid w:val="00E82267"/>
    <w:rsid w:val="00E9351A"/>
    <w:rsid w:val="00EA010F"/>
    <w:rsid w:val="00ED1B63"/>
    <w:rsid w:val="00ED3C1F"/>
    <w:rsid w:val="00ED4085"/>
    <w:rsid w:val="00ED420E"/>
    <w:rsid w:val="00ED4541"/>
    <w:rsid w:val="00EE2F57"/>
    <w:rsid w:val="00EE6FBE"/>
    <w:rsid w:val="00EF4C34"/>
    <w:rsid w:val="00EF77C6"/>
    <w:rsid w:val="00F039AB"/>
    <w:rsid w:val="00F05438"/>
    <w:rsid w:val="00F1361C"/>
    <w:rsid w:val="00F160C7"/>
    <w:rsid w:val="00F2547A"/>
    <w:rsid w:val="00F36D8F"/>
    <w:rsid w:val="00F417B1"/>
    <w:rsid w:val="00F432FB"/>
    <w:rsid w:val="00F602DF"/>
    <w:rsid w:val="00F81FD9"/>
    <w:rsid w:val="00F841AA"/>
    <w:rsid w:val="00FA23E8"/>
    <w:rsid w:val="00FD11AD"/>
    <w:rsid w:val="00FD3CC1"/>
    <w:rsid w:val="00FF1E02"/>
    <w:rsid w:val="00FF30B4"/>
    <w:rsid w:val="046D03FE"/>
    <w:rsid w:val="10C055FF"/>
    <w:rsid w:val="14EA243E"/>
    <w:rsid w:val="16BB723D"/>
    <w:rsid w:val="240371BF"/>
    <w:rsid w:val="29FD04D3"/>
    <w:rsid w:val="319F7F4E"/>
    <w:rsid w:val="593E7228"/>
    <w:rsid w:val="6C481164"/>
    <w:rsid w:val="7FF7782F"/>
    <w:rsid w:val="BBFE559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4">
    <w:name w:val="Default Paragraph Font"/>
    <w:semiHidden/>
    <w:qFormat/>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qFormat/>
    <w:uiPriority w:val="99"/>
    <w:pPr>
      <w:spacing w:beforeLines="30"/>
    </w:pPr>
    <w:rPr>
      <w:rFonts w:ascii="仿宋_GB2312" w:eastAsia="仿宋_GB2312"/>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29"/>
    <w:semiHidden/>
    <w:qFormat/>
    <w:uiPriority w:val="99"/>
    <w:rPr>
      <w:sz w:val="18"/>
      <w:szCs w:val="18"/>
    </w:rPr>
  </w:style>
  <w:style w:type="paragraph" w:styleId="8">
    <w:name w:val="footer"/>
    <w:basedOn w:val="1"/>
    <w:link w:val="24"/>
    <w:qFormat/>
    <w:uiPriority w:val="99"/>
    <w:pPr>
      <w:tabs>
        <w:tab w:val="center" w:pos="4153"/>
        <w:tab w:val="right" w:pos="8306"/>
      </w:tabs>
      <w:snapToGrid w:val="0"/>
      <w:jc w:val="left"/>
    </w:pPr>
    <w:rPr>
      <w:rFonts w:ascii="Calibri" w:hAnsi="Calibri"/>
      <w:kern w:val="0"/>
      <w:sz w:val="18"/>
      <w:szCs w:val="20"/>
    </w:rPr>
  </w:style>
  <w:style w:type="paragraph" w:styleId="9">
    <w:name w:val="header"/>
    <w:basedOn w:val="1"/>
    <w:link w:val="23"/>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paragraph" w:styleId="12">
    <w:name w:val="Body Text First Indent"/>
    <w:basedOn w:val="5"/>
    <w:link w:val="32"/>
    <w:qFormat/>
    <w:uiPriority w:val="99"/>
    <w:pPr>
      <w:spacing w:beforeLines="0" w:after="120"/>
      <w:ind w:firstLine="420" w:firstLineChars="100"/>
    </w:pPr>
    <w:rPr>
      <w:rFonts w:ascii="Times New Roman" w:eastAsia="宋体"/>
      <w:kern w:val="2"/>
      <w:sz w:val="21"/>
    </w:rPr>
  </w:style>
  <w:style w:type="character" w:styleId="15">
    <w:name w:val="Strong"/>
    <w:basedOn w:val="14"/>
    <w:qFormat/>
    <w:uiPriority w:val="99"/>
    <w:rPr>
      <w:rFonts w:cs="Times New Roman"/>
      <w:b/>
    </w:rPr>
  </w:style>
  <w:style w:type="character" w:styleId="16">
    <w:name w:val="Hyperlink"/>
    <w:basedOn w:val="14"/>
    <w:qFormat/>
    <w:uiPriority w:val="99"/>
    <w:rPr>
      <w:rFonts w:cs="Times New Roman"/>
      <w:color w:val="0000FF"/>
      <w:u w:val="single"/>
    </w:rPr>
  </w:style>
  <w:style w:type="character" w:customStyle="1" w:styleId="17">
    <w:name w:val="Heading 1 Char"/>
    <w:basedOn w:val="14"/>
    <w:link w:val="2"/>
    <w:qFormat/>
    <w:locked/>
    <w:uiPriority w:val="99"/>
    <w:rPr>
      <w:rFonts w:ascii="Times New Roman" w:hAnsi="Times New Roman" w:cs="Times New Roman"/>
      <w:b/>
      <w:bCs/>
      <w:kern w:val="44"/>
      <w:sz w:val="44"/>
      <w:szCs w:val="44"/>
    </w:rPr>
  </w:style>
  <w:style w:type="character" w:customStyle="1" w:styleId="18">
    <w:name w:val="Heading 2 Char"/>
    <w:basedOn w:val="14"/>
    <w:link w:val="3"/>
    <w:qFormat/>
    <w:locked/>
    <w:uiPriority w:val="99"/>
    <w:rPr>
      <w:rFonts w:ascii="Cambria" w:hAnsi="Cambria" w:eastAsia="宋体" w:cs="Times New Roman"/>
      <w:b/>
      <w:bCs/>
      <w:kern w:val="2"/>
      <w:sz w:val="32"/>
      <w:szCs w:val="32"/>
    </w:rPr>
  </w:style>
  <w:style w:type="character" w:customStyle="1" w:styleId="19">
    <w:name w:val="Heading 3 Char"/>
    <w:basedOn w:val="14"/>
    <w:link w:val="4"/>
    <w:qFormat/>
    <w:locked/>
    <w:uiPriority w:val="99"/>
    <w:rPr>
      <w:rFonts w:ascii="Times New Roman" w:hAnsi="Times New Roman" w:cs="Times New Roman"/>
      <w:b/>
      <w:bCs/>
      <w:kern w:val="2"/>
      <w:sz w:val="32"/>
      <w:szCs w:val="32"/>
    </w:rPr>
  </w:style>
  <w:style w:type="character" w:customStyle="1" w:styleId="20">
    <w:name w:val="Body Text Char"/>
    <w:basedOn w:val="14"/>
    <w:link w:val="5"/>
    <w:semiHidden/>
    <w:qFormat/>
    <w:locked/>
    <w:uiPriority w:val="99"/>
    <w:rPr>
      <w:rFonts w:ascii="Times New Roman" w:hAnsi="Times New Roman" w:cs="Times New Roman"/>
      <w:sz w:val="24"/>
      <w:szCs w:val="24"/>
    </w:rPr>
  </w:style>
  <w:style w:type="character" w:customStyle="1" w:styleId="21">
    <w:name w:val="Footer Char"/>
    <w:basedOn w:val="14"/>
    <w:link w:val="8"/>
    <w:semiHidden/>
    <w:qFormat/>
    <w:locked/>
    <w:uiPriority w:val="99"/>
    <w:rPr>
      <w:rFonts w:ascii="Times New Roman" w:hAnsi="Times New Roman" w:cs="Times New Roman"/>
      <w:sz w:val="18"/>
      <w:szCs w:val="18"/>
    </w:rPr>
  </w:style>
  <w:style w:type="character" w:customStyle="1" w:styleId="22">
    <w:name w:val="Header Char"/>
    <w:basedOn w:val="14"/>
    <w:link w:val="9"/>
    <w:semiHidden/>
    <w:qFormat/>
    <w:locked/>
    <w:uiPriority w:val="99"/>
    <w:rPr>
      <w:rFonts w:ascii="Times New Roman" w:hAnsi="Times New Roman" w:cs="Times New Roman"/>
      <w:sz w:val="18"/>
      <w:szCs w:val="18"/>
    </w:rPr>
  </w:style>
  <w:style w:type="character" w:customStyle="1" w:styleId="23">
    <w:name w:val="Header Char1"/>
    <w:link w:val="9"/>
    <w:semiHidden/>
    <w:qFormat/>
    <w:locked/>
    <w:uiPriority w:val="99"/>
    <w:rPr>
      <w:sz w:val="18"/>
    </w:rPr>
  </w:style>
  <w:style w:type="character" w:customStyle="1" w:styleId="24">
    <w:name w:val="Footer Char1"/>
    <w:link w:val="8"/>
    <w:qFormat/>
    <w:locked/>
    <w:uiPriority w:val="99"/>
    <w:rPr>
      <w:sz w:val="18"/>
    </w:rPr>
  </w:style>
  <w:style w:type="character" w:customStyle="1" w:styleId="25">
    <w:name w:val="Body Text Char1"/>
    <w:link w:val="5"/>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7">
    <w:name w:val="List Paragraph"/>
    <w:basedOn w:val="1"/>
    <w:qFormat/>
    <w:uiPriority w:val="99"/>
    <w:pPr>
      <w:ind w:firstLine="420" w:firstLineChars="200"/>
    </w:pPr>
  </w:style>
  <w:style w:type="paragraph" w:customStyle="1" w:styleId="28">
    <w:name w:val="TOC Heading"/>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29">
    <w:name w:val="Balloon Text Char"/>
    <w:basedOn w:val="14"/>
    <w:link w:val="7"/>
    <w:semiHidden/>
    <w:qFormat/>
    <w:locked/>
    <w:uiPriority w:val="99"/>
    <w:rPr>
      <w:rFonts w:ascii="Times New Roman" w:hAnsi="Times New Roman" w:cs="Times New Roman"/>
      <w:kern w:val="2"/>
      <w:sz w:val="18"/>
      <w:szCs w:val="18"/>
    </w:rPr>
  </w:style>
  <w:style w:type="paragraph" w:customStyle="1" w:styleId="30">
    <w:name w:val="Char Char Char Char"/>
    <w:basedOn w:val="1"/>
    <w:qFormat/>
    <w:uiPriority w:val="99"/>
    <w:rPr>
      <w:rFonts w:ascii="Tahoma" w:hAnsi="Tahoma"/>
      <w:sz w:val="24"/>
      <w:szCs w:val="20"/>
    </w:rPr>
  </w:style>
  <w:style w:type="paragraph" w:customStyle="1" w:styleId="31">
    <w:name w:val="Char Char Char Char1"/>
    <w:basedOn w:val="1"/>
    <w:qFormat/>
    <w:uiPriority w:val="99"/>
    <w:rPr>
      <w:rFonts w:ascii="Tahoma" w:hAnsi="Tahoma"/>
      <w:sz w:val="24"/>
      <w:szCs w:val="20"/>
    </w:rPr>
  </w:style>
  <w:style w:type="character" w:customStyle="1" w:styleId="32">
    <w:name w:val="Body Text First Indent Char"/>
    <w:basedOn w:val="25"/>
    <w:link w:val="12"/>
    <w:qFormat/>
    <w:locked/>
    <w:uiPriority w:val="99"/>
    <w:rPr>
      <w:rFonts w:ascii="Times New Roman" w:cs="Times New Roman"/>
      <w:kern w:val="2"/>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emf"/><Relationship Id="rId7" Type="http://schemas.openxmlformats.org/officeDocument/2006/relationships/image" Target="media/image2.emf"/><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四川省财政厅</Company>
  <Pages>41</Pages>
  <Words>3122</Words>
  <Characters>17797</Characters>
  <Lines>0</Lines>
  <Paragraphs>0</Paragraphs>
  <TotalTime>0</TotalTime>
  <ScaleCrop>false</ScaleCrop>
  <LinksUpToDate>false</LinksUpToDate>
  <CharactersWithSpaces>0</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2019-08-01T17:14:00Z</dcterms:created>
  <dc:creator>张彬茜</dc:creator>
  <cp:lastModifiedBy>Sail.</cp:lastModifiedBy>
  <cp:lastPrinted>2019-09-18T18:19:00Z</cp:lastPrinted>
  <dcterms:modified xsi:type="dcterms:W3CDTF">2025-01-08T10:13:45Z</dcterms:modified>
  <dc:title>四川省***</dc:title>
  <cp:revision>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ICV">
    <vt:lpwstr>F662AEB4B6034DFC83ABFFEA418404F3</vt:lpwstr>
  </property>
</Properties>
</file>