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宋体"/>
          <w:color w:val="000000"/>
          <w:sz w:val="72"/>
          <w:szCs w:val="72"/>
        </w:rPr>
      </w:pPr>
      <w:bookmarkStart w:id="1" w:name="_Toc15396475"/>
      <w:bookmarkStart w:id="2" w:name="_Toc15377425"/>
      <w:bookmarkStart w:id="3" w:name="_Toc15378441"/>
      <w:bookmarkStart w:id="4" w:name="_Toc15377193"/>
      <w:bookmarkStart w:id="5" w:name="_Toc15396597"/>
      <w:r>
        <w:rPr>
          <w:rFonts w:ascii="宋体" w:hAnsi="宋体"/>
          <w:color w:val="000000"/>
          <w:sz w:val="72"/>
          <w:szCs w:val="72"/>
        </w:rPr>
        <w:t>2018</w:t>
      </w:r>
      <w:r>
        <w:rPr>
          <w:rFonts w:hint="eastAsia" w:ascii="宋体" w:hAnsi="宋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宋体"/>
          <w:color w:val="000000"/>
          <w:sz w:val="72"/>
          <w:szCs w:val="72"/>
        </w:rPr>
      </w:pPr>
      <w:bookmarkStart w:id="6" w:name="_Toc15396598"/>
      <w:bookmarkStart w:id="7" w:name="_Toc15377426"/>
      <w:bookmarkStart w:id="8" w:name="_Toc15396476"/>
      <w:bookmarkStart w:id="9" w:name="_Toc15377194"/>
      <w:bookmarkStart w:id="10" w:name="_Toc15378442"/>
      <w:r>
        <w:rPr>
          <w:rFonts w:hint="eastAsia" w:ascii="宋体" w:hAnsi="宋体"/>
          <w:color w:val="000000"/>
          <w:sz w:val="72"/>
          <w:szCs w:val="72"/>
        </w:rPr>
        <w:t>四川省</w:t>
      </w:r>
      <w:bookmarkEnd w:id="0"/>
      <w:bookmarkStart w:id="11" w:name="_Toc15306268"/>
      <w:r>
        <w:rPr>
          <w:rFonts w:hint="eastAsia" w:ascii="宋体" w:hAnsi="宋体"/>
          <w:color w:val="000000"/>
          <w:sz w:val="72"/>
          <w:szCs w:val="72"/>
        </w:rPr>
        <w:t>攀枝花市交通</w:t>
      </w:r>
    </w:p>
    <w:p>
      <w:pPr>
        <w:adjustRightInd w:val="0"/>
        <w:snapToGrid w:val="0"/>
        <w:spacing w:line="360" w:lineRule="auto"/>
        <w:jc w:val="center"/>
        <w:outlineLvl w:val="0"/>
        <w:rPr>
          <w:rFonts w:ascii="宋体"/>
          <w:color w:val="000000"/>
          <w:sz w:val="72"/>
          <w:szCs w:val="72"/>
        </w:rPr>
      </w:pPr>
      <w:r>
        <w:rPr>
          <w:rFonts w:hint="eastAsia" w:ascii="宋体" w:hAnsi="宋体"/>
          <w:color w:val="000000"/>
          <w:sz w:val="72"/>
          <w:szCs w:val="72"/>
        </w:rPr>
        <w:t>运输局部门决算</w:t>
      </w:r>
      <w:bookmarkEnd w:id="6"/>
      <w:bookmarkEnd w:id="7"/>
      <w:bookmarkEnd w:id="8"/>
      <w:bookmarkEnd w:id="9"/>
      <w:bookmarkEnd w:id="10"/>
      <w:bookmarkEnd w:id="11"/>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pPr>
      <w:r>
        <w:rPr>
          <w:rFonts w:hint="eastAsia"/>
        </w:rPr>
        <w:t>公开时间：</w:t>
      </w:r>
      <w:r>
        <w:t>2019</w:t>
      </w:r>
      <w:r>
        <w:rPr>
          <w:rFonts w:hint="eastAsia"/>
        </w:rPr>
        <w:t>年</w:t>
      </w:r>
      <w:r>
        <w:t>9</w:t>
      </w:r>
      <w:r>
        <w:rPr>
          <w:rFonts w:hint="eastAsia"/>
        </w:rPr>
        <w:t>月</w:t>
      </w:r>
      <w:r>
        <w:t>18</w:t>
      </w:r>
      <w:r>
        <w:rPr>
          <w:rFonts w:hint="eastAsia"/>
        </w:rPr>
        <w:t>日</w:t>
      </w:r>
    </w:p>
    <w:p/>
    <w:p>
      <w:pPr>
        <w:pStyle w:val="10"/>
      </w:pPr>
      <w:r>
        <w:fldChar w:fldCharType="begin"/>
      </w:r>
      <w:r>
        <w:instrText xml:space="preserve"> HYPERLINK \l "_Toc15396599" </w:instrText>
      </w:r>
      <w:r>
        <w:fldChar w:fldCharType="separate"/>
      </w:r>
      <w:r>
        <w:rPr>
          <w:rStyle w:val="16"/>
          <w:rFonts w:hint="eastAsia"/>
        </w:rPr>
        <w:t>第一部分</w:t>
      </w:r>
      <w:r>
        <w:rPr>
          <w:rStyle w:val="16"/>
        </w:rPr>
        <w:t xml:space="preserve"> </w:t>
      </w:r>
      <w:r>
        <w:rPr>
          <w:rStyle w:val="16"/>
          <w:rFonts w:hint="eastAsia"/>
        </w:rPr>
        <w:t>部门概况</w:t>
      </w:r>
      <w:r>
        <w:tab/>
      </w:r>
      <w:r>
        <w:t>4</w:t>
      </w:r>
      <w:r>
        <w:fldChar w:fldCharType="end"/>
      </w:r>
    </w:p>
    <w:p>
      <w:pPr>
        <w:pStyle w:val="11"/>
        <w:rPr>
          <w:rFonts w:ascii="仿宋" w:hAnsi="仿宋" w:eastAsia="仿宋"/>
          <w:sz w:val="28"/>
          <w:szCs w:val="28"/>
        </w:rPr>
      </w:pPr>
      <w:r>
        <w:fldChar w:fldCharType="begin"/>
      </w:r>
      <w:r>
        <w:instrText xml:space="preserve"> HYPERLINK \l "_Toc15396600" </w:instrText>
      </w:r>
      <w:r>
        <w:fldChar w:fldCharType="separate"/>
      </w:r>
      <w:r>
        <w:rPr>
          <w:rStyle w:val="16"/>
          <w:rFonts w:hint="eastAsia" w:ascii="仿宋" w:hAnsi="仿宋" w:eastAsia="仿宋"/>
          <w:sz w:val="28"/>
          <w:szCs w:val="28"/>
        </w:rPr>
        <w:t>一、基本职能及主要工作</w:t>
      </w:r>
      <w:r>
        <w:rPr>
          <w:rFonts w:ascii="仿宋" w:hAnsi="仿宋" w:eastAsia="仿宋"/>
          <w:sz w:val="28"/>
          <w:szCs w:val="28"/>
        </w:rPr>
        <w:tab/>
      </w:r>
      <w:r>
        <w:rPr>
          <w:rFonts w:ascii="仿宋" w:hAnsi="仿宋" w:eastAsia="仿宋"/>
          <w:sz w:val="28"/>
          <w:szCs w:val="28"/>
        </w:rPr>
        <w:t>4</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"_Toc15396601" </w:instrText>
      </w:r>
      <w:r>
        <w:fldChar w:fldCharType="separate"/>
      </w:r>
      <w:r>
        <w:rPr>
          <w:rStyle w:val="16"/>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t>13</w:t>
      </w:r>
      <w:r>
        <w:rPr>
          <w:rFonts w:ascii="仿宋" w:hAnsi="仿宋" w:eastAsia="仿宋"/>
          <w:sz w:val="28"/>
          <w:szCs w:val="28"/>
        </w:rPr>
        <w:fldChar w:fldCharType="end"/>
      </w:r>
    </w:p>
    <w:p>
      <w:pPr>
        <w:pStyle w:val="10"/>
      </w:pPr>
      <w:r>
        <w:fldChar w:fldCharType="begin"/>
      </w:r>
      <w:r>
        <w:instrText xml:space="preserve"> HYPERLINK \l "_Toc15396602" </w:instrText>
      </w:r>
      <w:r>
        <w:fldChar w:fldCharType="separate"/>
      </w:r>
      <w:r>
        <w:rPr>
          <w:rStyle w:val="16"/>
          <w:rFonts w:hint="eastAsia"/>
        </w:rPr>
        <w:t>第二部分</w:t>
      </w:r>
      <w:r>
        <w:rPr>
          <w:rStyle w:val="16"/>
        </w:rPr>
        <w:t xml:space="preserve"> 2018</w:t>
      </w:r>
      <w:r>
        <w:rPr>
          <w:rStyle w:val="16"/>
          <w:rFonts w:hint="eastAsia"/>
        </w:rPr>
        <w:t>年度部门决算情况说明</w:t>
      </w:r>
      <w:r>
        <w:tab/>
      </w:r>
      <w:r>
        <w:t>14</w:t>
      </w:r>
      <w:r>
        <w:fldChar w:fldCharType="end"/>
      </w:r>
    </w:p>
    <w:p>
      <w:pPr>
        <w:pStyle w:val="11"/>
        <w:rPr>
          <w:rFonts w:ascii="仿宋" w:hAnsi="仿宋" w:eastAsia="仿宋"/>
          <w:sz w:val="28"/>
          <w:szCs w:val="28"/>
        </w:rPr>
      </w:pPr>
      <w:r>
        <w:fldChar w:fldCharType="begin"/>
      </w:r>
      <w:r>
        <w:instrText xml:space="preserve"> HYPERLINK \l "_Toc15396603" </w:instrText>
      </w:r>
      <w:r>
        <w:fldChar w:fldCharType="separate"/>
      </w:r>
      <w:r>
        <w:rPr>
          <w:rStyle w:val="16"/>
          <w:rFonts w:hint="eastAsia" w:ascii="仿宋" w:hAnsi="仿宋" w:eastAsia="仿宋"/>
          <w:bCs/>
          <w:sz w:val="28"/>
          <w:szCs w:val="28"/>
        </w:rPr>
        <w:t>一、</w:t>
      </w:r>
      <w:r>
        <w:rPr>
          <w:rStyle w:val="16"/>
          <w:rFonts w:hint="eastAsia" w:ascii="仿宋" w:hAnsi="仿宋" w:eastAsia="仿宋"/>
          <w:sz w:val="28"/>
          <w:szCs w:val="28"/>
        </w:rPr>
        <w:t>收</w:t>
      </w:r>
      <w:r>
        <w:rPr>
          <w:rStyle w:val="16"/>
          <w:rFonts w:hint="eastAsia" w:ascii="仿宋" w:hAnsi="仿宋" w:eastAsia="仿宋"/>
          <w:bCs/>
          <w:sz w:val="28"/>
          <w:szCs w:val="28"/>
        </w:rPr>
        <w:t>入支出决算总体情况说明</w:t>
      </w:r>
      <w:r>
        <w:rPr>
          <w:rFonts w:ascii="仿宋" w:hAnsi="仿宋" w:eastAsia="仿宋"/>
          <w:sz w:val="28"/>
          <w:szCs w:val="28"/>
        </w:rPr>
        <w:tab/>
      </w:r>
      <w:r>
        <w:rPr>
          <w:rFonts w:ascii="仿宋" w:hAnsi="仿宋" w:eastAsia="仿宋"/>
          <w:sz w:val="28"/>
          <w:szCs w:val="28"/>
        </w:rPr>
        <w:t>14</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"_Toc15396604" </w:instrText>
      </w:r>
      <w:r>
        <w:fldChar w:fldCharType="separate"/>
      </w:r>
      <w:r>
        <w:rPr>
          <w:rStyle w:val="16"/>
          <w:rFonts w:hint="eastAsia" w:ascii="仿宋" w:hAnsi="仿宋" w:eastAsia="仿宋"/>
          <w:bCs/>
          <w:sz w:val="28"/>
          <w:szCs w:val="28"/>
        </w:rPr>
        <w:t>二、</w:t>
      </w:r>
      <w:r>
        <w:rPr>
          <w:rStyle w:val="16"/>
          <w:rFonts w:hint="eastAsia" w:ascii="仿宋" w:hAnsi="仿宋" w:eastAsia="仿宋"/>
          <w:sz w:val="28"/>
          <w:szCs w:val="28"/>
        </w:rPr>
        <w:t>收</w:t>
      </w:r>
      <w:r>
        <w:rPr>
          <w:rStyle w:val="16"/>
          <w:rFonts w:hint="eastAsia" w:ascii="仿宋" w:hAnsi="仿宋" w:eastAsia="仿宋"/>
          <w:bCs/>
          <w:sz w:val="28"/>
          <w:szCs w:val="28"/>
        </w:rPr>
        <w:t>入决算情况说明</w:t>
      </w:r>
      <w:r>
        <w:rPr>
          <w:rFonts w:ascii="仿宋" w:hAnsi="仿宋" w:eastAsia="仿宋"/>
          <w:sz w:val="28"/>
          <w:szCs w:val="28"/>
        </w:rPr>
        <w:tab/>
      </w:r>
      <w:r>
        <w:rPr>
          <w:rFonts w:ascii="仿宋" w:hAnsi="仿宋" w:eastAsia="仿宋"/>
          <w:sz w:val="28"/>
          <w:szCs w:val="28"/>
        </w:rPr>
        <w:t>14</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"_Toc15396605" </w:instrText>
      </w:r>
      <w:r>
        <w:fldChar w:fldCharType="separate"/>
      </w:r>
      <w:r>
        <w:rPr>
          <w:rStyle w:val="16"/>
          <w:rFonts w:hint="eastAsia" w:ascii="仿宋" w:hAnsi="仿宋" w:eastAsia="仿宋"/>
          <w:bCs/>
          <w:sz w:val="28"/>
          <w:szCs w:val="28"/>
        </w:rPr>
        <w:t>三、</w:t>
      </w:r>
      <w:r>
        <w:rPr>
          <w:rStyle w:val="16"/>
          <w:rFonts w:hint="eastAsia" w:ascii="仿宋" w:hAnsi="仿宋" w:eastAsia="仿宋"/>
          <w:sz w:val="28"/>
          <w:szCs w:val="28"/>
        </w:rPr>
        <w:t>支</w:t>
      </w:r>
      <w:r>
        <w:rPr>
          <w:rStyle w:val="16"/>
          <w:rFonts w:hint="eastAsia" w:ascii="仿宋" w:hAnsi="仿宋" w:eastAsia="仿宋"/>
          <w:bCs/>
          <w:sz w:val="28"/>
          <w:szCs w:val="28"/>
        </w:rPr>
        <w:t>出决算情况说明</w:t>
      </w:r>
      <w:r>
        <w:rPr>
          <w:rFonts w:ascii="仿宋" w:hAnsi="仿宋" w:eastAsia="仿宋"/>
          <w:sz w:val="28"/>
          <w:szCs w:val="28"/>
        </w:rPr>
        <w:tab/>
      </w:r>
      <w:r>
        <w:rPr>
          <w:rFonts w:ascii="仿宋" w:hAnsi="仿宋" w:eastAsia="仿宋"/>
          <w:sz w:val="28"/>
          <w:szCs w:val="28"/>
        </w:rPr>
        <w:t>1</w:t>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"_Toc15396606" </w:instrText>
      </w:r>
      <w:r>
        <w:fldChar w:fldCharType="separate"/>
      </w:r>
      <w:r>
        <w:rPr>
          <w:rStyle w:val="16"/>
          <w:rFonts w:hint="eastAsia" w:ascii="仿宋" w:hAnsi="仿宋" w:eastAsia="仿宋"/>
          <w:sz w:val="28"/>
          <w:szCs w:val="28"/>
        </w:rPr>
        <w:t>四、财</w:t>
      </w:r>
      <w:r>
        <w:rPr>
          <w:rStyle w:val="16"/>
          <w:rFonts w:hint="eastAsia" w:ascii="仿宋" w:hAnsi="仿宋" w:eastAsia="仿宋"/>
          <w:bCs/>
          <w:sz w:val="28"/>
          <w:szCs w:val="28"/>
        </w:rPr>
        <w:t>政拨款收入支出决算总体情况说明</w:t>
      </w:r>
      <w:r>
        <w:rPr>
          <w:rFonts w:ascii="仿宋" w:hAnsi="仿宋" w:eastAsia="仿宋"/>
          <w:sz w:val="28"/>
          <w:szCs w:val="28"/>
        </w:rPr>
        <w:tab/>
      </w:r>
      <w:r>
        <w:rPr>
          <w:rFonts w:ascii="仿宋" w:hAnsi="仿宋" w:eastAsia="仿宋"/>
          <w:sz w:val="28"/>
          <w:szCs w:val="28"/>
        </w:rPr>
        <w:t>1</w:t>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"_Toc15396607" </w:instrText>
      </w:r>
      <w:r>
        <w:fldChar w:fldCharType="separate"/>
      </w:r>
      <w:r>
        <w:rPr>
          <w:rStyle w:val="16"/>
          <w:rFonts w:hint="eastAsia" w:ascii="仿宋" w:hAnsi="仿宋" w:eastAsia="仿宋"/>
          <w:sz w:val="28"/>
          <w:szCs w:val="28"/>
        </w:rPr>
        <w:t>五、一</w:t>
      </w:r>
      <w:r>
        <w:rPr>
          <w:rStyle w:val="16"/>
          <w:rFonts w:hint="eastAsia" w:ascii="仿宋" w:hAnsi="仿宋" w:eastAsia="仿宋"/>
          <w:bCs/>
          <w:sz w:val="28"/>
          <w:szCs w:val="28"/>
        </w:rPr>
        <w:t>般公共预算财政拨款支出决算情况说明</w:t>
      </w:r>
      <w:r>
        <w:rPr>
          <w:rFonts w:ascii="仿宋" w:hAnsi="仿宋" w:eastAsia="仿宋"/>
          <w:sz w:val="28"/>
          <w:szCs w:val="28"/>
        </w:rPr>
        <w:tab/>
      </w:r>
      <w:r>
        <w:rPr>
          <w:rFonts w:ascii="仿宋" w:hAnsi="仿宋" w:eastAsia="仿宋"/>
          <w:sz w:val="28"/>
          <w:szCs w:val="28"/>
        </w:rPr>
        <w:t>17</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"_Toc15396608" </w:instrText>
      </w:r>
      <w:r>
        <w:fldChar w:fldCharType="separate"/>
      </w:r>
      <w:r>
        <w:rPr>
          <w:rStyle w:val="16"/>
          <w:rFonts w:hint="eastAsia" w:ascii="仿宋" w:hAnsi="仿宋" w:eastAsia="仿宋"/>
          <w:sz w:val="28"/>
          <w:szCs w:val="28"/>
        </w:rPr>
        <w:t>六、一</w:t>
      </w:r>
      <w:r>
        <w:rPr>
          <w:rStyle w:val="16"/>
          <w:rFonts w:hint="eastAsia" w:ascii="仿宋" w:hAnsi="仿宋" w:eastAsia="仿宋"/>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t>23</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"_Toc15396609" </w:instrText>
      </w:r>
      <w:r>
        <w:fldChar w:fldCharType="separate"/>
      </w:r>
      <w:r>
        <w:rPr>
          <w:rStyle w:val="16"/>
          <w:rFonts w:hint="eastAsia" w:ascii="仿宋" w:hAnsi="仿宋" w:eastAsia="仿宋"/>
          <w:sz w:val="28"/>
          <w:szCs w:val="28"/>
        </w:rPr>
        <w:t>七、“</w:t>
      </w:r>
      <w:r>
        <w:rPr>
          <w:rStyle w:val="16"/>
          <w:rFonts w:hint="eastAsia" w:ascii="仿宋" w:hAnsi="仿宋" w:eastAsia="仿宋"/>
          <w:bCs/>
          <w:sz w:val="28"/>
          <w:szCs w:val="28"/>
        </w:rPr>
        <w:t>三公”经费财政拨款支出决算情况说明</w:t>
      </w:r>
      <w:r>
        <w:rPr>
          <w:rFonts w:ascii="仿宋" w:hAnsi="仿宋" w:eastAsia="仿宋"/>
          <w:sz w:val="28"/>
          <w:szCs w:val="28"/>
        </w:rPr>
        <w:tab/>
      </w:r>
      <w:r>
        <w:rPr>
          <w:rFonts w:ascii="仿宋" w:hAnsi="仿宋" w:eastAsia="仿宋"/>
          <w:sz w:val="28"/>
          <w:szCs w:val="28"/>
        </w:rPr>
        <w:t>24</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"_Toc15396610" </w:instrText>
      </w:r>
      <w:r>
        <w:fldChar w:fldCharType="separate"/>
      </w:r>
      <w:r>
        <w:rPr>
          <w:rStyle w:val="16"/>
          <w:rFonts w:hint="eastAsia" w:ascii="仿宋" w:hAnsi="仿宋" w:eastAsia="仿宋"/>
          <w:sz w:val="28"/>
          <w:szCs w:val="28"/>
        </w:rPr>
        <w:t>八、</w:t>
      </w:r>
      <w:r>
        <w:rPr>
          <w:rStyle w:val="16"/>
          <w:rFonts w:hint="eastAsia" w:ascii="仿宋" w:hAnsi="仿宋" w:eastAsia="仿宋"/>
          <w:bCs/>
          <w:sz w:val="28"/>
          <w:szCs w:val="28"/>
        </w:rPr>
        <w:t>政府性基金预算支出决算情况说明</w:t>
      </w:r>
      <w:r>
        <w:rPr>
          <w:rFonts w:ascii="仿宋" w:hAnsi="仿宋" w:eastAsia="仿宋"/>
          <w:sz w:val="28"/>
          <w:szCs w:val="28"/>
        </w:rPr>
        <w:tab/>
      </w:r>
      <w:r>
        <w:rPr>
          <w:rFonts w:ascii="仿宋" w:hAnsi="仿宋" w:eastAsia="仿宋"/>
          <w:sz w:val="28"/>
          <w:szCs w:val="28"/>
        </w:rPr>
        <w:t>25</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"_Toc15396611" </w:instrText>
      </w:r>
      <w:r>
        <w:fldChar w:fldCharType="separate"/>
      </w:r>
      <w:r>
        <w:rPr>
          <w:rStyle w:val="16"/>
          <w:rFonts w:hint="eastAsia" w:ascii="仿宋" w:hAnsi="仿宋" w:eastAsia="仿宋"/>
          <w:bCs/>
          <w:sz w:val="28"/>
          <w:szCs w:val="28"/>
        </w:rPr>
        <w:t>九、</w:t>
      </w:r>
      <w:r>
        <w:rPr>
          <w:rStyle w:val="16"/>
          <w:rFonts w:ascii="仿宋" w:hAnsi="仿宋" w:eastAsia="仿宋"/>
          <w:sz w:val="28"/>
          <w:szCs w:val="28"/>
        </w:rPr>
        <w:t xml:space="preserve"> </w:t>
      </w:r>
      <w:r>
        <w:rPr>
          <w:rStyle w:val="16"/>
          <w:rFonts w:hint="eastAsia" w:ascii="仿宋" w:hAnsi="仿宋" w:eastAsia="仿宋"/>
          <w:sz w:val="28"/>
          <w:szCs w:val="28"/>
        </w:rPr>
        <w:t>国</w:t>
      </w:r>
      <w:r>
        <w:rPr>
          <w:rStyle w:val="16"/>
          <w:rFonts w:hint="eastAsia" w:ascii="仿宋" w:hAnsi="仿宋" w:eastAsia="仿宋"/>
          <w:bCs/>
          <w:sz w:val="28"/>
          <w:szCs w:val="28"/>
        </w:rPr>
        <w:t>有资本经营预算支出决算情况说明</w:t>
      </w:r>
      <w:r>
        <w:rPr>
          <w:rFonts w:ascii="仿宋" w:hAnsi="仿宋" w:eastAsia="仿宋"/>
          <w:sz w:val="28"/>
          <w:szCs w:val="28"/>
        </w:rPr>
        <w:tab/>
      </w:r>
      <w:r>
        <w:rPr>
          <w:rFonts w:ascii="仿宋" w:hAnsi="仿宋" w:eastAsia="仿宋"/>
          <w:sz w:val="28"/>
          <w:szCs w:val="28"/>
        </w:rPr>
        <w:t>26</w:t>
      </w:r>
      <w:r>
        <w:rPr>
          <w:rFonts w:ascii="仿宋" w:hAnsi="仿宋" w:eastAsia="仿宋"/>
          <w:sz w:val="28"/>
          <w:szCs w:val="28"/>
        </w:rPr>
        <w:fldChar w:fldCharType="end"/>
      </w:r>
    </w:p>
    <w:p>
      <w:pPr>
        <w:ind w:firstLine="420" w:firstLineChars="200"/>
      </w:pPr>
      <w:r>
        <w:fldChar w:fldCharType="begin"/>
      </w:r>
      <w:r>
        <w:instrText xml:space="preserve"> HYPERLINK \l "_Toc15396611" </w:instrText>
      </w:r>
      <w:r>
        <w:fldChar w:fldCharType="separate"/>
      </w:r>
      <w:r>
        <w:rPr>
          <w:rStyle w:val="16"/>
          <w:rFonts w:hint="eastAsia" w:ascii="仿宋" w:hAnsi="仿宋" w:eastAsia="仿宋"/>
          <w:bCs/>
          <w:sz w:val="28"/>
          <w:szCs w:val="28"/>
        </w:rPr>
        <w:t>十、</w:t>
      </w:r>
      <w:r>
        <w:rPr>
          <w:rStyle w:val="16"/>
          <w:rFonts w:ascii="仿宋" w:hAnsi="仿宋" w:eastAsia="仿宋"/>
          <w:sz w:val="28"/>
          <w:szCs w:val="28"/>
        </w:rPr>
        <w:t xml:space="preserve"> </w:t>
      </w:r>
      <w:r>
        <w:rPr>
          <w:rStyle w:val="16"/>
          <w:rFonts w:hint="eastAsia" w:ascii="仿宋" w:hAnsi="仿宋" w:eastAsia="仿宋"/>
          <w:sz w:val="28"/>
          <w:szCs w:val="28"/>
        </w:rPr>
        <w:t>预算绩效情况说明…………………………………………</w:t>
      </w:r>
      <w:r>
        <w:rPr>
          <w:rFonts w:ascii="仿宋" w:hAnsi="仿宋" w:eastAsia="仿宋"/>
          <w:sz w:val="28"/>
          <w:szCs w:val="28"/>
        </w:rPr>
        <w:t>26</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"_Toc15396612" </w:instrText>
      </w:r>
      <w:r>
        <w:fldChar w:fldCharType="separate"/>
      </w:r>
      <w:r>
        <w:rPr>
          <w:rStyle w:val="16"/>
          <w:rFonts w:hint="eastAsia" w:ascii="仿宋" w:hAnsi="仿宋" w:eastAsia="仿宋"/>
          <w:sz w:val="28"/>
          <w:szCs w:val="28"/>
        </w:rPr>
        <w:t>十</w:t>
      </w:r>
      <w:r>
        <w:rPr>
          <w:rStyle w:val="16"/>
          <w:rFonts w:hint="eastAsia" w:ascii="仿宋" w:hAnsi="仿宋" w:eastAsia="仿宋"/>
          <w:bCs/>
          <w:sz w:val="28"/>
          <w:szCs w:val="28"/>
        </w:rPr>
        <w:t>一、其他重要事项的情况说明</w:t>
      </w:r>
      <w:r>
        <w:rPr>
          <w:rFonts w:ascii="仿宋" w:hAnsi="仿宋" w:eastAsia="仿宋"/>
          <w:sz w:val="28"/>
          <w:szCs w:val="28"/>
        </w:rPr>
        <w:tab/>
      </w:r>
      <w:r>
        <w:rPr>
          <w:rFonts w:ascii="仿宋" w:hAnsi="仿宋" w:eastAsia="仿宋"/>
          <w:sz w:val="28"/>
          <w:szCs w:val="28"/>
        </w:rPr>
        <w:t>34</w:t>
      </w:r>
      <w:r>
        <w:rPr>
          <w:rFonts w:ascii="仿宋" w:hAnsi="仿宋" w:eastAsia="仿宋"/>
          <w:sz w:val="28"/>
          <w:szCs w:val="28"/>
        </w:rPr>
        <w:fldChar w:fldCharType="end"/>
      </w:r>
    </w:p>
    <w:p>
      <w:pPr>
        <w:pStyle w:val="10"/>
      </w:pPr>
      <w:r>
        <w:fldChar w:fldCharType="begin"/>
      </w:r>
      <w:r>
        <w:instrText xml:space="preserve"> HYPERLINK \l "_Toc15396613" </w:instrText>
      </w:r>
      <w:r>
        <w:fldChar w:fldCharType="separate"/>
      </w:r>
      <w:r>
        <w:rPr>
          <w:rStyle w:val="16"/>
          <w:rFonts w:hint="eastAsia"/>
          <w:bCs/>
          <w:kern w:val="44"/>
        </w:rPr>
        <w:t>第三部分</w:t>
      </w:r>
      <w:r>
        <w:rPr>
          <w:rStyle w:val="16"/>
        </w:rPr>
        <w:t xml:space="preserve"> </w:t>
      </w:r>
      <w:r>
        <w:rPr>
          <w:rStyle w:val="16"/>
          <w:rFonts w:hint="eastAsia"/>
        </w:rPr>
        <w:t>名</w:t>
      </w:r>
      <w:r>
        <w:rPr>
          <w:rStyle w:val="16"/>
          <w:rFonts w:hint="eastAsia"/>
          <w:bCs/>
          <w:kern w:val="44"/>
        </w:rPr>
        <w:t>词解释</w:t>
      </w:r>
      <w:r>
        <w:tab/>
      </w:r>
      <w:r>
        <w:t>36</w:t>
      </w:r>
      <w:r>
        <w:fldChar w:fldCharType="end"/>
      </w:r>
    </w:p>
    <w:p>
      <w:pPr>
        <w:pStyle w:val="10"/>
      </w:pPr>
      <w:r>
        <w:fldChar w:fldCharType="begin"/>
      </w:r>
      <w:r>
        <w:instrText xml:space="preserve"> HYPERLINK \l "_Toc15396614" </w:instrText>
      </w:r>
      <w:r>
        <w:fldChar w:fldCharType="separate"/>
      </w:r>
      <w:r>
        <w:rPr>
          <w:rStyle w:val="16"/>
          <w:rFonts w:hint="eastAsia"/>
        </w:rPr>
        <w:t>第</w:t>
      </w:r>
      <w:r>
        <w:rPr>
          <w:rStyle w:val="16"/>
          <w:rFonts w:hint="eastAsia"/>
          <w:bCs/>
          <w:kern w:val="44"/>
        </w:rPr>
        <w:t>四部分</w:t>
      </w:r>
      <w:r>
        <w:rPr>
          <w:rStyle w:val="16"/>
          <w:bCs/>
          <w:kern w:val="44"/>
        </w:rPr>
        <w:t xml:space="preserve"> </w:t>
      </w:r>
      <w:r>
        <w:rPr>
          <w:rStyle w:val="16"/>
          <w:rFonts w:hint="eastAsia"/>
          <w:bCs/>
          <w:kern w:val="44"/>
        </w:rPr>
        <w:t>附件</w:t>
      </w:r>
      <w:r>
        <w:tab/>
      </w:r>
      <w:r>
        <w:fldChar w:fldCharType="begin"/>
      </w:r>
      <w:r>
        <w:instrText xml:space="preserve"> PAGEREF _Toc15396614 \h </w:instrText>
      </w:r>
      <w:r>
        <w:fldChar w:fldCharType="separate"/>
      </w:r>
      <w:r>
        <w:t>39</w:t>
      </w:r>
      <w:r>
        <w:fldChar w:fldCharType="end"/>
      </w:r>
      <w:r>
        <w:fldChar w:fldCharType="end"/>
      </w:r>
    </w:p>
    <w:p>
      <w:pPr>
        <w:pStyle w:val="11"/>
        <w:rPr>
          <w:rFonts w:ascii="仿宋" w:hAnsi="仿宋" w:eastAsia="仿宋"/>
          <w:sz w:val="28"/>
          <w:szCs w:val="28"/>
        </w:rPr>
      </w:pPr>
      <w:r>
        <w:fldChar w:fldCharType="begin"/>
      </w:r>
      <w:r>
        <w:instrText xml:space="preserve"> HYPERLINK \l "_Toc15396615"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1</w:t>
      </w:r>
      <w:r>
        <w:rPr>
          <w:rFonts w:ascii="仿宋" w:hAnsi="仿宋" w:eastAsia="仿宋"/>
          <w:sz w:val="28"/>
          <w:szCs w:val="28"/>
        </w:rPr>
        <w:tab/>
      </w:r>
      <w:r>
        <w:rPr>
          <w:rFonts w:ascii="仿宋" w:hAnsi="仿宋" w:eastAsia="仿宋"/>
          <w:sz w:val="28"/>
          <w:szCs w:val="28"/>
        </w:rPr>
        <w:t>44</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"_Toc15396617"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2</w:t>
      </w:r>
      <w:r>
        <w:rPr>
          <w:rFonts w:ascii="仿宋" w:hAnsi="仿宋" w:eastAsia="仿宋"/>
          <w:sz w:val="28"/>
          <w:szCs w:val="28"/>
        </w:rPr>
        <w:tab/>
      </w:r>
      <w:r>
        <w:rPr>
          <w:rFonts w:ascii="仿宋" w:hAnsi="仿宋" w:eastAsia="仿宋"/>
          <w:sz w:val="28"/>
          <w:szCs w:val="28"/>
        </w:rPr>
        <w:t>44</w:t>
      </w:r>
      <w:r>
        <w:rPr>
          <w:rFonts w:ascii="仿宋" w:hAnsi="仿宋" w:eastAsia="仿宋"/>
          <w:sz w:val="28"/>
          <w:szCs w:val="28"/>
        </w:rPr>
        <w:fldChar w:fldCharType="end"/>
      </w:r>
    </w:p>
    <w:p>
      <w:pPr>
        <w:pStyle w:val="10"/>
      </w:pPr>
      <w:r>
        <w:fldChar w:fldCharType="begin"/>
      </w:r>
      <w:r>
        <w:instrText xml:space="preserve"> HYPERLINK \l "_Toc15396618" </w:instrText>
      </w:r>
      <w:r>
        <w:fldChar w:fldCharType="separate"/>
      </w:r>
      <w:r>
        <w:rPr>
          <w:rStyle w:val="16"/>
          <w:rFonts w:hint="eastAsia"/>
        </w:rPr>
        <w:t>第</w:t>
      </w:r>
      <w:r>
        <w:rPr>
          <w:rStyle w:val="16"/>
          <w:rFonts w:hint="eastAsia"/>
          <w:bCs/>
          <w:kern w:val="44"/>
        </w:rPr>
        <w:t>五部分</w:t>
      </w:r>
      <w:r>
        <w:rPr>
          <w:rStyle w:val="16"/>
          <w:bCs/>
          <w:kern w:val="44"/>
        </w:rPr>
        <w:t xml:space="preserve"> </w:t>
      </w:r>
      <w:r>
        <w:rPr>
          <w:rStyle w:val="16"/>
          <w:rFonts w:hint="eastAsia"/>
          <w:bCs/>
          <w:kern w:val="44"/>
        </w:rPr>
        <w:t>附表</w:t>
      </w:r>
      <w:r>
        <w:tab/>
      </w:r>
      <w:r>
        <w:t>5</w:t>
      </w:r>
      <w:r>
        <w:fldChar w:fldCharType="end"/>
      </w:r>
      <w:r>
        <w:t>7</w:t>
      </w:r>
    </w:p>
    <w:p>
      <w:pPr>
        <w:pStyle w:val="11"/>
        <w:rPr>
          <w:rFonts w:ascii="仿宋" w:hAnsi="仿宋" w:eastAsia="仿宋"/>
          <w:sz w:val="28"/>
          <w:szCs w:val="28"/>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6"/>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6"/>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6"/>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6"/>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6"/>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6"/>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6"/>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6"/>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6"/>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6"/>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8"/>
          <w:szCs w:val="28"/>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6"/>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pStyle w:val="11"/>
        <w:rPr>
          <w:rFonts w:ascii="仿宋" w:hAnsi="仿宋" w:eastAsia="仿宋"/>
          <w:sz w:val="24"/>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6"/>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t>7</w:t>
      </w:r>
    </w:p>
    <w:p>
      <w:pPr>
        <w:widowControl/>
        <w:jc w:val="left"/>
        <w:rPr>
          <w:rFonts w:ascii="仿宋" w:hAnsi="仿宋" w:eastAsia="仿宋"/>
          <w:color w:val="000000"/>
          <w:sz w:val="24"/>
        </w:rPr>
      </w:pPr>
      <w:r>
        <w:rPr>
          <w:rFonts w:ascii="黑体" w:hAnsi="黑体" w:eastAsia="黑体"/>
          <w:color w:val="000000"/>
          <w:sz w:val="48"/>
          <w:szCs w:val="48"/>
        </w:rPr>
        <w:fldChar w:fldCharType="end"/>
      </w:r>
    </w:p>
    <w:p>
      <w:pPr>
        <w:widowControl/>
        <w:jc w:val="left"/>
        <w:rPr>
          <w:rFonts w:ascii="黑体" w:hAnsi="黑体" w:eastAsia="黑体"/>
          <w:bCs/>
          <w:kern w:val="44"/>
          <w:sz w:val="44"/>
          <w:szCs w:val="44"/>
        </w:rPr>
      </w:pPr>
      <w:bookmarkStart w:id="12" w:name="_Toc15396599"/>
      <w:bookmarkStart w:id="13" w:name="_Toc15377196"/>
      <w:r>
        <w:rPr>
          <w:rFonts w:ascii="黑体" w:hAnsi="黑体" w:eastAsia="黑体"/>
          <w:b/>
        </w:rPr>
        <w:br w:type="page"/>
      </w:r>
    </w:p>
    <w:p>
      <w:pPr>
        <w:pStyle w:val="2"/>
        <w:jc w:val="center"/>
        <w:rPr>
          <w:rFonts w:ascii="黑体" w:hAnsi="黑体" w:eastAsia="黑体"/>
          <w:bCs w:val="0"/>
        </w:rPr>
      </w:pPr>
      <w:r>
        <w:rPr>
          <w:rFonts w:hint="eastAsia" w:ascii="黑体" w:hAnsi="黑体" w:eastAsia="黑体"/>
          <w:b w:val="0"/>
        </w:rPr>
        <w:t>第一部分</w:t>
      </w:r>
      <w:r>
        <w:rPr>
          <w:rFonts w:ascii="黑体" w:hAnsi="黑体" w:eastAsia="黑体"/>
          <w:b w:val="0"/>
        </w:rPr>
        <w:t xml:space="preserve"> </w:t>
      </w:r>
      <w:r>
        <w:rPr>
          <w:rStyle w:val="17"/>
          <w:rFonts w:hint="eastAsia" w:ascii="黑体" w:hAnsi="黑体" w:eastAsia="黑体"/>
          <w:b w:val="0"/>
          <w:bCs w:val="0"/>
        </w:rPr>
        <w:t>部门概况</w:t>
      </w:r>
      <w:bookmarkEnd w:id="12"/>
      <w:bookmarkEnd w:id="13"/>
    </w:p>
    <w:p>
      <w:pPr>
        <w:pStyle w:val="3"/>
        <w:rPr>
          <w:rStyle w:val="18"/>
          <w:rFonts w:ascii="宋体"/>
          <w:b w:val="0"/>
          <w:bCs w:val="0"/>
        </w:rPr>
      </w:pPr>
      <w:bookmarkStart w:id="14" w:name="_Toc15396600"/>
      <w:bookmarkStart w:id="15" w:name="_Toc15377197"/>
      <w:r>
        <w:rPr>
          <w:rFonts w:hint="eastAsia" w:ascii="宋体" w:hAnsi="宋体"/>
          <w:b w:val="0"/>
          <w:color w:val="000000"/>
        </w:rPr>
        <w:t>一、基</w:t>
      </w:r>
      <w:r>
        <w:rPr>
          <w:rStyle w:val="18"/>
          <w:rFonts w:hint="eastAsia" w:ascii="宋体" w:hAnsi="宋体"/>
          <w:b w:val="0"/>
          <w:bCs w:val="0"/>
        </w:rPr>
        <w:t>本职能及主要工作</w:t>
      </w:r>
      <w:bookmarkEnd w:id="14"/>
      <w:bookmarkEnd w:id="15"/>
      <w:bookmarkStart w:id="16" w:name="_Toc15378445"/>
      <w:bookmarkStart w:id="17" w:name="_Toc15377198"/>
    </w:p>
    <w:p>
      <w:pPr>
        <w:pStyle w:val="3"/>
        <w:ind w:firstLine="640" w:firstLineChars="200"/>
        <w:rPr>
          <w:rFonts w:ascii="宋体"/>
          <w:b w:val="0"/>
          <w:bCs w:val="0"/>
        </w:rPr>
      </w:pPr>
      <w:r>
        <w:rPr>
          <w:rFonts w:hint="eastAsia" w:ascii="宋体" w:hAnsi="宋体"/>
          <w:b w:val="0"/>
          <w:bCs w:val="0"/>
          <w:color w:val="000000"/>
        </w:rPr>
        <w:t>（一）主要职能。</w:t>
      </w:r>
    </w:p>
    <w:p>
      <w:pPr>
        <w:snapToGrid w:val="0"/>
        <w:spacing w:line="360" w:lineRule="auto"/>
        <w:ind w:firstLine="640" w:firstLineChars="200"/>
        <w:rPr>
          <w:rFonts w:ascii="宋体"/>
          <w:sz w:val="32"/>
          <w:szCs w:val="32"/>
        </w:rPr>
      </w:pPr>
      <w:r>
        <w:rPr>
          <w:rFonts w:ascii="宋体" w:hAnsi="宋体"/>
          <w:sz w:val="32"/>
          <w:szCs w:val="32"/>
        </w:rPr>
        <w:t>1</w:t>
      </w:r>
      <w:r>
        <w:rPr>
          <w:rFonts w:hint="eastAsia" w:ascii="宋体" w:hAnsi="宋体"/>
          <w:sz w:val="32"/>
          <w:szCs w:val="32"/>
        </w:rPr>
        <w:t>、贯彻执行国家有关交通运输行业的方针、政策和法律、法规，贯彻执行省地方性法规、规章、交通运输行业规划、政策和规范性文件。组织拟订并监督实施公路、水路等行业发展战略、政策，会同有关部门组织编制综合运输体系规划。</w:t>
      </w:r>
    </w:p>
    <w:p>
      <w:pPr>
        <w:snapToGrid w:val="0"/>
        <w:spacing w:line="360" w:lineRule="auto"/>
        <w:ind w:firstLine="640" w:firstLineChars="200"/>
        <w:rPr>
          <w:rFonts w:ascii="宋体"/>
          <w:sz w:val="32"/>
          <w:szCs w:val="32"/>
        </w:rPr>
      </w:pPr>
      <w:r>
        <w:rPr>
          <w:rFonts w:ascii="宋体" w:hAnsi="宋体"/>
          <w:sz w:val="32"/>
          <w:szCs w:val="32"/>
        </w:rPr>
        <w:t>2</w:t>
      </w:r>
      <w:r>
        <w:rPr>
          <w:rFonts w:hint="eastAsia" w:ascii="宋体" w:hAnsi="宋体"/>
          <w:sz w:val="32"/>
          <w:szCs w:val="32"/>
        </w:rPr>
        <w:t>、负责本系统、本部门依法行政工作，落实行政执法责任制；指导公路、水路行业有关体制改革和机制转换工作；参与拟定物流业发展战略和规划。</w:t>
      </w:r>
    </w:p>
    <w:p>
      <w:pPr>
        <w:snapToGrid w:val="0"/>
        <w:spacing w:line="360" w:lineRule="auto"/>
        <w:ind w:firstLine="640" w:firstLineChars="200"/>
        <w:rPr>
          <w:rFonts w:ascii="宋体"/>
          <w:sz w:val="32"/>
          <w:szCs w:val="32"/>
        </w:rPr>
      </w:pPr>
      <w:r>
        <w:rPr>
          <w:rFonts w:ascii="宋体" w:hAnsi="宋体"/>
          <w:sz w:val="32"/>
          <w:szCs w:val="32"/>
        </w:rPr>
        <w:t>3</w:t>
      </w:r>
      <w:r>
        <w:rPr>
          <w:rFonts w:hint="eastAsia" w:ascii="宋体" w:hAnsi="宋体"/>
          <w:sz w:val="32"/>
          <w:szCs w:val="32"/>
        </w:rPr>
        <w:t>、承担道路、水路交通运输市场监管责任，组织实施并监督执行道路、水路运输有关政策、技术标准和运营规范；指导城乡客运管理工作，指导出租车行业管理工作；会同有关部门制定运输价格。</w:t>
      </w:r>
    </w:p>
    <w:p>
      <w:pPr>
        <w:snapToGrid w:val="0"/>
        <w:spacing w:line="360" w:lineRule="auto"/>
        <w:ind w:firstLine="640" w:firstLineChars="200"/>
        <w:rPr>
          <w:rFonts w:ascii="宋体"/>
          <w:sz w:val="32"/>
          <w:szCs w:val="32"/>
        </w:rPr>
      </w:pPr>
      <w:r>
        <w:rPr>
          <w:rFonts w:ascii="宋体" w:hAnsi="宋体"/>
          <w:sz w:val="32"/>
          <w:szCs w:val="32"/>
        </w:rPr>
        <w:t>4</w:t>
      </w:r>
      <w:r>
        <w:rPr>
          <w:rFonts w:hint="eastAsia" w:ascii="宋体" w:hAnsi="宋体"/>
          <w:sz w:val="32"/>
          <w:szCs w:val="32"/>
        </w:rPr>
        <w:t>、承担水上交通安全监管责任。负责水上交通管制、运输船舶及相关水上设施检验、登记和防止污染、救助打捞、通讯导航、危险品运输的监督管理工作；负责船员管理相关工作；指导水上交通安全事故、船舶及相关水上设施污染事故的应急处置，依法组织和参与事故调查处理工作。</w:t>
      </w:r>
    </w:p>
    <w:p>
      <w:pPr>
        <w:snapToGrid w:val="0"/>
        <w:spacing w:line="360" w:lineRule="auto"/>
        <w:ind w:firstLine="640" w:firstLineChars="200"/>
        <w:rPr>
          <w:rFonts w:ascii="宋体"/>
          <w:sz w:val="32"/>
          <w:szCs w:val="32"/>
        </w:rPr>
      </w:pPr>
      <w:r>
        <w:rPr>
          <w:rFonts w:ascii="宋体" w:hAnsi="宋体"/>
          <w:sz w:val="32"/>
          <w:szCs w:val="32"/>
        </w:rPr>
        <w:t>5</w:t>
      </w:r>
      <w:r>
        <w:rPr>
          <w:rFonts w:hint="eastAsia" w:ascii="宋体" w:hAnsi="宋体"/>
          <w:sz w:val="32"/>
          <w:szCs w:val="32"/>
        </w:rPr>
        <w:t>、负责提出公路、水路固定资产投资规模和方向、市财政资金安排建议，按照程序报批国家、省、市规划内和年度计划规模内固定资产投资项目。指导交通运输行业审计工作。</w:t>
      </w:r>
    </w:p>
    <w:p>
      <w:pPr>
        <w:snapToGrid w:val="0"/>
        <w:spacing w:line="360" w:lineRule="auto"/>
        <w:ind w:firstLine="640" w:firstLineChars="200"/>
        <w:rPr>
          <w:rFonts w:ascii="宋体"/>
          <w:sz w:val="32"/>
          <w:szCs w:val="32"/>
        </w:rPr>
      </w:pPr>
      <w:r>
        <w:rPr>
          <w:rFonts w:ascii="宋体" w:hAnsi="宋体"/>
          <w:sz w:val="32"/>
          <w:szCs w:val="32"/>
        </w:rPr>
        <w:t>6</w:t>
      </w:r>
      <w:r>
        <w:rPr>
          <w:rFonts w:hint="eastAsia" w:ascii="宋体" w:hAnsi="宋体"/>
          <w:sz w:val="32"/>
          <w:szCs w:val="32"/>
        </w:rPr>
        <w:t>、承担公路、水路建设市场监管工作。组织实施并监督执行公路、水路工程建设相关政策、制度、技术标准，组织协调公路、水路有关重点工程建设，负责工程质量、安全生产监督管理工作；负责对交通行业和产业项目的招投标活动进行监督、指导；指导交通运输基础设施管理和维护，承担有关重要设施的管理和维护；按规定负责港口规划和港口岸线使用管理工作，指导交通运输行业特许经营管理，会同有关部门组织实施交通运输行业职业资格管理工作。</w:t>
      </w:r>
    </w:p>
    <w:p>
      <w:pPr>
        <w:snapToGrid w:val="0"/>
        <w:spacing w:line="360" w:lineRule="auto"/>
        <w:ind w:firstLine="640" w:firstLineChars="200"/>
        <w:rPr>
          <w:rFonts w:ascii="宋体"/>
          <w:sz w:val="32"/>
          <w:szCs w:val="32"/>
        </w:rPr>
      </w:pPr>
      <w:r>
        <w:rPr>
          <w:rFonts w:ascii="宋体" w:hAnsi="宋体"/>
          <w:sz w:val="32"/>
          <w:szCs w:val="32"/>
        </w:rPr>
        <w:t>7</w:t>
      </w:r>
      <w:r>
        <w:rPr>
          <w:rFonts w:hint="eastAsia" w:ascii="宋体" w:hAnsi="宋体"/>
          <w:sz w:val="32"/>
          <w:szCs w:val="32"/>
        </w:rPr>
        <w:t>、指导公路、水路行业安全生产和应急管理工作。按规定组织协调国家、省、市重点物资、危险货物运输和紧急客货运输，负责全市干线路网运行监测和协调；组织协调地方交通战备工作，承担国防动员有关工作。</w:t>
      </w:r>
    </w:p>
    <w:p>
      <w:pPr>
        <w:snapToGrid w:val="0"/>
        <w:spacing w:line="360" w:lineRule="auto"/>
        <w:ind w:firstLine="640" w:firstLineChars="200"/>
        <w:rPr>
          <w:rFonts w:ascii="宋体"/>
          <w:sz w:val="32"/>
          <w:szCs w:val="32"/>
        </w:rPr>
      </w:pPr>
      <w:r>
        <w:rPr>
          <w:rFonts w:ascii="宋体" w:hAnsi="宋体"/>
          <w:sz w:val="32"/>
          <w:szCs w:val="32"/>
        </w:rPr>
        <w:t>8</w:t>
      </w:r>
      <w:r>
        <w:rPr>
          <w:rFonts w:hint="eastAsia" w:ascii="宋体" w:hAnsi="宋体"/>
          <w:sz w:val="32"/>
          <w:szCs w:val="32"/>
        </w:rPr>
        <w:t>、承担交通运输科技项目开发和研究的组织实施工作，负责交通运输科研成果的推广、应用工作。指导全市交通运输信息化建设，监测分析运行情况，开展相关统计工作，发布有关信息。指导公路、水路行业环境保护和节能减排工作。</w:t>
      </w:r>
    </w:p>
    <w:p>
      <w:pPr>
        <w:snapToGrid w:val="0"/>
        <w:spacing w:line="360" w:lineRule="auto"/>
        <w:ind w:firstLine="640" w:firstLineChars="200"/>
        <w:rPr>
          <w:rFonts w:ascii="宋体"/>
          <w:sz w:val="32"/>
          <w:szCs w:val="32"/>
        </w:rPr>
      </w:pPr>
      <w:r>
        <w:rPr>
          <w:rFonts w:ascii="宋体" w:hAnsi="宋体"/>
          <w:sz w:val="32"/>
          <w:szCs w:val="32"/>
        </w:rPr>
        <w:t>9</w:t>
      </w:r>
      <w:r>
        <w:rPr>
          <w:rFonts w:hint="eastAsia" w:ascii="宋体" w:hAnsi="宋体"/>
          <w:sz w:val="32"/>
          <w:szCs w:val="32"/>
        </w:rPr>
        <w:t>、负责公路、水路有关涉外工作，开展经济技术交流和合作，指导全市交通运输行业招商引资和利用外部资金工作。</w:t>
      </w:r>
    </w:p>
    <w:p>
      <w:pPr>
        <w:snapToGrid w:val="0"/>
        <w:spacing w:line="360" w:lineRule="auto"/>
        <w:ind w:firstLine="640" w:firstLineChars="200"/>
        <w:rPr>
          <w:rFonts w:ascii="宋体"/>
          <w:sz w:val="32"/>
          <w:szCs w:val="32"/>
        </w:rPr>
      </w:pPr>
      <w:r>
        <w:rPr>
          <w:rFonts w:ascii="宋体" w:hAnsi="宋体"/>
          <w:sz w:val="32"/>
          <w:szCs w:val="32"/>
        </w:rPr>
        <w:t>10</w:t>
      </w:r>
      <w:r>
        <w:rPr>
          <w:rFonts w:hint="eastAsia" w:ascii="宋体" w:hAnsi="宋体"/>
          <w:sz w:val="32"/>
          <w:szCs w:val="32"/>
        </w:rPr>
        <w:t>、承担市政府公布的有关行政审批事项。</w:t>
      </w:r>
    </w:p>
    <w:p>
      <w:pPr>
        <w:snapToGrid w:val="0"/>
        <w:spacing w:line="360" w:lineRule="auto"/>
        <w:ind w:firstLine="640" w:firstLineChars="200"/>
        <w:rPr>
          <w:rFonts w:ascii="宋体"/>
          <w:sz w:val="32"/>
          <w:szCs w:val="32"/>
        </w:rPr>
      </w:pPr>
      <w:r>
        <w:rPr>
          <w:rFonts w:ascii="宋体" w:hAnsi="宋体"/>
          <w:sz w:val="32"/>
          <w:szCs w:val="32"/>
        </w:rPr>
        <w:t>11</w:t>
      </w:r>
      <w:r>
        <w:rPr>
          <w:rFonts w:hint="eastAsia" w:ascii="宋体" w:hAnsi="宋体"/>
          <w:sz w:val="32"/>
          <w:szCs w:val="32"/>
        </w:rPr>
        <w:t>、承办市政府交办的其他事项。</w:t>
      </w:r>
    </w:p>
    <w:bookmarkEnd w:id="16"/>
    <w:bookmarkEnd w:id="17"/>
    <w:p>
      <w:pPr>
        <w:pStyle w:val="5"/>
        <w:adjustRightInd w:val="0"/>
        <w:snapToGrid w:val="0"/>
        <w:spacing w:before="93" w:line="600" w:lineRule="exact"/>
        <w:ind w:firstLine="672" w:firstLineChars="210"/>
        <w:outlineLvl w:val="2"/>
        <w:rPr>
          <w:rFonts w:ascii="宋体" w:hAnsi="宋体" w:eastAsia="宋体"/>
          <w:bCs/>
          <w:color w:val="000000"/>
          <w:sz w:val="32"/>
          <w:szCs w:val="32"/>
        </w:rPr>
      </w:pPr>
      <w:bookmarkStart w:id="18" w:name="_Toc15377199"/>
      <w:bookmarkStart w:id="19" w:name="_Toc15378446"/>
      <w:r>
        <w:rPr>
          <w:rFonts w:hint="eastAsia" w:ascii="宋体" w:hAnsi="宋体" w:eastAsia="宋体"/>
          <w:bCs/>
          <w:color w:val="000000"/>
          <w:sz w:val="32"/>
          <w:szCs w:val="32"/>
        </w:rPr>
        <w:t>（二）</w:t>
      </w:r>
      <w:r>
        <w:rPr>
          <w:rFonts w:ascii="宋体" w:hAnsi="宋体" w:eastAsia="宋体"/>
          <w:bCs/>
          <w:color w:val="000000"/>
          <w:sz w:val="32"/>
          <w:szCs w:val="32"/>
        </w:rPr>
        <w:t>2018</w:t>
      </w:r>
      <w:r>
        <w:rPr>
          <w:rFonts w:hint="eastAsia" w:ascii="宋体" w:hAnsi="宋体" w:eastAsia="宋体"/>
          <w:bCs/>
          <w:color w:val="000000"/>
          <w:sz w:val="32"/>
          <w:szCs w:val="32"/>
        </w:rPr>
        <w:t>年重点工作完成情况。</w:t>
      </w:r>
      <w:bookmarkEnd w:id="18"/>
      <w:bookmarkEnd w:id="19"/>
    </w:p>
    <w:p>
      <w:pPr>
        <w:spacing w:line="510" w:lineRule="exact"/>
        <w:ind w:firstLine="707" w:firstLineChars="221"/>
        <w:rPr>
          <w:rFonts w:ascii="宋体" w:cs="仿宋_GB2312"/>
          <w:sz w:val="32"/>
          <w:szCs w:val="32"/>
        </w:rPr>
      </w:pPr>
      <w:r>
        <w:rPr>
          <w:rFonts w:ascii="宋体" w:hAnsi="宋体" w:cs="楷体"/>
          <w:bCs/>
          <w:sz w:val="32"/>
          <w:szCs w:val="32"/>
        </w:rPr>
        <w:t>1</w:t>
      </w:r>
      <w:r>
        <w:rPr>
          <w:rFonts w:hint="eastAsia" w:ascii="宋体" w:hAnsi="宋体" w:cs="楷体"/>
          <w:bCs/>
          <w:sz w:val="32"/>
          <w:szCs w:val="32"/>
        </w:rPr>
        <w:t>、围绕发展大局，交通建设保持强劲势头。</w:t>
      </w:r>
      <w:r>
        <w:rPr>
          <w:rFonts w:ascii="宋体" w:hAnsi="宋体" w:cs="仿宋_GB2312"/>
          <w:sz w:val="32"/>
          <w:szCs w:val="32"/>
        </w:rPr>
        <w:t>2018</w:t>
      </w:r>
      <w:r>
        <w:rPr>
          <w:rFonts w:hint="eastAsia" w:ascii="宋体" w:hAnsi="宋体" w:cs="仿宋_GB2312"/>
          <w:sz w:val="32"/>
          <w:szCs w:val="32"/>
        </w:rPr>
        <w:t>年，全市交通运输系统围绕建设“国家战略资源创新开发试验区和全国阳光康养旅游目的地”、做好“钒钛”“阳光”两篇文章，大力推进“一环六射”高速公路网建设，强化国省干线服务保障能力，不断提升民航发展水平</w:t>
      </w:r>
      <w:r>
        <w:rPr>
          <w:rFonts w:ascii="宋体" w:cs="仿宋_GB2312"/>
          <w:sz w:val="32"/>
          <w:szCs w:val="32"/>
        </w:rPr>
        <w:t>,</w:t>
      </w:r>
      <w:r>
        <w:rPr>
          <w:rFonts w:hint="eastAsia" w:ascii="宋体" w:hAnsi="宋体" w:cs="仿宋_GB2312"/>
          <w:sz w:val="32"/>
          <w:szCs w:val="32"/>
        </w:rPr>
        <w:t>持续保持交通强劲发展势头。</w:t>
      </w:r>
      <w:r>
        <w:rPr>
          <w:rFonts w:hint="eastAsia" w:ascii="宋体" w:hAnsi="宋体" w:cs="仿宋_GB2312"/>
          <w:bCs/>
          <w:sz w:val="32"/>
          <w:szCs w:val="32"/>
        </w:rPr>
        <w:t>交通投资再创新高。</w:t>
      </w:r>
      <w:r>
        <w:rPr>
          <w:rFonts w:hint="eastAsia" w:ascii="宋体" w:hAnsi="宋体" w:cs="仿宋_GB2312"/>
          <w:sz w:val="32"/>
          <w:szCs w:val="32"/>
        </w:rPr>
        <w:t>全年完成投资</w:t>
      </w:r>
      <w:r>
        <w:rPr>
          <w:rFonts w:ascii="宋体" w:hAnsi="宋体" w:cs="仿宋_GB2312"/>
          <w:sz w:val="32"/>
          <w:szCs w:val="32"/>
        </w:rPr>
        <w:t>14.6</w:t>
      </w:r>
      <w:r>
        <w:rPr>
          <w:rFonts w:hint="eastAsia" w:ascii="宋体" w:hAnsi="宋体" w:cs="仿宋_GB2312"/>
          <w:sz w:val="32"/>
          <w:szCs w:val="32"/>
        </w:rPr>
        <w:t>亿元，为年度目标任务</w:t>
      </w:r>
      <w:r>
        <w:rPr>
          <w:rFonts w:ascii="宋体" w:hAnsi="宋体" w:cs="仿宋_GB2312"/>
          <w:sz w:val="32"/>
          <w:szCs w:val="32"/>
        </w:rPr>
        <w:t>10</w:t>
      </w:r>
      <w:r>
        <w:rPr>
          <w:rFonts w:hint="eastAsia" w:ascii="宋体" w:hAnsi="宋体" w:cs="仿宋_GB2312"/>
          <w:sz w:val="32"/>
          <w:szCs w:val="32"/>
        </w:rPr>
        <w:t>亿元的</w:t>
      </w:r>
      <w:r>
        <w:rPr>
          <w:rFonts w:ascii="宋体" w:hAnsi="宋体" w:cs="仿宋_GB2312"/>
          <w:sz w:val="32"/>
          <w:szCs w:val="32"/>
        </w:rPr>
        <w:t>146 %</w:t>
      </w:r>
      <w:r>
        <w:rPr>
          <w:rFonts w:hint="eastAsia" w:ascii="宋体" w:hAnsi="宋体" w:cs="仿宋_GB2312"/>
          <w:sz w:val="32"/>
          <w:szCs w:val="32"/>
        </w:rPr>
        <w:t>，连续五年保持投资增长趋势。</w:t>
      </w:r>
      <w:r>
        <w:rPr>
          <w:rFonts w:hint="eastAsia" w:ascii="宋体" w:hAnsi="宋体" w:cs="仿宋_GB2312"/>
          <w:bCs/>
          <w:sz w:val="32"/>
          <w:szCs w:val="32"/>
        </w:rPr>
        <w:t>大通道建设多头并进。</w:t>
      </w:r>
      <w:r>
        <w:rPr>
          <w:rFonts w:hint="eastAsia" w:ascii="宋体" w:hAnsi="宋体" w:cs="仿宋_GB2312"/>
          <w:sz w:val="32"/>
          <w:szCs w:val="32"/>
        </w:rPr>
        <w:t>大力推进南向门户建设，高速公路已建设</w:t>
      </w:r>
      <w:r>
        <w:rPr>
          <w:rFonts w:ascii="宋体" w:hAnsi="宋体" w:cs="仿宋_GB2312"/>
          <w:sz w:val="32"/>
          <w:szCs w:val="32"/>
        </w:rPr>
        <w:t>3</w:t>
      </w:r>
      <w:r>
        <w:rPr>
          <w:rFonts w:hint="eastAsia" w:ascii="宋体" w:hAnsi="宋体" w:cs="仿宋_GB2312"/>
          <w:sz w:val="32"/>
          <w:szCs w:val="32"/>
        </w:rPr>
        <w:t>条</w:t>
      </w:r>
      <w:r>
        <w:rPr>
          <w:rFonts w:ascii="宋体" w:hAnsi="宋体" w:cs="仿宋_GB2312"/>
          <w:sz w:val="32"/>
          <w:szCs w:val="32"/>
        </w:rPr>
        <w:t>195</w:t>
      </w:r>
      <w:r>
        <w:rPr>
          <w:rFonts w:hint="eastAsia" w:ascii="宋体" w:hAnsi="宋体" w:cs="仿宋_GB2312"/>
          <w:sz w:val="32"/>
          <w:szCs w:val="32"/>
        </w:rPr>
        <w:t>公里、在建</w:t>
      </w:r>
      <w:r>
        <w:rPr>
          <w:rFonts w:ascii="宋体" w:hAnsi="宋体" w:cs="仿宋_GB2312"/>
          <w:sz w:val="32"/>
          <w:szCs w:val="32"/>
        </w:rPr>
        <w:t>2</w:t>
      </w:r>
      <w:r>
        <w:rPr>
          <w:rFonts w:hint="eastAsia" w:ascii="宋体" w:hAnsi="宋体" w:cs="仿宋_GB2312"/>
          <w:sz w:val="32"/>
          <w:szCs w:val="32"/>
        </w:rPr>
        <w:t>条</w:t>
      </w:r>
      <w:r>
        <w:rPr>
          <w:rFonts w:ascii="宋体" w:hAnsi="宋体" w:cs="仿宋_GB2312"/>
          <w:sz w:val="32"/>
          <w:szCs w:val="32"/>
        </w:rPr>
        <w:t>71.6</w:t>
      </w:r>
      <w:r>
        <w:rPr>
          <w:rFonts w:hint="eastAsia" w:ascii="宋体" w:hAnsi="宋体" w:cs="仿宋_GB2312"/>
          <w:sz w:val="32"/>
          <w:szCs w:val="32"/>
        </w:rPr>
        <w:t>公里、启动工可编制</w:t>
      </w:r>
      <w:r>
        <w:rPr>
          <w:rFonts w:ascii="宋体" w:hAnsi="宋体" w:cs="仿宋_GB2312"/>
          <w:sz w:val="32"/>
          <w:szCs w:val="32"/>
        </w:rPr>
        <w:t>2</w:t>
      </w:r>
      <w:r>
        <w:rPr>
          <w:rFonts w:hint="eastAsia" w:ascii="宋体" w:hAnsi="宋体" w:cs="仿宋_GB2312"/>
          <w:sz w:val="32"/>
          <w:szCs w:val="32"/>
        </w:rPr>
        <w:t>条</w:t>
      </w:r>
      <w:r>
        <w:rPr>
          <w:rFonts w:ascii="宋体" w:hAnsi="宋体" w:cs="仿宋_GB2312"/>
          <w:sz w:val="32"/>
          <w:szCs w:val="32"/>
        </w:rPr>
        <w:t>118</w:t>
      </w:r>
      <w:r>
        <w:rPr>
          <w:rFonts w:hint="eastAsia" w:ascii="宋体" w:hAnsi="宋体" w:cs="仿宋_GB2312"/>
          <w:sz w:val="32"/>
          <w:szCs w:val="32"/>
        </w:rPr>
        <w:t>公里，高速公路主骨架逐步形成，为我市社会经济发展提供有力支撑。攀大高速项目建设四川境内已完成总体建设</w:t>
      </w:r>
      <w:r>
        <w:rPr>
          <w:rFonts w:ascii="宋体" w:hAnsi="宋体" w:cs="仿宋_GB2312"/>
          <w:sz w:val="32"/>
          <w:szCs w:val="32"/>
        </w:rPr>
        <w:t>56%</w:t>
      </w:r>
      <w:r>
        <w:rPr>
          <w:rFonts w:hint="eastAsia" w:ascii="宋体" w:hAnsi="宋体" w:cs="仿宋_GB2312"/>
          <w:sz w:val="32"/>
          <w:szCs w:val="32"/>
        </w:rPr>
        <w:t>，云南境内已启动工可编制工作。</w:t>
      </w:r>
      <w:r>
        <w:rPr>
          <w:rFonts w:ascii="宋体" w:hAnsi="宋体" w:cs="仿宋_GB2312"/>
          <w:sz w:val="32"/>
          <w:szCs w:val="32"/>
        </w:rPr>
        <w:t>G4216</w:t>
      </w:r>
      <w:r>
        <w:rPr>
          <w:rFonts w:hint="eastAsia" w:ascii="宋体" w:hAnsi="宋体" w:cs="仿宋_GB2312"/>
          <w:sz w:val="32"/>
          <w:szCs w:val="32"/>
        </w:rPr>
        <w:t>线宁南至攀枝花段高速公路实现开工建设。攀盐高速公路和绕城东段高速公路已启动工可编制工作。经过持续沟通、对接，丽攀高速云南段主体工程取得实质性进展，预计</w:t>
      </w:r>
      <w:r>
        <w:rPr>
          <w:rFonts w:ascii="宋体" w:hAnsi="宋体" w:cs="仿宋_GB2312"/>
          <w:sz w:val="32"/>
          <w:szCs w:val="32"/>
        </w:rPr>
        <w:t>2021</w:t>
      </w:r>
      <w:r>
        <w:rPr>
          <w:rFonts w:hint="eastAsia" w:ascii="宋体" w:hAnsi="宋体" w:cs="仿宋_GB2312"/>
          <w:sz w:val="32"/>
          <w:szCs w:val="32"/>
        </w:rPr>
        <w:t>年全线通车。</w:t>
      </w:r>
      <w:r>
        <w:rPr>
          <w:rFonts w:hint="eastAsia" w:ascii="宋体" w:hAnsi="宋体" w:cs="仿宋_GB2312"/>
          <w:bCs/>
          <w:sz w:val="32"/>
          <w:szCs w:val="32"/>
        </w:rPr>
        <w:t>国省干线建设加快推进。</w:t>
      </w:r>
      <w:r>
        <w:rPr>
          <w:rFonts w:hint="eastAsia" w:ascii="宋体" w:hAnsi="宋体" w:cs="仿宋_GB2312"/>
          <w:sz w:val="32"/>
          <w:szCs w:val="32"/>
        </w:rPr>
        <w:t>三堆子金沙江大桥推进顺利，南、北两岸匝道工程完成</w:t>
      </w:r>
      <w:r>
        <w:rPr>
          <w:rFonts w:ascii="宋体" w:hAnsi="宋体" w:cs="仿宋_GB2312"/>
          <w:sz w:val="32"/>
          <w:szCs w:val="32"/>
        </w:rPr>
        <w:t>35%</w:t>
      </w:r>
      <w:r>
        <w:rPr>
          <w:rFonts w:hint="eastAsia" w:ascii="宋体" w:hAnsi="宋体" w:cs="仿宋_GB2312"/>
          <w:sz w:val="32"/>
          <w:szCs w:val="32"/>
        </w:rPr>
        <w:t>，实现主桥墩台顺利渡洪和匝道工程全面开工。提前完成“</w:t>
      </w:r>
      <w:r>
        <w:rPr>
          <w:rFonts w:ascii="宋体" w:hAnsi="宋体" w:cs="仿宋_GB2312"/>
          <w:sz w:val="32"/>
          <w:szCs w:val="32"/>
        </w:rPr>
        <w:t>9.19</w:t>
      </w:r>
      <w:r>
        <w:rPr>
          <w:rFonts w:hint="eastAsia" w:ascii="宋体" w:hAnsi="宋体" w:cs="仿宋_GB2312"/>
          <w:sz w:val="32"/>
          <w:szCs w:val="32"/>
        </w:rPr>
        <w:t>”应急抢险省道</w:t>
      </w:r>
      <w:r>
        <w:rPr>
          <w:rFonts w:ascii="宋体" w:hAnsi="宋体" w:cs="仿宋_GB2312"/>
          <w:sz w:val="32"/>
          <w:szCs w:val="32"/>
        </w:rPr>
        <w:t>214</w:t>
      </w:r>
      <w:r>
        <w:rPr>
          <w:rFonts w:hint="eastAsia" w:ascii="宋体" w:hAnsi="宋体" w:cs="仿宋_GB2312"/>
          <w:sz w:val="32"/>
          <w:szCs w:val="32"/>
        </w:rPr>
        <w:t>线银厂箐段新建桥梁及引道工程等</w:t>
      </w:r>
      <w:r>
        <w:rPr>
          <w:rFonts w:ascii="宋体" w:hAnsi="宋体" w:cs="仿宋_GB2312"/>
          <w:sz w:val="32"/>
          <w:szCs w:val="32"/>
        </w:rPr>
        <w:t>5</w:t>
      </w:r>
      <w:r>
        <w:rPr>
          <w:rFonts w:hint="eastAsia" w:ascii="宋体" w:hAnsi="宋体" w:cs="仿宋_GB2312"/>
          <w:sz w:val="32"/>
          <w:szCs w:val="32"/>
        </w:rPr>
        <w:t>个项目。干线公路更加安全畅通，完成法拉大桥等</w:t>
      </w:r>
      <w:r>
        <w:rPr>
          <w:rFonts w:ascii="宋体" w:hAnsi="宋体" w:cs="仿宋_GB2312"/>
          <w:sz w:val="32"/>
          <w:szCs w:val="32"/>
        </w:rPr>
        <w:t>5</w:t>
      </w:r>
      <w:r>
        <w:rPr>
          <w:rFonts w:hint="eastAsia" w:ascii="宋体" w:hAnsi="宋体" w:cs="仿宋_GB2312"/>
          <w:sz w:val="32"/>
          <w:szCs w:val="32"/>
        </w:rPr>
        <w:t>座危病桥加固项目、国道</w:t>
      </w:r>
      <w:r>
        <w:rPr>
          <w:rFonts w:ascii="宋体" w:hAnsi="宋体" w:cs="仿宋_GB2312"/>
          <w:sz w:val="32"/>
          <w:szCs w:val="32"/>
        </w:rPr>
        <w:t>108</w:t>
      </w:r>
      <w:r>
        <w:rPr>
          <w:rFonts w:hint="eastAsia" w:ascii="宋体" w:hAnsi="宋体" w:cs="仿宋_GB2312"/>
          <w:sz w:val="32"/>
          <w:szCs w:val="32"/>
        </w:rPr>
        <w:t>等</w:t>
      </w:r>
      <w:r>
        <w:rPr>
          <w:rFonts w:ascii="宋体" w:hAnsi="宋体" w:cs="仿宋_GB2312"/>
          <w:sz w:val="32"/>
          <w:szCs w:val="32"/>
        </w:rPr>
        <w:t>2</w:t>
      </w:r>
      <w:r>
        <w:rPr>
          <w:rFonts w:hint="eastAsia" w:ascii="宋体" w:hAnsi="宋体" w:cs="仿宋_GB2312"/>
          <w:sz w:val="32"/>
          <w:szCs w:val="32"/>
        </w:rPr>
        <w:t>个地质灾害整治项目。超额完成省级民生工程任务，国省干线路况性能指数达到</w:t>
      </w:r>
      <w:r>
        <w:rPr>
          <w:rFonts w:ascii="宋体" w:hAnsi="宋体" w:cs="仿宋_GB2312"/>
          <w:sz w:val="32"/>
          <w:szCs w:val="32"/>
        </w:rPr>
        <w:t>91.4</w:t>
      </w:r>
      <w:r>
        <w:rPr>
          <w:rFonts w:hint="eastAsia" w:ascii="宋体" w:hAnsi="宋体" w:cs="仿宋_GB2312"/>
          <w:sz w:val="32"/>
          <w:szCs w:val="32"/>
        </w:rPr>
        <w:t>。</w:t>
      </w:r>
      <w:r>
        <w:rPr>
          <w:rFonts w:hint="eastAsia" w:ascii="宋体" w:hAnsi="宋体" w:cs="仿宋_GB2312"/>
          <w:bCs/>
          <w:sz w:val="32"/>
          <w:szCs w:val="32"/>
        </w:rPr>
        <w:t>民航新任务推进有效。</w:t>
      </w:r>
      <w:r>
        <w:rPr>
          <w:rFonts w:hint="eastAsia" w:ascii="宋体" w:hAnsi="宋体" w:cs="仿宋_GB2312"/>
          <w:sz w:val="32"/>
          <w:szCs w:val="32"/>
        </w:rPr>
        <w:t>按照市委市政府新安排，我局联系攀枝花保安营机场工作，面对新任务，我局多次与行业主管部门开展对接，扎实开展航线拓展、机场迁建、地质灾害治理等工作。新增</w:t>
      </w:r>
      <w:r>
        <w:rPr>
          <w:rFonts w:ascii="宋体" w:hAnsi="宋体" w:cs="仿宋_GB2312"/>
          <w:sz w:val="32"/>
          <w:szCs w:val="32"/>
        </w:rPr>
        <w:t>1</w:t>
      </w:r>
      <w:r>
        <w:rPr>
          <w:rFonts w:hint="eastAsia" w:ascii="宋体" w:hAnsi="宋体" w:cs="仿宋_GB2312"/>
          <w:sz w:val="32"/>
          <w:szCs w:val="32"/>
        </w:rPr>
        <w:t>个攀枝花至成都航线。与深圳航空和东方航空续签航线补贴协议，成功降低运营补贴。开展保安营机场持续安运营论证工作，地灾治理有序推进。机场迁建前期工作稳步推进。启动机场迁建前期咨询工作，初步确定仁和区双龙潭为迁建场址。</w:t>
      </w:r>
    </w:p>
    <w:p>
      <w:pPr>
        <w:spacing w:line="510" w:lineRule="exact"/>
        <w:ind w:firstLine="707" w:firstLineChars="221"/>
        <w:rPr>
          <w:rFonts w:ascii="宋体" w:cs="仿宋_GB2312"/>
          <w:sz w:val="32"/>
          <w:szCs w:val="32"/>
        </w:rPr>
      </w:pPr>
      <w:r>
        <w:rPr>
          <w:rFonts w:ascii="宋体" w:hAnsi="宋体" w:cs="楷体"/>
          <w:bCs/>
          <w:sz w:val="32"/>
          <w:szCs w:val="32"/>
        </w:rPr>
        <w:t>2</w:t>
      </w:r>
      <w:r>
        <w:rPr>
          <w:rFonts w:hint="eastAsia" w:ascii="宋体" w:hAnsi="宋体" w:cs="楷体"/>
          <w:bCs/>
          <w:sz w:val="32"/>
          <w:szCs w:val="32"/>
        </w:rPr>
        <w:t>、下足“绣花功夫”，交通精准脱贫成效显著。</w:t>
      </w:r>
      <w:r>
        <w:rPr>
          <w:rFonts w:hint="eastAsia" w:ascii="宋体" w:hAnsi="宋体" w:cs="仿宋_GB2312"/>
          <w:sz w:val="32"/>
          <w:szCs w:val="32"/>
        </w:rPr>
        <w:t>紧盯全市精准脱贫总体目标，强化定点扶贫，加强农村公路基础设施建设，助力产业发展。</w:t>
      </w:r>
      <w:r>
        <w:rPr>
          <w:rFonts w:hint="eastAsia" w:ascii="宋体" w:hAnsi="宋体" w:cs="仿宋_GB2312"/>
          <w:bCs/>
          <w:sz w:val="32"/>
          <w:szCs w:val="32"/>
        </w:rPr>
        <w:t>夯实脱贫攻坚基础。</w:t>
      </w:r>
      <w:r>
        <w:rPr>
          <w:rFonts w:hint="eastAsia" w:ascii="宋体" w:hAnsi="宋体" w:cs="仿宋_GB2312"/>
          <w:sz w:val="32"/>
          <w:szCs w:val="32"/>
        </w:rPr>
        <w:t>全市新改建农村公路</w:t>
      </w:r>
      <w:r>
        <w:rPr>
          <w:rFonts w:ascii="宋体" w:hAnsi="宋体" w:cs="仿宋_GB2312"/>
          <w:sz w:val="32"/>
          <w:szCs w:val="32"/>
        </w:rPr>
        <w:t>327.1</w:t>
      </w:r>
      <w:r>
        <w:rPr>
          <w:rFonts w:hint="eastAsia" w:ascii="宋体" w:hAnsi="宋体" w:cs="仿宋_GB2312"/>
          <w:sz w:val="32"/>
          <w:szCs w:val="32"/>
        </w:rPr>
        <w:t>公里，为市级目标任务的</w:t>
      </w:r>
      <w:r>
        <w:rPr>
          <w:rFonts w:ascii="宋体" w:hAnsi="宋体" w:cs="仿宋_GB2312"/>
          <w:sz w:val="32"/>
          <w:szCs w:val="32"/>
        </w:rPr>
        <w:t>273%</w:t>
      </w:r>
      <w:r>
        <w:rPr>
          <w:rFonts w:hint="eastAsia" w:ascii="宋体" w:hAnsi="宋体" w:cs="仿宋_GB2312"/>
          <w:sz w:val="32"/>
          <w:szCs w:val="32"/>
        </w:rPr>
        <w:t>。完成</w:t>
      </w:r>
      <w:r>
        <w:rPr>
          <w:rFonts w:ascii="宋体" w:hAnsi="宋体" w:cs="仿宋_GB2312"/>
          <w:sz w:val="32"/>
          <w:szCs w:val="32"/>
        </w:rPr>
        <w:t>35</w:t>
      </w:r>
      <w:r>
        <w:rPr>
          <w:rFonts w:hint="eastAsia" w:ascii="宋体" w:hAnsi="宋体" w:cs="仿宋_GB2312"/>
          <w:sz w:val="32"/>
          <w:szCs w:val="32"/>
        </w:rPr>
        <w:t>个摘帽贫困村硬化路核查工作和脱贫攻坚交通专项建设任务。</w:t>
      </w:r>
      <w:r>
        <w:rPr>
          <w:rFonts w:hint="eastAsia" w:ascii="宋体" w:hAnsi="宋体" w:cs="仿宋_GB2312"/>
          <w:bCs/>
          <w:sz w:val="32"/>
          <w:szCs w:val="32"/>
        </w:rPr>
        <w:t>持续对口定点帮扶。</w:t>
      </w:r>
      <w:r>
        <w:rPr>
          <w:rFonts w:hint="eastAsia" w:ascii="宋体" w:hAnsi="宋体" w:cs="仿宋_GB2312"/>
          <w:sz w:val="32"/>
          <w:szCs w:val="32"/>
        </w:rPr>
        <w:t>继续巩固我局定点扶贫村盐边县红果乡大槽村</w:t>
      </w:r>
      <w:r>
        <w:rPr>
          <w:rFonts w:ascii="宋体" w:hAnsi="宋体" w:cs="仿宋_GB2312"/>
          <w:sz w:val="32"/>
          <w:szCs w:val="32"/>
        </w:rPr>
        <w:t xml:space="preserve">2016 </w:t>
      </w:r>
      <w:r>
        <w:rPr>
          <w:rFonts w:hint="eastAsia" w:ascii="宋体" w:hAnsi="宋体" w:cs="仿宋_GB2312"/>
          <w:sz w:val="32"/>
          <w:szCs w:val="32"/>
        </w:rPr>
        <w:t>年摘帽后脱贫成果，全村</w:t>
      </w:r>
      <w:r>
        <w:rPr>
          <w:rFonts w:ascii="宋体" w:hAnsi="宋体" w:cs="仿宋_GB2312"/>
          <w:sz w:val="32"/>
          <w:szCs w:val="32"/>
        </w:rPr>
        <w:t xml:space="preserve">48 </w:t>
      </w:r>
      <w:r>
        <w:rPr>
          <w:rFonts w:hint="eastAsia" w:ascii="宋体" w:hAnsi="宋体" w:cs="仿宋_GB2312"/>
          <w:sz w:val="32"/>
          <w:szCs w:val="32"/>
        </w:rPr>
        <w:t>户脱贫户全部入住新房，在全村推行“公司</w:t>
      </w:r>
      <w:r>
        <w:rPr>
          <w:rFonts w:ascii="宋体" w:hAnsi="宋体" w:cs="仿宋_GB2312"/>
          <w:sz w:val="32"/>
          <w:szCs w:val="32"/>
        </w:rPr>
        <w:t>+</w:t>
      </w:r>
      <w:r>
        <w:rPr>
          <w:rFonts w:hint="eastAsia" w:ascii="宋体" w:hAnsi="宋体" w:cs="仿宋_GB2312"/>
          <w:sz w:val="32"/>
          <w:szCs w:val="32"/>
        </w:rPr>
        <w:t>支部</w:t>
      </w:r>
      <w:r>
        <w:rPr>
          <w:rFonts w:ascii="宋体" w:hAnsi="宋体" w:cs="仿宋_GB2312"/>
          <w:sz w:val="32"/>
          <w:szCs w:val="32"/>
        </w:rPr>
        <w:t>+</w:t>
      </w:r>
      <w:r>
        <w:rPr>
          <w:rFonts w:hint="eastAsia" w:ascii="宋体" w:hAnsi="宋体" w:cs="仿宋_GB2312"/>
          <w:sz w:val="32"/>
          <w:szCs w:val="32"/>
        </w:rPr>
        <w:t>专合组织</w:t>
      </w:r>
      <w:r>
        <w:rPr>
          <w:rFonts w:ascii="宋体" w:hAnsi="宋体" w:cs="仿宋_GB2312"/>
          <w:sz w:val="32"/>
          <w:szCs w:val="32"/>
        </w:rPr>
        <w:t>+</w:t>
      </w:r>
      <w:r>
        <w:rPr>
          <w:rFonts w:hint="eastAsia" w:ascii="宋体" w:hAnsi="宋体" w:cs="仿宋_GB2312"/>
          <w:sz w:val="32"/>
          <w:szCs w:val="32"/>
        </w:rPr>
        <w:t>贫困农户”模式发展产业。为该村争取资金</w:t>
      </w:r>
      <w:r>
        <w:rPr>
          <w:rFonts w:ascii="宋体" w:hAnsi="宋体" w:cs="仿宋_GB2312"/>
          <w:sz w:val="32"/>
          <w:szCs w:val="32"/>
        </w:rPr>
        <w:t xml:space="preserve"> 30</w:t>
      </w:r>
      <w:r>
        <w:rPr>
          <w:rFonts w:hint="eastAsia" w:ascii="宋体" w:hAnsi="宋体" w:cs="仿宋_GB2312"/>
          <w:sz w:val="32"/>
          <w:szCs w:val="32"/>
        </w:rPr>
        <w:t>万元，开工建设</w:t>
      </w:r>
      <w:r>
        <w:rPr>
          <w:rFonts w:ascii="宋体" w:hAnsi="宋体" w:cs="仿宋_GB2312"/>
          <w:sz w:val="32"/>
          <w:szCs w:val="32"/>
        </w:rPr>
        <w:t>2</w:t>
      </w:r>
      <w:r>
        <w:rPr>
          <w:rFonts w:hint="eastAsia" w:ascii="宋体" w:hAnsi="宋体" w:cs="仿宋_GB2312"/>
          <w:sz w:val="32"/>
          <w:szCs w:val="32"/>
        </w:rPr>
        <w:t>处过水路改桥项目，指导大槽村开展开公路养护和水毁修复，有效解决村民出行难问题。帮扶木里县唐央乡里多村解决贫困户农业用水难题。</w:t>
      </w:r>
      <w:r>
        <w:rPr>
          <w:rFonts w:hint="eastAsia" w:ascii="宋体" w:hAnsi="宋体" w:cs="仿宋_GB2312"/>
          <w:bCs/>
          <w:sz w:val="32"/>
          <w:szCs w:val="32"/>
        </w:rPr>
        <w:t>推进“四好农村公路”建设。</w:t>
      </w:r>
      <w:r>
        <w:rPr>
          <w:rFonts w:hint="eastAsia" w:ascii="宋体" w:hAnsi="宋体" w:cs="仿宋_GB2312"/>
          <w:sz w:val="32"/>
          <w:szCs w:val="32"/>
        </w:rPr>
        <w:t>以市政府名义印发《关于开展“四好农村路”示范县</w:t>
      </w:r>
      <w:r>
        <w:rPr>
          <w:rFonts w:ascii="宋体" w:hAnsi="宋体" w:cs="仿宋_GB2312"/>
          <w:sz w:val="32"/>
          <w:szCs w:val="32"/>
        </w:rPr>
        <w:t>(</w:t>
      </w:r>
      <w:r>
        <w:rPr>
          <w:rFonts w:hint="eastAsia" w:ascii="宋体" w:hAnsi="宋体" w:cs="仿宋_GB2312"/>
          <w:sz w:val="32"/>
          <w:szCs w:val="32"/>
        </w:rPr>
        <w:t>区</w:t>
      </w:r>
      <w:r>
        <w:rPr>
          <w:rFonts w:ascii="宋体" w:hAnsi="宋体" w:cs="仿宋_GB2312"/>
          <w:sz w:val="32"/>
          <w:szCs w:val="32"/>
        </w:rPr>
        <w:t>)</w:t>
      </w:r>
      <w:r>
        <w:rPr>
          <w:rFonts w:hint="eastAsia" w:ascii="宋体" w:hAnsi="宋体" w:cs="仿宋_GB2312"/>
          <w:sz w:val="32"/>
          <w:szCs w:val="32"/>
        </w:rPr>
        <w:t>创建工作督导考评的通知》和《关于进一步加快农村公路养护管理的意见》，指导各县（区）完成</w:t>
      </w:r>
      <w:r>
        <w:rPr>
          <w:rFonts w:ascii="宋体" w:hAnsi="宋体" w:cs="仿宋_GB2312"/>
          <w:sz w:val="32"/>
          <w:szCs w:val="32"/>
        </w:rPr>
        <w:t xml:space="preserve"> </w:t>
      </w:r>
      <w:r>
        <w:rPr>
          <w:rFonts w:hint="eastAsia" w:ascii="宋体" w:hAnsi="宋体" w:cs="仿宋_GB2312"/>
          <w:sz w:val="32"/>
          <w:szCs w:val="32"/>
        </w:rPr>
        <w:t>“四好农村路”建设方案制订，组织市、县干部参加“四好农村路”创建培训班，不断深化“四好农村路”建设。鼓励物流企业设立农村物流网点，培育建设农村物流示范点，完成“乡城在线”电商平台建设。建成</w:t>
      </w:r>
      <w:r>
        <w:rPr>
          <w:rFonts w:ascii="宋体" w:hAnsi="宋体" w:cs="仿宋_GB2312"/>
          <w:sz w:val="32"/>
          <w:szCs w:val="32"/>
        </w:rPr>
        <w:t>3</w:t>
      </w:r>
      <w:r>
        <w:rPr>
          <w:rFonts w:hint="eastAsia" w:ascii="宋体" w:hAnsi="宋体" w:cs="仿宋_GB2312"/>
          <w:sz w:val="32"/>
          <w:szCs w:val="32"/>
        </w:rPr>
        <w:t>个乡村电商</w:t>
      </w:r>
      <w:r>
        <w:rPr>
          <w:rFonts w:ascii="宋体" w:hAnsi="宋体" w:cs="仿宋_GB2312"/>
          <w:sz w:val="32"/>
          <w:szCs w:val="32"/>
        </w:rPr>
        <w:t>+</w:t>
      </w:r>
      <w:r>
        <w:rPr>
          <w:rFonts w:hint="eastAsia" w:ascii="宋体" w:hAnsi="宋体" w:cs="仿宋_GB2312"/>
          <w:sz w:val="32"/>
          <w:szCs w:val="32"/>
        </w:rPr>
        <w:t>物流综合服务中心网点。强化</w:t>
      </w:r>
      <w:r>
        <w:rPr>
          <w:rFonts w:hint="eastAsia" w:ascii="宋体" w:hAnsi="宋体" w:cs="仿宋_GB2312"/>
          <w:bCs/>
          <w:sz w:val="32"/>
          <w:szCs w:val="32"/>
        </w:rPr>
        <w:t>交通融合发展。</w:t>
      </w:r>
      <w:r>
        <w:rPr>
          <w:rFonts w:hint="eastAsia" w:ascii="宋体" w:hAnsi="宋体" w:cs="仿宋_GB2312"/>
          <w:sz w:val="32"/>
          <w:szCs w:val="32"/>
        </w:rPr>
        <w:t>开展“交通</w:t>
      </w:r>
      <w:r>
        <w:rPr>
          <w:rFonts w:ascii="宋体" w:hAnsi="宋体" w:cs="仿宋_GB2312"/>
          <w:sz w:val="32"/>
          <w:szCs w:val="32"/>
        </w:rPr>
        <w:t xml:space="preserve"> +</w:t>
      </w:r>
      <w:r>
        <w:rPr>
          <w:rFonts w:hint="eastAsia" w:ascii="宋体" w:hAnsi="宋体" w:cs="仿宋_GB2312"/>
          <w:sz w:val="32"/>
          <w:szCs w:val="32"/>
        </w:rPr>
        <w:t>旅游”行动，拉动贫困村旅游经济发展。在国省干线增设景观标志标牌、景观台宣传公路沿线历史、人文景观，助推乡村村旅游发展。开展“交通</w:t>
      </w:r>
      <w:r>
        <w:rPr>
          <w:rFonts w:ascii="宋体" w:hAnsi="宋体" w:cs="仿宋_GB2312"/>
          <w:sz w:val="32"/>
          <w:szCs w:val="32"/>
        </w:rPr>
        <w:t>+</w:t>
      </w:r>
      <w:r>
        <w:rPr>
          <w:rFonts w:hint="eastAsia" w:ascii="宋体" w:hAnsi="宋体" w:cs="仿宋_GB2312"/>
          <w:sz w:val="32"/>
          <w:szCs w:val="32"/>
        </w:rPr>
        <w:t>产业”行动，指导县区做好白马选矿、安宁工业园区等</w:t>
      </w:r>
      <w:r>
        <w:rPr>
          <w:rFonts w:ascii="宋体" w:hAnsi="宋体" w:cs="仿宋_GB2312"/>
          <w:sz w:val="32"/>
          <w:szCs w:val="32"/>
        </w:rPr>
        <w:t>30</w:t>
      </w:r>
      <w:r>
        <w:rPr>
          <w:rFonts w:hint="eastAsia" w:ascii="宋体" w:hAnsi="宋体" w:cs="仿宋_GB2312"/>
          <w:sz w:val="32"/>
          <w:szCs w:val="32"/>
        </w:rPr>
        <w:t>余段产业园区连接路的整治和改造工作，为产品运输、产业发展提供有力保障。</w:t>
      </w:r>
    </w:p>
    <w:p>
      <w:pPr>
        <w:spacing w:line="510" w:lineRule="exact"/>
        <w:ind w:firstLine="707" w:firstLineChars="221"/>
        <w:rPr>
          <w:rFonts w:ascii="宋体"/>
          <w:sz w:val="32"/>
          <w:szCs w:val="32"/>
        </w:rPr>
      </w:pPr>
      <w:r>
        <w:rPr>
          <w:rFonts w:ascii="宋体" w:hAnsi="宋体" w:cs="楷体"/>
          <w:bCs/>
          <w:sz w:val="32"/>
          <w:szCs w:val="32"/>
        </w:rPr>
        <w:t>3</w:t>
      </w:r>
      <w:r>
        <w:rPr>
          <w:rFonts w:hint="eastAsia" w:ascii="宋体" w:hAnsi="宋体" w:cs="楷体"/>
          <w:bCs/>
          <w:sz w:val="32"/>
          <w:szCs w:val="32"/>
        </w:rPr>
        <w:t>、强化转型升级，运输服务保障能力稳步提升。</w:t>
      </w:r>
      <w:r>
        <w:rPr>
          <w:rFonts w:hint="eastAsia" w:ascii="宋体" w:hAnsi="宋体" w:cs="仿宋_GB2312"/>
          <w:sz w:val="32"/>
          <w:szCs w:val="32"/>
        </w:rPr>
        <w:t>持续推进客货运发展，强化物流降本增效，不断提升道路运输服务能力。</w:t>
      </w:r>
      <w:r>
        <w:rPr>
          <w:rFonts w:hint="eastAsia" w:ascii="宋体" w:hAnsi="宋体" w:cs="仿宋_GB2312"/>
          <w:bCs/>
          <w:sz w:val="32"/>
          <w:szCs w:val="32"/>
        </w:rPr>
        <w:t>道路客运加快发展。</w:t>
      </w:r>
      <w:r>
        <w:rPr>
          <w:rFonts w:hint="eastAsia" w:ascii="宋体" w:hAnsi="宋体" w:cs="仿宋_GB2312"/>
          <w:sz w:val="32"/>
          <w:szCs w:val="32"/>
        </w:rPr>
        <w:t>新增通客车乡镇</w:t>
      </w:r>
      <w:r>
        <w:rPr>
          <w:rFonts w:ascii="宋体" w:hAnsi="宋体" w:cs="仿宋_GB2312"/>
          <w:sz w:val="32"/>
          <w:szCs w:val="32"/>
        </w:rPr>
        <w:t>1</w:t>
      </w:r>
      <w:r>
        <w:rPr>
          <w:rFonts w:hint="eastAsia" w:ascii="宋体" w:hAnsi="宋体" w:cs="仿宋_GB2312"/>
          <w:sz w:val="32"/>
          <w:szCs w:val="32"/>
        </w:rPr>
        <w:t>个、行政村</w:t>
      </w:r>
      <w:r>
        <w:rPr>
          <w:rFonts w:ascii="宋体" w:hAnsi="宋体" w:cs="仿宋_GB2312"/>
          <w:sz w:val="32"/>
          <w:szCs w:val="32"/>
        </w:rPr>
        <w:t>28</w:t>
      </w:r>
      <w:r>
        <w:rPr>
          <w:rFonts w:hint="eastAsia" w:ascii="宋体" w:hAnsi="宋体" w:cs="仿宋_GB2312"/>
          <w:sz w:val="32"/>
          <w:szCs w:val="32"/>
        </w:rPr>
        <w:t>个。更新出租车</w:t>
      </w:r>
      <w:r>
        <w:rPr>
          <w:rFonts w:ascii="宋体" w:hAnsi="宋体" w:cs="仿宋_GB2312"/>
          <w:sz w:val="32"/>
          <w:szCs w:val="32"/>
        </w:rPr>
        <w:t>769</w:t>
      </w:r>
      <w:r>
        <w:rPr>
          <w:rFonts w:hint="eastAsia" w:ascii="宋体" w:hAnsi="宋体" w:cs="仿宋_GB2312"/>
          <w:sz w:val="32"/>
          <w:szCs w:val="32"/>
        </w:rPr>
        <w:t>辆，为年度目标的</w:t>
      </w:r>
      <w:r>
        <w:rPr>
          <w:rFonts w:ascii="宋体" w:hAnsi="宋体" w:cs="仿宋_GB2312"/>
          <w:sz w:val="32"/>
          <w:szCs w:val="32"/>
        </w:rPr>
        <w:t>127%</w:t>
      </w:r>
      <w:r>
        <w:rPr>
          <w:rFonts w:hint="eastAsia" w:ascii="宋体" w:hAnsi="宋体" w:cs="仿宋_GB2312"/>
          <w:sz w:val="32"/>
          <w:szCs w:val="32"/>
        </w:rPr>
        <w:t>，累计更新</w:t>
      </w:r>
      <w:r>
        <w:rPr>
          <w:rFonts w:ascii="宋体" w:hAnsi="宋体" w:cs="仿宋_GB2312"/>
          <w:sz w:val="32"/>
          <w:szCs w:val="32"/>
        </w:rPr>
        <w:t>1373</w:t>
      </w:r>
      <w:r>
        <w:rPr>
          <w:rFonts w:hint="eastAsia" w:ascii="宋体" w:hAnsi="宋体" w:cs="仿宋_GB2312"/>
          <w:sz w:val="32"/>
          <w:szCs w:val="32"/>
        </w:rPr>
        <w:t>辆，为总目标的</w:t>
      </w:r>
      <w:r>
        <w:rPr>
          <w:rFonts w:ascii="宋体" w:hAnsi="宋体" w:cs="仿宋_GB2312"/>
          <w:sz w:val="32"/>
          <w:szCs w:val="32"/>
        </w:rPr>
        <w:t>96.9%</w:t>
      </w:r>
      <w:r>
        <w:rPr>
          <w:rFonts w:hint="eastAsia" w:ascii="宋体" w:hAnsi="宋体" w:cs="仿宋_GB2312"/>
          <w:sz w:val="32"/>
          <w:szCs w:val="32"/>
        </w:rPr>
        <w:t>。进一步满足群众出行需求，调整优化线路</w:t>
      </w:r>
      <w:r>
        <w:rPr>
          <w:rFonts w:ascii="宋体" w:hAnsi="宋体" w:cs="仿宋_GB2312"/>
          <w:sz w:val="32"/>
          <w:szCs w:val="32"/>
        </w:rPr>
        <w:t>40</w:t>
      </w:r>
      <w:r>
        <w:rPr>
          <w:rFonts w:hint="eastAsia" w:ascii="宋体" w:hAnsi="宋体" w:cs="仿宋_GB2312"/>
          <w:sz w:val="32"/>
          <w:szCs w:val="32"/>
        </w:rPr>
        <w:t>条，开通公交卡手机充值和微信服务，推广使用公交</w:t>
      </w:r>
      <w:r>
        <w:rPr>
          <w:rFonts w:ascii="宋体" w:hAnsi="宋体" w:cs="仿宋_GB2312"/>
          <w:sz w:val="32"/>
          <w:szCs w:val="32"/>
        </w:rPr>
        <w:t>APP</w:t>
      </w:r>
      <w:r>
        <w:rPr>
          <w:rFonts w:hint="eastAsia" w:ascii="宋体" w:hAnsi="宋体" w:cs="仿宋_GB2312"/>
          <w:sz w:val="32"/>
          <w:szCs w:val="32"/>
        </w:rPr>
        <w:t>。君临江山等公交首末站建成投入使用。新建改建站场</w:t>
      </w:r>
      <w:r>
        <w:rPr>
          <w:rFonts w:ascii="宋体" w:hAnsi="宋体" w:cs="仿宋_GB2312"/>
          <w:sz w:val="32"/>
          <w:szCs w:val="32"/>
        </w:rPr>
        <w:t>4400</w:t>
      </w:r>
      <w:r>
        <w:rPr>
          <w:rFonts w:hint="eastAsia" w:ascii="宋体" w:hAnsi="宋体" w:cs="仿宋_GB2312"/>
          <w:sz w:val="32"/>
          <w:szCs w:val="32"/>
        </w:rPr>
        <w:t>余平方米。</w:t>
      </w:r>
      <w:r>
        <w:rPr>
          <w:rFonts w:hint="eastAsia" w:ascii="宋体" w:hAnsi="宋体" w:cs="仿宋_GB2312"/>
          <w:bCs/>
          <w:sz w:val="32"/>
          <w:szCs w:val="32"/>
        </w:rPr>
        <w:t>货运发展持续深入。</w:t>
      </w:r>
      <w:r>
        <w:rPr>
          <w:rFonts w:hint="eastAsia" w:ascii="宋体" w:hAnsi="宋体" w:cs="仿宋_GB2312"/>
          <w:sz w:val="32"/>
          <w:szCs w:val="32"/>
        </w:rPr>
        <w:t>充分利用货运信息平台，联合</w:t>
      </w:r>
      <w:r>
        <w:rPr>
          <w:rFonts w:ascii="宋体" w:hAnsi="宋体" w:cs="仿宋_GB2312"/>
          <w:sz w:val="32"/>
          <w:szCs w:val="32"/>
        </w:rPr>
        <w:t>16</w:t>
      </w:r>
      <w:r>
        <w:rPr>
          <w:rFonts w:hint="eastAsia" w:ascii="宋体" w:hAnsi="宋体" w:cs="仿宋_GB2312"/>
          <w:sz w:val="32"/>
          <w:szCs w:val="32"/>
        </w:rPr>
        <w:t>家企业成立无车承运运输联盟。开通攀枝花</w:t>
      </w:r>
      <w:r>
        <w:rPr>
          <w:rFonts w:ascii="宋体" w:cs="仿宋_GB2312"/>
          <w:sz w:val="32"/>
          <w:szCs w:val="32"/>
        </w:rPr>
        <w:t>-</w:t>
      </w:r>
      <w:r>
        <w:rPr>
          <w:rFonts w:hint="eastAsia" w:ascii="宋体" w:hAnsi="宋体" w:cs="仿宋_GB2312"/>
          <w:sz w:val="32"/>
          <w:szCs w:val="32"/>
        </w:rPr>
        <w:t>成都甩挂运输线路。全市</w:t>
      </w:r>
      <w:r>
        <w:rPr>
          <w:rFonts w:ascii="宋体" w:hAnsi="宋体" w:cs="仿宋_GB2312"/>
          <w:sz w:val="32"/>
          <w:szCs w:val="32"/>
        </w:rPr>
        <w:t>21</w:t>
      </w:r>
      <w:r>
        <w:rPr>
          <w:rFonts w:hint="eastAsia" w:ascii="宋体" w:hAnsi="宋体" w:cs="仿宋_GB2312"/>
          <w:sz w:val="32"/>
          <w:szCs w:val="32"/>
        </w:rPr>
        <w:t>家危货运输企业电子运单和车辆技术电子档案使用率达</w:t>
      </w:r>
      <w:r>
        <w:rPr>
          <w:rFonts w:ascii="宋体" w:hAnsi="宋体" w:cs="仿宋_GB2312"/>
          <w:sz w:val="32"/>
          <w:szCs w:val="32"/>
        </w:rPr>
        <w:t>100%</w:t>
      </w:r>
      <w:r>
        <w:rPr>
          <w:rFonts w:hint="eastAsia" w:ascii="宋体" w:hAnsi="宋体" w:cs="仿宋_GB2312"/>
          <w:sz w:val="32"/>
          <w:szCs w:val="32"/>
        </w:rPr>
        <w:t>。寄递物流“三个</w:t>
      </w:r>
      <w:r>
        <w:rPr>
          <w:rFonts w:ascii="宋体" w:hAnsi="宋体" w:cs="仿宋_GB2312"/>
          <w:sz w:val="32"/>
          <w:szCs w:val="32"/>
        </w:rPr>
        <w:t>100%</w:t>
      </w:r>
      <w:r>
        <w:rPr>
          <w:rFonts w:hint="eastAsia" w:ascii="宋体" w:hAnsi="宋体" w:cs="仿宋_GB2312"/>
          <w:sz w:val="32"/>
          <w:szCs w:val="32"/>
        </w:rPr>
        <w:t>”落实到位。密地物流园区建设加快推进。全年累计完成公路货运量</w:t>
      </w:r>
      <w:r>
        <w:rPr>
          <w:rFonts w:ascii="宋体" w:hAnsi="宋体" w:cs="仿宋_GB2312"/>
          <w:sz w:val="32"/>
          <w:szCs w:val="32"/>
        </w:rPr>
        <w:t>0.96</w:t>
      </w:r>
      <w:r>
        <w:rPr>
          <w:rFonts w:hint="eastAsia" w:ascii="宋体" w:hAnsi="宋体" w:cs="仿宋_GB2312"/>
          <w:sz w:val="32"/>
          <w:szCs w:val="32"/>
        </w:rPr>
        <w:t>亿吨、货运周转量</w:t>
      </w:r>
      <w:r>
        <w:rPr>
          <w:rFonts w:ascii="宋体" w:hAnsi="宋体" w:cs="仿宋_GB2312"/>
          <w:sz w:val="32"/>
          <w:szCs w:val="32"/>
        </w:rPr>
        <w:t>57.45</w:t>
      </w:r>
      <w:r>
        <w:rPr>
          <w:rFonts w:hint="eastAsia" w:ascii="宋体" w:hAnsi="宋体" w:cs="仿宋_GB2312"/>
          <w:sz w:val="32"/>
          <w:szCs w:val="32"/>
        </w:rPr>
        <w:t>亿吨公里，综合运输量同比增长</w:t>
      </w:r>
      <w:r>
        <w:rPr>
          <w:rFonts w:ascii="宋体" w:hAnsi="宋体" w:cs="仿宋_GB2312"/>
          <w:sz w:val="32"/>
          <w:szCs w:val="32"/>
        </w:rPr>
        <w:t>7.39%</w:t>
      </w:r>
      <w:r>
        <w:rPr>
          <w:rFonts w:hint="eastAsia" w:ascii="宋体" w:hAnsi="宋体" w:cs="仿宋_GB2312"/>
          <w:sz w:val="32"/>
          <w:szCs w:val="32"/>
        </w:rPr>
        <w:t>。完成水路货运量</w:t>
      </w:r>
      <w:r>
        <w:rPr>
          <w:rFonts w:ascii="宋体" w:hAnsi="宋体" w:cs="仿宋_GB2312"/>
          <w:sz w:val="32"/>
          <w:szCs w:val="32"/>
        </w:rPr>
        <w:t>18.47</w:t>
      </w:r>
      <w:r>
        <w:rPr>
          <w:rFonts w:hint="eastAsia" w:ascii="宋体" w:hAnsi="宋体" w:cs="仿宋_GB2312"/>
          <w:sz w:val="32"/>
          <w:szCs w:val="32"/>
        </w:rPr>
        <w:t>万吨，货运周转量</w:t>
      </w:r>
      <w:r>
        <w:rPr>
          <w:rFonts w:ascii="宋体" w:hAnsi="宋体" w:cs="仿宋_GB2312"/>
          <w:sz w:val="32"/>
          <w:szCs w:val="32"/>
        </w:rPr>
        <w:t>1203</w:t>
      </w:r>
      <w:r>
        <w:rPr>
          <w:rFonts w:hint="eastAsia" w:ascii="宋体" w:hAnsi="宋体" w:cs="仿宋_GB2312"/>
          <w:sz w:val="32"/>
          <w:szCs w:val="32"/>
        </w:rPr>
        <w:t>万吨，综合运输量同比增长</w:t>
      </w:r>
      <w:r>
        <w:rPr>
          <w:rFonts w:ascii="宋体" w:hAnsi="宋体" w:cs="仿宋_GB2312"/>
          <w:sz w:val="32"/>
          <w:szCs w:val="32"/>
        </w:rPr>
        <w:t>10.4%</w:t>
      </w:r>
      <w:r>
        <w:rPr>
          <w:rFonts w:hint="eastAsia" w:ascii="宋体" w:hAnsi="宋体" w:cs="仿宋_GB2312"/>
          <w:sz w:val="32"/>
          <w:szCs w:val="32"/>
        </w:rPr>
        <w:t>。</w:t>
      </w:r>
      <w:r>
        <w:rPr>
          <w:rFonts w:hint="eastAsia" w:ascii="宋体" w:hAnsi="宋体" w:cs="仿宋_GB2312"/>
          <w:bCs/>
          <w:sz w:val="32"/>
          <w:szCs w:val="32"/>
        </w:rPr>
        <w:t>驾培服务优化提升。</w:t>
      </w:r>
      <w:r>
        <w:rPr>
          <w:rFonts w:hint="eastAsia" w:ascii="宋体" w:hAnsi="宋体" w:cs="仿宋_GB2312"/>
          <w:sz w:val="32"/>
          <w:szCs w:val="32"/>
        </w:rPr>
        <w:t>“先培后付”培训服务模式达</w:t>
      </w:r>
      <w:r>
        <w:rPr>
          <w:rFonts w:ascii="宋体" w:hAnsi="宋体" w:cs="仿宋_GB2312"/>
          <w:sz w:val="32"/>
          <w:szCs w:val="32"/>
        </w:rPr>
        <w:t>100%</w:t>
      </w:r>
      <w:r>
        <w:rPr>
          <w:rFonts w:hint="eastAsia" w:ascii="宋体" w:hAnsi="宋体" w:cs="仿宋_GB2312"/>
          <w:sz w:val="32"/>
          <w:szCs w:val="32"/>
        </w:rPr>
        <w:t>。全市新增驾校</w:t>
      </w:r>
      <w:r>
        <w:rPr>
          <w:rFonts w:ascii="宋体" w:hAnsi="宋体" w:cs="仿宋_GB2312"/>
          <w:sz w:val="32"/>
          <w:szCs w:val="32"/>
        </w:rPr>
        <w:t>1</w:t>
      </w:r>
      <w:r>
        <w:rPr>
          <w:rFonts w:hint="eastAsia" w:ascii="宋体" w:hAnsi="宋体" w:cs="仿宋_GB2312"/>
          <w:sz w:val="32"/>
          <w:szCs w:val="32"/>
        </w:rPr>
        <w:t>所、教练场达到</w:t>
      </w:r>
      <w:r>
        <w:rPr>
          <w:rFonts w:ascii="宋体" w:hAnsi="宋体" w:cs="仿宋_GB2312"/>
          <w:sz w:val="32"/>
          <w:szCs w:val="32"/>
        </w:rPr>
        <w:t>1062.74</w:t>
      </w:r>
      <w:r>
        <w:rPr>
          <w:rFonts w:hint="eastAsia" w:ascii="宋体" w:hAnsi="宋体" w:cs="仿宋_GB2312"/>
          <w:sz w:val="32"/>
          <w:szCs w:val="32"/>
        </w:rPr>
        <w:t>亩，严把教练员资格审查，文明交通进驾校“五个一”活动形成常态。</w:t>
      </w:r>
    </w:p>
    <w:p>
      <w:pPr>
        <w:spacing w:line="510" w:lineRule="exact"/>
        <w:ind w:firstLine="707" w:firstLineChars="221"/>
        <w:rPr>
          <w:rFonts w:ascii="宋体"/>
          <w:sz w:val="32"/>
          <w:szCs w:val="32"/>
        </w:rPr>
      </w:pPr>
      <w:r>
        <w:rPr>
          <w:rFonts w:ascii="宋体" w:hAnsi="宋体" w:cs="楷体"/>
          <w:bCs/>
          <w:sz w:val="32"/>
          <w:szCs w:val="32"/>
        </w:rPr>
        <w:t>4</w:t>
      </w:r>
      <w:r>
        <w:rPr>
          <w:rFonts w:hint="eastAsia" w:ascii="宋体" w:hAnsi="宋体" w:cs="楷体"/>
          <w:bCs/>
          <w:sz w:val="32"/>
          <w:szCs w:val="32"/>
        </w:rPr>
        <w:t>、完善体制机制，交通运输改革持续深化。</w:t>
      </w:r>
      <w:r>
        <w:rPr>
          <w:rFonts w:hint="eastAsia" w:ascii="宋体" w:hAnsi="宋体" w:cs="仿宋_GB2312"/>
          <w:sz w:val="32"/>
          <w:szCs w:val="32"/>
        </w:rPr>
        <w:t>坚持问题导向，遵循发展规律，着力破解体制机制障碍，在实践探索中不断深化改革发展。</w:t>
      </w:r>
      <w:r>
        <w:rPr>
          <w:rFonts w:hint="eastAsia" w:ascii="宋体" w:hAnsi="宋体" w:cs="仿宋_GB2312"/>
          <w:bCs/>
          <w:sz w:val="32"/>
          <w:szCs w:val="32"/>
        </w:rPr>
        <w:t>交通运输综合执法改革取得阶段成果。</w:t>
      </w:r>
      <w:r>
        <w:rPr>
          <w:rFonts w:hint="eastAsia" w:ascii="宋体" w:hAnsi="宋体" w:cs="仿宋_GB2312"/>
          <w:sz w:val="32"/>
          <w:szCs w:val="32"/>
        </w:rPr>
        <w:t>经过</w:t>
      </w:r>
      <w:r>
        <w:rPr>
          <w:rFonts w:ascii="宋体" w:hAnsi="宋体" w:cs="仿宋_GB2312"/>
          <w:sz w:val="32"/>
          <w:szCs w:val="32"/>
        </w:rPr>
        <w:t>3</w:t>
      </w:r>
      <w:r>
        <w:rPr>
          <w:rFonts w:hint="eastAsia" w:ascii="宋体" w:hAnsi="宋体" w:cs="仿宋_GB2312"/>
          <w:sz w:val="32"/>
          <w:szCs w:val="32"/>
        </w:rPr>
        <w:t>年持续努力，</w:t>
      </w:r>
      <w:r>
        <w:rPr>
          <w:rFonts w:ascii="宋体" w:hAnsi="宋体" w:cs="仿宋_GB2312"/>
          <w:sz w:val="32"/>
          <w:szCs w:val="32"/>
        </w:rPr>
        <w:t>2017</w:t>
      </w:r>
      <w:r>
        <w:rPr>
          <w:rFonts w:hint="eastAsia" w:ascii="宋体" w:hAnsi="宋体" w:cs="仿宋_GB2312"/>
          <w:sz w:val="32"/>
          <w:szCs w:val="32"/>
        </w:rPr>
        <w:t>年</w:t>
      </w:r>
      <w:r>
        <w:rPr>
          <w:rFonts w:ascii="宋体" w:hAnsi="宋体" w:cs="仿宋_GB2312"/>
          <w:sz w:val="32"/>
          <w:szCs w:val="32"/>
        </w:rPr>
        <w:t>12</w:t>
      </w:r>
      <w:r>
        <w:rPr>
          <w:rFonts w:hint="eastAsia" w:ascii="宋体" w:hAnsi="宋体" w:cs="仿宋_GB2312"/>
          <w:sz w:val="32"/>
          <w:szCs w:val="32"/>
        </w:rPr>
        <w:t>月</w:t>
      </w:r>
      <w:r>
        <w:rPr>
          <w:rFonts w:ascii="宋体" w:hAnsi="宋体" w:cs="仿宋_GB2312"/>
          <w:sz w:val="32"/>
          <w:szCs w:val="32"/>
        </w:rPr>
        <w:t>28</w:t>
      </w:r>
      <w:r>
        <w:rPr>
          <w:rFonts w:hint="eastAsia" w:ascii="宋体" w:hAnsi="宋体" w:cs="仿宋_GB2312"/>
          <w:sz w:val="32"/>
          <w:szCs w:val="32"/>
        </w:rPr>
        <w:t>日，攀枝花市交通运输综合行政执法支队正式挂牌成立，实现了减少执法层级、整合执法职能、强化执法力量的目标。</w:t>
      </w:r>
      <w:r>
        <w:rPr>
          <w:rFonts w:hint="eastAsia" w:ascii="宋体" w:hAnsi="宋体" w:cs="仿宋_GB2312"/>
          <w:bCs/>
          <w:sz w:val="32"/>
          <w:szCs w:val="32"/>
        </w:rPr>
        <w:t>行政审批改革亮点纷呈。</w:t>
      </w:r>
      <w:r>
        <w:rPr>
          <w:rFonts w:hint="eastAsia" w:ascii="宋体" w:hAnsi="宋体" w:cs="仿宋_GB2312"/>
          <w:sz w:val="32"/>
          <w:szCs w:val="32"/>
        </w:rPr>
        <w:t>率先在全省交通运输系统创新推行“容缺审批”服务，建立</w:t>
      </w:r>
      <w:r>
        <w:rPr>
          <w:rFonts w:ascii="宋体" w:hAnsi="宋体" w:cs="仿宋_GB2312"/>
          <w:sz w:val="32"/>
          <w:szCs w:val="32"/>
        </w:rPr>
        <w:t>28</w:t>
      </w:r>
      <w:r>
        <w:rPr>
          <w:rFonts w:hint="eastAsia" w:ascii="宋体" w:hAnsi="宋体" w:cs="仿宋_GB2312"/>
          <w:sz w:val="32"/>
          <w:szCs w:val="32"/>
        </w:rPr>
        <w:t>项“容缺审批”目录清单，审批时限提速</w:t>
      </w:r>
      <w:r>
        <w:rPr>
          <w:rFonts w:ascii="宋体" w:hAnsi="宋体" w:cs="仿宋_GB2312"/>
          <w:sz w:val="32"/>
          <w:szCs w:val="32"/>
        </w:rPr>
        <w:t>70%</w:t>
      </w:r>
      <w:r>
        <w:rPr>
          <w:rFonts w:hint="eastAsia" w:ascii="宋体" w:hAnsi="宋体" w:cs="仿宋_GB2312"/>
          <w:sz w:val="32"/>
          <w:szCs w:val="32"/>
        </w:rPr>
        <w:t>以上，实现群众办事“最多跑一次”。进一步加大</w:t>
      </w:r>
      <w:r>
        <w:rPr>
          <w:rFonts w:hint="eastAsia" w:ascii="宋体" w:hAnsi="宋体" w:cs="仿宋_GB2312"/>
          <w:sz w:val="32"/>
          <w:szCs w:val="32"/>
          <w:lang w:eastAsia="zh-CN"/>
        </w:rPr>
        <w:t>简</w:t>
      </w:r>
      <w:r>
        <w:rPr>
          <w:rFonts w:hint="eastAsia" w:ascii="宋体" w:hAnsi="宋体" w:cs="仿宋_GB2312"/>
          <w:sz w:val="32"/>
          <w:szCs w:val="32"/>
        </w:rPr>
        <w:t>政放权力度，授权下放</w:t>
      </w:r>
      <w:r>
        <w:rPr>
          <w:rFonts w:ascii="宋体" w:hAnsi="宋体" w:cs="仿宋_GB2312"/>
          <w:sz w:val="32"/>
          <w:szCs w:val="32"/>
        </w:rPr>
        <w:t>14</w:t>
      </w:r>
      <w:r>
        <w:rPr>
          <w:rFonts w:hint="eastAsia" w:ascii="宋体" w:hAnsi="宋体" w:cs="仿宋_GB2312"/>
          <w:sz w:val="32"/>
          <w:szCs w:val="32"/>
        </w:rPr>
        <w:t>项行政审批事项和</w:t>
      </w:r>
      <w:r>
        <w:rPr>
          <w:rFonts w:ascii="宋体" w:hAnsi="宋体" w:cs="仿宋_GB2312"/>
          <w:sz w:val="32"/>
          <w:szCs w:val="32"/>
        </w:rPr>
        <w:t>6</w:t>
      </w:r>
      <w:r>
        <w:rPr>
          <w:rFonts w:hint="eastAsia" w:ascii="宋体" w:hAnsi="宋体" w:cs="仿宋_GB2312"/>
          <w:sz w:val="32"/>
          <w:szCs w:val="32"/>
        </w:rPr>
        <w:t>项公共服务事项。开展延时服务、节假日预约服务、特殊群体代办服务、主动上门服务、开通“绿色通道”服务等多种特色服务，受到群众、企业广泛好评。交通运输服务窗口获</w:t>
      </w:r>
      <w:r>
        <w:rPr>
          <w:rFonts w:ascii="宋体" w:hAnsi="宋体" w:cs="仿宋_GB2312"/>
          <w:sz w:val="32"/>
          <w:szCs w:val="32"/>
        </w:rPr>
        <w:t>2017</w:t>
      </w:r>
      <w:r>
        <w:rPr>
          <w:rFonts w:hint="eastAsia" w:ascii="宋体" w:hAnsi="宋体" w:cs="仿宋_GB2312"/>
          <w:sz w:val="32"/>
          <w:szCs w:val="32"/>
        </w:rPr>
        <w:t>年度全市“优秀市级窗口”称号。</w:t>
      </w:r>
      <w:r>
        <w:rPr>
          <w:rFonts w:hint="eastAsia" w:ascii="宋体" w:hAnsi="宋体" w:cs="仿宋_GB2312"/>
          <w:bCs/>
          <w:sz w:val="32"/>
          <w:szCs w:val="32"/>
        </w:rPr>
        <w:t>航运改革成效明显。</w:t>
      </w:r>
      <w:r>
        <w:rPr>
          <w:rFonts w:hint="eastAsia" w:ascii="宋体" w:hAnsi="宋体" w:cs="仿宋_GB2312"/>
          <w:sz w:val="32"/>
          <w:szCs w:val="32"/>
        </w:rPr>
        <w:t>以市政府名义印发《攀枝花航运发展规划》。全面完成水路客运公司化改革，注销</w:t>
      </w:r>
      <w:r>
        <w:rPr>
          <w:rFonts w:ascii="宋体" w:hAnsi="宋体" w:cs="仿宋_GB2312"/>
          <w:sz w:val="32"/>
          <w:szCs w:val="32"/>
        </w:rPr>
        <w:t>68</w:t>
      </w:r>
      <w:r>
        <w:rPr>
          <w:rFonts w:hint="eastAsia" w:ascii="宋体" w:hAnsi="宋体" w:cs="仿宋_GB2312"/>
          <w:sz w:val="32"/>
          <w:szCs w:val="32"/>
        </w:rPr>
        <w:t>户个体船主，新增水路运输企业</w:t>
      </w:r>
      <w:r>
        <w:rPr>
          <w:rFonts w:ascii="宋体" w:hAnsi="宋体" w:cs="仿宋_GB2312"/>
          <w:sz w:val="32"/>
          <w:szCs w:val="32"/>
        </w:rPr>
        <w:t>6</w:t>
      </w:r>
      <w:r>
        <w:rPr>
          <w:rFonts w:hint="eastAsia" w:ascii="宋体" w:hAnsi="宋体" w:cs="仿宋_GB2312"/>
          <w:sz w:val="32"/>
          <w:szCs w:val="32"/>
        </w:rPr>
        <w:t>家，切实落实企业安全生产主体责任。深入开展水路运输经营者经营资质专项治理，</w:t>
      </w:r>
      <w:r>
        <w:rPr>
          <w:rFonts w:hint="eastAsia" w:ascii="宋体" w:hAnsi="宋体"/>
          <w:color w:val="000000"/>
          <w:sz w:val="32"/>
          <w:szCs w:val="32"/>
        </w:rPr>
        <w:t>规范企业安全风险防控制度管理</w:t>
      </w:r>
      <w:r>
        <w:rPr>
          <w:rFonts w:hint="eastAsia" w:ascii="宋体" w:hAnsi="宋体" w:cs="仿宋_GB2312"/>
          <w:sz w:val="32"/>
          <w:szCs w:val="32"/>
        </w:rPr>
        <w:t>。推进水路客运承运人责任险投保工作，提高保险额度，进一步增强水路客运企业抗风险能力。</w:t>
      </w:r>
    </w:p>
    <w:p>
      <w:pPr>
        <w:spacing w:line="510" w:lineRule="exact"/>
        <w:ind w:firstLine="707" w:firstLineChars="221"/>
        <w:rPr>
          <w:rFonts w:ascii="宋体"/>
          <w:sz w:val="32"/>
          <w:szCs w:val="32"/>
        </w:rPr>
      </w:pPr>
      <w:r>
        <w:rPr>
          <w:rFonts w:ascii="宋体" w:hAnsi="宋体" w:cs="楷体"/>
          <w:bCs/>
          <w:sz w:val="32"/>
          <w:szCs w:val="32"/>
        </w:rPr>
        <w:t>5</w:t>
      </w:r>
      <w:r>
        <w:rPr>
          <w:rFonts w:hint="eastAsia" w:ascii="宋体" w:hAnsi="宋体" w:cs="楷体"/>
          <w:bCs/>
          <w:sz w:val="32"/>
          <w:szCs w:val="32"/>
        </w:rPr>
        <w:t>、强化法治建设，行业治理效果显现。</w:t>
      </w:r>
      <w:r>
        <w:rPr>
          <w:rFonts w:hint="eastAsia" w:ascii="宋体" w:hAnsi="宋体" w:cs="仿宋_GB2312"/>
          <w:sz w:val="32"/>
          <w:szCs w:val="32"/>
        </w:rPr>
        <w:t>坚持用法</w:t>
      </w:r>
      <w:r>
        <w:rPr>
          <w:rFonts w:hint="eastAsia" w:ascii="宋体" w:hAnsi="宋体" w:cs="仿宋_GB2312"/>
          <w:sz w:val="32"/>
          <w:szCs w:val="32"/>
          <w:lang w:eastAsia="zh-CN"/>
        </w:rPr>
        <w:t>治</w:t>
      </w:r>
      <w:r>
        <w:rPr>
          <w:rFonts w:hint="eastAsia" w:ascii="宋体" w:hAnsi="宋体" w:cs="仿宋_GB2312"/>
          <w:sz w:val="32"/>
          <w:szCs w:val="32"/>
        </w:rPr>
        <w:t>思维引领行业发展，深化法治部门建设，规范行业管理，建设信用体系，推动交通行业治理体系建设发展。</w:t>
      </w:r>
      <w:r>
        <w:rPr>
          <w:rFonts w:hint="eastAsia" w:ascii="宋体" w:hAnsi="宋体" w:cs="仿宋_GB2312"/>
          <w:bCs/>
          <w:sz w:val="32"/>
          <w:szCs w:val="32"/>
        </w:rPr>
        <w:t>不断深化法治部门建设。</w:t>
      </w:r>
      <w:r>
        <w:rPr>
          <w:rFonts w:hint="eastAsia" w:ascii="宋体" w:hAnsi="宋体" w:cs="仿宋_GB2312"/>
          <w:sz w:val="32"/>
          <w:szCs w:val="32"/>
        </w:rPr>
        <w:t>全面推行党政主要负责人履行推进法治建设第一责任人职责。进一步建立健全重大行政决策机制和行政执法责任制。全面实行行政处罚、行政检查和社会收费事项权责清单管理。</w:t>
      </w:r>
      <w:r>
        <w:rPr>
          <w:rFonts w:hint="eastAsia" w:ascii="宋体" w:hAnsi="宋体" w:cs="仿宋_GB2312"/>
          <w:bCs/>
          <w:sz w:val="32"/>
          <w:szCs w:val="32"/>
        </w:rPr>
        <w:t>不断规范行业管理。</w:t>
      </w:r>
      <w:r>
        <w:rPr>
          <w:rFonts w:hint="eastAsia" w:ascii="宋体" w:hAnsi="宋体" w:cs="仿宋_GB2312"/>
          <w:sz w:val="32"/>
          <w:szCs w:val="32"/>
        </w:rPr>
        <w:t>探索建立“一路四方”协调联动机制，为高速公路从建设到营运期提供全过程优质服务。构建行业管理正面清单，挂网公示规范性文件。完善项目招商引资、工程招投标等制度。切实抓好公路治超工作，认真开展公路货车违法超限超载行为专项整治，投入执法人员</w:t>
      </w:r>
      <w:r>
        <w:rPr>
          <w:rFonts w:ascii="宋体" w:hAnsi="宋体" w:cs="仿宋_GB2312"/>
          <w:sz w:val="32"/>
          <w:szCs w:val="32"/>
        </w:rPr>
        <w:t>1.29</w:t>
      </w:r>
      <w:r>
        <w:rPr>
          <w:rFonts w:hint="eastAsia" w:ascii="宋体" w:hAnsi="宋体" w:cs="仿宋_GB2312"/>
          <w:sz w:val="32"/>
          <w:szCs w:val="32"/>
        </w:rPr>
        <w:t>万人次，检测载货车辆</w:t>
      </w:r>
      <w:r>
        <w:rPr>
          <w:rFonts w:ascii="宋体" w:hAnsi="宋体" w:cs="仿宋_GB2312"/>
          <w:sz w:val="32"/>
          <w:szCs w:val="32"/>
        </w:rPr>
        <w:t>51.8</w:t>
      </w:r>
      <w:r>
        <w:rPr>
          <w:rFonts w:hint="eastAsia" w:ascii="宋体" w:hAnsi="宋体" w:cs="仿宋_GB2312"/>
          <w:sz w:val="32"/>
          <w:szCs w:val="32"/>
        </w:rPr>
        <w:t>万台次，卸载</w:t>
      </w:r>
      <w:r>
        <w:rPr>
          <w:rFonts w:ascii="宋体" w:hAnsi="宋体" w:cs="仿宋_GB2312"/>
          <w:sz w:val="32"/>
          <w:szCs w:val="32"/>
        </w:rPr>
        <w:t>9679</w:t>
      </w:r>
      <w:r>
        <w:rPr>
          <w:rFonts w:hint="eastAsia" w:ascii="宋体" w:hAnsi="宋体" w:cs="仿宋_GB2312"/>
          <w:sz w:val="32"/>
          <w:szCs w:val="32"/>
        </w:rPr>
        <w:t>台次，卸载货物</w:t>
      </w:r>
      <w:r>
        <w:rPr>
          <w:rFonts w:ascii="宋体" w:hAnsi="宋体" w:cs="仿宋_GB2312"/>
          <w:sz w:val="32"/>
          <w:szCs w:val="32"/>
        </w:rPr>
        <w:t>6920</w:t>
      </w:r>
      <w:r>
        <w:rPr>
          <w:rFonts w:hint="eastAsia" w:ascii="宋体" w:hAnsi="宋体" w:cs="仿宋_GB2312"/>
          <w:sz w:val="32"/>
          <w:szCs w:val="32"/>
        </w:rPr>
        <w:t>吨</w:t>
      </w:r>
      <w:r>
        <w:rPr>
          <w:rFonts w:ascii="宋体" w:cs="仿宋_GB2312"/>
          <w:sz w:val="32"/>
          <w:szCs w:val="32"/>
        </w:rPr>
        <w:t>,</w:t>
      </w:r>
      <w:r>
        <w:rPr>
          <w:rFonts w:hint="eastAsia" w:ascii="宋体" w:hAnsi="宋体" w:cs="仿宋_GB2312"/>
          <w:sz w:val="32"/>
          <w:szCs w:val="32"/>
        </w:rPr>
        <w:t>超限率控制在</w:t>
      </w:r>
      <w:r>
        <w:rPr>
          <w:rFonts w:ascii="宋体" w:hAnsi="宋体" w:cs="仿宋_GB2312"/>
          <w:sz w:val="32"/>
          <w:szCs w:val="32"/>
        </w:rPr>
        <w:t>2%</w:t>
      </w:r>
      <w:r>
        <w:rPr>
          <w:rFonts w:hint="eastAsia" w:ascii="宋体" w:hAnsi="宋体" w:cs="仿宋_GB2312"/>
          <w:sz w:val="32"/>
          <w:szCs w:val="32"/>
        </w:rPr>
        <w:t>以内。</w:t>
      </w:r>
      <w:r>
        <w:rPr>
          <w:rFonts w:hint="eastAsia" w:ascii="宋体" w:hAnsi="宋体" w:cs="仿宋_GB2312"/>
          <w:bCs/>
          <w:sz w:val="32"/>
          <w:szCs w:val="32"/>
        </w:rPr>
        <w:t>不断推进信用评价工作。</w:t>
      </w:r>
      <w:r>
        <w:rPr>
          <w:rFonts w:hint="eastAsia" w:ascii="宋体" w:hAnsi="宋体" w:cs="仿宋_GB2312"/>
          <w:sz w:val="32"/>
          <w:szCs w:val="32"/>
        </w:rPr>
        <w:t>将日常监督检查、专项检查和信用评价考核有机结合，加大对攀大高速、三堆子大桥等重点项目的监管力度，充分利用工程建设项目信用评价管理平台，以信用评价考核为制约手段，促进从业单位提高履约能力、规范作业行为，有效保障工程建设项目质量和安全。</w:t>
      </w:r>
    </w:p>
    <w:p>
      <w:pPr>
        <w:spacing w:line="510" w:lineRule="exact"/>
        <w:ind w:firstLine="707" w:firstLineChars="221"/>
        <w:rPr>
          <w:rFonts w:ascii="宋体" w:cs="仿宋_GB2312"/>
          <w:sz w:val="32"/>
          <w:szCs w:val="32"/>
        </w:rPr>
      </w:pPr>
      <w:r>
        <w:rPr>
          <w:rFonts w:ascii="宋体" w:hAnsi="宋体" w:cs="楷体"/>
          <w:bCs/>
          <w:sz w:val="32"/>
          <w:szCs w:val="32"/>
        </w:rPr>
        <w:t>6</w:t>
      </w:r>
      <w:r>
        <w:rPr>
          <w:rFonts w:hint="eastAsia" w:ascii="宋体" w:hAnsi="宋体" w:cs="楷体"/>
          <w:bCs/>
          <w:sz w:val="32"/>
          <w:szCs w:val="32"/>
        </w:rPr>
        <w:t>、坚持创新驱动，行业发展活力增强。</w:t>
      </w:r>
      <w:r>
        <w:rPr>
          <w:rFonts w:hint="eastAsia" w:ascii="宋体" w:hAnsi="宋体" w:cs="仿宋_GB2312"/>
          <w:sz w:val="32"/>
          <w:szCs w:val="32"/>
        </w:rPr>
        <w:t>坚持创新引领、智慧驱动，推动行业蓬勃发展。</w:t>
      </w:r>
      <w:r>
        <w:rPr>
          <w:rFonts w:hint="eastAsia" w:ascii="宋体" w:hAnsi="宋体" w:cs="仿宋_GB2312"/>
          <w:bCs/>
          <w:sz w:val="32"/>
          <w:szCs w:val="32"/>
        </w:rPr>
        <w:t>智慧交通更加多元。</w:t>
      </w:r>
      <w:r>
        <w:rPr>
          <w:rFonts w:hint="eastAsia" w:ascii="宋体" w:hAnsi="宋体" w:cs="仿宋_GB2312"/>
          <w:sz w:val="32"/>
          <w:szCs w:val="32"/>
        </w:rPr>
        <w:t>大力推进“互联网</w:t>
      </w:r>
      <w:r>
        <w:rPr>
          <w:rFonts w:ascii="宋体" w:hAnsi="宋体" w:cs="仿宋_GB2312"/>
          <w:sz w:val="32"/>
          <w:szCs w:val="32"/>
        </w:rPr>
        <w:t>+</w:t>
      </w:r>
      <w:r>
        <w:rPr>
          <w:rFonts w:hint="eastAsia" w:ascii="宋体" w:hAnsi="宋体" w:cs="仿宋_GB2312"/>
          <w:sz w:val="32"/>
          <w:szCs w:val="32"/>
        </w:rPr>
        <w:t>交通”发展，市民出行更便捷、更多元。客运站全部实现互联网售票，客运站和旅游、高速客车实现</w:t>
      </w:r>
      <w:r>
        <w:rPr>
          <w:rFonts w:ascii="宋体" w:hAnsi="宋体" w:cs="仿宋_GB2312"/>
          <w:sz w:val="32"/>
          <w:szCs w:val="32"/>
        </w:rPr>
        <w:t>wifi</w:t>
      </w:r>
      <w:r>
        <w:rPr>
          <w:rFonts w:hint="eastAsia" w:ascii="宋体" w:hAnsi="宋体" w:cs="仿宋_GB2312"/>
          <w:sz w:val="32"/>
          <w:szCs w:val="32"/>
        </w:rPr>
        <w:t>全覆盖。完成交通运行监测与应急指挥系统工程设计。城市公共交通一卡通工程建成投入使用。实现</w:t>
      </w:r>
      <w:r>
        <w:rPr>
          <w:rFonts w:ascii="宋体" w:hAnsi="宋体" w:cs="仿宋_GB2312"/>
          <w:sz w:val="32"/>
          <w:szCs w:val="32"/>
        </w:rPr>
        <w:t xml:space="preserve"> GPRS </w:t>
      </w:r>
      <w:r>
        <w:rPr>
          <w:rFonts w:hint="eastAsia" w:ascii="宋体" w:hAnsi="宋体" w:cs="仿宋_GB2312"/>
          <w:sz w:val="32"/>
          <w:szCs w:val="32"/>
        </w:rPr>
        <w:t>平台划定码头港口限速区，保障船舶运行安全。全系统开通政务微信、微博、网站，及时发布交通路况信息、项目建设进度、政策法规、工作动态，交通影响力不断扩大。</w:t>
      </w:r>
      <w:r>
        <w:rPr>
          <w:rFonts w:hint="eastAsia" w:ascii="宋体" w:hAnsi="宋体" w:cs="仿宋_GB2312"/>
          <w:bCs/>
          <w:sz w:val="32"/>
          <w:szCs w:val="32"/>
        </w:rPr>
        <w:t>绿色交通加快发展。</w:t>
      </w:r>
      <w:r>
        <w:rPr>
          <w:rFonts w:hint="eastAsia" w:ascii="宋体" w:hAnsi="宋体" w:cs="仿宋_GB2312"/>
          <w:sz w:val="32"/>
          <w:szCs w:val="32"/>
        </w:rPr>
        <w:t>持续开展“节能宣传周”、“低碳日”、“车、船、路、港”千家企业交通运输专项行动等系列活动，开展绿色工程建设，严格控制能耗和强度指标。优先发展城市公交，主城区城市公共交通分担率达</w:t>
      </w:r>
      <w:r>
        <w:rPr>
          <w:rFonts w:ascii="宋体" w:hAnsi="宋体" w:cs="仿宋_GB2312"/>
          <w:sz w:val="32"/>
          <w:szCs w:val="32"/>
        </w:rPr>
        <w:t>36.43%</w:t>
      </w:r>
      <w:r>
        <w:rPr>
          <w:rFonts w:hint="eastAsia" w:ascii="宋体" w:hAnsi="宋体" w:cs="仿宋_GB2312"/>
          <w:sz w:val="32"/>
          <w:szCs w:val="32"/>
        </w:rPr>
        <w:t>，实现稳步增长。积极推行新技术、新能源应用，更新新能源公交车</w:t>
      </w:r>
      <w:r>
        <w:rPr>
          <w:rFonts w:ascii="宋体" w:hAnsi="宋体" w:cs="仿宋_GB2312"/>
          <w:sz w:val="32"/>
          <w:szCs w:val="32"/>
        </w:rPr>
        <w:t>63</w:t>
      </w:r>
      <w:r>
        <w:rPr>
          <w:rFonts w:hint="eastAsia" w:ascii="宋体" w:hAnsi="宋体" w:cs="仿宋_GB2312"/>
          <w:sz w:val="32"/>
          <w:szCs w:val="32"/>
        </w:rPr>
        <w:t>台，提供了更环保、更舒适的出行条件，得到市民广泛赞誉。</w:t>
      </w:r>
      <w:r>
        <w:rPr>
          <w:rFonts w:hint="eastAsia" w:ascii="宋体" w:hAnsi="宋体" w:cs="仿宋_GB2312"/>
          <w:bCs/>
          <w:sz w:val="32"/>
          <w:szCs w:val="32"/>
        </w:rPr>
        <w:t>环境污染防治取得实效。</w:t>
      </w:r>
      <w:r>
        <w:rPr>
          <w:rFonts w:hint="eastAsia" w:ascii="宋体" w:hAnsi="宋体" w:cs="仿宋_GB2312"/>
          <w:sz w:val="32"/>
          <w:szCs w:val="32"/>
        </w:rPr>
        <w:t>全系统树立</w:t>
      </w:r>
      <w:r>
        <w:rPr>
          <w:rFonts w:ascii="宋体" w:hAnsi="宋体" w:cs="仿宋_GB2312"/>
          <w:sz w:val="32"/>
          <w:szCs w:val="32"/>
        </w:rPr>
        <w:t xml:space="preserve"> </w:t>
      </w:r>
      <w:r>
        <w:rPr>
          <w:rFonts w:hint="eastAsia" w:ascii="宋体" w:hAnsi="宋体" w:cs="仿宋_GB2312"/>
          <w:sz w:val="32"/>
          <w:szCs w:val="32"/>
        </w:rPr>
        <w:t>“一盘棋”思想，上下齐心，全力以赴打好环境污染治理“三大战役”，全面完成上级反馈的</w:t>
      </w:r>
      <w:r>
        <w:rPr>
          <w:rFonts w:ascii="宋体" w:hAnsi="宋体" w:cs="仿宋_GB2312"/>
          <w:sz w:val="32"/>
          <w:szCs w:val="32"/>
        </w:rPr>
        <w:t>9</w:t>
      </w:r>
      <w:r>
        <w:rPr>
          <w:rFonts w:hint="eastAsia" w:ascii="宋体" w:hAnsi="宋体" w:cs="仿宋_GB2312"/>
          <w:sz w:val="32"/>
          <w:szCs w:val="32"/>
        </w:rPr>
        <w:t>项突出问题整改。完善公路养护制度</w:t>
      </w:r>
      <w:r>
        <w:rPr>
          <w:rFonts w:ascii="宋体" w:hAnsi="宋体" w:cs="仿宋_GB2312"/>
          <w:sz w:val="32"/>
          <w:szCs w:val="32"/>
        </w:rPr>
        <w:t>10</w:t>
      </w:r>
      <w:r>
        <w:rPr>
          <w:rFonts w:hint="eastAsia" w:ascii="宋体" w:hAnsi="宋体" w:cs="仿宋_GB2312"/>
          <w:sz w:val="32"/>
          <w:szCs w:val="32"/>
        </w:rPr>
        <w:t>项、扬尘治理和运输污染专项整治制度</w:t>
      </w:r>
      <w:r>
        <w:rPr>
          <w:rFonts w:ascii="宋体" w:hAnsi="宋体" w:cs="仿宋_GB2312"/>
          <w:sz w:val="32"/>
          <w:szCs w:val="32"/>
        </w:rPr>
        <w:t>15</w:t>
      </w:r>
      <w:r>
        <w:rPr>
          <w:rFonts w:hint="eastAsia" w:ascii="宋体" w:hAnsi="宋体" w:cs="仿宋_GB2312"/>
          <w:sz w:val="32"/>
          <w:szCs w:val="32"/>
        </w:rPr>
        <w:t>项、突出环境问题整改方案</w:t>
      </w:r>
      <w:r>
        <w:rPr>
          <w:rFonts w:ascii="宋体" w:hAnsi="宋体" w:cs="仿宋_GB2312"/>
          <w:sz w:val="32"/>
          <w:szCs w:val="32"/>
        </w:rPr>
        <w:t>10</w:t>
      </w:r>
      <w:r>
        <w:rPr>
          <w:rFonts w:hint="eastAsia" w:ascii="宋体" w:hAnsi="宋体" w:cs="仿宋_GB2312"/>
          <w:sz w:val="32"/>
          <w:szCs w:val="32"/>
        </w:rPr>
        <w:t>个，公路路域环境整治、超限运输治理、机动车维修和船舶污染防治取得成效。</w:t>
      </w:r>
    </w:p>
    <w:p>
      <w:pPr>
        <w:spacing w:line="520" w:lineRule="exact"/>
        <w:ind w:firstLine="572" w:firstLineChars="179"/>
        <w:rPr>
          <w:rFonts w:ascii="宋体" w:cs="仿宋_GB2312"/>
          <w:sz w:val="32"/>
          <w:szCs w:val="32"/>
        </w:rPr>
      </w:pPr>
      <w:r>
        <w:rPr>
          <w:rFonts w:ascii="宋体" w:hAnsi="宋体" w:cs="楷体"/>
          <w:bCs/>
          <w:sz w:val="32"/>
          <w:szCs w:val="32"/>
        </w:rPr>
        <w:t>7</w:t>
      </w:r>
      <w:r>
        <w:rPr>
          <w:rFonts w:hint="eastAsia" w:ascii="宋体" w:hAnsi="宋体" w:cs="楷体"/>
          <w:bCs/>
          <w:sz w:val="32"/>
          <w:szCs w:val="32"/>
        </w:rPr>
        <w:t>、深化平安交通建设，安全形势稳定向好。</w:t>
      </w:r>
      <w:r>
        <w:rPr>
          <w:rFonts w:hint="eastAsia" w:ascii="宋体" w:hAnsi="宋体" w:cs="仿宋_GB2312"/>
          <w:sz w:val="32"/>
          <w:szCs w:val="32"/>
        </w:rPr>
        <w:t>牢固树立安全发展理念，强化红线意识和底线思维，落实监管责任，不断完善安全责任体系，转变安全监管手段，强化应急保障能力，行业安全形势持续向好。</w:t>
      </w:r>
      <w:r>
        <w:rPr>
          <w:rFonts w:ascii="宋体" w:hAnsi="宋体" w:cs="仿宋_GB2312"/>
          <w:sz w:val="32"/>
          <w:szCs w:val="32"/>
        </w:rPr>
        <w:t>2018</w:t>
      </w:r>
      <w:r>
        <w:rPr>
          <w:rFonts w:hint="eastAsia" w:ascii="宋体" w:hAnsi="宋体" w:cs="仿宋_GB2312"/>
          <w:sz w:val="32"/>
          <w:szCs w:val="32"/>
        </w:rPr>
        <w:t>年未发生较大以上安全责任事故。</w:t>
      </w:r>
      <w:r>
        <w:rPr>
          <w:rFonts w:hint="eastAsia" w:ascii="宋体" w:hAnsi="宋体" w:cs="仿宋_GB2312"/>
          <w:bCs/>
          <w:sz w:val="32"/>
          <w:szCs w:val="32"/>
        </w:rPr>
        <w:t>完善安全责任体系。</w:t>
      </w:r>
      <w:r>
        <w:rPr>
          <w:rFonts w:hint="eastAsia" w:ascii="宋体" w:hAnsi="宋体" w:cs="仿宋_GB2312"/>
          <w:sz w:val="32"/>
          <w:szCs w:val="32"/>
        </w:rPr>
        <w:t>制定《交通运输安全管理清单手册》，进一步完善《“党政同责、一岗双责、</w:t>
      </w:r>
      <w:bookmarkStart w:id="80" w:name="_GoBack"/>
      <w:bookmarkEnd w:id="80"/>
      <w:r>
        <w:rPr>
          <w:rFonts w:hint="eastAsia" w:ascii="宋体" w:hAnsi="宋体" w:cs="仿宋_GB2312"/>
          <w:sz w:val="32"/>
          <w:szCs w:val="32"/>
        </w:rPr>
        <w:t>齐抓共管</w:t>
      </w:r>
      <w:r>
        <w:rPr>
          <w:rFonts w:hint="eastAsia" w:ascii="宋体" w:hAnsi="宋体" w:cs="仿宋_GB2312"/>
          <w:sz w:val="32"/>
          <w:szCs w:val="32"/>
          <w:lang w:eastAsia="zh-CN"/>
        </w:rPr>
        <w:t>、</w:t>
      </w:r>
      <w:r>
        <w:rPr>
          <w:rFonts w:hint="eastAsia" w:ascii="宋体" w:hAnsi="宋体" w:cs="仿宋_GB2312"/>
          <w:sz w:val="32"/>
          <w:szCs w:val="32"/>
        </w:rPr>
        <w:t>失职追责”安全生产</w:t>
      </w:r>
      <w:r>
        <w:rPr>
          <w:rFonts w:ascii="宋体"/>
          <w:sz w:val="32"/>
          <w:szCs w:val="32"/>
        </w:rPr>
        <w:t> </w:t>
      </w:r>
      <w:r>
        <w:rPr>
          <w:rFonts w:hint="eastAsia" w:ascii="宋体" w:hAnsi="宋体" w:cs="仿宋_GB2312"/>
          <w:sz w:val="32"/>
          <w:szCs w:val="32"/>
        </w:rPr>
        <w:t>管理责任体系》，安全生产监管</w:t>
      </w:r>
      <w:r>
        <w:rPr>
          <w:rFonts w:hint="eastAsia" w:ascii="宋体" w:hAnsi="宋体"/>
          <w:sz w:val="32"/>
          <w:szCs w:val="32"/>
        </w:rPr>
        <w:t>“</w:t>
      </w:r>
      <w:r>
        <w:rPr>
          <w:rFonts w:hint="eastAsia" w:ascii="宋体" w:hAnsi="宋体" w:cs="仿宋_GB2312"/>
          <w:sz w:val="32"/>
          <w:szCs w:val="32"/>
        </w:rPr>
        <w:t>责任清单、权力清单</w:t>
      </w:r>
      <w:r>
        <w:rPr>
          <w:rFonts w:hint="eastAsia" w:ascii="宋体" w:hAnsi="宋体"/>
          <w:sz w:val="32"/>
          <w:szCs w:val="32"/>
        </w:rPr>
        <w:t>”</w:t>
      </w:r>
      <w:r>
        <w:rPr>
          <w:rFonts w:hint="eastAsia" w:ascii="宋体" w:hAnsi="宋体" w:cs="仿宋_GB2312"/>
          <w:sz w:val="32"/>
          <w:szCs w:val="32"/>
        </w:rPr>
        <w:t>更清晰。构建安全生产风险分级管控和隐患排查治理双预防机制，实行安全生产体系化、规范化、精准化、痕迹化、闭环式管理。</w:t>
      </w:r>
      <w:r>
        <w:rPr>
          <w:rFonts w:hint="eastAsia" w:ascii="宋体" w:hAnsi="宋体" w:cs="仿宋_GB2312"/>
          <w:bCs/>
          <w:sz w:val="32"/>
          <w:szCs w:val="32"/>
        </w:rPr>
        <w:t>强化安全监管。</w:t>
      </w:r>
      <w:r>
        <w:rPr>
          <w:rFonts w:hint="eastAsia" w:ascii="宋体" w:hAnsi="宋体" w:cs="仿宋_GB2312"/>
          <w:sz w:val="32"/>
          <w:szCs w:val="32"/>
        </w:rPr>
        <w:t>开展安全生产大检查、重点行业领域专项整治、打非治违等活动，强化安全生产薄弱环节和突出问题整治，四大重点行业领域安全生产形势持续稳定。全年累计开展安全生产专项检查、督查</w:t>
      </w:r>
      <w:r>
        <w:rPr>
          <w:rFonts w:ascii="宋体" w:hAnsi="宋体" w:cs="仿宋_GB2312"/>
          <w:sz w:val="32"/>
          <w:szCs w:val="32"/>
        </w:rPr>
        <w:t>1139</w:t>
      </w:r>
      <w:r>
        <w:rPr>
          <w:rFonts w:hint="eastAsia" w:ascii="宋体" w:hAnsi="宋体" w:cs="仿宋_GB2312"/>
          <w:sz w:val="32"/>
          <w:szCs w:val="32"/>
        </w:rPr>
        <w:t>次，排查风险隐患</w:t>
      </w:r>
      <w:r>
        <w:rPr>
          <w:rFonts w:ascii="宋体" w:hAnsi="宋体" w:cs="仿宋_GB2312"/>
          <w:sz w:val="32"/>
          <w:szCs w:val="32"/>
        </w:rPr>
        <w:t>376</w:t>
      </w:r>
      <w:r>
        <w:rPr>
          <w:rFonts w:hint="eastAsia" w:ascii="宋体" w:hAnsi="宋体" w:cs="仿宋_GB2312"/>
          <w:sz w:val="32"/>
          <w:szCs w:val="32"/>
        </w:rPr>
        <w:t>起，整改</w:t>
      </w:r>
      <w:r>
        <w:rPr>
          <w:rFonts w:ascii="宋体" w:hAnsi="宋体" w:cs="仿宋_GB2312"/>
          <w:sz w:val="32"/>
          <w:szCs w:val="32"/>
        </w:rPr>
        <w:t>376</w:t>
      </w:r>
      <w:r>
        <w:rPr>
          <w:rFonts w:hint="eastAsia" w:ascii="宋体" w:hAnsi="宋体" w:cs="仿宋_GB2312"/>
          <w:sz w:val="32"/>
          <w:szCs w:val="32"/>
        </w:rPr>
        <w:t>起，打击严重违法违章行为</w:t>
      </w:r>
      <w:r>
        <w:rPr>
          <w:rFonts w:ascii="宋体" w:hAnsi="宋体" w:cs="仿宋_GB2312"/>
          <w:sz w:val="32"/>
          <w:szCs w:val="32"/>
        </w:rPr>
        <w:t>24</w:t>
      </w:r>
      <w:r>
        <w:rPr>
          <w:rFonts w:hint="eastAsia" w:ascii="宋体" w:hAnsi="宋体" w:cs="仿宋_GB2312"/>
          <w:sz w:val="32"/>
          <w:szCs w:val="32"/>
        </w:rPr>
        <w:t>起，有效防范安全生产事故的发生。提升应急防汛能力。不断完善应急预案，明确应急处置领导机构及职责、报告程序、处置办法，组织开展应急演习演练，进一步提升应急预案应对突发事件的针对性和可操作性。汛期，累计投入资金</w:t>
      </w:r>
      <w:r>
        <w:rPr>
          <w:rFonts w:ascii="宋体" w:hAnsi="宋体" w:cs="仿宋_GB2312"/>
          <w:sz w:val="32"/>
          <w:szCs w:val="32"/>
        </w:rPr>
        <w:t>208</w:t>
      </w:r>
      <w:r>
        <w:rPr>
          <w:rFonts w:hint="eastAsia" w:ascii="宋体" w:hAnsi="宋体" w:cs="仿宋_GB2312"/>
          <w:sz w:val="32"/>
          <w:szCs w:val="32"/>
        </w:rPr>
        <w:t>万元、出动人员</w:t>
      </w:r>
      <w:r>
        <w:rPr>
          <w:rFonts w:ascii="宋体" w:hAnsi="宋体" w:cs="仿宋_GB2312"/>
          <w:sz w:val="32"/>
          <w:szCs w:val="32"/>
        </w:rPr>
        <w:t xml:space="preserve"> 1</w:t>
      </w:r>
      <w:r>
        <w:rPr>
          <w:rFonts w:hint="eastAsia" w:ascii="宋体" w:hAnsi="宋体" w:cs="仿宋_GB2312"/>
          <w:sz w:val="32"/>
          <w:szCs w:val="32"/>
        </w:rPr>
        <w:t>万余人次、机械台班</w:t>
      </w:r>
      <w:r>
        <w:rPr>
          <w:rFonts w:ascii="宋体" w:hAnsi="宋体" w:cs="仿宋_GB2312"/>
          <w:sz w:val="32"/>
          <w:szCs w:val="32"/>
        </w:rPr>
        <w:t xml:space="preserve"> 1075 </w:t>
      </w:r>
      <w:r>
        <w:rPr>
          <w:rFonts w:hint="eastAsia" w:ascii="宋体" w:hAnsi="宋体" w:cs="仿宋_GB2312"/>
          <w:sz w:val="32"/>
          <w:szCs w:val="32"/>
        </w:rPr>
        <w:t>台次，处置断道</w:t>
      </w:r>
      <w:r>
        <w:rPr>
          <w:rFonts w:ascii="宋体" w:hAnsi="宋体" w:cs="仿宋_GB2312"/>
          <w:sz w:val="32"/>
          <w:szCs w:val="32"/>
        </w:rPr>
        <w:t xml:space="preserve"> 28</w:t>
      </w:r>
      <w:r>
        <w:rPr>
          <w:rFonts w:hint="eastAsia" w:ascii="宋体" w:hAnsi="宋体" w:cs="仿宋_GB2312"/>
          <w:sz w:val="32"/>
          <w:szCs w:val="32"/>
        </w:rPr>
        <w:t>处、坍方</w:t>
      </w:r>
      <w:r>
        <w:rPr>
          <w:rFonts w:ascii="宋体" w:hAnsi="宋体" w:cs="仿宋_GB2312"/>
          <w:sz w:val="32"/>
          <w:szCs w:val="32"/>
        </w:rPr>
        <w:t>6</w:t>
      </w:r>
      <w:r>
        <w:rPr>
          <w:rFonts w:hint="eastAsia" w:ascii="宋体" w:hAnsi="宋体" w:cs="仿宋_GB2312"/>
          <w:sz w:val="32"/>
          <w:szCs w:val="32"/>
        </w:rPr>
        <w:t>万余方，确保公路安全畅通。</w:t>
      </w:r>
    </w:p>
    <w:p>
      <w:pPr>
        <w:spacing w:line="520" w:lineRule="exact"/>
        <w:ind w:firstLine="707" w:firstLineChars="221"/>
        <w:rPr>
          <w:rFonts w:ascii="宋体" w:cs="仿宋_GB2312"/>
          <w:sz w:val="32"/>
          <w:szCs w:val="32"/>
        </w:rPr>
      </w:pPr>
      <w:r>
        <w:rPr>
          <w:rFonts w:ascii="宋体" w:hAnsi="宋体" w:cs="楷体"/>
          <w:bCs/>
          <w:sz w:val="32"/>
          <w:szCs w:val="32"/>
        </w:rPr>
        <w:t>8</w:t>
      </w:r>
      <w:r>
        <w:rPr>
          <w:rFonts w:hint="eastAsia" w:ascii="宋体" w:hAnsi="宋体" w:cs="楷体"/>
          <w:bCs/>
          <w:sz w:val="32"/>
          <w:szCs w:val="32"/>
        </w:rPr>
        <w:t>、加强党的建设，管党治党水平不断提高。</w:t>
      </w:r>
      <w:r>
        <w:rPr>
          <w:rFonts w:hint="eastAsia" w:ascii="宋体" w:hAnsi="宋体" w:cs="仿宋_GB2312"/>
          <w:sz w:val="32"/>
          <w:szCs w:val="32"/>
        </w:rPr>
        <w:t>坚持把党的政治建设摆在首位，落实党要管党，从严治党。党的建设全面深化。树牢“四个意识</w:t>
      </w:r>
      <w:r>
        <w:rPr>
          <w:rFonts w:ascii="宋体" w:hAnsi="宋体" w:cs="仿宋_GB2312"/>
          <w:sz w:val="32"/>
          <w:szCs w:val="32"/>
        </w:rPr>
        <w:t xml:space="preserve"> </w:t>
      </w:r>
      <w:r>
        <w:rPr>
          <w:rFonts w:hint="eastAsia" w:ascii="宋体" w:hAnsi="宋体" w:cs="仿宋_GB2312"/>
          <w:sz w:val="32"/>
          <w:szCs w:val="32"/>
        </w:rPr>
        <w:t>”、增强“四个自信”，坚定维护习近平总书记在党中央和全党的核心地位。始终坚持“党管宣传、党管意识形态”的原则，认真落实意识形态工作责任制，全系统意识形态取得新进展。按照党建工作“三张清单”履行主体责任，严格落实党建工作责任。局党委中心组</w:t>
      </w:r>
      <w:r>
        <w:rPr>
          <w:rFonts w:ascii="宋体" w:hAnsi="宋体" w:cs="仿宋_GB2312"/>
          <w:sz w:val="32"/>
          <w:szCs w:val="32"/>
        </w:rPr>
        <w:t>5</w:t>
      </w:r>
      <w:r>
        <w:rPr>
          <w:rFonts w:hint="eastAsia" w:ascii="宋体" w:hAnsi="宋体" w:cs="仿宋_GB2312"/>
          <w:sz w:val="32"/>
          <w:szCs w:val="32"/>
        </w:rPr>
        <w:t>次集中学习党的十九大精神，局党委委员带头到支部宣讲</w:t>
      </w:r>
      <w:r>
        <w:rPr>
          <w:rFonts w:ascii="宋体" w:hAnsi="宋体" w:cs="仿宋_GB2312"/>
          <w:sz w:val="32"/>
          <w:szCs w:val="32"/>
        </w:rPr>
        <w:t>8</w:t>
      </w:r>
      <w:r>
        <w:rPr>
          <w:rFonts w:hint="eastAsia" w:ascii="宋体" w:hAnsi="宋体" w:cs="仿宋_GB2312"/>
          <w:sz w:val="32"/>
          <w:szCs w:val="32"/>
        </w:rPr>
        <w:t>次、带头撰写心得体会。通过领导讲党课、专家讲座辅导、集中学习、党小组讨论、知识竞赛等多种形式掀起学习贯彻党的十九大精神热潮。积极配合市委第三巡察组对我局党委巡察工作，边查边改，及时制定整改方案，细化整改措施</w:t>
      </w:r>
      <w:r>
        <w:rPr>
          <w:rFonts w:ascii="宋体" w:hAnsi="宋体" w:cs="仿宋_GB2312"/>
          <w:sz w:val="32"/>
          <w:szCs w:val="32"/>
        </w:rPr>
        <w:t>100</w:t>
      </w:r>
      <w:r>
        <w:rPr>
          <w:rFonts w:hint="eastAsia" w:ascii="宋体" w:hAnsi="宋体" w:cs="仿宋_GB2312"/>
          <w:sz w:val="32"/>
          <w:szCs w:val="32"/>
        </w:rPr>
        <w:t>余条。加强基层党组织建设，积极开展“三查四比”、城乡党组织结对共建等工作。常态化制度化推进开展“两学一做”学习教育，扎实开展“两转一提”活动，干部职工素质能力进一步提升。围绕做好“钒钛”“阳光”两篇文章、打好交通建设硬仗“怎么看、怎么干”，组织</w:t>
      </w:r>
      <w:r>
        <w:rPr>
          <w:rFonts w:ascii="宋体" w:hAnsi="宋体" w:cs="仿宋_GB2312"/>
          <w:sz w:val="32"/>
          <w:szCs w:val="32"/>
        </w:rPr>
        <w:t>30</w:t>
      </w:r>
      <w:r>
        <w:rPr>
          <w:rFonts w:hint="eastAsia" w:ascii="宋体" w:hAnsi="宋体" w:cs="仿宋_GB2312"/>
          <w:sz w:val="32"/>
          <w:szCs w:val="32"/>
        </w:rPr>
        <w:t>余名干部进行“头脑风暴”，听取意见、集思广益，形成对标管理方案。</w:t>
      </w:r>
      <w:r>
        <w:rPr>
          <w:rFonts w:hint="eastAsia" w:ascii="宋体" w:hAnsi="宋体" w:cs="仿宋_GB2312"/>
          <w:bCs/>
          <w:sz w:val="32"/>
          <w:szCs w:val="32"/>
        </w:rPr>
        <w:t>党风廉政建设深入推进。</w:t>
      </w:r>
      <w:r>
        <w:rPr>
          <w:rFonts w:hint="eastAsia" w:ascii="宋体" w:hAnsi="宋体" w:cs="仿宋_GB2312"/>
          <w:sz w:val="32"/>
          <w:szCs w:val="32"/>
        </w:rPr>
        <w:t>层层压实责任，制发党风廉政建设主体责任和监督责任“两张清单”，明确任务分工，逐级签订责任书，扎实开展领导干部述责述廉。加强内部巡查，每半年开展</w:t>
      </w:r>
      <w:r>
        <w:rPr>
          <w:rFonts w:ascii="宋体" w:hAnsi="宋体" w:cs="仿宋_GB2312"/>
          <w:sz w:val="32"/>
          <w:szCs w:val="32"/>
        </w:rPr>
        <w:t>1</w:t>
      </w:r>
      <w:r>
        <w:rPr>
          <w:rFonts w:hint="eastAsia" w:ascii="宋体" w:hAnsi="宋体" w:cs="仿宋_GB2312"/>
          <w:sz w:val="32"/>
          <w:szCs w:val="32"/>
        </w:rPr>
        <w:t>次党风廉政建设专项巡查，及时发现和解决苗头性、倾向性问题。开展巡察问题整改、滥发奖金工资补贴、公款购买高端白酒、“微腐败”等专项整治工作，防止“四风”问题反弹回潮。开展集中警示教育</w:t>
      </w:r>
      <w:r>
        <w:rPr>
          <w:rFonts w:ascii="宋体" w:hAnsi="宋体" w:cs="仿宋_GB2312"/>
          <w:sz w:val="32"/>
          <w:szCs w:val="32"/>
        </w:rPr>
        <w:t>6</w:t>
      </w:r>
      <w:r>
        <w:rPr>
          <w:rFonts w:hint="eastAsia" w:ascii="宋体" w:hAnsi="宋体" w:cs="仿宋_GB2312"/>
          <w:sz w:val="32"/>
          <w:szCs w:val="32"/>
        </w:rPr>
        <w:t>次。邀请市检察院深入重点项目建设现场，开展“工程建设领域预防职务犯罪宣讲”活动。联合市检察院对原路政支队执法工作开展预防职务犯罪调研，提出对策。严格执纪问责，党委班子成员共约谈干部</w:t>
      </w:r>
      <w:r>
        <w:rPr>
          <w:rFonts w:ascii="宋体" w:hAnsi="宋体" w:cs="仿宋_GB2312"/>
          <w:sz w:val="32"/>
          <w:szCs w:val="32"/>
        </w:rPr>
        <w:t>140</w:t>
      </w:r>
      <w:r>
        <w:rPr>
          <w:rFonts w:hint="eastAsia" w:ascii="宋体" w:hAnsi="宋体" w:cs="仿宋_GB2312"/>
          <w:sz w:val="32"/>
          <w:szCs w:val="32"/>
        </w:rPr>
        <w:t>人次，调查核实信访</w:t>
      </w:r>
      <w:r>
        <w:rPr>
          <w:rFonts w:ascii="宋体" w:hAnsi="宋体" w:cs="仿宋_GB2312"/>
          <w:sz w:val="32"/>
          <w:szCs w:val="32"/>
        </w:rPr>
        <w:t>24</w:t>
      </w:r>
      <w:r>
        <w:rPr>
          <w:rFonts w:hint="eastAsia" w:ascii="宋体" w:hAnsi="宋体" w:cs="仿宋_GB2312"/>
          <w:sz w:val="32"/>
          <w:szCs w:val="32"/>
        </w:rPr>
        <w:t>件，处理</w:t>
      </w:r>
      <w:r>
        <w:rPr>
          <w:rFonts w:ascii="宋体" w:hAnsi="宋体" w:cs="仿宋_GB2312"/>
          <w:sz w:val="32"/>
          <w:szCs w:val="32"/>
        </w:rPr>
        <w:t>5</w:t>
      </w:r>
      <w:r>
        <w:rPr>
          <w:rFonts w:hint="eastAsia" w:ascii="宋体" w:hAnsi="宋体" w:cs="仿宋_GB2312"/>
          <w:sz w:val="32"/>
          <w:szCs w:val="32"/>
        </w:rPr>
        <w:t>起案件，处分</w:t>
      </w:r>
      <w:r>
        <w:rPr>
          <w:rFonts w:ascii="宋体" w:hAnsi="宋体" w:cs="仿宋_GB2312"/>
          <w:sz w:val="32"/>
          <w:szCs w:val="32"/>
        </w:rPr>
        <w:t>13</w:t>
      </w:r>
      <w:r>
        <w:rPr>
          <w:rFonts w:hint="eastAsia" w:ascii="宋体" w:hAnsi="宋体" w:cs="仿宋_GB2312"/>
          <w:sz w:val="32"/>
          <w:szCs w:val="32"/>
        </w:rPr>
        <w:t>人，通报批评</w:t>
      </w:r>
      <w:r>
        <w:rPr>
          <w:rFonts w:ascii="宋体" w:hAnsi="宋体" w:cs="仿宋_GB2312"/>
          <w:sz w:val="32"/>
          <w:szCs w:val="32"/>
        </w:rPr>
        <w:t>11</w:t>
      </w:r>
      <w:r>
        <w:rPr>
          <w:rFonts w:hint="eastAsia" w:ascii="宋体" w:hAnsi="宋体" w:cs="仿宋_GB2312"/>
          <w:sz w:val="32"/>
          <w:szCs w:val="32"/>
        </w:rPr>
        <w:t>人。</w:t>
      </w:r>
    </w:p>
    <w:p>
      <w:pPr>
        <w:spacing w:line="520" w:lineRule="exact"/>
        <w:ind w:firstLine="627" w:firstLineChars="196"/>
        <w:rPr>
          <w:rFonts w:ascii="宋体" w:cs="仿宋_GB2312"/>
          <w:sz w:val="32"/>
          <w:szCs w:val="32"/>
        </w:rPr>
      </w:pPr>
      <w:r>
        <w:rPr>
          <w:rFonts w:ascii="宋体" w:hAnsi="宋体" w:cs="楷体"/>
          <w:bCs/>
          <w:sz w:val="32"/>
          <w:szCs w:val="32"/>
        </w:rPr>
        <w:t>9</w:t>
      </w:r>
      <w:r>
        <w:rPr>
          <w:rFonts w:hint="eastAsia" w:ascii="宋体" w:hAnsi="宋体" w:cs="楷体"/>
          <w:bCs/>
          <w:sz w:val="32"/>
          <w:szCs w:val="32"/>
        </w:rPr>
        <w:t>、引领文明风尚，行业软实力不断提升。</w:t>
      </w:r>
      <w:r>
        <w:rPr>
          <w:rFonts w:hint="eastAsia" w:ascii="宋体" w:hAnsi="宋体" w:cs="仿宋_GB2312"/>
          <w:sz w:val="32"/>
          <w:szCs w:val="32"/>
        </w:rPr>
        <w:t>不断深化政风行风“五大行动”，着力问题整改，及时回应解决群众关注的热点难点问题。通过持续努力，政风行风“五大行动”考核综合评分在全省排名前列。深入开展全国文明城市创建工作，在公交站、客运站、出租车、码头等窗口宣传核心价值观、讲文明树新风等理念，营造创文氛围，提升群众知晓率和参与度。公交首倡“礼让斑马线”活动，带动全市社会车辆礼让行人，引领了社会风尚，提升城市文明形象。开展“亲情车厢”、“精品线路”、“爱心送考”、“小红帽”、“文明劝导”等活动，持续提升行业形象。“公交驾驶员余霞帮助走失小孩寻找家人事迹”被中央电视台“晚间新闻”报道，展现了攀枝花交通人的良好风貌。利用报刊、微信、微博、网站、电台等方式发布宣传稿件</w:t>
      </w:r>
      <w:r>
        <w:rPr>
          <w:rFonts w:ascii="宋体" w:hAnsi="宋体" w:cs="仿宋_GB2312"/>
          <w:sz w:val="32"/>
          <w:szCs w:val="32"/>
        </w:rPr>
        <w:t>1800</w:t>
      </w:r>
      <w:r>
        <w:rPr>
          <w:rFonts w:hint="eastAsia" w:ascii="宋体" w:hAnsi="宋体" w:cs="仿宋_GB2312"/>
          <w:sz w:val="32"/>
          <w:szCs w:val="32"/>
        </w:rPr>
        <w:t>余篇，向全市“两代表”、“一委员”寄送</w:t>
      </w:r>
      <w:r>
        <w:rPr>
          <w:rFonts w:ascii="宋体" w:hAnsi="宋体" w:cs="仿宋_GB2312"/>
          <w:sz w:val="32"/>
          <w:szCs w:val="32"/>
        </w:rPr>
        <w:t>1100</w:t>
      </w:r>
      <w:r>
        <w:rPr>
          <w:rFonts w:hint="eastAsia" w:ascii="宋体" w:hAnsi="宋体" w:cs="仿宋_GB2312"/>
          <w:sz w:val="32"/>
          <w:szCs w:val="32"/>
        </w:rPr>
        <w:t>余封信件，展示行业亮点、成效，行业形象不断提升。</w:t>
      </w:r>
    </w:p>
    <w:p>
      <w:pPr>
        <w:snapToGrid w:val="0"/>
        <w:spacing w:line="520" w:lineRule="exact"/>
        <w:ind w:firstLine="640" w:firstLineChars="200"/>
        <w:rPr>
          <w:rFonts w:ascii="宋体"/>
          <w:sz w:val="32"/>
          <w:szCs w:val="32"/>
        </w:rPr>
      </w:pPr>
      <w:r>
        <w:rPr>
          <w:rFonts w:hint="eastAsia" w:ascii="宋体" w:hAnsi="宋体" w:cs="仿宋_GB2312"/>
          <w:sz w:val="32"/>
          <w:szCs w:val="32"/>
        </w:rPr>
        <w:t>此外，我局交通战备、信访维稳、民族宗教、统战、社会治安综合治理、老干部、人事、工会、共青团、妇联、保密、档案等工作也取得了新进步和成效。</w:t>
      </w:r>
    </w:p>
    <w:p>
      <w:pPr>
        <w:pStyle w:val="3"/>
        <w:rPr>
          <w:rStyle w:val="18"/>
          <w:rFonts w:ascii="宋体"/>
          <w:b w:val="0"/>
          <w:bCs/>
        </w:rPr>
      </w:pPr>
      <w:bookmarkStart w:id="20" w:name="_Toc15396601"/>
      <w:bookmarkStart w:id="21" w:name="_Toc15377200"/>
      <w:r>
        <w:rPr>
          <w:rFonts w:hint="eastAsia" w:ascii="宋体" w:hAnsi="宋体"/>
          <w:b w:val="0"/>
          <w:color w:val="000000"/>
        </w:rPr>
        <w:t>二、机</w:t>
      </w:r>
      <w:r>
        <w:rPr>
          <w:rStyle w:val="18"/>
          <w:rFonts w:hint="eastAsia" w:ascii="宋体" w:hAnsi="宋体"/>
          <w:b w:val="0"/>
          <w:bCs/>
        </w:rPr>
        <w:t>构设置</w:t>
      </w:r>
      <w:bookmarkEnd w:id="20"/>
      <w:bookmarkEnd w:id="21"/>
    </w:p>
    <w:p>
      <w:pPr>
        <w:pStyle w:val="3"/>
        <w:ind w:firstLine="640" w:firstLineChars="200"/>
        <w:rPr>
          <w:rFonts w:ascii="宋体"/>
          <w:b w:val="0"/>
          <w:bCs w:val="0"/>
        </w:rPr>
      </w:pPr>
      <w:r>
        <w:rPr>
          <w:rFonts w:hint="eastAsia" w:ascii="宋体" w:hAnsi="宋体"/>
          <w:b w:val="0"/>
        </w:rPr>
        <w:t>攀枝花市交通运输局下属二级单位七个，其中参照公务员法管理的事业单位</w:t>
      </w:r>
      <w:r>
        <w:rPr>
          <w:rFonts w:hint="eastAsia" w:ascii="宋体" w:hAnsi="宋体"/>
          <w:b w:val="0"/>
          <w:bCs w:val="0"/>
        </w:rPr>
        <w:t>五</w:t>
      </w:r>
      <w:r>
        <w:rPr>
          <w:rFonts w:hint="eastAsia" w:ascii="宋体" w:hAnsi="宋体"/>
          <w:b w:val="0"/>
        </w:rPr>
        <w:t>个，其他事业单位二个。</w:t>
      </w:r>
    </w:p>
    <w:p>
      <w:pPr>
        <w:pStyle w:val="5"/>
        <w:adjustRightInd w:val="0"/>
        <w:snapToGrid w:val="0"/>
        <w:spacing w:before="93" w:line="600" w:lineRule="exact"/>
        <w:ind w:firstLine="672" w:firstLineChars="210"/>
        <w:rPr>
          <w:rFonts w:ascii="宋体" w:hAnsi="宋体" w:eastAsia="宋体"/>
          <w:color w:val="000000"/>
          <w:sz w:val="32"/>
          <w:szCs w:val="32"/>
        </w:rPr>
      </w:pPr>
      <w:r>
        <w:rPr>
          <w:rFonts w:hint="eastAsia" w:ascii="宋体" w:hAnsi="宋体" w:eastAsia="宋体"/>
          <w:color w:val="000000"/>
          <w:sz w:val="32"/>
          <w:szCs w:val="32"/>
        </w:rPr>
        <w:t>纳入</w:t>
      </w:r>
      <w:r>
        <w:rPr>
          <w:rFonts w:hint="eastAsia" w:ascii="宋体" w:hAnsi="宋体" w:eastAsia="宋体"/>
          <w:sz w:val="32"/>
          <w:szCs w:val="32"/>
        </w:rPr>
        <w:t>攀枝花市交通运输局</w:t>
      </w:r>
      <w:r>
        <w:rPr>
          <w:rFonts w:ascii="宋体" w:hAnsi="宋体" w:eastAsia="宋体"/>
          <w:color w:val="000000"/>
          <w:sz w:val="32"/>
          <w:szCs w:val="32"/>
        </w:rPr>
        <w:t>2018</w:t>
      </w:r>
      <w:r>
        <w:rPr>
          <w:rFonts w:hint="eastAsia" w:ascii="宋体" w:hAnsi="宋体" w:eastAsia="宋体"/>
          <w:color w:val="000000"/>
          <w:sz w:val="32"/>
          <w:szCs w:val="32"/>
        </w:rPr>
        <w:t>年度部门决算编制范围的二级预算单位包括：</w:t>
      </w:r>
      <w:bookmarkStart w:id="22" w:name="_Toc15377433"/>
      <w:bookmarkStart w:id="23" w:name="_Toc15378449"/>
      <w:bookmarkStart w:id="24" w:name="_Toc15306276"/>
      <w:bookmarkStart w:id="25" w:name="_Toc15377202"/>
      <w:r>
        <w:rPr>
          <w:rFonts w:hint="eastAsia" w:ascii="宋体" w:hAnsi="宋体" w:eastAsia="宋体"/>
          <w:sz w:val="32"/>
          <w:szCs w:val="32"/>
        </w:rPr>
        <w:t>攀枝花市交通建设工程质量监督站</w:t>
      </w:r>
      <w:bookmarkEnd w:id="22"/>
      <w:bookmarkEnd w:id="23"/>
      <w:bookmarkEnd w:id="24"/>
      <w:bookmarkEnd w:id="25"/>
      <w:r>
        <w:rPr>
          <w:rFonts w:hint="eastAsia" w:ascii="宋体" w:hAnsi="宋体" w:eastAsia="宋体"/>
          <w:color w:val="000000"/>
          <w:sz w:val="32"/>
          <w:szCs w:val="32"/>
        </w:rPr>
        <w:t>、</w:t>
      </w:r>
      <w:r>
        <w:rPr>
          <w:rFonts w:hint="eastAsia" w:ascii="宋体" w:hAnsi="宋体" w:eastAsia="宋体"/>
          <w:sz w:val="32"/>
          <w:szCs w:val="32"/>
        </w:rPr>
        <w:t>攀枝花市运输管理处、攀枝花市交通运输综合执法支队、攀枝花市地方海事局、攀枝花市公路管理处。</w:t>
      </w:r>
    </w:p>
    <w:p>
      <w:pPr>
        <w:widowControl/>
        <w:jc w:val="left"/>
        <w:rPr>
          <w:rStyle w:val="17"/>
          <w:rFonts w:ascii="仿宋" w:hAnsi="仿宋" w:eastAsia="仿宋"/>
          <w:b w:val="0"/>
          <w:bCs w:val="0"/>
          <w:color w:val="000000"/>
          <w:kern w:val="0"/>
          <w:sz w:val="32"/>
          <w:szCs w:val="32"/>
        </w:rPr>
      </w:pPr>
      <w:r>
        <w:rPr>
          <w:rFonts w:ascii="仿宋" w:hAnsi="仿宋" w:eastAsia="仿宋"/>
          <w:color w:val="000000"/>
          <w:sz w:val="32"/>
          <w:szCs w:val="32"/>
        </w:rPr>
        <w:br w:type="page"/>
      </w:r>
      <w:bookmarkStart w:id="26" w:name="_Toc15396602"/>
      <w:bookmarkStart w:id="27" w:name="_Toc15377204"/>
      <w:r>
        <w:rPr>
          <w:rFonts w:hint="eastAsia" w:ascii="黑体" w:hAnsi="黑体" w:eastAsia="黑体"/>
          <w:color w:val="000000"/>
          <w:sz w:val="44"/>
          <w:szCs w:val="44"/>
        </w:rPr>
        <w:t>第二部分</w:t>
      </w:r>
      <w:r>
        <w:rPr>
          <w:rFonts w:ascii="黑体" w:hAnsi="黑体" w:eastAsia="黑体"/>
          <w:color w:val="000000"/>
        </w:rPr>
        <w:t xml:space="preserve"> </w:t>
      </w:r>
      <w:r>
        <w:rPr>
          <w:rStyle w:val="17"/>
          <w:rFonts w:ascii="黑体" w:hAnsi="黑体" w:eastAsia="黑体"/>
        </w:rPr>
        <w:t>2018</w:t>
      </w:r>
      <w:r>
        <w:rPr>
          <w:rStyle w:val="17"/>
          <w:rFonts w:hint="eastAsia" w:ascii="黑体" w:hAnsi="黑体" w:eastAsia="黑体"/>
        </w:rPr>
        <w:t>年度部门决算情况说明</w:t>
      </w:r>
      <w:bookmarkEnd w:id="26"/>
      <w:bookmarkEnd w:id="27"/>
    </w:p>
    <w:p/>
    <w:p>
      <w:pPr>
        <w:pStyle w:val="28"/>
        <w:numPr>
          <w:ilvl w:val="0"/>
          <w:numId w:val="1"/>
        </w:numPr>
        <w:spacing w:line="600" w:lineRule="exact"/>
        <w:ind w:firstLineChars="0"/>
        <w:outlineLvl w:val="1"/>
        <w:rPr>
          <w:rStyle w:val="18"/>
          <w:rFonts w:ascii="宋体" w:hAnsi="Times New Roman"/>
          <w:b w:val="0"/>
        </w:rPr>
      </w:pPr>
      <w:bookmarkStart w:id="28" w:name="_Toc15377205"/>
      <w:bookmarkStart w:id="29" w:name="_Toc15396603"/>
      <w:r>
        <w:rPr>
          <w:rFonts w:hint="eastAsia" w:ascii="宋体" w:hAnsi="宋体"/>
          <w:color w:val="000000"/>
          <w:sz w:val="32"/>
          <w:szCs w:val="32"/>
        </w:rPr>
        <w:t>收</w:t>
      </w:r>
      <w:r>
        <w:rPr>
          <w:rStyle w:val="18"/>
          <w:rFonts w:hint="eastAsia" w:ascii="宋体" w:hAnsi="宋体"/>
          <w:b w:val="0"/>
        </w:rPr>
        <w:t>入支出决算总体情况说明</w:t>
      </w:r>
      <w:bookmarkEnd w:id="28"/>
      <w:bookmarkEnd w:id="29"/>
    </w:p>
    <w:p>
      <w:pPr>
        <w:spacing w:line="600" w:lineRule="exact"/>
        <w:ind w:firstLine="640" w:firstLineChars="20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年度收入总计</w:t>
      </w:r>
      <w:r>
        <w:rPr>
          <w:rFonts w:ascii="宋体" w:hAnsi="宋体"/>
          <w:color w:val="000000"/>
          <w:sz w:val="32"/>
          <w:szCs w:val="32"/>
        </w:rPr>
        <w:t>31735.92</w:t>
      </w:r>
      <w:r>
        <w:rPr>
          <w:rFonts w:hint="eastAsia" w:ascii="宋体" w:hAnsi="宋体"/>
          <w:color w:val="000000"/>
          <w:sz w:val="32"/>
          <w:szCs w:val="32"/>
        </w:rPr>
        <w:t>万元，与</w:t>
      </w:r>
      <w:r>
        <w:rPr>
          <w:rFonts w:ascii="宋体" w:hAnsi="宋体"/>
          <w:color w:val="000000"/>
          <w:sz w:val="32"/>
          <w:szCs w:val="32"/>
        </w:rPr>
        <w:t>2017</w:t>
      </w:r>
      <w:r>
        <w:rPr>
          <w:rFonts w:hint="eastAsia" w:ascii="宋体" w:hAnsi="宋体"/>
          <w:color w:val="000000"/>
          <w:sz w:val="32"/>
          <w:szCs w:val="32"/>
        </w:rPr>
        <w:t>年相比，收入总计减少</w:t>
      </w:r>
      <w:r>
        <w:rPr>
          <w:rFonts w:ascii="宋体" w:hAnsi="宋体"/>
          <w:color w:val="000000"/>
          <w:sz w:val="32"/>
          <w:szCs w:val="32"/>
        </w:rPr>
        <w:t>39780.33</w:t>
      </w:r>
      <w:r>
        <w:rPr>
          <w:rFonts w:hint="eastAsia" w:ascii="宋体" w:hAnsi="宋体"/>
          <w:color w:val="000000"/>
          <w:sz w:val="32"/>
          <w:szCs w:val="32"/>
        </w:rPr>
        <w:t>万元，下降</w:t>
      </w:r>
      <w:r>
        <w:rPr>
          <w:rFonts w:ascii="宋体" w:hAnsi="宋体"/>
          <w:color w:val="000000"/>
          <w:sz w:val="32"/>
          <w:szCs w:val="32"/>
        </w:rPr>
        <w:t>55.62%</w:t>
      </w:r>
      <w:r>
        <w:rPr>
          <w:rFonts w:hint="eastAsia" w:ascii="宋体" w:hAnsi="宋体"/>
          <w:color w:val="000000"/>
          <w:sz w:val="32"/>
          <w:szCs w:val="32"/>
        </w:rPr>
        <w:t>。主要变动原因是</w:t>
      </w:r>
      <w:r>
        <w:rPr>
          <w:rFonts w:ascii="宋体" w:hAnsi="宋体"/>
          <w:color w:val="000000"/>
          <w:sz w:val="32"/>
          <w:szCs w:val="32"/>
        </w:rPr>
        <w:t>2018</w:t>
      </w:r>
      <w:r>
        <w:rPr>
          <w:rFonts w:hint="eastAsia" w:ascii="宋体" w:hAnsi="宋体"/>
          <w:color w:val="000000"/>
          <w:sz w:val="32"/>
          <w:szCs w:val="32"/>
        </w:rPr>
        <w:t>年大中修市级资金安排减少，以及</w:t>
      </w:r>
      <w:r>
        <w:rPr>
          <w:rFonts w:ascii="宋体" w:hAnsi="宋体"/>
          <w:color w:val="000000"/>
          <w:sz w:val="32"/>
          <w:szCs w:val="32"/>
        </w:rPr>
        <w:t>2018</w:t>
      </w:r>
      <w:r>
        <w:rPr>
          <w:rFonts w:hint="eastAsia" w:ascii="宋体" w:hAnsi="宋体"/>
          <w:color w:val="000000"/>
          <w:sz w:val="32"/>
          <w:szCs w:val="32"/>
        </w:rPr>
        <w:t>年取消政府还贷二级公路收费专项资金收入减少。</w:t>
      </w:r>
    </w:p>
    <w:p>
      <w:pPr>
        <w:ind w:firstLine="640" w:firstLineChars="20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年度支出总计</w:t>
      </w:r>
      <w:r>
        <w:rPr>
          <w:rFonts w:ascii="宋体" w:hAnsi="宋体"/>
          <w:color w:val="000000"/>
          <w:sz w:val="32"/>
          <w:szCs w:val="32"/>
        </w:rPr>
        <w:t>33016.86</w:t>
      </w:r>
      <w:r>
        <w:rPr>
          <w:rFonts w:hint="eastAsia" w:ascii="宋体" w:hAnsi="宋体"/>
          <w:color w:val="000000"/>
          <w:sz w:val="32"/>
          <w:szCs w:val="32"/>
        </w:rPr>
        <w:t>万元，与</w:t>
      </w:r>
      <w:r>
        <w:rPr>
          <w:rFonts w:ascii="宋体" w:hAnsi="宋体"/>
          <w:color w:val="000000"/>
          <w:sz w:val="32"/>
          <w:szCs w:val="32"/>
        </w:rPr>
        <w:t>2017</w:t>
      </w:r>
      <w:r>
        <w:rPr>
          <w:rFonts w:hint="eastAsia" w:ascii="宋体" w:hAnsi="宋体"/>
          <w:color w:val="000000"/>
          <w:sz w:val="32"/>
          <w:szCs w:val="32"/>
        </w:rPr>
        <w:t>年相比，支出总计减少</w:t>
      </w:r>
      <w:r>
        <w:rPr>
          <w:rFonts w:ascii="宋体" w:hAnsi="宋体"/>
          <w:color w:val="000000"/>
          <w:sz w:val="32"/>
          <w:szCs w:val="32"/>
        </w:rPr>
        <w:t>34832.05</w:t>
      </w:r>
      <w:r>
        <w:rPr>
          <w:rFonts w:hint="eastAsia" w:ascii="宋体" w:hAnsi="宋体"/>
          <w:color w:val="000000"/>
          <w:sz w:val="32"/>
          <w:szCs w:val="32"/>
        </w:rPr>
        <w:t>万元，下降</w:t>
      </w:r>
      <w:r>
        <w:rPr>
          <w:rFonts w:ascii="宋体" w:hAnsi="宋体"/>
          <w:color w:val="000000"/>
          <w:sz w:val="32"/>
          <w:szCs w:val="32"/>
        </w:rPr>
        <w:t>51.34%</w:t>
      </w:r>
      <w:r>
        <w:rPr>
          <w:rFonts w:hint="eastAsia" w:ascii="宋体" w:hAnsi="宋体"/>
          <w:color w:val="000000"/>
          <w:sz w:val="32"/>
          <w:szCs w:val="32"/>
        </w:rPr>
        <w:t>。主要变动原因是</w:t>
      </w:r>
      <w:r>
        <w:rPr>
          <w:rFonts w:ascii="宋体" w:hAnsi="宋体"/>
          <w:color w:val="000000"/>
          <w:sz w:val="32"/>
          <w:szCs w:val="32"/>
        </w:rPr>
        <w:t>2018</w:t>
      </w:r>
      <w:r>
        <w:rPr>
          <w:rFonts w:hint="eastAsia" w:ascii="宋体" w:hAnsi="宋体"/>
          <w:color w:val="000000"/>
          <w:sz w:val="32"/>
          <w:szCs w:val="32"/>
        </w:rPr>
        <w:t>年大中修市级资金安排减少，以及</w:t>
      </w:r>
      <w:r>
        <w:rPr>
          <w:rFonts w:ascii="宋体" w:hAnsi="宋体"/>
          <w:color w:val="000000"/>
          <w:sz w:val="32"/>
          <w:szCs w:val="32"/>
        </w:rPr>
        <w:t>2018</w:t>
      </w:r>
      <w:r>
        <w:rPr>
          <w:rFonts w:hint="eastAsia" w:ascii="宋体" w:hAnsi="宋体"/>
          <w:color w:val="000000"/>
          <w:sz w:val="32"/>
          <w:szCs w:val="32"/>
        </w:rPr>
        <w:t>年取消政府还贷二级公路收费专项资金支出减少。</w:t>
      </w:r>
    </w:p>
    <w:p>
      <w:pPr>
        <w:spacing w:line="600" w:lineRule="exact"/>
        <w:ind w:firstLine="640" w:firstLineChars="200"/>
        <w:rPr>
          <w:rFonts w:ascii="宋体"/>
          <w:color w:val="000000"/>
          <w:sz w:val="32"/>
          <w:szCs w:val="32"/>
        </w:rPr>
      </w:pPr>
      <w:r>
        <w:rPr>
          <w:rFonts w:hint="eastAsia" w:ascii="宋体" w:hAnsi="宋体"/>
          <w:color w:val="000000"/>
          <w:sz w:val="32"/>
          <w:szCs w:val="32"/>
        </w:rPr>
        <w:t>（图</w:t>
      </w:r>
      <w:r>
        <w:rPr>
          <w:rFonts w:ascii="宋体" w:hAnsi="宋体"/>
          <w:color w:val="000000"/>
          <w:sz w:val="32"/>
          <w:szCs w:val="32"/>
        </w:rPr>
        <w:t>1</w:t>
      </w:r>
      <w:r>
        <w:rPr>
          <w:rFonts w:hint="eastAsia" w:ascii="宋体" w:hAnsi="宋体"/>
          <w:color w:val="000000"/>
          <w:sz w:val="32"/>
          <w:szCs w:val="32"/>
        </w:rPr>
        <w:t>：收、支决算总计变动情况图）（柱状图）</w:t>
      </w:r>
    </w:p>
    <w:p>
      <w:pPr>
        <w:ind w:firstLine="640" w:firstLineChars="200"/>
        <w:jc w:val="left"/>
        <w:rPr>
          <w:rFonts w:ascii="仿宋_GB2312" w:eastAsia="仿宋_GB2312"/>
          <w:color w:val="000000"/>
          <w:sz w:val="32"/>
          <w:szCs w:val="32"/>
        </w:rPr>
      </w:pPr>
      <w:r>
        <w:rPr>
          <w:rFonts w:ascii="仿宋_GB2312" w:eastAsia="仿宋_GB2312"/>
          <w:color w:val="000000"/>
          <w:sz w:val="32"/>
          <w:szCs w:val="32"/>
        </w:rPr>
        <w:object>
          <v:shape id="_x0000_i1025" o:spt="75" type="#_x0000_t75" style="height:300.75pt;width:401.25pt;" o:ole="t" filled="f" o:preferrelative="t" stroked="f" coordsize="21600,21600">
            <v:path/>
            <v:fill on="f" focussize="0,0"/>
            <v:stroke on="f" joinstyle="miter"/>
            <v:imagedata r:id="rId7" o:title=""/>
            <o:lock v:ext="edit" aspectratio="f"/>
            <w10:wrap type="none"/>
            <w10:anchorlock/>
          </v:shape>
          <o:OLEObject Type="Embed" ProgID="Excel.Chart.8" ShapeID="_x0000_i1025" DrawAspect="Content" ObjectID="_1468075725" r:id="rId6">
            <o:LockedField>false</o:LockedField>
          </o:OLEObject>
        </w:object>
      </w:r>
    </w:p>
    <w:p>
      <w:pPr>
        <w:pStyle w:val="28"/>
        <w:numPr>
          <w:ilvl w:val="0"/>
          <w:numId w:val="1"/>
        </w:numPr>
        <w:spacing w:line="600" w:lineRule="exact"/>
        <w:ind w:firstLineChars="0"/>
        <w:outlineLvl w:val="1"/>
        <w:rPr>
          <w:rStyle w:val="18"/>
          <w:rFonts w:ascii="宋体" w:hAnsi="Times New Roman" w:cs="宋体"/>
          <w:b w:val="0"/>
          <w:bCs w:val="0"/>
        </w:rPr>
      </w:pPr>
      <w:bookmarkStart w:id="30" w:name="_Toc15377206"/>
      <w:bookmarkStart w:id="31" w:name="_Toc15396604"/>
      <w:r>
        <w:rPr>
          <w:rFonts w:hint="eastAsia" w:ascii="宋体" w:hAnsi="宋体" w:cs="宋体"/>
          <w:color w:val="000000"/>
          <w:sz w:val="32"/>
          <w:szCs w:val="32"/>
        </w:rPr>
        <w:t>收</w:t>
      </w:r>
      <w:r>
        <w:rPr>
          <w:rStyle w:val="18"/>
          <w:rFonts w:hint="eastAsia" w:ascii="宋体" w:hAnsi="宋体" w:cs="宋体"/>
          <w:b w:val="0"/>
          <w:bCs w:val="0"/>
        </w:rPr>
        <w:t>入决算情况说明</w:t>
      </w:r>
      <w:bookmarkEnd w:id="30"/>
      <w:bookmarkEnd w:id="31"/>
    </w:p>
    <w:p>
      <w:pPr>
        <w:spacing w:line="600" w:lineRule="exact"/>
        <w:ind w:firstLine="640" w:firstLineChars="200"/>
        <w:outlineLvl w:val="1"/>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年本年收入合计</w:t>
      </w:r>
      <w:r>
        <w:rPr>
          <w:rFonts w:ascii="宋体" w:hAnsi="宋体"/>
          <w:color w:val="000000"/>
          <w:sz w:val="32"/>
          <w:szCs w:val="32"/>
        </w:rPr>
        <w:t>31735.92</w:t>
      </w:r>
      <w:r>
        <w:rPr>
          <w:rFonts w:hint="eastAsia" w:ascii="宋体" w:hAnsi="宋体"/>
          <w:color w:val="000000"/>
          <w:sz w:val="32"/>
          <w:szCs w:val="32"/>
        </w:rPr>
        <w:t>万元，其中：一般公共预算财政拨款收入</w:t>
      </w:r>
      <w:r>
        <w:rPr>
          <w:rFonts w:ascii="宋体" w:hAnsi="宋体"/>
          <w:color w:val="000000"/>
          <w:sz w:val="32"/>
          <w:szCs w:val="32"/>
        </w:rPr>
        <w:t>30729.67</w:t>
      </w:r>
      <w:r>
        <w:rPr>
          <w:rFonts w:hint="eastAsia" w:ascii="宋体" w:hAnsi="宋体"/>
          <w:color w:val="000000"/>
          <w:sz w:val="32"/>
          <w:szCs w:val="32"/>
        </w:rPr>
        <w:t>万元，占</w:t>
      </w:r>
      <w:r>
        <w:rPr>
          <w:rFonts w:ascii="宋体" w:hAnsi="宋体"/>
          <w:color w:val="000000"/>
          <w:sz w:val="32"/>
          <w:szCs w:val="32"/>
        </w:rPr>
        <w:t>96.83%</w:t>
      </w:r>
      <w:r>
        <w:rPr>
          <w:rFonts w:hint="eastAsia" w:ascii="宋体" w:hAnsi="宋体"/>
          <w:color w:val="000000"/>
          <w:sz w:val="32"/>
          <w:szCs w:val="32"/>
        </w:rPr>
        <w:t>；其他收入</w:t>
      </w:r>
      <w:r>
        <w:rPr>
          <w:rFonts w:ascii="宋体" w:hAnsi="宋体"/>
          <w:color w:val="000000"/>
          <w:sz w:val="32"/>
          <w:szCs w:val="32"/>
        </w:rPr>
        <w:t>1006.25</w:t>
      </w:r>
      <w:r>
        <w:rPr>
          <w:rFonts w:hint="eastAsia" w:ascii="宋体" w:hAnsi="宋体"/>
          <w:color w:val="000000"/>
          <w:sz w:val="32"/>
          <w:szCs w:val="32"/>
        </w:rPr>
        <w:t>万元，占</w:t>
      </w:r>
      <w:r>
        <w:rPr>
          <w:rFonts w:ascii="宋体" w:hAnsi="宋体"/>
          <w:color w:val="000000"/>
          <w:sz w:val="32"/>
          <w:szCs w:val="32"/>
        </w:rPr>
        <w:t>3.17%</w:t>
      </w:r>
      <w:r>
        <w:rPr>
          <w:rFonts w:hint="eastAsia" w:ascii="宋体" w:hAnsi="宋体"/>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2</w:t>
      </w:r>
      <w:r>
        <w:rPr>
          <w:rFonts w:hint="eastAsia" w:ascii="仿宋" w:hAnsi="仿宋" w:eastAsia="仿宋"/>
          <w:color w:val="000000"/>
          <w:sz w:val="32"/>
          <w:szCs w:val="32"/>
        </w:rPr>
        <w:t>：收入决算结构图）（饼状图）</w:t>
      </w:r>
    </w:p>
    <w:p>
      <w:pPr>
        <w:ind w:firstLine="640" w:firstLineChars="200"/>
        <w:rPr>
          <w:rFonts w:ascii="仿宋" w:hAnsi="仿宋" w:eastAsia="仿宋"/>
          <w:color w:val="000000"/>
          <w:sz w:val="32"/>
          <w:szCs w:val="32"/>
        </w:rPr>
      </w:pPr>
      <w:r>
        <w:rPr>
          <w:rFonts w:ascii="仿宋" w:hAnsi="仿宋" w:eastAsia="仿宋"/>
          <w:color w:val="000000"/>
          <w:sz w:val="32"/>
          <w:szCs w:val="32"/>
        </w:rPr>
        <w:object>
          <v:shape id="_x0000_i1026" o:spt="75" type="#_x0000_t75" style="height:300.75pt;width:401.25pt;" o:ole="t" filled="f" o:preferrelative="t" stroked="f" coordsize="21600,21600">
            <v:path/>
            <v:fill on="f" focussize="0,0"/>
            <v:stroke on="f" joinstyle="miter"/>
            <v:imagedata r:id="rId9" o:title=""/>
            <o:lock v:ext="edit" aspectratio="f"/>
            <w10:wrap type="none"/>
            <w10:anchorlock/>
          </v:shape>
          <o:OLEObject Type="Embed" ProgID="Excel.Chart.8" ShapeID="_x0000_i1026" DrawAspect="Content" ObjectID="_1468075726" r:id="rId8">
            <o:LockedField>false</o:LockedField>
          </o:OLEObject>
        </w:object>
      </w:r>
    </w:p>
    <w:p>
      <w:pPr>
        <w:spacing w:line="600" w:lineRule="exact"/>
        <w:ind w:firstLine="640" w:firstLineChars="200"/>
        <w:rPr>
          <w:rFonts w:ascii="仿宋_GB2312" w:eastAsia="仿宋_GB2312"/>
          <w:color w:val="FF0000"/>
          <w:sz w:val="32"/>
          <w:szCs w:val="32"/>
        </w:rPr>
      </w:pPr>
    </w:p>
    <w:p>
      <w:pPr>
        <w:pStyle w:val="28"/>
        <w:numPr>
          <w:ilvl w:val="0"/>
          <w:numId w:val="1"/>
        </w:numPr>
        <w:spacing w:line="600" w:lineRule="exact"/>
        <w:ind w:firstLineChars="0"/>
        <w:outlineLvl w:val="1"/>
        <w:rPr>
          <w:rStyle w:val="18"/>
          <w:rFonts w:ascii="宋体" w:hAnsi="Times New Roman"/>
          <w:b w:val="0"/>
        </w:rPr>
      </w:pPr>
      <w:bookmarkStart w:id="32" w:name="_Toc15396605"/>
      <w:bookmarkStart w:id="33" w:name="_Toc15377207"/>
      <w:r>
        <w:rPr>
          <w:rFonts w:hint="eastAsia" w:ascii="宋体" w:hAnsi="宋体"/>
          <w:color w:val="000000"/>
          <w:sz w:val="32"/>
          <w:szCs w:val="32"/>
        </w:rPr>
        <w:t>支</w:t>
      </w:r>
      <w:r>
        <w:rPr>
          <w:rStyle w:val="18"/>
          <w:rFonts w:hint="eastAsia" w:ascii="宋体" w:hAnsi="宋体"/>
          <w:b w:val="0"/>
        </w:rPr>
        <w:t>出决算情况说明</w:t>
      </w:r>
      <w:bookmarkEnd w:id="32"/>
      <w:bookmarkEnd w:id="33"/>
    </w:p>
    <w:p>
      <w:pPr>
        <w:spacing w:line="600" w:lineRule="exact"/>
        <w:ind w:firstLine="640"/>
        <w:rPr>
          <w:rFonts w:ascii="宋体"/>
          <w:color w:val="000000"/>
          <w:sz w:val="32"/>
          <w:szCs w:val="32"/>
          <w:shd w:val="pct10" w:color="auto" w:fill="FFFFFF"/>
        </w:rPr>
      </w:pPr>
      <w:r>
        <w:rPr>
          <w:rFonts w:ascii="宋体" w:hAnsi="宋体"/>
          <w:color w:val="000000"/>
          <w:sz w:val="32"/>
          <w:szCs w:val="32"/>
        </w:rPr>
        <w:t>2018</w:t>
      </w:r>
      <w:r>
        <w:rPr>
          <w:rFonts w:hint="eastAsia" w:ascii="宋体" w:hAnsi="宋体"/>
          <w:color w:val="000000"/>
          <w:sz w:val="32"/>
          <w:szCs w:val="32"/>
        </w:rPr>
        <w:t>年本年支出合计</w:t>
      </w:r>
      <w:r>
        <w:rPr>
          <w:rFonts w:ascii="宋体" w:hAnsi="宋体"/>
          <w:color w:val="000000"/>
          <w:sz w:val="32"/>
          <w:szCs w:val="32"/>
        </w:rPr>
        <w:t>33016.86</w:t>
      </w:r>
      <w:r>
        <w:rPr>
          <w:rFonts w:hint="eastAsia" w:ascii="宋体" w:hAnsi="宋体"/>
          <w:color w:val="000000"/>
          <w:sz w:val="32"/>
          <w:szCs w:val="32"/>
        </w:rPr>
        <w:t>万元，其中：基本支出</w:t>
      </w:r>
      <w:r>
        <w:rPr>
          <w:rFonts w:ascii="宋体" w:hAnsi="宋体"/>
          <w:color w:val="000000"/>
          <w:sz w:val="32"/>
          <w:szCs w:val="32"/>
        </w:rPr>
        <w:t>15047.79</w:t>
      </w:r>
      <w:r>
        <w:rPr>
          <w:rFonts w:hint="eastAsia" w:ascii="宋体" w:hAnsi="宋体"/>
          <w:color w:val="000000"/>
          <w:sz w:val="32"/>
          <w:szCs w:val="32"/>
        </w:rPr>
        <w:t>万元，占</w:t>
      </w:r>
      <w:r>
        <w:rPr>
          <w:rFonts w:ascii="宋体" w:hAnsi="宋体"/>
          <w:color w:val="000000"/>
          <w:sz w:val="32"/>
          <w:szCs w:val="32"/>
        </w:rPr>
        <w:t>45.58%</w:t>
      </w:r>
      <w:r>
        <w:rPr>
          <w:rFonts w:hint="eastAsia" w:ascii="宋体" w:hAnsi="宋体"/>
          <w:color w:val="000000"/>
          <w:sz w:val="32"/>
          <w:szCs w:val="32"/>
        </w:rPr>
        <w:t>；项目支出</w:t>
      </w:r>
      <w:r>
        <w:rPr>
          <w:rFonts w:ascii="宋体" w:hAnsi="宋体"/>
          <w:color w:val="000000"/>
          <w:sz w:val="32"/>
          <w:szCs w:val="32"/>
        </w:rPr>
        <w:t>17969.07</w:t>
      </w:r>
      <w:r>
        <w:rPr>
          <w:rFonts w:hint="eastAsia" w:ascii="宋体" w:hAnsi="宋体"/>
          <w:color w:val="000000"/>
          <w:sz w:val="32"/>
          <w:szCs w:val="32"/>
        </w:rPr>
        <w:t>万元，占</w:t>
      </w:r>
      <w:r>
        <w:rPr>
          <w:rFonts w:ascii="宋体" w:hAnsi="宋体"/>
          <w:color w:val="000000"/>
          <w:sz w:val="32"/>
          <w:szCs w:val="32"/>
        </w:rPr>
        <w:t>54.42%</w:t>
      </w:r>
      <w:r>
        <w:rPr>
          <w:rFonts w:hint="eastAsia" w:ascii="宋体" w:hAnsi="宋体"/>
          <w:color w:val="000000"/>
          <w:sz w:val="32"/>
          <w:szCs w:val="32"/>
        </w:rPr>
        <w:t>。</w:t>
      </w:r>
    </w:p>
    <w:p>
      <w:pPr>
        <w:spacing w:line="600" w:lineRule="exact"/>
        <w:ind w:firstLine="640" w:firstLineChars="200"/>
        <w:rPr>
          <w:rFonts w:ascii="宋体"/>
          <w:color w:val="000000"/>
          <w:sz w:val="32"/>
          <w:szCs w:val="32"/>
        </w:rPr>
      </w:pPr>
      <w:r>
        <w:rPr>
          <w:rFonts w:hint="eastAsia" w:ascii="宋体" w:hAnsi="宋体"/>
          <w:color w:val="000000"/>
          <w:sz w:val="32"/>
          <w:szCs w:val="32"/>
        </w:rPr>
        <w:t>（图</w:t>
      </w:r>
      <w:r>
        <w:rPr>
          <w:rFonts w:ascii="宋体" w:hAnsi="宋体"/>
          <w:color w:val="000000"/>
          <w:sz w:val="32"/>
          <w:szCs w:val="32"/>
        </w:rPr>
        <w:t>3</w:t>
      </w:r>
      <w:r>
        <w:rPr>
          <w:rFonts w:hint="eastAsia" w:ascii="宋体" w:hAnsi="宋体"/>
          <w:color w:val="000000"/>
          <w:sz w:val="32"/>
          <w:szCs w:val="32"/>
        </w:rPr>
        <w:t>：支出决算结构图）（饼状图）</w:t>
      </w:r>
    </w:p>
    <w:p>
      <w:pPr>
        <w:ind w:firstLine="640" w:firstLineChars="200"/>
        <w:rPr>
          <w:rFonts w:ascii="仿宋" w:hAnsi="仿宋" w:eastAsia="仿宋"/>
          <w:color w:val="000000"/>
          <w:sz w:val="32"/>
          <w:szCs w:val="32"/>
        </w:rPr>
      </w:pPr>
      <w:r>
        <w:rPr>
          <w:rFonts w:ascii="仿宋" w:hAnsi="仿宋" w:eastAsia="仿宋"/>
          <w:color w:val="000000"/>
          <w:sz w:val="32"/>
          <w:szCs w:val="32"/>
        </w:rPr>
        <w:object>
          <v:shape id="_x0000_i1027" o:spt="75" type="#_x0000_t75" style="height:300.75pt;width:401.25pt;" o:ole="t" filled="f" o:preferrelative="t" stroked="f" coordsize="21600,21600">
            <v:path/>
            <v:fill on="f" focussize="0,0"/>
            <v:stroke on="f" joinstyle="miter"/>
            <v:imagedata r:id="rId11" o:title=""/>
            <o:lock v:ext="edit" aspectratio="f"/>
            <w10:wrap type="none"/>
            <w10:anchorlock/>
          </v:shape>
          <o:OLEObject Type="Embed" ProgID="Excel.Chart.8" ShapeID="_x0000_i1027" DrawAspect="Content" ObjectID="_1468075727" r:id="rId10">
            <o:LockedField>false</o:LockedField>
          </o:OLEObject>
        </w:object>
      </w:r>
    </w:p>
    <w:p>
      <w:pPr>
        <w:spacing w:line="600" w:lineRule="exact"/>
        <w:ind w:firstLine="880" w:firstLineChars="200"/>
        <w:rPr>
          <w:rFonts w:ascii="仿宋_GB2312" w:eastAsia="仿宋_GB2312"/>
          <w:color w:val="FF0000"/>
          <w:sz w:val="44"/>
          <w:szCs w:val="44"/>
        </w:rPr>
      </w:pPr>
    </w:p>
    <w:p>
      <w:pPr>
        <w:spacing w:line="600" w:lineRule="exact"/>
        <w:ind w:firstLine="640" w:firstLineChars="200"/>
        <w:outlineLvl w:val="1"/>
        <w:rPr>
          <w:rStyle w:val="18"/>
          <w:rFonts w:ascii="宋体" w:hAnsi="Times New Roman"/>
          <w:b w:val="0"/>
        </w:rPr>
      </w:pPr>
      <w:bookmarkStart w:id="34" w:name="_Toc15377208"/>
      <w:bookmarkStart w:id="35" w:name="_Toc15396606"/>
      <w:r>
        <w:rPr>
          <w:rFonts w:hint="eastAsia" w:ascii="宋体" w:hAnsi="宋体"/>
          <w:color w:val="000000"/>
          <w:sz w:val="32"/>
          <w:szCs w:val="32"/>
        </w:rPr>
        <w:t>四、财</w:t>
      </w:r>
      <w:r>
        <w:rPr>
          <w:rStyle w:val="18"/>
          <w:rFonts w:hint="eastAsia" w:ascii="宋体" w:hAnsi="宋体"/>
          <w:b w:val="0"/>
        </w:rPr>
        <w:t>政拨款收入支出决算总体情况说明</w:t>
      </w:r>
      <w:bookmarkEnd w:id="34"/>
      <w:bookmarkEnd w:id="35"/>
    </w:p>
    <w:p>
      <w:pPr>
        <w:spacing w:line="600" w:lineRule="exact"/>
        <w:ind w:firstLine="640" w:firstLineChars="20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年财政拨款收入总计</w:t>
      </w:r>
      <w:r>
        <w:rPr>
          <w:rFonts w:ascii="宋体" w:hAnsi="宋体"/>
          <w:color w:val="000000"/>
          <w:sz w:val="32"/>
          <w:szCs w:val="32"/>
        </w:rPr>
        <w:t>30729.67</w:t>
      </w:r>
      <w:r>
        <w:rPr>
          <w:rFonts w:hint="eastAsia" w:ascii="宋体" w:hAnsi="宋体"/>
          <w:color w:val="000000"/>
          <w:sz w:val="32"/>
          <w:szCs w:val="32"/>
        </w:rPr>
        <w:t>万元。与</w:t>
      </w:r>
      <w:r>
        <w:rPr>
          <w:rFonts w:ascii="宋体" w:hAnsi="宋体"/>
          <w:color w:val="000000"/>
          <w:sz w:val="32"/>
          <w:szCs w:val="32"/>
        </w:rPr>
        <w:t>2017</w:t>
      </w:r>
      <w:r>
        <w:rPr>
          <w:rFonts w:hint="eastAsia" w:ascii="宋体" w:hAnsi="宋体"/>
          <w:color w:val="000000"/>
          <w:sz w:val="32"/>
          <w:szCs w:val="32"/>
        </w:rPr>
        <w:t>年相比，财政拨款收入总计减少</w:t>
      </w:r>
      <w:r>
        <w:rPr>
          <w:rFonts w:ascii="宋体" w:hAnsi="宋体"/>
          <w:color w:val="000000"/>
          <w:sz w:val="32"/>
          <w:szCs w:val="32"/>
        </w:rPr>
        <w:t>37869.37</w:t>
      </w:r>
      <w:r>
        <w:rPr>
          <w:rFonts w:hint="eastAsia" w:ascii="宋体" w:hAnsi="宋体"/>
          <w:color w:val="000000"/>
          <w:sz w:val="32"/>
          <w:szCs w:val="32"/>
        </w:rPr>
        <w:t>万元，下降</w:t>
      </w:r>
      <w:r>
        <w:rPr>
          <w:rFonts w:ascii="宋体" w:hAnsi="宋体"/>
          <w:color w:val="000000"/>
          <w:sz w:val="32"/>
          <w:szCs w:val="32"/>
        </w:rPr>
        <w:t>55.20%</w:t>
      </w:r>
      <w:r>
        <w:rPr>
          <w:rFonts w:hint="eastAsia" w:ascii="宋体" w:hAnsi="宋体"/>
          <w:color w:val="000000"/>
          <w:sz w:val="32"/>
          <w:szCs w:val="32"/>
        </w:rPr>
        <w:t>。主要变动原因是</w:t>
      </w:r>
      <w:r>
        <w:rPr>
          <w:rFonts w:ascii="宋体" w:hAnsi="宋体"/>
          <w:color w:val="000000"/>
          <w:sz w:val="32"/>
          <w:szCs w:val="32"/>
        </w:rPr>
        <w:t>2018</w:t>
      </w:r>
      <w:r>
        <w:rPr>
          <w:rFonts w:hint="eastAsia" w:ascii="宋体" w:hAnsi="宋体"/>
          <w:color w:val="000000"/>
          <w:sz w:val="32"/>
          <w:szCs w:val="32"/>
        </w:rPr>
        <w:t>年大中修市级资金安排减少，以及</w:t>
      </w:r>
      <w:r>
        <w:rPr>
          <w:rFonts w:ascii="宋体" w:hAnsi="宋体"/>
          <w:color w:val="000000"/>
          <w:sz w:val="32"/>
          <w:szCs w:val="32"/>
        </w:rPr>
        <w:t>2018</w:t>
      </w:r>
      <w:r>
        <w:rPr>
          <w:rFonts w:hint="eastAsia" w:ascii="宋体" w:hAnsi="宋体"/>
          <w:color w:val="000000"/>
          <w:sz w:val="32"/>
          <w:szCs w:val="32"/>
        </w:rPr>
        <w:t>年取消政府还贷二级公路收费专项资金收入减少。</w:t>
      </w:r>
    </w:p>
    <w:p>
      <w:pPr>
        <w:spacing w:line="600" w:lineRule="exact"/>
        <w:ind w:firstLine="640" w:firstLineChars="20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年财政拨款支出总计</w:t>
      </w:r>
      <w:r>
        <w:rPr>
          <w:rFonts w:ascii="宋体" w:hAnsi="宋体"/>
          <w:color w:val="000000"/>
          <w:sz w:val="32"/>
          <w:szCs w:val="32"/>
        </w:rPr>
        <w:t>32728.91</w:t>
      </w:r>
      <w:r>
        <w:rPr>
          <w:rFonts w:hint="eastAsia" w:ascii="宋体" w:hAnsi="宋体"/>
          <w:color w:val="000000"/>
          <w:sz w:val="32"/>
          <w:szCs w:val="32"/>
        </w:rPr>
        <w:t>万元。与</w:t>
      </w:r>
      <w:r>
        <w:rPr>
          <w:rFonts w:ascii="宋体" w:hAnsi="宋体"/>
          <w:color w:val="000000"/>
          <w:sz w:val="32"/>
          <w:szCs w:val="32"/>
        </w:rPr>
        <w:t>2017</w:t>
      </w:r>
      <w:r>
        <w:rPr>
          <w:rFonts w:hint="eastAsia" w:ascii="宋体" w:hAnsi="宋体"/>
          <w:color w:val="000000"/>
          <w:sz w:val="32"/>
          <w:szCs w:val="32"/>
        </w:rPr>
        <w:t>年相比，财政拨款支出总计减少</w:t>
      </w:r>
      <w:r>
        <w:rPr>
          <w:rFonts w:ascii="宋体" w:hAnsi="宋体"/>
          <w:color w:val="000000"/>
          <w:sz w:val="32"/>
          <w:szCs w:val="32"/>
        </w:rPr>
        <w:t>30597.16</w:t>
      </w:r>
      <w:r>
        <w:rPr>
          <w:rFonts w:hint="eastAsia" w:ascii="宋体" w:hAnsi="宋体"/>
          <w:color w:val="000000"/>
          <w:sz w:val="32"/>
          <w:szCs w:val="32"/>
        </w:rPr>
        <w:t>万元，下降</w:t>
      </w:r>
      <w:r>
        <w:rPr>
          <w:rFonts w:ascii="宋体" w:hAnsi="宋体"/>
          <w:color w:val="000000"/>
          <w:sz w:val="32"/>
          <w:szCs w:val="32"/>
        </w:rPr>
        <w:t>48.32%</w:t>
      </w:r>
      <w:r>
        <w:rPr>
          <w:rFonts w:hint="eastAsia" w:ascii="宋体" w:hAnsi="宋体"/>
          <w:color w:val="000000"/>
          <w:sz w:val="32"/>
          <w:szCs w:val="32"/>
        </w:rPr>
        <w:t>。主要变动原因是</w:t>
      </w:r>
      <w:r>
        <w:rPr>
          <w:rFonts w:ascii="宋体" w:hAnsi="宋体"/>
          <w:color w:val="000000"/>
          <w:sz w:val="32"/>
          <w:szCs w:val="32"/>
        </w:rPr>
        <w:t>2018</w:t>
      </w:r>
      <w:r>
        <w:rPr>
          <w:rFonts w:hint="eastAsia" w:ascii="宋体" w:hAnsi="宋体"/>
          <w:color w:val="000000"/>
          <w:sz w:val="32"/>
          <w:szCs w:val="32"/>
        </w:rPr>
        <w:t>年大中修市级资金安排减少，以及</w:t>
      </w:r>
      <w:r>
        <w:rPr>
          <w:rFonts w:ascii="宋体" w:hAnsi="宋体"/>
          <w:color w:val="000000"/>
          <w:sz w:val="32"/>
          <w:szCs w:val="32"/>
        </w:rPr>
        <w:t>2018</w:t>
      </w:r>
      <w:r>
        <w:rPr>
          <w:rFonts w:hint="eastAsia" w:ascii="宋体" w:hAnsi="宋体"/>
          <w:color w:val="000000"/>
          <w:sz w:val="32"/>
          <w:szCs w:val="32"/>
        </w:rPr>
        <w:t>年取消政府还贷二级公路收费专项资金支出减少。</w:t>
      </w:r>
    </w:p>
    <w:p>
      <w:pPr>
        <w:spacing w:line="600" w:lineRule="exact"/>
        <w:ind w:firstLine="640" w:firstLineChars="200"/>
        <w:rPr>
          <w:rFonts w:ascii="宋体"/>
          <w:color w:val="000000"/>
          <w:sz w:val="32"/>
          <w:szCs w:val="32"/>
        </w:rPr>
      </w:pPr>
    </w:p>
    <w:p>
      <w:pPr>
        <w:spacing w:line="600" w:lineRule="exact"/>
        <w:ind w:firstLine="640" w:firstLineChars="200"/>
        <w:rPr>
          <w:rFonts w:ascii="宋体"/>
          <w:color w:val="000000"/>
          <w:sz w:val="32"/>
          <w:szCs w:val="32"/>
        </w:rPr>
      </w:pPr>
      <w:r>
        <w:rPr>
          <w:rFonts w:hint="eastAsia" w:ascii="宋体" w:hAnsi="宋体"/>
          <w:color w:val="000000"/>
          <w:sz w:val="32"/>
          <w:szCs w:val="32"/>
        </w:rPr>
        <w:t>（图</w:t>
      </w:r>
      <w:r>
        <w:rPr>
          <w:rFonts w:ascii="宋体" w:hAnsi="宋体"/>
          <w:color w:val="000000"/>
          <w:sz w:val="32"/>
          <w:szCs w:val="32"/>
        </w:rPr>
        <w:t>4</w:t>
      </w:r>
      <w:r>
        <w:rPr>
          <w:rFonts w:hint="eastAsia" w:ascii="宋体" w:hAnsi="宋体"/>
          <w:color w:val="000000"/>
          <w:sz w:val="32"/>
          <w:szCs w:val="32"/>
        </w:rPr>
        <w:t>：财政拨款收、支决算总计变动情况）（柱状图）</w:t>
      </w:r>
    </w:p>
    <w:p>
      <w:pPr>
        <w:ind w:firstLine="640" w:firstLineChars="200"/>
        <w:rPr>
          <w:rFonts w:ascii="仿宋" w:hAnsi="仿宋" w:eastAsia="仿宋"/>
          <w:color w:val="000000"/>
          <w:sz w:val="32"/>
          <w:szCs w:val="32"/>
        </w:rPr>
      </w:pPr>
      <w:r>
        <w:rPr>
          <w:rFonts w:ascii="仿宋" w:hAnsi="仿宋" w:eastAsia="仿宋"/>
          <w:color w:val="000000"/>
          <w:sz w:val="32"/>
          <w:szCs w:val="32"/>
        </w:rPr>
        <w:object>
          <v:shape id="_x0000_i1028" o:spt="75" type="#_x0000_t75" style="height:300.75pt;width:401.25pt;" o:ole="t" filled="f" o:preferrelative="t" stroked="f" coordsize="21600,21600">
            <v:path/>
            <v:fill on="f" focussize="0,0"/>
            <v:stroke on="f" joinstyle="miter"/>
            <v:imagedata r:id="rId13" o:title=""/>
            <o:lock v:ext="edit" aspectratio="f"/>
            <w10:wrap type="none"/>
            <w10:anchorlock/>
          </v:shape>
          <o:OLEObject Type="Embed" ProgID="Excel.Chart.8" ShapeID="_x0000_i1028" DrawAspect="Content" ObjectID="_1468075728" r:id="rId12">
            <o:LockedField>false</o:LockedField>
          </o:OLEObject>
        </w:object>
      </w:r>
    </w:p>
    <w:p>
      <w:pPr>
        <w:spacing w:line="600" w:lineRule="exact"/>
        <w:ind w:firstLine="640"/>
        <w:rPr>
          <w:rFonts w:ascii="仿宋" w:hAnsi="仿宋" w:eastAsia="仿宋"/>
          <w:b/>
          <w:color w:val="00B050"/>
          <w:sz w:val="32"/>
          <w:szCs w:val="32"/>
        </w:rPr>
      </w:pPr>
    </w:p>
    <w:p>
      <w:pPr>
        <w:spacing w:line="600" w:lineRule="exact"/>
        <w:ind w:firstLine="640" w:firstLineChars="200"/>
        <w:outlineLvl w:val="1"/>
        <w:rPr>
          <w:rStyle w:val="18"/>
          <w:rFonts w:ascii="宋体" w:hAnsi="Times New Roman"/>
          <w:b w:val="0"/>
        </w:rPr>
      </w:pPr>
      <w:bookmarkStart w:id="36" w:name="_Toc15377209"/>
      <w:bookmarkStart w:id="37" w:name="_Toc15396607"/>
      <w:r>
        <w:rPr>
          <w:rFonts w:hint="eastAsia" w:ascii="宋体" w:hAnsi="宋体"/>
          <w:color w:val="000000"/>
          <w:sz w:val="32"/>
          <w:szCs w:val="32"/>
        </w:rPr>
        <w:t>五、</w:t>
      </w:r>
      <w:r>
        <w:rPr>
          <w:rFonts w:hint="eastAsia" w:ascii="宋体" w:hAnsi="宋体"/>
          <w:b/>
          <w:color w:val="000000"/>
          <w:sz w:val="32"/>
          <w:szCs w:val="32"/>
        </w:rPr>
        <w:t>一</w:t>
      </w:r>
      <w:r>
        <w:rPr>
          <w:rStyle w:val="18"/>
          <w:rFonts w:hint="eastAsia" w:ascii="宋体" w:hAnsi="宋体"/>
          <w:b w:val="0"/>
        </w:rPr>
        <w:t>般公共预算财政拨款支出决算情况说明</w:t>
      </w:r>
      <w:bookmarkEnd w:id="36"/>
      <w:bookmarkEnd w:id="37"/>
    </w:p>
    <w:p>
      <w:pPr>
        <w:spacing w:line="600" w:lineRule="exact"/>
        <w:ind w:firstLine="640" w:firstLineChars="200"/>
        <w:outlineLvl w:val="2"/>
        <w:rPr>
          <w:rFonts w:ascii="宋体"/>
          <w:bCs/>
          <w:color w:val="000000"/>
          <w:sz w:val="32"/>
          <w:szCs w:val="32"/>
        </w:rPr>
      </w:pPr>
      <w:bookmarkStart w:id="38" w:name="_Toc15377210"/>
      <w:r>
        <w:rPr>
          <w:rFonts w:hint="eastAsia" w:ascii="宋体" w:hAnsi="宋体"/>
          <w:bCs/>
          <w:color w:val="000000"/>
          <w:sz w:val="32"/>
          <w:szCs w:val="32"/>
        </w:rPr>
        <w:t>（一）一般公共预算财政拨款支出决算总体情况</w:t>
      </w:r>
      <w:bookmarkEnd w:id="38"/>
    </w:p>
    <w:p>
      <w:pPr>
        <w:spacing w:line="600" w:lineRule="exact"/>
        <w:ind w:firstLine="640" w:firstLineChars="20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年一般公共预算财政拨款支出</w:t>
      </w:r>
      <w:r>
        <w:rPr>
          <w:rFonts w:ascii="宋体" w:hAnsi="宋体"/>
          <w:color w:val="000000"/>
          <w:sz w:val="32"/>
          <w:szCs w:val="32"/>
        </w:rPr>
        <w:t>32728.92</w:t>
      </w:r>
      <w:r>
        <w:rPr>
          <w:rFonts w:hint="eastAsia" w:ascii="宋体" w:hAnsi="宋体"/>
          <w:color w:val="000000"/>
          <w:sz w:val="32"/>
          <w:szCs w:val="32"/>
        </w:rPr>
        <w:t>万元，占本年支出合计的</w:t>
      </w:r>
      <w:r>
        <w:rPr>
          <w:rFonts w:ascii="宋体" w:hAnsi="宋体"/>
          <w:color w:val="000000"/>
          <w:sz w:val="32"/>
          <w:szCs w:val="32"/>
        </w:rPr>
        <w:t>99.13%</w:t>
      </w:r>
      <w:r>
        <w:rPr>
          <w:rFonts w:hint="eastAsia" w:ascii="宋体" w:hAnsi="宋体"/>
          <w:color w:val="000000"/>
          <w:sz w:val="32"/>
          <w:szCs w:val="32"/>
        </w:rPr>
        <w:t>。与</w:t>
      </w:r>
      <w:r>
        <w:rPr>
          <w:rFonts w:ascii="宋体" w:hAnsi="宋体"/>
          <w:color w:val="000000"/>
          <w:sz w:val="32"/>
          <w:szCs w:val="32"/>
        </w:rPr>
        <w:t>2017</w:t>
      </w:r>
      <w:r>
        <w:rPr>
          <w:rFonts w:hint="eastAsia" w:ascii="宋体" w:hAnsi="宋体"/>
          <w:color w:val="000000"/>
          <w:sz w:val="32"/>
          <w:szCs w:val="32"/>
        </w:rPr>
        <w:t>年相比，一般公共预算财政拨款减少</w:t>
      </w:r>
      <w:r>
        <w:rPr>
          <w:rFonts w:ascii="宋体" w:hAnsi="宋体"/>
          <w:color w:val="000000"/>
          <w:sz w:val="32"/>
          <w:szCs w:val="32"/>
        </w:rPr>
        <w:t>30597.15</w:t>
      </w:r>
      <w:r>
        <w:rPr>
          <w:rFonts w:hint="eastAsia" w:ascii="宋体" w:hAnsi="宋体"/>
          <w:color w:val="000000"/>
          <w:sz w:val="32"/>
          <w:szCs w:val="32"/>
        </w:rPr>
        <w:t>万元，下降</w:t>
      </w:r>
      <w:r>
        <w:rPr>
          <w:rFonts w:ascii="宋体" w:hAnsi="宋体"/>
          <w:color w:val="000000"/>
          <w:sz w:val="32"/>
          <w:szCs w:val="32"/>
        </w:rPr>
        <w:t>48.32%</w:t>
      </w:r>
      <w:r>
        <w:rPr>
          <w:rFonts w:hint="eastAsia" w:ascii="宋体" w:hAnsi="宋体"/>
          <w:color w:val="000000"/>
          <w:sz w:val="32"/>
          <w:szCs w:val="32"/>
        </w:rPr>
        <w:t>。主要变动原因是</w:t>
      </w:r>
      <w:r>
        <w:rPr>
          <w:rFonts w:ascii="宋体" w:hAnsi="宋体"/>
          <w:color w:val="000000"/>
          <w:sz w:val="32"/>
          <w:szCs w:val="32"/>
        </w:rPr>
        <w:t>2018</w:t>
      </w:r>
      <w:r>
        <w:rPr>
          <w:rFonts w:hint="eastAsia" w:ascii="宋体" w:hAnsi="宋体"/>
          <w:color w:val="000000"/>
          <w:sz w:val="32"/>
          <w:szCs w:val="32"/>
        </w:rPr>
        <w:t>年大中修市级资金安排减少，以及</w:t>
      </w:r>
      <w:r>
        <w:rPr>
          <w:rFonts w:ascii="宋体" w:hAnsi="宋体"/>
          <w:color w:val="000000"/>
          <w:sz w:val="32"/>
          <w:szCs w:val="32"/>
        </w:rPr>
        <w:t>2018</w:t>
      </w:r>
      <w:r>
        <w:rPr>
          <w:rFonts w:hint="eastAsia" w:ascii="宋体" w:hAnsi="宋体"/>
          <w:color w:val="000000"/>
          <w:sz w:val="32"/>
          <w:szCs w:val="32"/>
        </w:rPr>
        <w:t>年取消政府还贷二级公路收费专项资金支出减少。</w:t>
      </w:r>
    </w:p>
    <w:p>
      <w:pPr>
        <w:spacing w:line="600" w:lineRule="exact"/>
        <w:ind w:firstLine="640" w:firstLineChars="200"/>
        <w:rPr>
          <w:rFonts w:ascii="宋体"/>
          <w:color w:val="000000"/>
          <w:sz w:val="32"/>
          <w:szCs w:val="32"/>
        </w:rPr>
      </w:pPr>
      <w:r>
        <w:rPr>
          <w:rFonts w:hint="eastAsia" w:ascii="宋体" w:hAnsi="宋体"/>
          <w:color w:val="000000"/>
          <w:sz w:val="32"/>
          <w:szCs w:val="32"/>
        </w:rPr>
        <w:t>（图</w:t>
      </w:r>
      <w:r>
        <w:rPr>
          <w:rFonts w:ascii="宋体" w:hAnsi="宋体"/>
          <w:color w:val="000000"/>
          <w:sz w:val="32"/>
          <w:szCs w:val="32"/>
        </w:rPr>
        <w:t>5</w:t>
      </w:r>
      <w:r>
        <w:rPr>
          <w:rFonts w:hint="eastAsia" w:ascii="宋体" w:hAnsi="宋体"/>
          <w:color w:val="000000"/>
          <w:sz w:val="32"/>
          <w:szCs w:val="32"/>
        </w:rPr>
        <w:t>：一般公共预算财政拨款支出决算变动情况）（柱状图）</w:t>
      </w:r>
    </w:p>
    <w:p>
      <w:pPr>
        <w:ind w:firstLine="640" w:firstLineChars="200"/>
        <w:rPr>
          <w:rFonts w:ascii="仿宋" w:hAnsi="仿宋" w:eastAsia="仿宋"/>
          <w:color w:val="000000"/>
          <w:sz w:val="32"/>
          <w:szCs w:val="32"/>
        </w:rPr>
      </w:pPr>
      <w:r>
        <w:rPr>
          <w:rFonts w:ascii="仿宋" w:hAnsi="仿宋" w:eastAsia="仿宋"/>
          <w:color w:val="000000"/>
          <w:sz w:val="32"/>
          <w:szCs w:val="32"/>
        </w:rPr>
        <w:object>
          <v:shape id="_x0000_i1029" o:spt="75" type="#_x0000_t75" style="height:300.75pt;width:401.25pt;" o:ole="t" filled="f" o:preferrelative="t" stroked="f" coordsize="21600,21600">
            <v:path/>
            <v:fill on="f" focussize="0,0"/>
            <v:stroke on="f" joinstyle="miter"/>
            <v:imagedata r:id="rId15" o:title=""/>
            <o:lock v:ext="edit" aspectratio="f"/>
            <w10:wrap type="none"/>
            <w10:anchorlock/>
          </v:shape>
          <o:OLEObject Type="Embed" ProgID="Excel.Chart.8" ShapeID="_x0000_i1029" DrawAspect="Content" ObjectID="_1468075729" r:id="rId14">
            <o:LockedField>false</o:LockedField>
          </o:OLEObject>
        </w:object>
      </w:r>
    </w:p>
    <w:p>
      <w:pPr>
        <w:spacing w:line="600" w:lineRule="exact"/>
        <w:ind w:firstLine="640" w:firstLineChars="200"/>
        <w:outlineLvl w:val="2"/>
        <w:rPr>
          <w:rFonts w:ascii="宋体"/>
          <w:bCs/>
          <w:color w:val="000000"/>
          <w:sz w:val="32"/>
          <w:szCs w:val="32"/>
        </w:rPr>
      </w:pPr>
      <w:bookmarkStart w:id="39" w:name="_Toc15377211"/>
      <w:r>
        <w:rPr>
          <w:rFonts w:hint="eastAsia" w:ascii="宋体" w:hAnsi="宋体"/>
          <w:bCs/>
          <w:color w:val="000000"/>
          <w:sz w:val="32"/>
          <w:szCs w:val="32"/>
        </w:rPr>
        <w:t>（二）一般公共预算财政拨款支出决算结构情况</w:t>
      </w:r>
      <w:bookmarkEnd w:id="39"/>
    </w:p>
    <w:p>
      <w:pPr>
        <w:spacing w:line="600" w:lineRule="exact"/>
        <w:ind w:firstLine="64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年一般公共预算财政拨款支出</w:t>
      </w:r>
      <w:r>
        <w:rPr>
          <w:rFonts w:ascii="宋体" w:hAnsi="宋体"/>
          <w:color w:val="000000"/>
          <w:sz w:val="32"/>
          <w:szCs w:val="32"/>
        </w:rPr>
        <w:t>32728.91</w:t>
      </w:r>
      <w:r>
        <w:rPr>
          <w:rFonts w:hint="eastAsia" w:ascii="宋体" w:hAnsi="宋体"/>
          <w:color w:val="000000"/>
          <w:sz w:val="32"/>
          <w:szCs w:val="32"/>
        </w:rPr>
        <w:t>万元，主要用于以下方面</w:t>
      </w:r>
      <w:r>
        <w:rPr>
          <w:rFonts w:ascii="宋体" w:hAnsi="宋体"/>
          <w:color w:val="000000"/>
          <w:sz w:val="32"/>
          <w:szCs w:val="32"/>
        </w:rPr>
        <w:t>:</w:t>
      </w:r>
      <w:r>
        <w:rPr>
          <w:rFonts w:hint="eastAsia" w:ascii="宋体" w:hAnsi="宋体"/>
          <w:bCs/>
          <w:color w:val="000000"/>
          <w:sz w:val="32"/>
          <w:szCs w:val="32"/>
        </w:rPr>
        <w:t>一般公共服务（类）</w:t>
      </w:r>
      <w:r>
        <w:rPr>
          <w:rFonts w:hint="eastAsia" w:ascii="宋体" w:hAnsi="宋体"/>
          <w:color w:val="000000"/>
          <w:sz w:val="32"/>
          <w:szCs w:val="32"/>
        </w:rPr>
        <w:t>支出</w:t>
      </w:r>
      <w:r>
        <w:rPr>
          <w:rFonts w:ascii="宋体" w:hAnsi="宋体"/>
          <w:color w:val="000000"/>
          <w:sz w:val="32"/>
          <w:szCs w:val="32"/>
        </w:rPr>
        <w:t>12.84</w:t>
      </w:r>
      <w:r>
        <w:rPr>
          <w:rFonts w:hint="eastAsia" w:ascii="宋体" w:hAnsi="宋体"/>
          <w:color w:val="000000"/>
          <w:sz w:val="32"/>
          <w:szCs w:val="32"/>
        </w:rPr>
        <w:t>万元，占</w:t>
      </w:r>
      <w:r>
        <w:rPr>
          <w:rFonts w:ascii="宋体" w:hAnsi="宋体"/>
          <w:color w:val="000000"/>
          <w:sz w:val="32"/>
          <w:szCs w:val="32"/>
        </w:rPr>
        <w:t>0.04%</w:t>
      </w:r>
      <w:r>
        <w:rPr>
          <w:rFonts w:hint="eastAsia" w:ascii="宋体" w:hAnsi="宋体"/>
          <w:color w:val="000000"/>
          <w:sz w:val="32"/>
          <w:szCs w:val="32"/>
        </w:rPr>
        <w:t>；</w:t>
      </w:r>
      <w:r>
        <w:rPr>
          <w:rFonts w:hint="eastAsia" w:ascii="宋体" w:hAnsi="宋体"/>
          <w:bCs/>
          <w:color w:val="000000"/>
          <w:sz w:val="32"/>
          <w:szCs w:val="32"/>
        </w:rPr>
        <w:t>科学技术（类）</w:t>
      </w:r>
      <w:r>
        <w:rPr>
          <w:rFonts w:hint="eastAsia" w:ascii="宋体" w:hAnsi="宋体"/>
          <w:color w:val="000000"/>
          <w:sz w:val="32"/>
          <w:szCs w:val="32"/>
        </w:rPr>
        <w:t>支出</w:t>
      </w:r>
      <w:r>
        <w:rPr>
          <w:rFonts w:ascii="宋体" w:hAnsi="宋体"/>
          <w:color w:val="000000"/>
          <w:sz w:val="32"/>
          <w:szCs w:val="32"/>
        </w:rPr>
        <w:t>5</w:t>
      </w:r>
      <w:r>
        <w:rPr>
          <w:rFonts w:hint="eastAsia" w:ascii="宋体" w:hAnsi="宋体"/>
          <w:color w:val="000000"/>
          <w:sz w:val="32"/>
          <w:szCs w:val="32"/>
        </w:rPr>
        <w:t>万元，占</w:t>
      </w:r>
      <w:r>
        <w:rPr>
          <w:rFonts w:ascii="宋体" w:hAnsi="宋体"/>
          <w:color w:val="000000"/>
          <w:sz w:val="32"/>
          <w:szCs w:val="32"/>
        </w:rPr>
        <w:t>0.01%</w:t>
      </w:r>
      <w:r>
        <w:rPr>
          <w:rFonts w:hint="eastAsia" w:ascii="宋体" w:hAnsi="宋体"/>
          <w:color w:val="000000"/>
          <w:sz w:val="32"/>
          <w:szCs w:val="32"/>
        </w:rPr>
        <w:t>；文化体育与传媒支出（类）支出</w:t>
      </w:r>
      <w:r>
        <w:rPr>
          <w:rFonts w:ascii="宋体" w:hAnsi="宋体"/>
          <w:color w:val="000000"/>
          <w:sz w:val="32"/>
          <w:szCs w:val="32"/>
        </w:rPr>
        <w:t>5</w:t>
      </w:r>
      <w:r>
        <w:rPr>
          <w:rFonts w:hint="eastAsia" w:ascii="宋体" w:hAnsi="宋体"/>
          <w:color w:val="000000"/>
          <w:sz w:val="32"/>
          <w:szCs w:val="32"/>
        </w:rPr>
        <w:t>万元，占</w:t>
      </w:r>
      <w:r>
        <w:rPr>
          <w:rFonts w:ascii="宋体" w:hAnsi="宋体"/>
          <w:color w:val="000000"/>
          <w:sz w:val="32"/>
          <w:szCs w:val="32"/>
        </w:rPr>
        <w:t>0.01%</w:t>
      </w:r>
      <w:r>
        <w:rPr>
          <w:rFonts w:hint="eastAsia" w:ascii="宋体" w:hAnsi="宋体"/>
          <w:color w:val="000000"/>
          <w:sz w:val="32"/>
          <w:szCs w:val="32"/>
        </w:rPr>
        <w:t>；</w:t>
      </w:r>
      <w:r>
        <w:rPr>
          <w:rFonts w:hint="eastAsia" w:ascii="宋体" w:hAnsi="宋体"/>
          <w:bCs/>
          <w:color w:val="000000"/>
          <w:sz w:val="32"/>
          <w:szCs w:val="32"/>
        </w:rPr>
        <w:t>社会保障和就业（类）</w:t>
      </w:r>
      <w:r>
        <w:rPr>
          <w:rFonts w:hint="eastAsia" w:ascii="宋体" w:hAnsi="宋体"/>
          <w:color w:val="000000"/>
          <w:sz w:val="32"/>
          <w:szCs w:val="32"/>
        </w:rPr>
        <w:t>支出</w:t>
      </w:r>
      <w:r>
        <w:rPr>
          <w:rFonts w:ascii="宋体" w:hAnsi="宋体"/>
          <w:color w:val="000000"/>
          <w:sz w:val="32"/>
          <w:szCs w:val="32"/>
        </w:rPr>
        <w:t>590.03</w:t>
      </w:r>
      <w:r>
        <w:rPr>
          <w:rFonts w:hint="eastAsia" w:ascii="宋体" w:hAnsi="宋体"/>
          <w:color w:val="000000"/>
          <w:sz w:val="32"/>
          <w:szCs w:val="32"/>
        </w:rPr>
        <w:t>万元，占</w:t>
      </w:r>
      <w:r>
        <w:rPr>
          <w:rFonts w:ascii="宋体" w:hAnsi="宋体"/>
          <w:color w:val="000000"/>
          <w:sz w:val="32"/>
          <w:szCs w:val="32"/>
        </w:rPr>
        <w:t>1.80%</w:t>
      </w:r>
      <w:r>
        <w:rPr>
          <w:rFonts w:hint="eastAsia" w:ascii="宋体" w:hAnsi="宋体"/>
          <w:color w:val="000000"/>
          <w:sz w:val="32"/>
          <w:szCs w:val="32"/>
        </w:rPr>
        <w:t>；医疗卫生与计划生育（类）支出</w:t>
      </w:r>
      <w:r>
        <w:rPr>
          <w:rFonts w:ascii="宋体" w:hAnsi="宋体"/>
          <w:color w:val="000000"/>
          <w:sz w:val="32"/>
          <w:szCs w:val="32"/>
        </w:rPr>
        <w:t>0.05</w:t>
      </w:r>
      <w:r>
        <w:rPr>
          <w:rFonts w:hint="eastAsia" w:ascii="宋体" w:hAnsi="宋体"/>
          <w:color w:val="000000"/>
          <w:sz w:val="32"/>
          <w:szCs w:val="32"/>
        </w:rPr>
        <w:t>万元，占</w:t>
      </w:r>
      <w:r>
        <w:rPr>
          <w:rFonts w:ascii="宋体" w:hAnsi="宋体"/>
          <w:color w:val="000000"/>
          <w:sz w:val="32"/>
          <w:szCs w:val="32"/>
        </w:rPr>
        <w:t>0.01%</w:t>
      </w:r>
      <w:r>
        <w:rPr>
          <w:rFonts w:hint="eastAsia" w:ascii="宋体" w:hAnsi="宋体"/>
          <w:color w:val="000000"/>
          <w:sz w:val="32"/>
          <w:szCs w:val="32"/>
        </w:rPr>
        <w:t>；城乡社区（类）支出</w:t>
      </w:r>
      <w:r>
        <w:rPr>
          <w:rFonts w:ascii="宋体" w:hAnsi="宋体"/>
          <w:color w:val="000000"/>
          <w:sz w:val="32"/>
          <w:szCs w:val="32"/>
        </w:rPr>
        <w:t>4928.78</w:t>
      </w:r>
      <w:r>
        <w:rPr>
          <w:rFonts w:hint="eastAsia" w:ascii="宋体" w:hAnsi="宋体"/>
          <w:color w:val="000000"/>
          <w:sz w:val="32"/>
          <w:szCs w:val="32"/>
        </w:rPr>
        <w:t>万元，占</w:t>
      </w:r>
      <w:r>
        <w:rPr>
          <w:rFonts w:ascii="宋体" w:hAnsi="宋体"/>
          <w:color w:val="000000"/>
          <w:sz w:val="32"/>
          <w:szCs w:val="32"/>
        </w:rPr>
        <w:t>15.06%</w:t>
      </w:r>
      <w:r>
        <w:rPr>
          <w:rFonts w:hint="eastAsia" w:ascii="宋体" w:hAnsi="宋体"/>
          <w:color w:val="000000"/>
          <w:sz w:val="32"/>
          <w:szCs w:val="32"/>
        </w:rPr>
        <w:t>；交通运输（类）支出</w:t>
      </w:r>
      <w:r>
        <w:rPr>
          <w:rFonts w:ascii="宋体" w:hAnsi="宋体"/>
          <w:color w:val="000000"/>
          <w:sz w:val="32"/>
          <w:szCs w:val="32"/>
        </w:rPr>
        <w:t>26873.65</w:t>
      </w:r>
      <w:r>
        <w:rPr>
          <w:rFonts w:hint="eastAsia" w:ascii="宋体" w:hAnsi="宋体"/>
          <w:color w:val="000000"/>
          <w:sz w:val="32"/>
          <w:szCs w:val="32"/>
        </w:rPr>
        <w:t>万元，占</w:t>
      </w:r>
      <w:r>
        <w:rPr>
          <w:rFonts w:ascii="宋体" w:hAnsi="宋体"/>
          <w:color w:val="000000"/>
          <w:sz w:val="32"/>
          <w:szCs w:val="32"/>
        </w:rPr>
        <w:t>82.11%</w:t>
      </w:r>
      <w:r>
        <w:rPr>
          <w:rFonts w:hint="eastAsia" w:ascii="宋体" w:hAnsi="宋体"/>
          <w:color w:val="000000"/>
          <w:sz w:val="32"/>
          <w:szCs w:val="32"/>
        </w:rPr>
        <w:t>；住房保障（类）支出</w:t>
      </w:r>
      <w:r>
        <w:rPr>
          <w:rFonts w:ascii="宋体" w:hAnsi="宋体"/>
          <w:color w:val="000000"/>
          <w:sz w:val="32"/>
          <w:szCs w:val="32"/>
        </w:rPr>
        <w:t>313.56</w:t>
      </w:r>
      <w:r>
        <w:rPr>
          <w:rFonts w:hint="eastAsia" w:ascii="宋体" w:hAnsi="宋体"/>
          <w:color w:val="000000"/>
          <w:sz w:val="32"/>
          <w:szCs w:val="32"/>
        </w:rPr>
        <w:t>万元，占</w:t>
      </w:r>
      <w:r>
        <w:rPr>
          <w:rFonts w:ascii="宋体" w:hAnsi="宋体"/>
          <w:color w:val="000000"/>
          <w:sz w:val="32"/>
          <w:szCs w:val="32"/>
        </w:rPr>
        <w:t>0.96%</w:t>
      </w:r>
      <w:r>
        <w:rPr>
          <w:rFonts w:hint="eastAsia" w:ascii="宋体" w:hAnsi="宋体"/>
          <w:color w:val="000000"/>
          <w:sz w:val="32"/>
          <w:szCs w:val="32"/>
        </w:rPr>
        <w:t>。</w:t>
      </w:r>
    </w:p>
    <w:p>
      <w:pPr>
        <w:spacing w:line="600" w:lineRule="exact"/>
        <w:ind w:firstLine="640" w:firstLineChars="200"/>
        <w:rPr>
          <w:rFonts w:ascii="宋体"/>
          <w:color w:val="000000"/>
          <w:sz w:val="32"/>
          <w:szCs w:val="32"/>
        </w:rPr>
      </w:pPr>
      <w:r>
        <w:rPr>
          <w:rFonts w:hint="eastAsia" w:ascii="宋体" w:hAnsi="宋体"/>
          <w:color w:val="000000"/>
          <w:sz w:val="32"/>
          <w:szCs w:val="32"/>
        </w:rPr>
        <w:t>（图</w:t>
      </w:r>
      <w:r>
        <w:rPr>
          <w:rFonts w:ascii="宋体" w:hAnsi="宋体"/>
          <w:color w:val="000000"/>
          <w:sz w:val="32"/>
          <w:szCs w:val="32"/>
        </w:rPr>
        <w:t>6</w:t>
      </w:r>
      <w:r>
        <w:rPr>
          <w:rFonts w:hint="eastAsia" w:ascii="宋体" w:hAnsi="宋体"/>
          <w:color w:val="000000"/>
          <w:sz w:val="32"/>
          <w:szCs w:val="32"/>
        </w:rPr>
        <w:t>：一般公共预算财政拨款支出决算结构）（饼状图）</w:t>
      </w:r>
    </w:p>
    <w:p>
      <w:pPr>
        <w:ind w:firstLine="640" w:firstLineChars="200"/>
        <w:jc w:val="left"/>
        <w:rPr>
          <w:rFonts w:ascii="仿宋" w:hAnsi="仿宋" w:eastAsia="仿宋"/>
          <w:color w:val="000000"/>
          <w:sz w:val="32"/>
          <w:szCs w:val="32"/>
        </w:rPr>
      </w:pPr>
      <w:r>
        <w:rPr>
          <w:rFonts w:ascii="仿宋" w:hAnsi="仿宋" w:eastAsia="仿宋"/>
          <w:color w:val="000000"/>
          <w:sz w:val="32"/>
          <w:szCs w:val="32"/>
        </w:rPr>
        <w:object>
          <v:shape id="_x0000_i1030" o:spt="75" type="#_x0000_t75" style="height:282pt;width:408.75pt;" o:ole="t" filled="f" o:preferrelative="t" stroked="f" coordsize="21600,21600">
            <v:path/>
            <v:fill on="f" focussize="0,0"/>
            <v:stroke on="f" joinstyle="miter"/>
            <v:imagedata r:id="rId17" o:title=""/>
            <o:lock v:ext="edit" aspectratio="f"/>
            <w10:wrap type="none"/>
            <w10:anchorlock/>
          </v:shape>
          <o:OLEObject Type="Embed" ProgID="Excel.Chart.8" ShapeID="_x0000_i1030" DrawAspect="Content" ObjectID="_1468075730" r:id="rId16">
            <o:LockedField>false</o:LockedField>
          </o:OLEObject>
        </w:object>
      </w:r>
    </w:p>
    <w:p>
      <w:pPr>
        <w:spacing w:line="600" w:lineRule="exact"/>
        <w:ind w:firstLine="640" w:firstLineChars="200"/>
        <w:outlineLvl w:val="2"/>
        <w:rPr>
          <w:rFonts w:ascii="宋体"/>
          <w:color w:val="000000"/>
          <w:sz w:val="32"/>
          <w:szCs w:val="32"/>
        </w:rPr>
      </w:pPr>
      <w:bookmarkStart w:id="40" w:name="_Toc15377212"/>
      <w:r>
        <w:rPr>
          <w:rFonts w:hint="eastAsia" w:ascii="宋体" w:hAnsi="宋体"/>
          <w:color w:val="000000"/>
          <w:sz w:val="32"/>
          <w:szCs w:val="32"/>
        </w:rPr>
        <w:t>（三）一般公共预算财政拨款支出决算具体情况</w:t>
      </w:r>
      <w:bookmarkEnd w:id="40"/>
    </w:p>
    <w:p>
      <w:pPr>
        <w:spacing w:line="600" w:lineRule="exact"/>
        <w:ind w:firstLine="640" w:firstLineChars="200"/>
        <w:outlineLvl w:val="2"/>
        <w:rPr>
          <w:rFonts w:ascii="宋体"/>
          <w:color w:val="FF0000"/>
          <w:sz w:val="32"/>
          <w:szCs w:val="32"/>
        </w:rPr>
      </w:pPr>
      <w:bookmarkStart w:id="41" w:name="_Toc15378460"/>
      <w:bookmarkStart w:id="42" w:name="_Toc15377444"/>
      <w:bookmarkStart w:id="43" w:name="_Toc15377213"/>
      <w:r>
        <w:rPr>
          <w:rFonts w:ascii="宋体" w:hAnsi="宋体"/>
          <w:color w:val="000000"/>
          <w:sz w:val="32"/>
          <w:szCs w:val="32"/>
        </w:rPr>
        <w:t>2018</w:t>
      </w:r>
      <w:r>
        <w:rPr>
          <w:rFonts w:hint="eastAsia" w:ascii="宋体" w:hAnsi="宋体"/>
          <w:color w:val="000000"/>
          <w:sz w:val="32"/>
          <w:szCs w:val="32"/>
        </w:rPr>
        <w:t>年般公共预算支出决算数为</w:t>
      </w:r>
      <w:r>
        <w:rPr>
          <w:rFonts w:ascii="宋体" w:hAnsi="宋体"/>
          <w:color w:val="000000"/>
          <w:sz w:val="32"/>
          <w:szCs w:val="32"/>
        </w:rPr>
        <w:t>32728.91</w:t>
      </w:r>
      <w:r>
        <w:rPr>
          <w:rFonts w:hint="eastAsia" w:ascii="宋体" w:hAnsi="宋体"/>
          <w:color w:val="000000"/>
          <w:sz w:val="32"/>
          <w:szCs w:val="32"/>
        </w:rPr>
        <w:t>，</w:t>
      </w:r>
      <w:r>
        <w:rPr>
          <w:rStyle w:val="15"/>
          <w:rFonts w:hint="eastAsia" w:ascii="宋体" w:hAnsi="宋体"/>
          <w:b w:val="0"/>
          <w:bCs/>
          <w:color w:val="000000"/>
          <w:sz w:val="32"/>
          <w:szCs w:val="32"/>
        </w:rPr>
        <w:t>完成预算</w:t>
      </w:r>
      <w:r>
        <w:rPr>
          <w:rStyle w:val="15"/>
          <w:rFonts w:ascii="宋体" w:hAnsi="宋体"/>
          <w:b w:val="0"/>
          <w:bCs/>
          <w:color w:val="000000"/>
          <w:sz w:val="32"/>
          <w:szCs w:val="32"/>
        </w:rPr>
        <w:t>106.51%</w:t>
      </w:r>
      <w:r>
        <w:rPr>
          <w:rStyle w:val="15"/>
          <w:rFonts w:hint="eastAsia" w:ascii="宋体" w:hAnsi="宋体"/>
          <w:b w:val="0"/>
          <w:bCs/>
          <w:color w:val="000000"/>
          <w:sz w:val="32"/>
          <w:szCs w:val="32"/>
        </w:rPr>
        <w:t>。其中：</w:t>
      </w:r>
      <w:bookmarkEnd w:id="41"/>
      <w:bookmarkEnd w:id="42"/>
      <w:bookmarkEnd w:id="43"/>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1.</w:t>
      </w:r>
      <w:r>
        <w:rPr>
          <w:rStyle w:val="15"/>
          <w:rFonts w:hint="eastAsia" w:ascii="宋体" w:hAnsi="宋体"/>
          <w:b w:val="0"/>
          <w:bCs/>
          <w:color w:val="000000"/>
          <w:sz w:val="32"/>
          <w:szCs w:val="32"/>
        </w:rPr>
        <w:t>一般公共服务（类）</w:t>
      </w:r>
      <w:r>
        <w:rPr>
          <w:rStyle w:val="15"/>
          <w:rFonts w:ascii="宋体" w:hAnsi="宋体"/>
          <w:b w:val="0"/>
          <w:bCs/>
          <w:color w:val="000000"/>
          <w:sz w:val="32"/>
          <w:szCs w:val="32"/>
        </w:rPr>
        <w:t>201</w:t>
      </w:r>
      <w:r>
        <w:rPr>
          <w:rStyle w:val="15"/>
          <w:rFonts w:hint="eastAsia" w:ascii="宋体" w:hAnsi="宋体"/>
          <w:b w:val="0"/>
          <w:bCs/>
          <w:color w:val="000000"/>
          <w:sz w:val="32"/>
          <w:szCs w:val="32"/>
        </w:rPr>
        <w:t>（款）</w:t>
      </w:r>
      <w:r>
        <w:rPr>
          <w:rStyle w:val="15"/>
          <w:rFonts w:ascii="宋体" w:hAnsi="宋体"/>
          <w:b w:val="0"/>
          <w:bCs/>
          <w:color w:val="000000"/>
          <w:sz w:val="32"/>
          <w:szCs w:val="32"/>
        </w:rPr>
        <w:t>10</w:t>
      </w:r>
      <w:r>
        <w:rPr>
          <w:rStyle w:val="15"/>
          <w:rFonts w:hint="eastAsia" w:ascii="宋体" w:hAnsi="宋体"/>
          <w:b w:val="0"/>
          <w:bCs/>
          <w:color w:val="000000"/>
          <w:sz w:val="32"/>
          <w:szCs w:val="32"/>
        </w:rPr>
        <w:t>（项）</w:t>
      </w:r>
      <w:r>
        <w:rPr>
          <w:rStyle w:val="15"/>
          <w:rFonts w:ascii="宋体" w:hAnsi="宋体"/>
          <w:b w:val="0"/>
          <w:bCs/>
          <w:color w:val="000000"/>
          <w:sz w:val="32"/>
          <w:szCs w:val="32"/>
        </w:rPr>
        <w:t xml:space="preserve">99: </w:t>
      </w:r>
      <w:r>
        <w:rPr>
          <w:rStyle w:val="15"/>
          <w:rFonts w:hint="eastAsia" w:ascii="宋体" w:hAnsi="宋体"/>
          <w:b w:val="0"/>
          <w:bCs/>
          <w:color w:val="000000"/>
          <w:sz w:val="32"/>
          <w:szCs w:val="32"/>
        </w:rPr>
        <w:t>预算</w:t>
      </w:r>
      <w:r>
        <w:rPr>
          <w:rStyle w:val="15"/>
          <w:rFonts w:ascii="宋体" w:hAnsi="宋体"/>
          <w:b w:val="0"/>
          <w:bCs/>
          <w:color w:val="000000"/>
          <w:sz w:val="32"/>
          <w:szCs w:val="32"/>
        </w:rPr>
        <w:t>1</w:t>
      </w:r>
      <w:r>
        <w:rPr>
          <w:rStyle w:val="15"/>
          <w:rFonts w:hint="eastAsia" w:ascii="宋体" w:hAnsi="宋体"/>
          <w:b w:val="0"/>
          <w:bCs/>
          <w:color w:val="000000"/>
          <w:sz w:val="32"/>
          <w:szCs w:val="32"/>
        </w:rPr>
        <w:t>万元，支出决算为</w:t>
      </w:r>
      <w:r>
        <w:rPr>
          <w:rStyle w:val="15"/>
          <w:rFonts w:ascii="宋体"/>
          <w:b w:val="0"/>
          <w:bCs/>
          <w:color w:val="000000"/>
          <w:sz w:val="32"/>
          <w:szCs w:val="32"/>
        </w:rPr>
        <w:t>0</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0%</w:t>
      </w:r>
      <w:r>
        <w:rPr>
          <w:rStyle w:val="15"/>
          <w:rFonts w:hint="eastAsia" w:ascii="宋体" w:hAnsi="宋体"/>
          <w:b w:val="0"/>
          <w:bCs/>
          <w:color w:val="000000"/>
          <w:sz w:val="32"/>
          <w:szCs w:val="32"/>
        </w:rPr>
        <w:t>，决算数小于预算数的主要原因是该笔资金是</w:t>
      </w:r>
      <w:r>
        <w:rPr>
          <w:rStyle w:val="15"/>
          <w:rFonts w:ascii="宋体" w:hAnsi="宋体"/>
          <w:b w:val="0"/>
          <w:bCs/>
          <w:color w:val="000000"/>
          <w:sz w:val="32"/>
          <w:szCs w:val="32"/>
        </w:rPr>
        <w:t>2018</w:t>
      </w:r>
      <w:r>
        <w:rPr>
          <w:rStyle w:val="15"/>
          <w:rFonts w:hint="eastAsia" w:ascii="宋体" w:hAnsi="宋体"/>
          <w:b w:val="0"/>
          <w:bCs/>
          <w:color w:val="000000"/>
          <w:sz w:val="32"/>
          <w:szCs w:val="32"/>
        </w:rPr>
        <w:t>年政府特聘专家顾问经费，因尚未完成考核工作，</w:t>
      </w:r>
      <w:r>
        <w:rPr>
          <w:rStyle w:val="15"/>
          <w:rFonts w:ascii="宋体" w:hAnsi="宋体"/>
          <w:b w:val="0"/>
          <w:bCs/>
          <w:color w:val="000000"/>
          <w:sz w:val="32"/>
          <w:szCs w:val="32"/>
        </w:rPr>
        <w:t>2018</w:t>
      </w:r>
      <w:r>
        <w:rPr>
          <w:rStyle w:val="15"/>
          <w:rFonts w:hint="eastAsia" w:ascii="宋体" w:hAnsi="宋体"/>
          <w:b w:val="0"/>
          <w:bCs/>
          <w:color w:val="000000"/>
          <w:sz w:val="32"/>
          <w:szCs w:val="32"/>
        </w:rPr>
        <w:t>年未支出。</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2. </w:t>
      </w:r>
      <w:r>
        <w:rPr>
          <w:rStyle w:val="15"/>
          <w:rFonts w:hint="eastAsia" w:ascii="宋体" w:hAnsi="宋体"/>
          <w:b w:val="0"/>
          <w:bCs/>
          <w:color w:val="000000"/>
          <w:sz w:val="32"/>
          <w:szCs w:val="32"/>
        </w:rPr>
        <w:t>一般公共服务（类）</w:t>
      </w:r>
      <w:r>
        <w:rPr>
          <w:rStyle w:val="15"/>
          <w:rFonts w:ascii="宋体" w:hAnsi="宋体"/>
          <w:b w:val="0"/>
          <w:bCs/>
          <w:color w:val="000000"/>
          <w:sz w:val="32"/>
          <w:szCs w:val="32"/>
        </w:rPr>
        <w:t>201</w:t>
      </w:r>
      <w:r>
        <w:rPr>
          <w:rStyle w:val="15"/>
          <w:rFonts w:hint="eastAsia" w:ascii="宋体" w:hAnsi="宋体"/>
          <w:b w:val="0"/>
          <w:bCs/>
          <w:color w:val="000000"/>
          <w:sz w:val="32"/>
          <w:szCs w:val="32"/>
        </w:rPr>
        <w:t>（款）</w:t>
      </w:r>
      <w:r>
        <w:rPr>
          <w:rStyle w:val="15"/>
          <w:rFonts w:ascii="宋体" w:hAnsi="宋体"/>
          <w:b w:val="0"/>
          <w:bCs/>
          <w:color w:val="000000"/>
          <w:sz w:val="32"/>
          <w:szCs w:val="32"/>
        </w:rPr>
        <w:t>32</w:t>
      </w:r>
      <w:r>
        <w:rPr>
          <w:rStyle w:val="15"/>
          <w:rFonts w:hint="eastAsia" w:ascii="宋体" w:hAnsi="宋体"/>
          <w:b w:val="0"/>
          <w:bCs/>
          <w:color w:val="000000"/>
          <w:sz w:val="32"/>
          <w:szCs w:val="32"/>
        </w:rPr>
        <w:t>（项）</w:t>
      </w:r>
      <w:r>
        <w:rPr>
          <w:rStyle w:val="15"/>
          <w:rFonts w:ascii="宋体" w:hAnsi="宋体"/>
          <w:b w:val="0"/>
          <w:bCs/>
          <w:color w:val="000000"/>
          <w:sz w:val="32"/>
          <w:szCs w:val="32"/>
        </w:rPr>
        <w:t>99</w:t>
      </w:r>
      <w:r>
        <w:rPr>
          <w:rStyle w:val="15"/>
          <w:rFonts w:hint="eastAsia" w:ascii="宋体" w:hAnsi="宋体"/>
          <w:b w:val="0"/>
          <w:bCs/>
          <w:color w:val="000000"/>
          <w:sz w:val="32"/>
          <w:szCs w:val="32"/>
        </w:rPr>
        <w:t>：支出决算为</w:t>
      </w:r>
      <w:r>
        <w:rPr>
          <w:rStyle w:val="15"/>
          <w:rFonts w:ascii="宋体" w:hAnsi="宋体"/>
          <w:b w:val="0"/>
          <w:bCs/>
          <w:color w:val="000000"/>
          <w:sz w:val="32"/>
          <w:szCs w:val="32"/>
        </w:rPr>
        <w:t>12.84</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，该笔资金是援藏干部生活补助，已全部发放到位。</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3.</w:t>
      </w:r>
      <w:r>
        <w:rPr>
          <w:rStyle w:val="15"/>
          <w:rFonts w:hint="eastAsia" w:ascii="宋体" w:hAnsi="宋体"/>
          <w:b w:val="0"/>
          <w:bCs/>
          <w:color w:val="000000"/>
          <w:sz w:val="32"/>
          <w:szCs w:val="32"/>
        </w:rPr>
        <w:t>科学技术支出（类）</w:t>
      </w:r>
      <w:r>
        <w:rPr>
          <w:rStyle w:val="15"/>
          <w:rFonts w:ascii="宋体" w:hAnsi="宋体"/>
          <w:b w:val="0"/>
          <w:bCs/>
          <w:color w:val="000000"/>
          <w:sz w:val="32"/>
          <w:szCs w:val="32"/>
        </w:rPr>
        <w:t>206</w:t>
      </w:r>
      <w:r>
        <w:rPr>
          <w:rStyle w:val="15"/>
          <w:rFonts w:hint="eastAsia" w:ascii="宋体" w:hAnsi="宋体"/>
          <w:b w:val="0"/>
          <w:bCs/>
          <w:color w:val="000000"/>
          <w:sz w:val="32"/>
          <w:szCs w:val="32"/>
        </w:rPr>
        <w:t>（款）</w:t>
      </w:r>
      <w:r>
        <w:rPr>
          <w:rStyle w:val="15"/>
          <w:rFonts w:ascii="宋体" w:hAnsi="宋体"/>
          <w:b w:val="0"/>
          <w:bCs/>
          <w:color w:val="000000"/>
          <w:sz w:val="32"/>
          <w:szCs w:val="32"/>
        </w:rPr>
        <w:t>04</w:t>
      </w:r>
      <w:r>
        <w:rPr>
          <w:rStyle w:val="15"/>
          <w:rFonts w:hint="eastAsia" w:ascii="宋体" w:hAnsi="宋体"/>
          <w:b w:val="0"/>
          <w:bCs/>
          <w:color w:val="000000"/>
          <w:sz w:val="32"/>
          <w:szCs w:val="32"/>
        </w:rPr>
        <w:t>（项）</w:t>
      </w:r>
      <w:r>
        <w:rPr>
          <w:rStyle w:val="15"/>
          <w:rFonts w:ascii="宋体" w:hAnsi="宋体"/>
          <w:b w:val="0"/>
          <w:bCs/>
          <w:color w:val="000000"/>
          <w:sz w:val="32"/>
          <w:szCs w:val="32"/>
        </w:rPr>
        <w:t>02</w:t>
      </w:r>
      <w:r>
        <w:rPr>
          <w:rStyle w:val="15"/>
          <w:rFonts w:hint="eastAsia" w:ascii="宋体" w:hAnsi="宋体"/>
          <w:b w:val="0"/>
          <w:bCs/>
          <w:color w:val="000000"/>
          <w:sz w:val="32"/>
          <w:szCs w:val="32"/>
        </w:rPr>
        <w:t>：支出决算</w:t>
      </w:r>
      <w:r>
        <w:rPr>
          <w:rStyle w:val="15"/>
          <w:rFonts w:ascii="宋体" w:hAnsi="宋体"/>
          <w:b w:val="0"/>
          <w:bCs/>
          <w:color w:val="000000"/>
          <w:sz w:val="32"/>
          <w:szCs w:val="32"/>
        </w:rPr>
        <w:t>5</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，该项目资金是</w:t>
      </w:r>
      <w:r>
        <w:rPr>
          <w:rStyle w:val="15"/>
          <w:rFonts w:ascii="宋体" w:hAnsi="宋体"/>
          <w:b w:val="0"/>
          <w:bCs/>
          <w:color w:val="000000"/>
          <w:sz w:val="32"/>
          <w:szCs w:val="32"/>
        </w:rPr>
        <w:t>SMC</w:t>
      </w:r>
      <w:r>
        <w:rPr>
          <w:rStyle w:val="15"/>
          <w:rFonts w:hint="eastAsia" w:ascii="宋体" w:hAnsi="宋体"/>
          <w:b w:val="0"/>
          <w:bCs/>
          <w:color w:val="000000"/>
          <w:sz w:val="32"/>
          <w:szCs w:val="32"/>
        </w:rPr>
        <w:t>常温沥青混合料在小修保养中的应用技术费用，已支付相应单位。</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4.</w:t>
      </w:r>
      <w:r>
        <w:rPr>
          <w:rStyle w:val="15"/>
          <w:rFonts w:hint="eastAsia" w:ascii="宋体" w:hAnsi="宋体"/>
          <w:b w:val="0"/>
          <w:bCs/>
          <w:color w:val="000000"/>
          <w:sz w:val="32"/>
          <w:szCs w:val="32"/>
        </w:rPr>
        <w:t>文化体育与传媒支出（类）</w:t>
      </w:r>
      <w:r>
        <w:rPr>
          <w:rStyle w:val="15"/>
          <w:rFonts w:ascii="宋体" w:hAnsi="宋体"/>
          <w:b w:val="0"/>
          <w:bCs/>
          <w:color w:val="000000"/>
          <w:sz w:val="32"/>
          <w:szCs w:val="32"/>
        </w:rPr>
        <w:t>207</w:t>
      </w:r>
      <w:r>
        <w:rPr>
          <w:rStyle w:val="15"/>
          <w:rFonts w:hint="eastAsia" w:ascii="宋体" w:hAnsi="宋体"/>
          <w:b w:val="0"/>
          <w:bCs/>
          <w:color w:val="000000"/>
          <w:sz w:val="32"/>
          <w:szCs w:val="32"/>
        </w:rPr>
        <w:t>（款）</w:t>
      </w:r>
      <w:r>
        <w:rPr>
          <w:rStyle w:val="15"/>
          <w:rFonts w:ascii="宋体" w:hAnsi="宋体"/>
          <w:b w:val="0"/>
          <w:bCs/>
          <w:color w:val="000000"/>
          <w:sz w:val="32"/>
          <w:szCs w:val="32"/>
        </w:rPr>
        <w:t>99</w:t>
      </w:r>
      <w:r>
        <w:rPr>
          <w:rStyle w:val="15"/>
          <w:rFonts w:hint="eastAsia" w:ascii="宋体" w:hAnsi="宋体"/>
          <w:b w:val="0"/>
          <w:bCs/>
          <w:color w:val="000000"/>
          <w:sz w:val="32"/>
          <w:szCs w:val="32"/>
        </w:rPr>
        <w:t>（项）</w:t>
      </w:r>
      <w:r>
        <w:rPr>
          <w:rStyle w:val="15"/>
          <w:rFonts w:ascii="宋体" w:hAnsi="宋体"/>
          <w:b w:val="0"/>
          <w:bCs/>
          <w:color w:val="000000"/>
          <w:sz w:val="32"/>
          <w:szCs w:val="32"/>
        </w:rPr>
        <w:t>02</w:t>
      </w:r>
      <w:r>
        <w:rPr>
          <w:rStyle w:val="15"/>
          <w:rFonts w:hint="eastAsia" w:ascii="宋体" w:hAnsi="宋体"/>
          <w:b w:val="0"/>
          <w:bCs/>
          <w:color w:val="000000"/>
          <w:sz w:val="32"/>
          <w:szCs w:val="32"/>
        </w:rPr>
        <w:t>：决算</w:t>
      </w:r>
      <w:r>
        <w:rPr>
          <w:rStyle w:val="15"/>
          <w:rFonts w:ascii="宋体" w:hAnsi="宋体"/>
          <w:b w:val="0"/>
          <w:bCs/>
          <w:color w:val="000000"/>
          <w:sz w:val="32"/>
          <w:szCs w:val="32"/>
        </w:rPr>
        <w:t>5</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，该项目资金是公益广告宣传费，已支付相应单位。</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5.</w:t>
      </w:r>
      <w:r>
        <w:rPr>
          <w:rStyle w:val="15"/>
          <w:rFonts w:hint="eastAsia" w:ascii="宋体" w:hAnsi="宋体"/>
          <w:b w:val="0"/>
          <w:bCs/>
          <w:color w:val="000000"/>
          <w:sz w:val="32"/>
          <w:szCs w:val="32"/>
        </w:rPr>
        <w:t>社会保障和就业支出（类）</w:t>
      </w:r>
      <w:r>
        <w:rPr>
          <w:rStyle w:val="15"/>
          <w:rFonts w:ascii="宋体" w:hAnsi="宋体"/>
          <w:b w:val="0"/>
          <w:bCs/>
          <w:color w:val="000000"/>
          <w:sz w:val="32"/>
          <w:szCs w:val="32"/>
        </w:rPr>
        <w:t>208</w:t>
      </w:r>
      <w:r>
        <w:rPr>
          <w:rStyle w:val="15"/>
          <w:rFonts w:hint="eastAsia" w:ascii="宋体" w:hAnsi="宋体"/>
          <w:b w:val="0"/>
          <w:bCs/>
          <w:color w:val="000000"/>
          <w:sz w:val="32"/>
          <w:szCs w:val="32"/>
        </w:rPr>
        <w:t>（款）</w:t>
      </w:r>
      <w:r>
        <w:rPr>
          <w:rStyle w:val="15"/>
          <w:rFonts w:ascii="宋体" w:hAnsi="宋体"/>
          <w:b w:val="0"/>
          <w:bCs/>
          <w:color w:val="000000"/>
          <w:sz w:val="32"/>
          <w:szCs w:val="32"/>
        </w:rPr>
        <w:t>05</w:t>
      </w:r>
      <w:r>
        <w:rPr>
          <w:rStyle w:val="15"/>
          <w:rFonts w:hint="eastAsia" w:ascii="宋体" w:hAnsi="宋体"/>
          <w:b w:val="0"/>
          <w:bCs/>
          <w:color w:val="000000"/>
          <w:sz w:val="32"/>
          <w:szCs w:val="32"/>
        </w:rPr>
        <w:t>（项）</w:t>
      </w:r>
      <w:r>
        <w:rPr>
          <w:rStyle w:val="15"/>
          <w:rFonts w:ascii="宋体" w:hAnsi="宋体"/>
          <w:b w:val="0"/>
          <w:bCs/>
          <w:color w:val="000000"/>
          <w:sz w:val="32"/>
          <w:szCs w:val="32"/>
        </w:rPr>
        <w:t>04</w:t>
      </w:r>
      <w:r>
        <w:rPr>
          <w:rStyle w:val="15"/>
          <w:rFonts w:hint="eastAsia" w:ascii="宋体" w:hAnsi="宋体"/>
          <w:b w:val="0"/>
          <w:bCs/>
          <w:color w:val="000000"/>
          <w:sz w:val="32"/>
          <w:szCs w:val="32"/>
        </w:rPr>
        <w:t>：决算</w:t>
      </w:r>
      <w:r>
        <w:rPr>
          <w:rStyle w:val="15"/>
          <w:rFonts w:ascii="宋体" w:hAnsi="宋体"/>
          <w:b w:val="0"/>
          <w:bCs/>
          <w:color w:val="000000"/>
          <w:sz w:val="32"/>
          <w:szCs w:val="32"/>
        </w:rPr>
        <w:t>219.42</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，该资金是离退休费用，已全部支出。</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6. </w:t>
      </w:r>
      <w:r>
        <w:rPr>
          <w:rStyle w:val="15"/>
          <w:rFonts w:hint="eastAsia" w:ascii="宋体" w:hAnsi="宋体"/>
          <w:b w:val="0"/>
          <w:bCs/>
          <w:color w:val="000000"/>
          <w:sz w:val="32"/>
          <w:szCs w:val="32"/>
        </w:rPr>
        <w:t>社会保障和就业支出（类）</w:t>
      </w:r>
      <w:r>
        <w:rPr>
          <w:rStyle w:val="15"/>
          <w:rFonts w:ascii="宋体" w:hAnsi="宋体"/>
          <w:b w:val="0"/>
          <w:bCs/>
          <w:color w:val="000000"/>
          <w:sz w:val="32"/>
          <w:szCs w:val="32"/>
        </w:rPr>
        <w:t>208</w:t>
      </w:r>
      <w:r>
        <w:rPr>
          <w:rStyle w:val="15"/>
          <w:rFonts w:hint="eastAsia" w:ascii="宋体" w:hAnsi="宋体"/>
          <w:b w:val="0"/>
          <w:bCs/>
          <w:color w:val="000000"/>
          <w:sz w:val="32"/>
          <w:szCs w:val="32"/>
        </w:rPr>
        <w:t>（款）</w:t>
      </w:r>
      <w:r>
        <w:rPr>
          <w:rStyle w:val="15"/>
          <w:rFonts w:ascii="宋体" w:hAnsi="宋体"/>
          <w:b w:val="0"/>
          <w:bCs/>
          <w:color w:val="000000"/>
          <w:sz w:val="32"/>
          <w:szCs w:val="32"/>
        </w:rPr>
        <w:t>05</w:t>
      </w:r>
      <w:r>
        <w:rPr>
          <w:rStyle w:val="15"/>
          <w:rFonts w:hint="eastAsia" w:ascii="宋体" w:hAnsi="宋体"/>
          <w:b w:val="0"/>
          <w:bCs/>
          <w:color w:val="000000"/>
          <w:sz w:val="32"/>
          <w:szCs w:val="32"/>
        </w:rPr>
        <w:t>（项）</w:t>
      </w:r>
      <w:r>
        <w:rPr>
          <w:rStyle w:val="15"/>
          <w:rFonts w:ascii="宋体" w:hAnsi="宋体"/>
          <w:b w:val="0"/>
          <w:bCs/>
          <w:color w:val="000000"/>
          <w:sz w:val="32"/>
          <w:szCs w:val="32"/>
        </w:rPr>
        <w:t>05</w:t>
      </w:r>
      <w:r>
        <w:rPr>
          <w:rStyle w:val="15"/>
          <w:rFonts w:hint="eastAsia" w:ascii="宋体" w:hAnsi="宋体"/>
          <w:b w:val="0"/>
          <w:bCs/>
          <w:color w:val="000000"/>
          <w:sz w:val="32"/>
          <w:szCs w:val="32"/>
        </w:rPr>
        <w:t>：决算</w:t>
      </w:r>
      <w:r>
        <w:rPr>
          <w:rStyle w:val="15"/>
          <w:rFonts w:ascii="宋体" w:hAnsi="宋体"/>
          <w:b w:val="0"/>
          <w:bCs/>
          <w:color w:val="000000"/>
          <w:sz w:val="32"/>
          <w:szCs w:val="32"/>
        </w:rPr>
        <w:t>318.36</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99.98%</w:t>
      </w:r>
      <w:r>
        <w:rPr>
          <w:rStyle w:val="15"/>
          <w:rFonts w:hint="eastAsia" w:ascii="宋体" w:hAnsi="宋体"/>
          <w:b w:val="0"/>
          <w:bCs/>
          <w:color w:val="000000"/>
          <w:sz w:val="32"/>
          <w:szCs w:val="32"/>
        </w:rPr>
        <w:t>，该资金是机关事业单位养老保险缴费支出，决算数小于预算数的主要原因是因人员调整，实际支出减少。</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7. </w:t>
      </w:r>
      <w:r>
        <w:rPr>
          <w:rStyle w:val="15"/>
          <w:rFonts w:hint="eastAsia" w:ascii="宋体" w:hAnsi="宋体"/>
          <w:b w:val="0"/>
          <w:bCs/>
          <w:color w:val="000000"/>
          <w:sz w:val="32"/>
          <w:szCs w:val="32"/>
        </w:rPr>
        <w:t>社会保障和就业支出（类）</w:t>
      </w:r>
      <w:r>
        <w:rPr>
          <w:rStyle w:val="15"/>
          <w:rFonts w:ascii="宋体" w:hAnsi="宋体"/>
          <w:b w:val="0"/>
          <w:bCs/>
          <w:color w:val="000000"/>
          <w:sz w:val="32"/>
          <w:szCs w:val="32"/>
        </w:rPr>
        <w:t>208</w:t>
      </w:r>
      <w:r>
        <w:rPr>
          <w:rStyle w:val="15"/>
          <w:rFonts w:hint="eastAsia" w:ascii="宋体" w:hAnsi="宋体"/>
          <w:b w:val="0"/>
          <w:bCs/>
          <w:color w:val="000000"/>
          <w:sz w:val="32"/>
          <w:szCs w:val="32"/>
        </w:rPr>
        <w:t>（款）</w:t>
      </w:r>
      <w:r>
        <w:rPr>
          <w:rStyle w:val="15"/>
          <w:rFonts w:ascii="宋体" w:hAnsi="宋体"/>
          <w:b w:val="0"/>
          <w:bCs/>
          <w:color w:val="000000"/>
          <w:sz w:val="32"/>
          <w:szCs w:val="32"/>
        </w:rPr>
        <w:t>05</w:t>
      </w:r>
      <w:r>
        <w:rPr>
          <w:rStyle w:val="15"/>
          <w:rFonts w:hint="eastAsia" w:ascii="宋体" w:hAnsi="宋体"/>
          <w:b w:val="0"/>
          <w:bCs/>
          <w:color w:val="000000"/>
          <w:sz w:val="32"/>
          <w:szCs w:val="32"/>
        </w:rPr>
        <w:t>（项）</w:t>
      </w:r>
      <w:r>
        <w:rPr>
          <w:rStyle w:val="15"/>
          <w:rFonts w:ascii="宋体" w:hAnsi="宋体"/>
          <w:b w:val="0"/>
          <w:bCs/>
          <w:color w:val="000000"/>
          <w:sz w:val="32"/>
          <w:szCs w:val="32"/>
        </w:rPr>
        <w:t>06</w:t>
      </w:r>
      <w:r>
        <w:rPr>
          <w:rStyle w:val="15"/>
          <w:rFonts w:hint="eastAsia" w:ascii="宋体" w:hAnsi="宋体"/>
          <w:b w:val="0"/>
          <w:bCs/>
          <w:color w:val="000000"/>
          <w:sz w:val="32"/>
          <w:szCs w:val="32"/>
        </w:rPr>
        <w:t>：决算</w:t>
      </w:r>
      <w:r>
        <w:rPr>
          <w:rStyle w:val="15"/>
          <w:rFonts w:ascii="宋体" w:hAnsi="宋体"/>
          <w:b w:val="0"/>
          <w:bCs/>
          <w:color w:val="000000"/>
          <w:sz w:val="32"/>
          <w:szCs w:val="32"/>
        </w:rPr>
        <w:t>4.29</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，该资金是职业年金缴费支出，已全部支付完毕。</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8. </w:t>
      </w:r>
      <w:r>
        <w:rPr>
          <w:rStyle w:val="15"/>
          <w:rFonts w:hint="eastAsia" w:ascii="宋体" w:hAnsi="宋体"/>
          <w:b w:val="0"/>
          <w:bCs/>
          <w:color w:val="000000"/>
          <w:sz w:val="32"/>
          <w:szCs w:val="32"/>
        </w:rPr>
        <w:t>社会保障和就业支出（类）</w:t>
      </w:r>
      <w:r>
        <w:rPr>
          <w:rStyle w:val="15"/>
          <w:rFonts w:ascii="宋体" w:hAnsi="宋体"/>
          <w:b w:val="0"/>
          <w:bCs/>
          <w:color w:val="000000"/>
          <w:sz w:val="32"/>
          <w:szCs w:val="32"/>
        </w:rPr>
        <w:t>208</w:t>
      </w:r>
      <w:r>
        <w:rPr>
          <w:rStyle w:val="15"/>
          <w:rFonts w:hint="eastAsia" w:ascii="宋体" w:hAnsi="宋体"/>
          <w:b w:val="0"/>
          <w:bCs/>
          <w:color w:val="000000"/>
          <w:sz w:val="32"/>
          <w:szCs w:val="32"/>
        </w:rPr>
        <w:t>（款）</w:t>
      </w:r>
      <w:r>
        <w:rPr>
          <w:rStyle w:val="15"/>
          <w:rFonts w:ascii="宋体" w:hAnsi="宋体"/>
          <w:b w:val="0"/>
          <w:bCs/>
          <w:color w:val="000000"/>
          <w:sz w:val="32"/>
          <w:szCs w:val="32"/>
        </w:rPr>
        <w:t>05</w:t>
      </w:r>
      <w:r>
        <w:rPr>
          <w:rStyle w:val="15"/>
          <w:rFonts w:hint="eastAsia" w:ascii="宋体" w:hAnsi="宋体"/>
          <w:b w:val="0"/>
          <w:bCs/>
          <w:color w:val="000000"/>
          <w:sz w:val="32"/>
          <w:szCs w:val="32"/>
        </w:rPr>
        <w:t>（项）</w:t>
      </w:r>
      <w:r>
        <w:rPr>
          <w:rStyle w:val="15"/>
          <w:rFonts w:ascii="宋体" w:hAnsi="宋体"/>
          <w:b w:val="0"/>
          <w:bCs/>
          <w:color w:val="000000"/>
          <w:sz w:val="32"/>
          <w:szCs w:val="32"/>
        </w:rPr>
        <w:t>07</w:t>
      </w:r>
      <w:r>
        <w:rPr>
          <w:rStyle w:val="15"/>
          <w:rFonts w:hint="eastAsia" w:ascii="宋体" w:hAnsi="宋体"/>
          <w:b w:val="0"/>
          <w:bCs/>
          <w:color w:val="000000"/>
          <w:sz w:val="32"/>
          <w:szCs w:val="32"/>
        </w:rPr>
        <w:t>：决算</w:t>
      </w:r>
      <w:r>
        <w:rPr>
          <w:rStyle w:val="15"/>
          <w:rFonts w:ascii="宋体" w:hAnsi="宋体"/>
          <w:b w:val="0"/>
          <w:bCs/>
          <w:color w:val="000000"/>
          <w:sz w:val="32"/>
          <w:szCs w:val="32"/>
        </w:rPr>
        <w:t>28.16</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，该资金是机关事业单位养老保险缴费支出，已全部支付完毕。</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9. </w:t>
      </w:r>
      <w:r>
        <w:rPr>
          <w:rStyle w:val="15"/>
          <w:rFonts w:hint="eastAsia" w:ascii="宋体" w:hAnsi="宋体"/>
          <w:b w:val="0"/>
          <w:bCs/>
          <w:color w:val="000000"/>
          <w:sz w:val="32"/>
          <w:szCs w:val="32"/>
        </w:rPr>
        <w:t>社会保障和就业支出（类）</w:t>
      </w:r>
      <w:r>
        <w:rPr>
          <w:rStyle w:val="15"/>
          <w:rFonts w:ascii="宋体" w:hAnsi="宋体"/>
          <w:b w:val="0"/>
          <w:bCs/>
          <w:color w:val="000000"/>
          <w:sz w:val="32"/>
          <w:szCs w:val="32"/>
        </w:rPr>
        <w:t>208</w:t>
      </w:r>
      <w:r>
        <w:rPr>
          <w:rStyle w:val="15"/>
          <w:rFonts w:hint="eastAsia" w:ascii="宋体" w:hAnsi="宋体"/>
          <w:b w:val="0"/>
          <w:bCs/>
          <w:color w:val="000000"/>
          <w:sz w:val="32"/>
          <w:szCs w:val="32"/>
        </w:rPr>
        <w:t>（款）</w:t>
      </w:r>
      <w:r>
        <w:rPr>
          <w:rStyle w:val="15"/>
          <w:rFonts w:ascii="宋体" w:hAnsi="宋体"/>
          <w:b w:val="0"/>
          <w:bCs/>
          <w:color w:val="000000"/>
          <w:sz w:val="32"/>
          <w:szCs w:val="32"/>
        </w:rPr>
        <w:t>08</w:t>
      </w:r>
      <w:r>
        <w:rPr>
          <w:rStyle w:val="15"/>
          <w:rFonts w:hint="eastAsia" w:ascii="宋体" w:hAnsi="宋体"/>
          <w:b w:val="0"/>
          <w:bCs/>
          <w:color w:val="000000"/>
          <w:sz w:val="32"/>
          <w:szCs w:val="32"/>
        </w:rPr>
        <w:t>（项）</w:t>
      </w:r>
      <w:r>
        <w:rPr>
          <w:rStyle w:val="15"/>
          <w:rFonts w:ascii="宋体" w:hAnsi="宋体"/>
          <w:b w:val="0"/>
          <w:bCs/>
          <w:color w:val="000000"/>
          <w:sz w:val="32"/>
          <w:szCs w:val="32"/>
        </w:rPr>
        <w:t>01</w:t>
      </w:r>
      <w:r>
        <w:rPr>
          <w:rStyle w:val="15"/>
          <w:rFonts w:hint="eastAsia" w:ascii="宋体" w:hAnsi="宋体"/>
          <w:b w:val="0"/>
          <w:bCs/>
          <w:color w:val="000000"/>
          <w:sz w:val="32"/>
          <w:szCs w:val="32"/>
        </w:rPr>
        <w:t>：</w:t>
      </w:r>
    </w:p>
    <w:p>
      <w:pPr>
        <w:spacing w:line="600" w:lineRule="exact"/>
        <w:rPr>
          <w:rStyle w:val="15"/>
          <w:rFonts w:ascii="宋体"/>
          <w:b w:val="0"/>
          <w:bCs/>
          <w:color w:val="000000"/>
          <w:sz w:val="32"/>
          <w:szCs w:val="32"/>
        </w:rPr>
      </w:pPr>
      <w:r>
        <w:rPr>
          <w:rStyle w:val="15"/>
          <w:rFonts w:hint="eastAsia" w:ascii="宋体" w:hAnsi="宋体"/>
          <w:b w:val="0"/>
          <w:bCs/>
          <w:color w:val="000000"/>
          <w:sz w:val="32"/>
          <w:szCs w:val="32"/>
        </w:rPr>
        <w:t>决算</w:t>
      </w:r>
      <w:r>
        <w:rPr>
          <w:rStyle w:val="15"/>
          <w:rFonts w:ascii="宋体" w:hAnsi="宋体"/>
          <w:b w:val="0"/>
          <w:bCs/>
          <w:color w:val="000000"/>
          <w:sz w:val="32"/>
          <w:szCs w:val="32"/>
        </w:rPr>
        <w:t>19.30</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，该资金是死亡抚恤费，已全部拨付到位。</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10.</w:t>
      </w:r>
      <w:r>
        <w:rPr>
          <w:rStyle w:val="15"/>
          <w:rFonts w:hint="eastAsia" w:ascii="宋体" w:hAnsi="宋体"/>
          <w:b w:val="0"/>
          <w:bCs/>
          <w:color w:val="000000"/>
          <w:sz w:val="32"/>
          <w:szCs w:val="32"/>
        </w:rPr>
        <w:t>社会保障和就业支出（类）</w:t>
      </w:r>
      <w:r>
        <w:rPr>
          <w:rStyle w:val="15"/>
          <w:rFonts w:ascii="宋体" w:hAnsi="宋体"/>
          <w:b w:val="0"/>
          <w:bCs/>
          <w:color w:val="000000"/>
          <w:sz w:val="32"/>
          <w:szCs w:val="32"/>
        </w:rPr>
        <w:t>208</w:t>
      </w:r>
      <w:r>
        <w:rPr>
          <w:rStyle w:val="15"/>
          <w:rFonts w:hint="eastAsia" w:ascii="宋体" w:hAnsi="宋体"/>
          <w:b w:val="0"/>
          <w:bCs/>
          <w:color w:val="000000"/>
          <w:sz w:val="32"/>
          <w:szCs w:val="32"/>
        </w:rPr>
        <w:t>（款）</w:t>
      </w:r>
      <w:r>
        <w:rPr>
          <w:rStyle w:val="15"/>
          <w:rFonts w:ascii="宋体" w:hAnsi="宋体"/>
          <w:b w:val="0"/>
          <w:bCs/>
          <w:color w:val="000000"/>
          <w:sz w:val="32"/>
          <w:szCs w:val="32"/>
        </w:rPr>
        <w:t>10</w:t>
      </w:r>
      <w:r>
        <w:rPr>
          <w:rStyle w:val="15"/>
          <w:rFonts w:hint="eastAsia" w:ascii="宋体" w:hAnsi="宋体"/>
          <w:b w:val="0"/>
          <w:bCs/>
          <w:color w:val="000000"/>
          <w:sz w:val="32"/>
          <w:szCs w:val="32"/>
        </w:rPr>
        <w:t>（项）</w:t>
      </w:r>
      <w:r>
        <w:rPr>
          <w:rStyle w:val="15"/>
          <w:rFonts w:ascii="宋体" w:hAnsi="宋体"/>
          <w:b w:val="0"/>
          <w:bCs/>
          <w:color w:val="000000"/>
          <w:sz w:val="32"/>
          <w:szCs w:val="32"/>
        </w:rPr>
        <w:t>01</w:t>
      </w:r>
      <w:r>
        <w:rPr>
          <w:rStyle w:val="15"/>
          <w:rFonts w:hint="eastAsia" w:ascii="宋体" w:hAnsi="宋体"/>
          <w:b w:val="0"/>
          <w:bCs/>
          <w:color w:val="000000"/>
          <w:sz w:val="32"/>
          <w:szCs w:val="32"/>
        </w:rPr>
        <w:t>：决算</w:t>
      </w:r>
      <w:r>
        <w:rPr>
          <w:rStyle w:val="15"/>
          <w:rFonts w:ascii="宋体" w:hAnsi="宋体"/>
          <w:b w:val="0"/>
          <w:bCs/>
          <w:color w:val="000000"/>
          <w:sz w:val="32"/>
          <w:szCs w:val="32"/>
        </w:rPr>
        <w:t>0.5</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，该项目资金是关工委工作经费，已全部用于关工委工作。</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11.</w:t>
      </w:r>
      <w:r>
        <w:rPr>
          <w:rStyle w:val="15"/>
          <w:rFonts w:hint="eastAsia" w:ascii="宋体" w:hAnsi="宋体"/>
          <w:b w:val="0"/>
          <w:bCs/>
          <w:color w:val="000000"/>
          <w:sz w:val="32"/>
          <w:szCs w:val="32"/>
        </w:rPr>
        <w:t>医疗卫生与计划生育支出（类）</w:t>
      </w:r>
      <w:r>
        <w:rPr>
          <w:rStyle w:val="15"/>
          <w:rFonts w:ascii="宋体" w:hAnsi="宋体"/>
          <w:b w:val="0"/>
          <w:bCs/>
          <w:color w:val="000000"/>
          <w:sz w:val="32"/>
          <w:szCs w:val="32"/>
        </w:rPr>
        <w:t>210</w:t>
      </w:r>
      <w:r>
        <w:rPr>
          <w:rStyle w:val="15"/>
          <w:rFonts w:hint="eastAsia" w:ascii="宋体" w:hAnsi="宋体"/>
          <w:b w:val="0"/>
          <w:bCs/>
          <w:color w:val="000000"/>
          <w:sz w:val="32"/>
          <w:szCs w:val="32"/>
        </w:rPr>
        <w:t>（款）</w:t>
      </w:r>
      <w:r>
        <w:rPr>
          <w:rStyle w:val="15"/>
          <w:rFonts w:ascii="宋体" w:hAnsi="宋体"/>
          <w:b w:val="0"/>
          <w:bCs/>
          <w:color w:val="000000"/>
          <w:sz w:val="32"/>
          <w:szCs w:val="32"/>
        </w:rPr>
        <w:t>99</w:t>
      </w:r>
      <w:r>
        <w:rPr>
          <w:rStyle w:val="15"/>
          <w:rFonts w:hint="eastAsia" w:ascii="宋体" w:hAnsi="宋体"/>
          <w:b w:val="0"/>
          <w:bCs/>
          <w:color w:val="000000"/>
          <w:sz w:val="32"/>
          <w:szCs w:val="32"/>
        </w:rPr>
        <w:t>（项）</w:t>
      </w:r>
      <w:r>
        <w:rPr>
          <w:rStyle w:val="15"/>
          <w:rFonts w:ascii="宋体" w:hAnsi="宋体"/>
          <w:b w:val="0"/>
          <w:bCs/>
          <w:color w:val="000000"/>
          <w:sz w:val="32"/>
          <w:szCs w:val="32"/>
        </w:rPr>
        <w:t>01</w:t>
      </w:r>
      <w:r>
        <w:rPr>
          <w:rStyle w:val="15"/>
          <w:rFonts w:hint="eastAsia" w:ascii="宋体" w:hAnsi="宋体"/>
          <w:b w:val="0"/>
          <w:bCs/>
          <w:color w:val="000000"/>
          <w:sz w:val="32"/>
          <w:szCs w:val="32"/>
        </w:rPr>
        <w:t>：决算</w:t>
      </w:r>
      <w:r>
        <w:rPr>
          <w:rStyle w:val="15"/>
          <w:rFonts w:ascii="宋体" w:hAnsi="宋体"/>
          <w:b w:val="0"/>
          <w:bCs/>
          <w:color w:val="000000"/>
          <w:sz w:val="32"/>
          <w:szCs w:val="32"/>
        </w:rPr>
        <w:t>0.05</w:t>
      </w:r>
      <w:r>
        <w:rPr>
          <w:rStyle w:val="15"/>
          <w:rFonts w:hint="eastAsia" w:ascii="宋体" w:hAnsi="宋体"/>
          <w:b w:val="0"/>
          <w:bCs/>
          <w:color w:val="000000"/>
          <w:sz w:val="32"/>
          <w:szCs w:val="32"/>
        </w:rPr>
        <w:t>万元，完成预算</w:t>
      </w:r>
      <w:r>
        <w:rPr>
          <w:rStyle w:val="15"/>
          <w:rFonts w:ascii="宋体" w:hAnsi="宋体"/>
          <w:b w:val="0"/>
          <w:bCs/>
          <w:color w:val="000000"/>
          <w:sz w:val="32"/>
          <w:szCs w:val="32"/>
        </w:rPr>
        <w:t>100%</w:t>
      </w:r>
      <w:r>
        <w:rPr>
          <w:rStyle w:val="15"/>
          <w:rFonts w:hint="eastAsia" w:ascii="宋体" w:hAnsi="宋体"/>
          <w:b w:val="0"/>
          <w:bCs/>
          <w:color w:val="000000"/>
          <w:sz w:val="32"/>
          <w:szCs w:val="32"/>
        </w:rPr>
        <w:t>，该项目资金是干部知识分子体检费，已支付到位。</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12.</w:t>
      </w:r>
      <w:r>
        <w:rPr>
          <w:rStyle w:val="15"/>
          <w:rFonts w:hint="eastAsia" w:ascii="宋体" w:hAnsi="宋体"/>
          <w:b w:val="0"/>
          <w:bCs/>
          <w:color w:val="000000"/>
          <w:sz w:val="32"/>
          <w:szCs w:val="32"/>
        </w:rPr>
        <w:t>城乡社区支出（类）</w:t>
      </w:r>
      <w:r>
        <w:rPr>
          <w:rStyle w:val="15"/>
          <w:rFonts w:ascii="宋体" w:hAnsi="宋体"/>
          <w:b w:val="0"/>
          <w:bCs/>
          <w:color w:val="000000"/>
          <w:sz w:val="32"/>
          <w:szCs w:val="32"/>
        </w:rPr>
        <w:t>212</w:t>
      </w:r>
      <w:r>
        <w:rPr>
          <w:rStyle w:val="15"/>
          <w:rFonts w:hint="eastAsia" w:ascii="宋体" w:hAnsi="宋体"/>
          <w:b w:val="0"/>
          <w:bCs/>
          <w:color w:val="000000"/>
          <w:sz w:val="32"/>
          <w:szCs w:val="32"/>
        </w:rPr>
        <w:t>（款）</w:t>
      </w:r>
      <w:r>
        <w:rPr>
          <w:rStyle w:val="15"/>
          <w:rFonts w:ascii="宋体" w:hAnsi="宋体"/>
          <w:b w:val="0"/>
          <w:bCs/>
          <w:color w:val="000000"/>
          <w:sz w:val="32"/>
          <w:szCs w:val="32"/>
        </w:rPr>
        <w:t>99</w:t>
      </w:r>
      <w:r>
        <w:rPr>
          <w:rStyle w:val="15"/>
          <w:rFonts w:hint="eastAsia" w:ascii="宋体" w:hAnsi="宋体"/>
          <w:b w:val="0"/>
          <w:bCs/>
          <w:color w:val="000000"/>
          <w:sz w:val="32"/>
          <w:szCs w:val="32"/>
        </w:rPr>
        <w:t>（项）</w:t>
      </w:r>
      <w:r>
        <w:rPr>
          <w:rStyle w:val="15"/>
          <w:rFonts w:ascii="宋体" w:hAnsi="宋体"/>
          <w:b w:val="0"/>
          <w:bCs/>
          <w:color w:val="000000"/>
          <w:sz w:val="32"/>
          <w:szCs w:val="32"/>
        </w:rPr>
        <w:t>99</w:t>
      </w:r>
      <w:r>
        <w:rPr>
          <w:rStyle w:val="15"/>
          <w:rFonts w:hint="eastAsia" w:ascii="宋体" w:hAnsi="宋体"/>
          <w:b w:val="0"/>
          <w:bCs/>
          <w:color w:val="000000"/>
          <w:sz w:val="32"/>
          <w:szCs w:val="32"/>
        </w:rPr>
        <w:t>：决算</w:t>
      </w:r>
      <w:r>
        <w:rPr>
          <w:rStyle w:val="15"/>
          <w:rFonts w:ascii="宋体" w:hAnsi="宋体"/>
          <w:b w:val="0"/>
          <w:bCs/>
          <w:color w:val="000000"/>
          <w:sz w:val="32"/>
          <w:szCs w:val="32"/>
        </w:rPr>
        <w:t>4928.78</w:t>
      </w:r>
      <w:r>
        <w:rPr>
          <w:rStyle w:val="15"/>
          <w:rFonts w:hint="eastAsia" w:ascii="宋体" w:hAnsi="宋体"/>
          <w:b w:val="0"/>
          <w:bCs/>
          <w:color w:val="000000"/>
          <w:sz w:val="32"/>
          <w:szCs w:val="32"/>
        </w:rPr>
        <w:t>万，完成</w:t>
      </w:r>
      <w:r>
        <w:rPr>
          <w:rStyle w:val="15"/>
          <w:rFonts w:ascii="宋体" w:hAnsi="宋体"/>
          <w:b w:val="0"/>
          <w:bCs/>
          <w:color w:val="000000"/>
          <w:sz w:val="32"/>
          <w:szCs w:val="32"/>
        </w:rPr>
        <w:t>53.39%</w:t>
      </w:r>
      <w:r>
        <w:rPr>
          <w:rStyle w:val="15"/>
          <w:rFonts w:hint="eastAsia" w:ascii="宋体" w:hAnsi="宋体"/>
          <w:b w:val="0"/>
          <w:bCs/>
          <w:color w:val="000000"/>
          <w:sz w:val="32"/>
          <w:szCs w:val="32"/>
        </w:rPr>
        <w:t>，该项目资金是</w:t>
      </w:r>
      <w:r>
        <w:rPr>
          <w:rStyle w:val="15"/>
          <w:rFonts w:ascii="宋体" w:hAnsi="宋体"/>
          <w:b w:val="0"/>
          <w:bCs/>
          <w:color w:val="000000"/>
          <w:sz w:val="32"/>
          <w:szCs w:val="32"/>
        </w:rPr>
        <w:t>2017</w:t>
      </w:r>
      <w:r>
        <w:rPr>
          <w:rStyle w:val="15"/>
          <w:rFonts w:hint="eastAsia" w:ascii="宋体" w:hAnsi="宋体"/>
          <w:b w:val="0"/>
          <w:bCs/>
          <w:color w:val="000000"/>
          <w:sz w:val="32"/>
          <w:szCs w:val="32"/>
        </w:rPr>
        <w:t>年结转取消政府还贷二级收费公路专项支出及省补大中修项目资金，决算数小于预算数的主要原因是因工程未完工，未完成结算暂未支付。</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13.</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01</w:t>
      </w:r>
      <w:r>
        <w:rPr>
          <w:rStyle w:val="15"/>
          <w:rFonts w:hint="eastAsia" w:ascii="宋体" w:hAnsi="宋体"/>
          <w:b w:val="0"/>
          <w:bCs/>
          <w:color w:val="000000"/>
          <w:sz w:val="32"/>
          <w:szCs w:val="32"/>
        </w:rPr>
        <w:t>：决算</w:t>
      </w:r>
      <w:r>
        <w:rPr>
          <w:rStyle w:val="15"/>
          <w:rFonts w:ascii="宋体" w:hAnsi="宋体"/>
          <w:b w:val="0"/>
          <w:bCs/>
          <w:color w:val="000000"/>
          <w:sz w:val="32"/>
          <w:szCs w:val="32"/>
        </w:rPr>
        <w:t>3301.52</w:t>
      </w:r>
      <w:r>
        <w:rPr>
          <w:rStyle w:val="15"/>
          <w:rFonts w:hint="eastAsia" w:ascii="宋体" w:hAnsi="宋体"/>
          <w:b w:val="0"/>
          <w:bCs/>
          <w:color w:val="000000"/>
          <w:sz w:val="32"/>
          <w:szCs w:val="32"/>
        </w:rPr>
        <w:t>万元，完成</w:t>
      </w:r>
      <w:r>
        <w:rPr>
          <w:rStyle w:val="15"/>
          <w:rFonts w:ascii="宋体" w:hAnsi="宋体"/>
          <w:b w:val="0"/>
          <w:bCs/>
          <w:color w:val="000000"/>
          <w:sz w:val="32"/>
          <w:szCs w:val="32"/>
        </w:rPr>
        <w:t>99.71%</w:t>
      </w:r>
      <w:r>
        <w:rPr>
          <w:rStyle w:val="15"/>
          <w:rFonts w:hint="eastAsia" w:ascii="宋体" w:hAnsi="宋体"/>
          <w:b w:val="0"/>
          <w:bCs/>
          <w:color w:val="000000"/>
          <w:sz w:val="32"/>
          <w:szCs w:val="32"/>
        </w:rPr>
        <w:t>。该资金是行政运行费用，用于单位人员支出和日常公用经费，决算数小于预算数的主要原因是因厉行节俭，日常公用经费结余上缴财政。</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14.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02</w:t>
      </w:r>
      <w:r>
        <w:rPr>
          <w:rStyle w:val="15"/>
          <w:rFonts w:hint="eastAsia" w:ascii="宋体" w:hAnsi="宋体"/>
          <w:b w:val="0"/>
          <w:bCs/>
          <w:color w:val="000000"/>
          <w:sz w:val="32"/>
          <w:szCs w:val="32"/>
        </w:rPr>
        <w:t>：决算</w:t>
      </w:r>
      <w:r>
        <w:rPr>
          <w:rStyle w:val="15"/>
          <w:rFonts w:ascii="宋体" w:hAnsi="宋体"/>
          <w:b w:val="0"/>
          <w:bCs/>
          <w:color w:val="000000"/>
          <w:sz w:val="32"/>
          <w:szCs w:val="32"/>
        </w:rPr>
        <w:t>221</w:t>
      </w:r>
      <w:r>
        <w:rPr>
          <w:rStyle w:val="15"/>
          <w:rFonts w:hint="eastAsia" w:ascii="宋体" w:hAnsi="宋体"/>
          <w:b w:val="0"/>
          <w:bCs/>
          <w:color w:val="000000"/>
          <w:sz w:val="32"/>
          <w:szCs w:val="32"/>
        </w:rPr>
        <w:t>万元，完成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，该资金是安全经费、项目前期经费等，已全部用于相关工作开展。</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15.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04</w:t>
      </w:r>
      <w:r>
        <w:rPr>
          <w:rStyle w:val="15"/>
          <w:rFonts w:hint="eastAsia" w:ascii="宋体" w:hAnsi="宋体"/>
          <w:b w:val="0"/>
          <w:bCs/>
          <w:color w:val="000000"/>
          <w:sz w:val="32"/>
          <w:szCs w:val="32"/>
        </w:rPr>
        <w:t>：决算</w:t>
      </w:r>
      <w:r>
        <w:rPr>
          <w:rStyle w:val="15"/>
          <w:rFonts w:ascii="宋体" w:hAnsi="宋体"/>
          <w:b w:val="0"/>
          <w:bCs/>
          <w:color w:val="000000"/>
          <w:sz w:val="32"/>
          <w:szCs w:val="32"/>
        </w:rPr>
        <w:t>680</w:t>
      </w:r>
      <w:r>
        <w:rPr>
          <w:rStyle w:val="15"/>
          <w:rFonts w:hint="eastAsia" w:ascii="宋体" w:hAnsi="宋体"/>
          <w:b w:val="0"/>
          <w:bCs/>
          <w:color w:val="000000"/>
          <w:sz w:val="32"/>
          <w:szCs w:val="32"/>
        </w:rPr>
        <w:t>万元，完成</w:t>
      </w:r>
      <w:r>
        <w:rPr>
          <w:rStyle w:val="15"/>
          <w:rFonts w:ascii="宋体" w:hAnsi="宋体"/>
          <w:b w:val="0"/>
          <w:bCs/>
          <w:color w:val="000000"/>
          <w:sz w:val="32"/>
          <w:szCs w:val="32"/>
        </w:rPr>
        <w:t>58.82%</w:t>
      </w:r>
      <w:r>
        <w:rPr>
          <w:rStyle w:val="15"/>
          <w:rFonts w:hint="eastAsia" w:ascii="宋体" w:hAnsi="宋体"/>
          <w:b w:val="0"/>
          <w:bCs/>
          <w:color w:val="000000"/>
          <w:sz w:val="32"/>
          <w:szCs w:val="32"/>
        </w:rPr>
        <w:t>，该资金是水毁绿化费及省补专项资金，决算数小于预算数的主要原因是水毁绿化费尚未完成目标考核工作，尚未支付。</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16.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06</w:t>
      </w:r>
      <w:r>
        <w:rPr>
          <w:rStyle w:val="15"/>
          <w:rFonts w:hint="eastAsia" w:ascii="宋体" w:hAnsi="宋体"/>
          <w:b w:val="0"/>
          <w:bCs/>
          <w:color w:val="000000"/>
          <w:sz w:val="32"/>
          <w:szCs w:val="32"/>
        </w:rPr>
        <w:t>：决算</w:t>
      </w:r>
      <w:r>
        <w:rPr>
          <w:rStyle w:val="15"/>
          <w:rFonts w:ascii="宋体" w:hAnsi="宋体"/>
          <w:b w:val="0"/>
          <w:bCs/>
          <w:color w:val="000000"/>
          <w:sz w:val="32"/>
          <w:szCs w:val="32"/>
        </w:rPr>
        <w:t>1834.58</w:t>
      </w:r>
      <w:r>
        <w:rPr>
          <w:rStyle w:val="15"/>
          <w:rFonts w:hint="eastAsia" w:ascii="宋体" w:hAnsi="宋体"/>
          <w:b w:val="0"/>
          <w:bCs/>
          <w:color w:val="000000"/>
          <w:sz w:val="32"/>
          <w:szCs w:val="32"/>
        </w:rPr>
        <w:t>万元，完成</w:t>
      </w:r>
      <w:r>
        <w:rPr>
          <w:rStyle w:val="15"/>
          <w:rFonts w:ascii="宋体" w:hAnsi="宋体"/>
          <w:b w:val="0"/>
          <w:bCs/>
          <w:color w:val="000000"/>
          <w:sz w:val="32"/>
          <w:szCs w:val="32"/>
        </w:rPr>
        <w:t>31.22%</w:t>
      </w:r>
      <w:r>
        <w:rPr>
          <w:rStyle w:val="15"/>
          <w:rFonts w:hint="eastAsia" w:ascii="宋体" w:hAnsi="宋体"/>
          <w:b w:val="0"/>
          <w:bCs/>
          <w:color w:val="000000"/>
          <w:sz w:val="32"/>
          <w:szCs w:val="32"/>
        </w:rPr>
        <w:t>，该资金是市级国省干线大中修资金，决算数小于预算数的主要原因是国省干线大中修项目调整预算，暂未支付。</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17.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10</w:t>
      </w:r>
      <w:r>
        <w:rPr>
          <w:rStyle w:val="15"/>
          <w:rFonts w:hint="eastAsia" w:ascii="宋体" w:hAnsi="宋体"/>
          <w:b w:val="0"/>
          <w:bCs/>
          <w:color w:val="000000"/>
          <w:sz w:val="32"/>
          <w:szCs w:val="32"/>
        </w:rPr>
        <w:t>：决算</w:t>
      </w:r>
      <w:r>
        <w:rPr>
          <w:rStyle w:val="15"/>
          <w:rFonts w:ascii="宋体" w:hAnsi="宋体"/>
          <w:b w:val="0"/>
          <w:bCs/>
          <w:color w:val="000000"/>
          <w:sz w:val="32"/>
          <w:szCs w:val="32"/>
        </w:rPr>
        <w:t>70</w:t>
      </w:r>
      <w:r>
        <w:rPr>
          <w:rStyle w:val="15"/>
          <w:rFonts w:hint="eastAsia" w:ascii="宋体" w:hAnsi="宋体"/>
          <w:b w:val="0"/>
          <w:bCs/>
          <w:color w:val="000000"/>
          <w:sz w:val="32"/>
          <w:szCs w:val="32"/>
        </w:rPr>
        <w:t>万元，完成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，该资金是环保安全经费，已全部用于相关工作。</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18.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12</w:t>
      </w:r>
      <w:r>
        <w:rPr>
          <w:rStyle w:val="15"/>
          <w:rFonts w:hint="eastAsia" w:ascii="宋体" w:hAnsi="宋体"/>
          <w:b w:val="0"/>
          <w:bCs/>
          <w:color w:val="000000"/>
          <w:sz w:val="32"/>
          <w:szCs w:val="32"/>
        </w:rPr>
        <w:t>：决算</w:t>
      </w:r>
      <w:r>
        <w:rPr>
          <w:rStyle w:val="15"/>
          <w:rFonts w:ascii="宋体" w:hAnsi="宋体"/>
          <w:b w:val="0"/>
          <w:bCs/>
          <w:color w:val="000000"/>
          <w:sz w:val="32"/>
          <w:szCs w:val="32"/>
        </w:rPr>
        <w:t>13513.01</w:t>
      </w:r>
      <w:r>
        <w:rPr>
          <w:rStyle w:val="15"/>
          <w:rFonts w:hint="eastAsia" w:ascii="宋体" w:hAnsi="宋体"/>
          <w:b w:val="0"/>
          <w:bCs/>
          <w:color w:val="000000"/>
          <w:sz w:val="32"/>
          <w:szCs w:val="32"/>
        </w:rPr>
        <w:t>万元，完成</w:t>
      </w:r>
      <w:r>
        <w:rPr>
          <w:rStyle w:val="15"/>
          <w:rFonts w:ascii="宋体" w:hAnsi="宋体"/>
          <w:b w:val="0"/>
          <w:bCs/>
          <w:color w:val="000000"/>
          <w:sz w:val="32"/>
          <w:szCs w:val="32"/>
        </w:rPr>
        <w:t>88.86%</w:t>
      </w:r>
      <w:r>
        <w:rPr>
          <w:rStyle w:val="15"/>
          <w:rFonts w:hint="eastAsia" w:ascii="宋体" w:hAnsi="宋体"/>
          <w:b w:val="0"/>
          <w:bCs/>
          <w:color w:val="000000"/>
          <w:sz w:val="32"/>
          <w:szCs w:val="32"/>
        </w:rPr>
        <w:t>，该资金是养路总段人员及项目经费，决算数小于预算数的主要原因是</w:t>
      </w:r>
      <w:r>
        <w:rPr>
          <w:rStyle w:val="15"/>
          <w:rFonts w:ascii="宋体" w:hAnsi="宋体"/>
          <w:b w:val="0"/>
          <w:bCs/>
          <w:color w:val="000000"/>
          <w:sz w:val="32"/>
          <w:szCs w:val="32"/>
        </w:rPr>
        <w:t>2018</w:t>
      </w:r>
      <w:r>
        <w:rPr>
          <w:rStyle w:val="15"/>
          <w:rFonts w:hint="eastAsia" w:ascii="宋体" w:hAnsi="宋体"/>
          <w:b w:val="0"/>
          <w:bCs/>
          <w:color w:val="000000"/>
          <w:sz w:val="32"/>
          <w:szCs w:val="32"/>
        </w:rPr>
        <w:t>年养路总段人员目标考核奖资金，待</w:t>
      </w:r>
      <w:r>
        <w:rPr>
          <w:rStyle w:val="15"/>
          <w:rFonts w:ascii="宋体" w:hAnsi="宋体"/>
          <w:b w:val="0"/>
          <w:bCs/>
          <w:color w:val="000000"/>
          <w:sz w:val="32"/>
          <w:szCs w:val="32"/>
        </w:rPr>
        <w:t>2019</w:t>
      </w:r>
      <w:r>
        <w:rPr>
          <w:rStyle w:val="15"/>
          <w:rFonts w:hint="eastAsia" w:ascii="宋体" w:hAnsi="宋体"/>
          <w:b w:val="0"/>
          <w:bCs/>
          <w:color w:val="000000"/>
          <w:sz w:val="32"/>
          <w:szCs w:val="32"/>
        </w:rPr>
        <w:t>年考核完毕后发放。</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19.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23</w:t>
      </w:r>
      <w:r>
        <w:rPr>
          <w:rStyle w:val="15"/>
          <w:rFonts w:hint="eastAsia" w:ascii="宋体" w:hAnsi="宋体"/>
          <w:b w:val="0"/>
          <w:bCs/>
          <w:color w:val="000000"/>
          <w:sz w:val="32"/>
          <w:szCs w:val="32"/>
        </w:rPr>
        <w:t>：决算</w:t>
      </w:r>
      <w:r>
        <w:rPr>
          <w:rStyle w:val="15"/>
          <w:rFonts w:ascii="宋体" w:hAnsi="宋体"/>
          <w:b w:val="0"/>
          <w:bCs/>
          <w:color w:val="000000"/>
          <w:sz w:val="32"/>
          <w:szCs w:val="32"/>
        </w:rPr>
        <w:t>2.5</w:t>
      </w:r>
      <w:r>
        <w:rPr>
          <w:rStyle w:val="15"/>
          <w:rFonts w:hint="eastAsia" w:ascii="宋体" w:hAnsi="宋体"/>
          <w:b w:val="0"/>
          <w:bCs/>
          <w:color w:val="000000"/>
          <w:sz w:val="32"/>
          <w:szCs w:val="32"/>
        </w:rPr>
        <w:t>万元，完成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，该资金是海事局航道维护费，已支付完毕。</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20.</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31</w:t>
      </w:r>
      <w:r>
        <w:rPr>
          <w:rStyle w:val="15"/>
          <w:rFonts w:hint="eastAsia" w:ascii="宋体" w:hAnsi="宋体"/>
          <w:b w:val="0"/>
          <w:bCs/>
          <w:color w:val="000000"/>
          <w:sz w:val="32"/>
          <w:szCs w:val="32"/>
        </w:rPr>
        <w:t>：决算</w:t>
      </w:r>
      <w:r>
        <w:rPr>
          <w:rStyle w:val="15"/>
          <w:rFonts w:ascii="宋体" w:hAnsi="宋体"/>
          <w:b w:val="0"/>
          <w:bCs/>
          <w:color w:val="000000"/>
          <w:sz w:val="32"/>
          <w:szCs w:val="32"/>
        </w:rPr>
        <w:t>47</w:t>
      </w:r>
      <w:r>
        <w:rPr>
          <w:rStyle w:val="15"/>
          <w:rFonts w:hint="eastAsia" w:ascii="宋体" w:hAnsi="宋体"/>
          <w:b w:val="0"/>
          <w:bCs/>
          <w:color w:val="000000"/>
          <w:sz w:val="32"/>
          <w:szCs w:val="32"/>
        </w:rPr>
        <w:t>万，完成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，该资金是海事局水上安全巡航巡查经费及安全经费，已全部用于相关工作开展。</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21.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36</w:t>
      </w:r>
      <w:r>
        <w:rPr>
          <w:rStyle w:val="15"/>
          <w:rFonts w:hint="eastAsia" w:ascii="宋体" w:hAnsi="宋体"/>
          <w:b w:val="0"/>
          <w:bCs/>
          <w:color w:val="000000"/>
          <w:sz w:val="32"/>
          <w:szCs w:val="32"/>
        </w:rPr>
        <w:t>：决算</w:t>
      </w:r>
      <w:r>
        <w:rPr>
          <w:rStyle w:val="15"/>
          <w:rFonts w:ascii="宋体" w:hAnsi="宋体"/>
          <w:b w:val="0"/>
          <w:bCs/>
          <w:color w:val="000000"/>
          <w:sz w:val="32"/>
          <w:szCs w:val="32"/>
        </w:rPr>
        <w:t>3</w:t>
      </w:r>
      <w:r>
        <w:rPr>
          <w:rStyle w:val="15"/>
          <w:rFonts w:hint="eastAsia" w:ascii="宋体" w:hAnsi="宋体"/>
          <w:b w:val="0"/>
          <w:bCs/>
          <w:color w:val="000000"/>
          <w:sz w:val="32"/>
          <w:szCs w:val="32"/>
        </w:rPr>
        <w:t>万元，完成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，该资金是海事管理费，已全部用于相关工作开展。</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22.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39:</w:t>
      </w:r>
      <w:r>
        <w:rPr>
          <w:rStyle w:val="15"/>
          <w:rFonts w:hint="eastAsia" w:ascii="宋体" w:hAnsi="宋体"/>
          <w:b w:val="0"/>
          <w:bCs/>
          <w:color w:val="000000"/>
          <w:sz w:val="32"/>
          <w:szCs w:val="32"/>
        </w:rPr>
        <w:t>决算</w:t>
      </w:r>
      <w:r>
        <w:rPr>
          <w:rStyle w:val="15"/>
          <w:rFonts w:ascii="宋体" w:hAnsi="宋体"/>
          <w:b w:val="0"/>
          <w:bCs/>
          <w:color w:val="000000"/>
          <w:sz w:val="32"/>
          <w:szCs w:val="32"/>
        </w:rPr>
        <w:t>3387.17</w:t>
      </w:r>
      <w:r>
        <w:rPr>
          <w:rStyle w:val="15"/>
          <w:rFonts w:hint="eastAsia" w:ascii="宋体" w:hAnsi="宋体"/>
          <w:b w:val="0"/>
          <w:bCs/>
          <w:color w:val="000000"/>
          <w:sz w:val="32"/>
          <w:szCs w:val="32"/>
        </w:rPr>
        <w:t>万元，完成</w:t>
      </w:r>
      <w:r>
        <w:rPr>
          <w:rStyle w:val="15"/>
          <w:rFonts w:ascii="宋体" w:hAnsi="宋体"/>
          <w:b w:val="0"/>
          <w:bCs/>
          <w:color w:val="000000"/>
          <w:sz w:val="32"/>
          <w:szCs w:val="32"/>
        </w:rPr>
        <w:t>54.06%</w:t>
      </w:r>
      <w:r>
        <w:rPr>
          <w:rStyle w:val="15"/>
          <w:rFonts w:hint="eastAsia" w:ascii="宋体" w:hAnsi="宋体"/>
          <w:b w:val="0"/>
          <w:bCs/>
          <w:color w:val="000000"/>
          <w:sz w:val="32"/>
          <w:szCs w:val="32"/>
        </w:rPr>
        <w:t>，该资金是</w:t>
      </w:r>
      <w:r>
        <w:rPr>
          <w:rStyle w:val="15"/>
          <w:rFonts w:ascii="宋体" w:hAnsi="宋体"/>
          <w:b w:val="0"/>
          <w:bCs/>
          <w:color w:val="000000"/>
          <w:sz w:val="32"/>
          <w:szCs w:val="32"/>
        </w:rPr>
        <w:t>2018</w:t>
      </w:r>
      <w:r>
        <w:rPr>
          <w:rStyle w:val="15"/>
          <w:rFonts w:hint="eastAsia" w:ascii="宋体" w:hAnsi="宋体"/>
          <w:b w:val="0"/>
          <w:bCs/>
          <w:color w:val="000000"/>
          <w:sz w:val="32"/>
          <w:szCs w:val="32"/>
        </w:rPr>
        <w:t>年取消政府还贷二级收费公路专项支出，剩余资金结转</w:t>
      </w:r>
      <w:r>
        <w:rPr>
          <w:rStyle w:val="15"/>
          <w:rFonts w:ascii="宋体" w:hAnsi="宋体"/>
          <w:b w:val="0"/>
          <w:bCs/>
          <w:color w:val="000000"/>
          <w:sz w:val="32"/>
          <w:szCs w:val="32"/>
        </w:rPr>
        <w:t>2019</w:t>
      </w:r>
      <w:r>
        <w:rPr>
          <w:rStyle w:val="15"/>
          <w:rFonts w:hint="eastAsia" w:ascii="宋体" w:hAnsi="宋体"/>
          <w:b w:val="0"/>
          <w:bCs/>
          <w:color w:val="000000"/>
          <w:sz w:val="32"/>
          <w:szCs w:val="32"/>
        </w:rPr>
        <w:t>年使用。</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23.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01</w:t>
      </w:r>
      <w:r>
        <w:rPr>
          <w:rStyle w:val="15"/>
          <w:rFonts w:hint="eastAsia" w:ascii="宋体" w:hAnsi="宋体"/>
          <w:b w:val="0"/>
          <w:bCs/>
          <w:color w:val="000000"/>
          <w:sz w:val="32"/>
          <w:szCs w:val="32"/>
        </w:rPr>
        <w:t>（项）</w:t>
      </w:r>
      <w:r>
        <w:rPr>
          <w:rStyle w:val="15"/>
          <w:rFonts w:ascii="宋体" w:hAnsi="宋体"/>
          <w:b w:val="0"/>
          <w:bCs/>
          <w:color w:val="000000"/>
          <w:sz w:val="32"/>
          <w:szCs w:val="32"/>
        </w:rPr>
        <w:t>99</w:t>
      </w:r>
      <w:r>
        <w:rPr>
          <w:rStyle w:val="15"/>
          <w:rFonts w:hint="eastAsia" w:ascii="宋体" w:hAnsi="宋体"/>
          <w:b w:val="0"/>
          <w:bCs/>
          <w:color w:val="000000"/>
          <w:sz w:val="32"/>
          <w:szCs w:val="32"/>
        </w:rPr>
        <w:t>：决算</w:t>
      </w:r>
      <w:r>
        <w:rPr>
          <w:rStyle w:val="15"/>
          <w:rFonts w:ascii="宋体" w:hAnsi="宋体"/>
          <w:b w:val="0"/>
          <w:bCs/>
          <w:color w:val="000000"/>
          <w:sz w:val="32"/>
          <w:szCs w:val="32"/>
        </w:rPr>
        <w:t>532.04</w:t>
      </w:r>
      <w:r>
        <w:rPr>
          <w:rStyle w:val="15"/>
          <w:rFonts w:hint="eastAsia" w:ascii="宋体" w:hAnsi="宋体"/>
          <w:b w:val="0"/>
          <w:bCs/>
          <w:color w:val="000000"/>
          <w:sz w:val="32"/>
          <w:szCs w:val="32"/>
        </w:rPr>
        <w:t>万元，完成</w:t>
      </w:r>
      <w:r>
        <w:rPr>
          <w:rStyle w:val="15"/>
          <w:rFonts w:ascii="宋体" w:hAnsi="宋体"/>
          <w:b w:val="0"/>
          <w:bCs/>
          <w:color w:val="000000"/>
          <w:sz w:val="32"/>
          <w:szCs w:val="32"/>
        </w:rPr>
        <w:t>81.71%,</w:t>
      </w:r>
      <w:r>
        <w:rPr>
          <w:rStyle w:val="15"/>
          <w:rFonts w:hint="eastAsia" w:ascii="宋体" w:hAnsi="宋体"/>
          <w:b w:val="0"/>
          <w:bCs/>
          <w:color w:val="000000"/>
          <w:sz w:val="32"/>
          <w:szCs w:val="32"/>
        </w:rPr>
        <w:t>该资金是机场路地质灾害应急工程等资金，因调整项目，结余资金调整</w:t>
      </w:r>
      <w:r>
        <w:rPr>
          <w:rStyle w:val="15"/>
          <w:rFonts w:ascii="宋体" w:hAnsi="宋体"/>
          <w:b w:val="0"/>
          <w:bCs/>
          <w:color w:val="000000"/>
          <w:sz w:val="32"/>
          <w:szCs w:val="32"/>
        </w:rPr>
        <w:t>2019</w:t>
      </w:r>
      <w:r>
        <w:rPr>
          <w:rStyle w:val="15"/>
          <w:rFonts w:hint="eastAsia" w:ascii="宋体" w:hAnsi="宋体"/>
          <w:b w:val="0"/>
          <w:bCs/>
          <w:color w:val="000000"/>
          <w:sz w:val="32"/>
          <w:szCs w:val="32"/>
        </w:rPr>
        <w:t>年其他项目使用。</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24.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04</w:t>
      </w:r>
      <w:r>
        <w:rPr>
          <w:rStyle w:val="15"/>
          <w:rFonts w:hint="eastAsia" w:ascii="宋体" w:hAnsi="宋体"/>
          <w:b w:val="0"/>
          <w:bCs/>
          <w:color w:val="000000"/>
          <w:sz w:val="32"/>
          <w:szCs w:val="32"/>
        </w:rPr>
        <w:t>（项）</w:t>
      </w:r>
      <w:r>
        <w:rPr>
          <w:rStyle w:val="15"/>
          <w:rFonts w:ascii="宋体" w:hAnsi="宋体"/>
          <w:b w:val="0"/>
          <w:bCs/>
          <w:color w:val="000000"/>
          <w:sz w:val="32"/>
          <w:szCs w:val="32"/>
        </w:rPr>
        <w:t>03</w:t>
      </w:r>
      <w:r>
        <w:rPr>
          <w:rStyle w:val="15"/>
          <w:rFonts w:hint="eastAsia" w:ascii="宋体" w:hAnsi="宋体"/>
          <w:b w:val="0"/>
          <w:bCs/>
          <w:color w:val="000000"/>
          <w:sz w:val="32"/>
          <w:szCs w:val="32"/>
        </w:rPr>
        <w:t>：决算</w:t>
      </w:r>
      <w:r>
        <w:rPr>
          <w:rStyle w:val="15"/>
          <w:rFonts w:ascii="宋体" w:hAnsi="宋体"/>
          <w:b w:val="0"/>
          <w:bCs/>
          <w:color w:val="000000"/>
          <w:sz w:val="32"/>
          <w:szCs w:val="32"/>
        </w:rPr>
        <w:t>3338.65</w:t>
      </w:r>
      <w:r>
        <w:rPr>
          <w:rStyle w:val="15"/>
          <w:rFonts w:hint="eastAsia" w:ascii="宋体" w:hAnsi="宋体"/>
          <w:b w:val="0"/>
          <w:bCs/>
          <w:color w:val="000000"/>
          <w:sz w:val="32"/>
          <w:szCs w:val="32"/>
        </w:rPr>
        <w:t>万元，完成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，该资金是成品油价格改革对交通运输的补贴资金，用于出租车补贴，已全部补贴到位。</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25.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04</w:t>
      </w:r>
      <w:r>
        <w:rPr>
          <w:rStyle w:val="15"/>
          <w:rFonts w:hint="eastAsia" w:ascii="宋体" w:hAnsi="宋体"/>
          <w:b w:val="0"/>
          <w:bCs/>
          <w:color w:val="000000"/>
          <w:sz w:val="32"/>
          <w:szCs w:val="32"/>
        </w:rPr>
        <w:t>（项）</w:t>
      </w:r>
      <w:r>
        <w:rPr>
          <w:rStyle w:val="15"/>
          <w:rFonts w:ascii="宋体" w:hAnsi="宋体"/>
          <w:b w:val="0"/>
          <w:bCs/>
          <w:color w:val="000000"/>
          <w:sz w:val="32"/>
          <w:szCs w:val="32"/>
        </w:rPr>
        <w:t>04</w:t>
      </w:r>
      <w:r>
        <w:rPr>
          <w:rStyle w:val="15"/>
          <w:rFonts w:hint="eastAsia" w:ascii="宋体" w:hAnsi="宋体"/>
          <w:b w:val="0"/>
          <w:bCs/>
          <w:color w:val="000000"/>
          <w:sz w:val="32"/>
          <w:szCs w:val="32"/>
        </w:rPr>
        <w:t>：决算</w:t>
      </w:r>
      <w:r>
        <w:rPr>
          <w:rStyle w:val="15"/>
          <w:rFonts w:ascii="宋体" w:hAnsi="宋体"/>
          <w:b w:val="0"/>
          <w:bCs/>
          <w:color w:val="000000"/>
          <w:sz w:val="32"/>
          <w:szCs w:val="32"/>
        </w:rPr>
        <w:t>20.37</w:t>
      </w:r>
      <w:r>
        <w:rPr>
          <w:rStyle w:val="15"/>
          <w:rFonts w:hint="eastAsia" w:ascii="宋体" w:hAnsi="宋体"/>
          <w:b w:val="0"/>
          <w:bCs/>
          <w:color w:val="000000"/>
          <w:sz w:val="32"/>
          <w:szCs w:val="32"/>
        </w:rPr>
        <w:t>万元，完成</w:t>
      </w:r>
      <w:r>
        <w:rPr>
          <w:rStyle w:val="15"/>
          <w:rFonts w:ascii="宋体" w:hAnsi="宋体"/>
          <w:b w:val="0"/>
          <w:bCs/>
          <w:color w:val="000000"/>
          <w:sz w:val="32"/>
          <w:szCs w:val="32"/>
        </w:rPr>
        <w:t>8.30%</w:t>
      </w:r>
      <w:r>
        <w:rPr>
          <w:rStyle w:val="15"/>
          <w:rFonts w:hint="eastAsia" w:ascii="宋体" w:hAnsi="宋体"/>
          <w:b w:val="0"/>
          <w:bCs/>
          <w:color w:val="000000"/>
          <w:sz w:val="32"/>
          <w:szCs w:val="32"/>
        </w:rPr>
        <w:t>，该资金是水上应急救助站建设补助资金，因项目尚未建设，暂未支付。</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26.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06</w:t>
      </w:r>
      <w:r>
        <w:rPr>
          <w:rStyle w:val="15"/>
          <w:rFonts w:hint="eastAsia" w:ascii="宋体" w:hAnsi="宋体"/>
          <w:b w:val="0"/>
          <w:bCs/>
          <w:color w:val="000000"/>
          <w:sz w:val="32"/>
          <w:szCs w:val="32"/>
        </w:rPr>
        <w:t>（项）</w:t>
      </w:r>
      <w:r>
        <w:rPr>
          <w:rStyle w:val="15"/>
          <w:rFonts w:ascii="宋体" w:hAnsi="宋体"/>
          <w:b w:val="0"/>
          <w:bCs/>
          <w:color w:val="000000"/>
          <w:sz w:val="32"/>
          <w:szCs w:val="32"/>
        </w:rPr>
        <w:t>01</w:t>
      </w:r>
      <w:r>
        <w:rPr>
          <w:rStyle w:val="15"/>
          <w:rFonts w:hint="eastAsia" w:ascii="宋体" w:hAnsi="宋体"/>
          <w:b w:val="0"/>
          <w:bCs/>
          <w:color w:val="000000"/>
          <w:sz w:val="32"/>
          <w:szCs w:val="32"/>
        </w:rPr>
        <w:t>：决算</w:t>
      </w:r>
      <w:r>
        <w:rPr>
          <w:rStyle w:val="15"/>
          <w:rFonts w:ascii="宋体" w:hAnsi="宋体"/>
          <w:b w:val="0"/>
          <w:bCs/>
          <w:color w:val="000000"/>
          <w:sz w:val="32"/>
          <w:szCs w:val="32"/>
        </w:rPr>
        <w:t>52.80</w:t>
      </w:r>
      <w:r>
        <w:rPr>
          <w:rStyle w:val="15"/>
          <w:rFonts w:hint="eastAsia" w:ascii="宋体" w:hAnsi="宋体"/>
          <w:b w:val="0"/>
          <w:bCs/>
          <w:color w:val="000000"/>
          <w:sz w:val="32"/>
          <w:szCs w:val="32"/>
        </w:rPr>
        <w:t>万元，完成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，该资金是格里坪超限战建设资金，已支付到位。</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 xml:space="preserve">27. </w:t>
      </w:r>
      <w:r>
        <w:rPr>
          <w:rStyle w:val="15"/>
          <w:rFonts w:hint="eastAsia" w:ascii="宋体" w:hAnsi="宋体"/>
          <w:b w:val="0"/>
          <w:bCs/>
          <w:color w:val="000000"/>
          <w:sz w:val="32"/>
          <w:szCs w:val="32"/>
        </w:rPr>
        <w:t>交通运输支出（类）</w:t>
      </w:r>
      <w:r>
        <w:rPr>
          <w:rStyle w:val="15"/>
          <w:rFonts w:ascii="宋体" w:hAnsi="宋体"/>
          <w:b w:val="0"/>
          <w:bCs/>
          <w:color w:val="000000"/>
          <w:sz w:val="32"/>
          <w:szCs w:val="32"/>
        </w:rPr>
        <w:t>214</w:t>
      </w:r>
      <w:r>
        <w:rPr>
          <w:rStyle w:val="15"/>
          <w:rFonts w:hint="eastAsia" w:ascii="宋体" w:hAnsi="宋体"/>
          <w:b w:val="0"/>
          <w:bCs/>
          <w:color w:val="000000"/>
          <w:sz w:val="32"/>
          <w:szCs w:val="32"/>
        </w:rPr>
        <w:t>（款）</w:t>
      </w:r>
      <w:r>
        <w:rPr>
          <w:rStyle w:val="15"/>
          <w:rFonts w:ascii="宋体" w:hAnsi="宋体"/>
          <w:b w:val="0"/>
          <w:bCs/>
          <w:color w:val="000000"/>
          <w:sz w:val="32"/>
          <w:szCs w:val="32"/>
        </w:rPr>
        <w:t>06</w:t>
      </w:r>
      <w:r>
        <w:rPr>
          <w:rStyle w:val="15"/>
          <w:rFonts w:hint="eastAsia" w:ascii="宋体" w:hAnsi="宋体"/>
          <w:b w:val="0"/>
          <w:bCs/>
          <w:color w:val="000000"/>
          <w:sz w:val="32"/>
          <w:szCs w:val="32"/>
        </w:rPr>
        <w:t>（项）</w:t>
      </w:r>
      <w:r>
        <w:rPr>
          <w:rStyle w:val="15"/>
          <w:rFonts w:ascii="宋体" w:hAnsi="宋体"/>
          <w:b w:val="0"/>
          <w:bCs/>
          <w:color w:val="000000"/>
          <w:sz w:val="32"/>
          <w:szCs w:val="32"/>
        </w:rPr>
        <w:t>99</w:t>
      </w:r>
      <w:r>
        <w:rPr>
          <w:rStyle w:val="15"/>
          <w:rFonts w:hint="eastAsia" w:ascii="宋体" w:hAnsi="宋体"/>
          <w:b w:val="0"/>
          <w:bCs/>
          <w:color w:val="000000"/>
          <w:sz w:val="32"/>
          <w:szCs w:val="32"/>
        </w:rPr>
        <w:t>：决算</w:t>
      </w:r>
      <w:r>
        <w:rPr>
          <w:rStyle w:val="15"/>
          <w:rFonts w:ascii="宋体" w:hAnsi="宋体"/>
          <w:b w:val="0"/>
          <w:bCs/>
          <w:color w:val="000000"/>
          <w:sz w:val="32"/>
          <w:szCs w:val="32"/>
        </w:rPr>
        <w:t>150</w:t>
      </w:r>
      <w:r>
        <w:rPr>
          <w:rStyle w:val="15"/>
          <w:rFonts w:hint="eastAsia" w:ascii="宋体" w:hAnsi="宋体"/>
          <w:b w:val="0"/>
          <w:bCs/>
          <w:color w:val="000000"/>
          <w:sz w:val="32"/>
          <w:szCs w:val="32"/>
        </w:rPr>
        <w:t>万元，完成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，该资金是国省干线服务区建设资金，已支付到位。</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28.</w:t>
      </w:r>
      <w:r>
        <w:rPr>
          <w:rStyle w:val="15"/>
          <w:rFonts w:hint="eastAsia" w:ascii="宋体" w:hAnsi="宋体"/>
          <w:b w:val="0"/>
          <w:bCs/>
          <w:color w:val="000000"/>
          <w:sz w:val="32"/>
          <w:szCs w:val="32"/>
        </w:rPr>
        <w:t>住房保障支出（类）</w:t>
      </w:r>
      <w:r>
        <w:rPr>
          <w:rStyle w:val="15"/>
          <w:rFonts w:ascii="宋体" w:hAnsi="宋体"/>
          <w:b w:val="0"/>
          <w:bCs/>
          <w:color w:val="000000"/>
          <w:sz w:val="32"/>
          <w:szCs w:val="32"/>
        </w:rPr>
        <w:t>221</w:t>
      </w:r>
      <w:r>
        <w:rPr>
          <w:rStyle w:val="15"/>
          <w:rFonts w:hint="eastAsia" w:ascii="宋体" w:hAnsi="宋体"/>
          <w:b w:val="0"/>
          <w:bCs/>
          <w:color w:val="000000"/>
          <w:sz w:val="32"/>
          <w:szCs w:val="32"/>
        </w:rPr>
        <w:t>（款）</w:t>
      </w:r>
      <w:r>
        <w:rPr>
          <w:rStyle w:val="15"/>
          <w:rFonts w:ascii="宋体" w:hAnsi="宋体"/>
          <w:b w:val="0"/>
          <w:bCs/>
          <w:color w:val="000000"/>
          <w:sz w:val="32"/>
          <w:szCs w:val="32"/>
        </w:rPr>
        <w:t>02</w:t>
      </w:r>
      <w:r>
        <w:rPr>
          <w:rStyle w:val="15"/>
          <w:rFonts w:hint="eastAsia" w:ascii="宋体" w:hAnsi="宋体"/>
          <w:b w:val="0"/>
          <w:bCs/>
          <w:color w:val="000000"/>
          <w:sz w:val="32"/>
          <w:szCs w:val="32"/>
        </w:rPr>
        <w:t>（项）</w:t>
      </w:r>
      <w:r>
        <w:rPr>
          <w:rStyle w:val="15"/>
          <w:rFonts w:ascii="宋体" w:hAnsi="宋体"/>
          <w:b w:val="0"/>
          <w:bCs/>
          <w:color w:val="000000"/>
          <w:sz w:val="32"/>
          <w:szCs w:val="32"/>
        </w:rPr>
        <w:t>01</w:t>
      </w:r>
      <w:r>
        <w:rPr>
          <w:rStyle w:val="15"/>
          <w:rFonts w:hint="eastAsia" w:ascii="宋体" w:hAnsi="宋体"/>
          <w:b w:val="0"/>
          <w:bCs/>
          <w:color w:val="000000"/>
          <w:sz w:val="32"/>
          <w:szCs w:val="32"/>
        </w:rPr>
        <w:t>：决算</w:t>
      </w:r>
      <w:r>
        <w:rPr>
          <w:rStyle w:val="15"/>
          <w:rFonts w:ascii="宋体" w:hAnsi="宋体"/>
          <w:b w:val="0"/>
          <w:bCs/>
          <w:color w:val="000000"/>
          <w:sz w:val="32"/>
          <w:szCs w:val="32"/>
        </w:rPr>
        <w:t>313.56</w:t>
      </w:r>
      <w:r>
        <w:rPr>
          <w:rStyle w:val="15"/>
          <w:rFonts w:hint="eastAsia" w:ascii="宋体" w:hAnsi="宋体"/>
          <w:b w:val="0"/>
          <w:bCs/>
          <w:color w:val="000000"/>
          <w:sz w:val="32"/>
          <w:szCs w:val="32"/>
        </w:rPr>
        <w:t>万元，完成</w:t>
      </w:r>
      <w:r>
        <w:rPr>
          <w:rStyle w:val="15"/>
          <w:rFonts w:ascii="宋体" w:hAnsi="宋体"/>
          <w:b w:val="0"/>
          <w:bCs/>
          <w:color w:val="000000"/>
          <w:sz w:val="32"/>
          <w:szCs w:val="32"/>
        </w:rPr>
        <w:t>100%</w:t>
      </w:r>
      <w:r>
        <w:rPr>
          <w:rStyle w:val="15"/>
          <w:rFonts w:hint="eastAsia" w:ascii="宋体" w:hAnsi="宋体"/>
          <w:b w:val="0"/>
          <w:bCs/>
          <w:color w:val="000000"/>
          <w:sz w:val="32"/>
          <w:szCs w:val="32"/>
        </w:rPr>
        <w:t>，该资金是住房公积金支出，已全部支付。</w:t>
      </w:r>
    </w:p>
    <w:p>
      <w:pPr>
        <w:spacing w:line="600" w:lineRule="exact"/>
        <w:ind w:firstLine="643"/>
        <w:rPr>
          <w:rStyle w:val="15"/>
          <w:rFonts w:ascii="宋体"/>
          <w:b w:val="0"/>
          <w:bCs/>
          <w:color w:val="000000"/>
          <w:sz w:val="32"/>
          <w:szCs w:val="32"/>
        </w:rPr>
      </w:pPr>
      <w:r>
        <w:rPr>
          <w:rStyle w:val="15"/>
          <w:rFonts w:ascii="宋体" w:hAnsi="宋体"/>
          <w:b w:val="0"/>
          <w:bCs/>
          <w:color w:val="000000"/>
          <w:sz w:val="32"/>
          <w:szCs w:val="32"/>
        </w:rPr>
        <w:t>29.</w:t>
      </w:r>
      <w:r>
        <w:rPr>
          <w:rStyle w:val="15"/>
          <w:rFonts w:hint="eastAsia" w:ascii="宋体" w:hAnsi="宋体"/>
          <w:b w:val="0"/>
          <w:bCs/>
          <w:color w:val="000000"/>
          <w:sz w:val="32"/>
          <w:szCs w:val="32"/>
        </w:rPr>
        <w:t>其他支出（类）</w:t>
      </w:r>
      <w:r>
        <w:rPr>
          <w:rStyle w:val="15"/>
          <w:rFonts w:ascii="宋体" w:hAnsi="宋体"/>
          <w:b w:val="0"/>
          <w:bCs/>
          <w:color w:val="000000"/>
          <w:sz w:val="32"/>
          <w:szCs w:val="32"/>
        </w:rPr>
        <w:t>229</w:t>
      </w:r>
      <w:r>
        <w:rPr>
          <w:rStyle w:val="15"/>
          <w:rFonts w:hint="eastAsia" w:ascii="宋体" w:hAnsi="宋体"/>
          <w:b w:val="0"/>
          <w:bCs/>
          <w:color w:val="000000"/>
          <w:sz w:val="32"/>
          <w:szCs w:val="32"/>
        </w:rPr>
        <w:t>（款）</w:t>
      </w:r>
      <w:r>
        <w:rPr>
          <w:rStyle w:val="15"/>
          <w:rFonts w:ascii="宋体" w:hAnsi="宋体"/>
          <w:b w:val="0"/>
          <w:bCs/>
          <w:color w:val="000000"/>
          <w:sz w:val="32"/>
          <w:szCs w:val="32"/>
        </w:rPr>
        <w:t>99</w:t>
      </w:r>
      <w:r>
        <w:rPr>
          <w:rStyle w:val="15"/>
          <w:rFonts w:hint="eastAsia" w:ascii="宋体" w:hAnsi="宋体"/>
          <w:b w:val="0"/>
          <w:bCs/>
          <w:color w:val="000000"/>
          <w:sz w:val="32"/>
          <w:szCs w:val="32"/>
        </w:rPr>
        <w:t>（项）</w:t>
      </w:r>
      <w:r>
        <w:rPr>
          <w:rStyle w:val="15"/>
          <w:rFonts w:ascii="宋体" w:hAnsi="宋体"/>
          <w:b w:val="0"/>
          <w:bCs/>
          <w:color w:val="000000"/>
          <w:sz w:val="32"/>
          <w:szCs w:val="32"/>
        </w:rPr>
        <w:t>01</w:t>
      </w:r>
      <w:r>
        <w:rPr>
          <w:rStyle w:val="15"/>
          <w:rFonts w:hint="eastAsia" w:ascii="宋体" w:hAnsi="宋体"/>
          <w:b w:val="0"/>
          <w:bCs/>
          <w:color w:val="000000"/>
          <w:sz w:val="32"/>
          <w:szCs w:val="32"/>
        </w:rPr>
        <w:t>：决算</w:t>
      </w:r>
      <w:r>
        <w:rPr>
          <w:rStyle w:val="15"/>
          <w:rFonts w:ascii="宋体"/>
          <w:b w:val="0"/>
          <w:bCs/>
          <w:color w:val="000000"/>
          <w:sz w:val="32"/>
          <w:szCs w:val="32"/>
        </w:rPr>
        <w:t>0</w:t>
      </w:r>
      <w:r>
        <w:rPr>
          <w:rStyle w:val="15"/>
          <w:rFonts w:hint="eastAsia" w:ascii="宋体" w:hAnsi="宋体"/>
          <w:b w:val="0"/>
          <w:bCs/>
          <w:color w:val="000000"/>
          <w:sz w:val="32"/>
          <w:szCs w:val="32"/>
        </w:rPr>
        <w:t>万元，完成</w:t>
      </w:r>
      <w:r>
        <w:rPr>
          <w:rStyle w:val="15"/>
          <w:rFonts w:ascii="宋体" w:hAnsi="宋体"/>
          <w:b w:val="0"/>
          <w:bCs/>
          <w:color w:val="000000"/>
          <w:sz w:val="32"/>
          <w:szCs w:val="32"/>
        </w:rPr>
        <w:t>0%</w:t>
      </w:r>
      <w:r>
        <w:rPr>
          <w:rStyle w:val="15"/>
          <w:rFonts w:hint="eastAsia" w:ascii="宋体" w:hAnsi="宋体"/>
          <w:b w:val="0"/>
          <w:bCs/>
          <w:color w:val="000000"/>
          <w:sz w:val="32"/>
          <w:szCs w:val="32"/>
        </w:rPr>
        <w:t>，该资金是西区至盐源高速前期经费，结转</w:t>
      </w:r>
      <w:r>
        <w:rPr>
          <w:rStyle w:val="15"/>
          <w:rFonts w:ascii="宋体" w:hAnsi="宋体"/>
          <w:b w:val="0"/>
          <w:bCs/>
          <w:color w:val="000000"/>
          <w:sz w:val="32"/>
          <w:szCs w:val="32"/>
        </w:rPr>
        <w:t>2019</w:t>
      </w:r>
      <w:r>
        <w:rPr>
          <w:rStyle w:val="15"/>
          <w:rFonts w:hint="eastAsia" w:ascii="宋体" w:hAnsi="宋体"/>
          <w:b w:val="0"/>
          <w:bCs/>
          <w:color w:val="000000"/>
          <w:sz w:val="32"/>
          <w:szCs w:val="32"/>
        </w:rPr>
        <w:t>年用于开展相关前期工作。</w:t>
      </w:r>
    </w:p>
    <w:p>
      <w:pPr>
        <w:tabs>
          <w:tab w:val="right" w:pos="8306"/>
        </w:tabs>
        <w:spacing w:line="600" w:lineRule="exact"/>
        <w:ind w:firstLine="640"/>
        <w:outlineLvl w:val="1"/>
        <w:rPr>
          <w:rStyle w:val="18"/>
          <w:rFonts w:ascii="宋体" w:hAnsi="Times New Roman"/>
          <w:b w:val="0"/>
        </w:rPr>
      </w:pPr>
      <w:bookmarkStart w:id="44" w:name="_Toc15377214"/>
      <w:bookmarkStart w:id="45" w:name="_Toc15396608"/>
      <w:r>
        <w:rPr>
          <w:rFonts w:hint="eastAsia" w:ascii="宋体" w:hAnsi="宋体"/>
          <w:color w:val="000000"/>
          <w:sz w:val="32"/>
          <w:szCs w:val="32"/>
        </w:rPr>
        <w:t>六、一</w:t>
      </w:r>
      <w:r>
        <w:rPr>
          <w:rStyle w:val="18"/>
          <w:rFonts w:hint="eastAsia" w:ascii="宋体" w:hAnsi="宋体"/>
          <w:b w:val="0"/>
        </w:rPr>
        <w:t>般公共预算财政拨款基本支出决算情况说明</w:t>
      </w:r>
      <w:bookmarkEnd w:id="44"/>
      <w:bookmarkEnd w:id="45"/>
      <w:r>
        <w:rPr>
          <w:rStyle w:val="18"/>
          <w:rFonts w:ascii="宋体" w:hAnsi="Times New Roman"/>
          <w:b w:val="0"/>
        </w:rPr>
        <w:tab/>
      </w:r>
    </w:p>
    <w:p>
      <w:pPr>
        <w:spacing w:line="600" w:lineRule="exact"/>
        <w:ind w:firstLine="645"/>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年一般公共预算财政拨款基本支出</w:t>
      </w:r>
      <w:r>
        <w:rPr>
          <w:rFonts w:ascii="宋体" w:hAnsi="宋体"/>
          <w:color w:val="000000"/>
          <w:sz w:val="32"/>
          <w:szCs w:val="32"/>
        </w:rPr>
        <w:t>15035.38</w:t>
      </w:r>
      <w:r>
        <w:rPr>
          <w:rFonts w:hint="eastAsia" w:ascii="宋体" w:hAnsi="宋体"/>
          <w:color w:val="000000"/>
          <w:sz w:val="32"/>
          <w:szCs w:val="32"/>
        </w:rPr>
        <w:t>万元，其中：</w:t>
      </w:r>
    </w:p>
    <w:p>
      <w:pPr>
        <w:spacing w:line="600" w:lineRule="exact"/>
        <w:ind w:firstLine="645"/>
        <w:rPr>
          <w:rFonts w:ascii="宋体"/>
          <w:color w:val="000000"/>
          <w:sz w:val="32"/>
          <w:szCs w:val="32"/>
        </w:rPr>
      </w:pPr>
      <w:r>
        <w:rPr>
          <w:rFonts w:hint="eastAsia" w:ascii="宋体" w:hAnsi="宋体"/>
          <w:color w:val="000000"/>
          <w:sz w:val="32"/>
          <w:szCs w:val="32"/>
        </w:rPr>
        <w:t>人员经费</w:t>
      </w:r>
      <w:r>
        <w:rPr>
          <w:rFonts w:ascii="宋体" w:hAnsi="宋体"/>
          <w:color w:val="000000"/>
          <w:sz w:val="32"/>
          <w:szCs w:val="32"/>
        </w:rPr>
        <w:t>14438.65</w:t>
      </w:r>
      <w:r>
        <w:rPr>
          <w:rFonts w:hint="eastAsia" w:ascii="宋体" w:hAnsi="宋体"/>
          <w:color w:val="000000"/>
          <w:sz w:val="32"/>
          <w:szCs w:val="32"/>
        </w:rPr>
        <w:t>万元，主要包括：基本工资、津贴补贴、奖金、绩效工资、机关事业单位基本养老保险缴费、职业年金缴费、职工基本医疗保险缴费、公务员医疗补助缴费、其他社会保障缴费、住房公积金、医疗费、其他工资福利支出、离休费、退休费、抚恤金、生活补助、医疗费、奖励金、其他对个人和家庭的补助支出等。</w:t>
      </w:r>
      <w:r>
        <w:rPr>
          <w:rFonts w:ascii="宋体"/>
          <w:color w:val="000000"/>
          <w:sz w:val="32"/>
          <w:szCs w:val="32"/>
        </w:rPr>
        <w:br w:type="textWrapping"/>
      </w:r>
      <w:r>
        <w:rPr>
          <w:rFonts w:hint="eastAsia" w:ascii="宋体" w:hAnsi="宋体"/>
          <w:color w:val="000000"/>
          <w:sz w:val="32"/>
          <w:szCs w:val="32"/>
        </w:rPr>
        <w:t>　　公用经费</w:t>
      </w:r>
      <w:r>
        <w:rPr>
          <w:rFonts w:ascii="宋体" w:hAnsi="宋体"/>
          <w:color w:val="000000"/>
          <w:sz w:val="32"/>
          <w:szCs w:val="32"/>
        </w:rPr>
        <w:t>596.73</w:t>
      </w:r>
      <w:r>
        <w:rPr>
          <w:rFonts w:hint="eastAsia" w:ascii="宋体" w:hAnsi="宋体"/>
          <w:color w:val="000000"/>
          <w:sz w:val="32"/>
          <w:szCs w:val="32"/>
        </w:rPr>
        <w:t>万元，主要包括：办公费、印刷费、手续费、水费、电费、邮电费、物业管理费、差旅费、维修（护）费、租赁费、会议费、培训费、公务接待费、专用材料费、劳务费、工会经费、福利费、公务用车运行维护费、其他交通费、其他商品和服务支出、办公设备购置等。</w:t>
      </w:r>
    </w:p>
    <w:p>
      <w:pPr>
        <w:spacing w:line="600" w:lineRule="exact"/>
        <w:ind w:firstLine="640"/>
        <w:outlineLvl w:val="1"/>
        <w:rPr>
          <w:rStyle w:val="18"/>
          <w:rFonts w:ascii="宋体" w:hAnsi="Times New Roman"/>
          <w:b w:val="0"/>
        </w:rPr>
      </w:pPr>
      <w:bookmarkStart w:id="46" w:name="_Toc15396609"/>
      <w:bookmarkStart w:id="47" w:name="_Toc15377215"/>
      <w:r>
        <w:rPr>
          <w:rFonts w:hint="eastAsia" w:ascii="宋体" w:hAnsi="宋体"/>
          <w:color w:val="000000"/>
          <w:sz w:val="32"/>
          <w:szCs w:val="32"/>
        </w:rPr>
        <w:t>七、</w:t>
      </w:r>
      <w:r>
        <w:rPr>
          <w:rStyle w:val="18"/>
          <w:rFonts w:hint="eastAsia" w:ascii="宋体" w:hAnsi="宋体"/>
          <w:b w:val="0"/>
        </w:rPr>
        <w:t>“三公”经费财政拨款支出决算情况说明</w:t>
      </w:r>
      <w:bookmarkEnd w:id="46"/>
      <w:bookmarkEnd w:id="47"/>
    </w:p>
    <w:p>
      <w:pPr>
        <w:spacing w:line="600" w:lineRule="exact"/>
        <w:ind w:firstLine="640"/>
        <w:outlineLvl w:val="2"/>
        <w:rPr>
          <w:rFonts w:ascii="宋体"/>
          <w:color w:val="000000"/>
          <w:sz w:val="32"/>
          <w:szCs w:val="32"/>
        </w:rPr>
      </w:pPr>
      <w:bookmarkStart w:id="48" w:name="_Toc15377216"/>
      <w:r>
        <w:rPr>
          <w:rFonts w:hint="eastAsia" w:ascii="宋体" w:hAnsi="宋体"/>
          <w:color w:val="000000"/>
          <w:sz w:val="32"/>
          <w:szCs w:val="32"/>
        </w:rPr>
        <w:t>（一）“三公”经费财政拨款支出决算总体情况说明</w:t>
      </w:r>
      <w:bookmarkEnd w:id="48"/>
    </w:p>
    <w:p>
      <w:pPr>
        <w:spacing w:line="600" w:lineRule="exact"/>
        <w:ind w:firstLine="64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年“三公”经费财政拨款支出决算为</w:t>
      </w:r>
      <w:r>
        <w:rPr>
          <w:rFonts w:ascii="宋体" w:hAnsi="宋体"/>
          <w:color w:val="000000"/>
          <w:sz w:val="32"/>
          <w:szCs w:val="32"/>
        </w:rPr>
        <w:t>112.17</w:t>
      </w:r>
      <w:r>
        <w:rPr>
          <w:rFonts w:hint="eastAsia" w:ascii="宋体" w:hAnsi="宋体"/>
          <w:color w:val="000000"/>
          <w:sz w:val="32"/>
          <w:szCs w:val="32"/>
        </w:rPr>
        <w:t>万元，完成预算</w:t>
      </w:r>
      <w:r>
        <w:rPr>
          <w:rFonts w:ascii="宋体" w:hAnsi="宋体"/>
          <w:color w:val="000000"/>
          <w:sz w:val="32"/>
          <w:szCs w:val="32"/>
        </w:rPr>
        <w:t>84.18%</w:t>
      </w:r>
      <w:r>
        <w:rPr>
          <w:rFonts w:hint="eastAsia" w:ascii="宋体" w:hAnsi="宋体"/>
          <w:color w:val="000000"/>
          <w:sz w:val="32"/>
          <w:szCs w:val="32"/>
        </w:rPr>
        <w:t>，决算数小于预算数的主要原因是厉行节俭，严控三公经费开支。</w:t>
      </w:r>
    </w:p>
    <w:p>
      <w:pPr>
        <w:spacing w:line="600" w:lineRule="exact"/>
        <w:ind w:firstLine="640"/>
        <w:outlineLvl w:val="2"/>
        <w:rPr>
          <w:rFonts w:ascii="宋体"/>
          <w:color w:val="000000"/>
          <w:sz w:val="32"/>
          <w:szCs w:val="32"/>
        </w:rPr>
      </w:pPr>
      <w:bookmarkStart w:id="49" w:name="_Toc15377217"/>
      <w:r>
        <w:rPr>
          <w:rFonts w:hint="eastAsia" w:ascii="宋体" w:hAnsi="宋体"/>
          <w:color w:val="000000"/>
          <w:sz w:val="32"/>
          <w:szCs w:val="32"/>
        </w:rPr>
        <w:t>（二）“三公”经费财政拨款支出决算具体情况说明</w:t>
      </w:r>
      <w:bookmarkEnd w:id="49"/>
    </w:p>
    <w:p>
      <w:pPr>
        <w:spacing w:line="600" w:lineRule="exact"/>
        <w:ind w:firstLine="64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年“三公”经费财政拨款支出决算中，公务用车购置及运行维护费支出决算</w:t>
      </w:r>
      <w:r>
        <w:rPr>
          <w:rFonts w:ascii="宋体" w:hAnsi="宋体"/>
          <w:color w:val="000000"/>
          <w:sz w:val="32"/>
          <w:szCs w:val="32"/>
        </w:rPr>
        <w:t>105.79</w:t>
      </w:r>
      <w:r>
        <w:rPr>
          <w:rFonts w:hint="eastAsia" w:ascii="宋体" w:hAnsi="宋体"/>
          <w:color w:val="000000"/>
          <w:sz w:val="32"/>
          <w:szCs w:val="32"/>
        </w:rPr>
        <w:t>万元，占</w:t>
      </w:r>
      <w:r>
        <w:rPr>
          <w:rFonts w:ascii="宋体" w:hAnsi="宋体"/>
          <w:color w:val="000000"/>
          <w:sz w:val="32"/>
          <w:szCs w:val="32"/>
        </w:rPr>
        <w:t>94.31%</w:t>
      </w:r>
      <w:r>
        <w:rPr>
          <w:rFonts w:hint="eastAsia" w:ascii="宋体" w:hAnsi="宋体"/>
          <w:color w:val="000000"/>
          <w:sz w:val="32"/>
          <w:szCs w:val="32"/>
        </w:rPr>
        <w:t>；公务接待费支出决算</w:t>
      </w:r>
      <w:r>
        <w:rPr>
          <w:rFonts w:ascii="宋体" w:hAnsi="宋体"/>
          <w:color w:val="000000"/>
          <w:sz w:val="32"/>
          <w:szCs w:val="32"/>
        </w:rPr>
        <w:t>6.38</w:t>
      </w:r>
      <w:r>
        <w:rPr>
          <w:rFonts w:hint="eastAsia" w:ascii="宋体" w:hAnsi="宋体"/>
          <w:color w:val="000000"/>
          <w:sz w:val="32"/>
          <w:szCs w:val="32"/>
        </w:rPr>
        <w:t>万元，占</w:t>
      </w:r>
      <w:r>
        <w:rPr>
          <w:rFonts w:ascii="宋体" w:hAnsi="宋体"/>
          <w:color w:val="000000"/>
          <w:sz w:val="32"/>
          <w:szCs w:val="32"/>
        </w:rPr>
        <w:t>5.69%</w:t>
      </w:r>
      <w:r>
        <w:rPr>
          <w:rFonts w:hint="eastAsia" w:ascii="宋体" w:hAnsi="宋体"/>
          <w:color w:val="000000"/>
          <w:sz w:val="32"/>
          <w:szCs w:val="32"/>
        </w:rPr>
        <w:t>。具体情况如下：</w:t>
      </w:r>
    </w:p>
    <w:p>
      <w:pPr>
        <w:spacing w:line="600" w:lineRule="exact"/>
        <w:ind w:firstLine="640"/>
        <w:rPr>
          <w:rFonts w:ascii="宋体"/>
          <w:color w:val="000000"/>
          <w:sz w:val="32"/>
          <w:szCs w:val="32"/>
        </w:rPr>
      </w:pPr>
      <w:r>
        <w:rPr>
          <w:rFonts w:ascii="宋体" w:hAnsi="宋体"/>
          <w:color w:val="000000"/>
          <w:sz w:val="32"/>
          <w:szCs w:val="32"/>
        </w:rPr>
        <w:t>1.</w:t>
      </w:r>
      <w:r>
        <w:rPr>
          <w:rFonts w:hint="eastAsia" w:ascii="宋体" w:hAnsi="宋体"/>
          <w:color w:val="000000"/>
          <w:sz w:val="32"/>
          <w:szCs w:val="32"/>
        </w:rPr>
        <w:t>公务用车购置及运行维护费支出</w:t>
      </w:r>
      <w:r>
        <w:rPr>
          <w:rFonts w:ascii="宋体" w:hAnsi="宋体"/>
          <w:color w:val="000000"/>
          <w:sz w:val="32"/>
          <w:szCs w:val="32"/>
        </w:rPr>
        <w:t>105.79</w:t>
      </w:r>
      <w:r>
        <w:rPr>
          <w:rFonts w:hint="eastAsia" w:ascii="宋体" w:hAnsi="宋体"/>
          <w:color w:val="000000"/>
          <w:sz w:val="32"/>
          <w:szCs w:val="32"/>
        </w:rPr>
        <w:t>万元</w:t>
      </w:r>
      <w:r>
        <w:rPr>
          <w:rFonts w:ascii="宋体"/>
          <w:color w:val="000000"/>
          <w:sz w:val="32"/>
          <w:szCs w:val="32"/>
        </w:rPr>
        <w:t>,</w:t>
      </w:r>
      <w:r>
        <w:rPr>
          <w:rStyle w:val="15"/>
          <w:rFonts w:hint="eastAsia" w:ascii="宋体" w:hAnsi="宋体"/>
          <w:b w:val="0"/>
          <w:bCs/>
          <w:color w:val="000000"/>
          <w:sz w:val="32"/>
          <w:szCs w:val="32"/>
        </w:rPr>
        <w:t>完成预算</w:t>
      </w:r>
      <w:r>
        <w:rPr>
          <w:rStyle w:val="15"/>
          <w:rFonts w:ascii="宋体" w:hAnsi="宋体"/>
          <w:b w:val="0"/>
          <w:bCs/>
          <w:color w:val="000000"/>
          <w:sz w:val="32"/>
          <w:szCs w:val="32"/>
        </w:rPr>
        <w:t>85.58%</w:t>
      </w:r>
      <w:r>
        <w:rPr>
          <w:rStyle w:val="15"/>
          <w:rFonts w:hint="eastAsia" w:ascii="宋体" w:hAnsi="宋体"/>
          <w:b w:val="0"/>
          <w:bCs/>
          <w:color w:val="000000"/>
          <w:sz w:val="32"/>
          <w:szCs w:val="32"/>
        </w:rPr>
        <w:t>。</w:t>
      </w:r>
      <w:r>
        <w:rPr>
          <w:rFonts w:hint="eastAsia" w:ascii="宋体" w:hAnsi="宋体"/>
          <w:color w:val="000000"/>
          <w:sz w:val="32"/>
          <w:szCs w:val="32"/>
        </w:rPr>
        <w:t>公务用车购置及运行维护费支出决算比</w:t>
      </w:r>
      <w:r>
        <w:rPr>
          <w:rFonts w:ascii="宋体" w:hAnsi="宋体"/>
          <w:color w:val="000000"/>
          <w:sz w:val="32"/>
          <w:szCs w:val="32"/>
        </w:rPr>
        <w:t>2017</w:t>
      </w:r>
      <w:r>
        <w:rPr>
          <w:rFonts w:hint="eastAsia" w:ascii="宋体" w:hAnsi="宋体"/>
          <w:color w:val="000000"/>
          <w:sz w:val="32"/>
          <w:szCs w:val="32"/>
        </w:rPr>
        <w:t>年增加</w:t>
      </w:r>
      <w:r>
        <w:rPr>
          <w:rFonts w:ascii="宋体" w:hAnsi="宋体"/>
          <w:color w:val="000000"/>
          <w:sz w:val="32"/>
          <w:szCs w:val="32"/>
        </w:rPr>
        <w:t>56.86</w:t>
      </w:r>
      <w:r>
        <w:rPr>
          <w:rFonts w:hint="eastAsia" w:ascii="宋体" w:hAnsi="宋体"/>
          <w:color w:val="000000"/>
          <w:sz w:val="32"/>
          <w:szCs w:val="32"/>
        </w:rPr>
        <w:t>万元，增长</w:t>
      </w:r>
      <w:r>
        <w:rPr>
          <w:rFonts w:ascii="宋体" w:hAnsi="宋体"/>
          <w:color w:val="000000"/>
          <w:sz w:val="32"/>
          <w:szCs w:val="32"/>
        </w:rPr>
        <w:t>116.21%</w:t>
      </w:r>
      <w:r>
        <w:rPr>
          <w:rFonts w:hint="eastAsia" w:ascii="宋体" w:hAnsi="宋体"/>
          <w:color w:val="000000"/>
          <w:sz w:val="32"/>
          <w:szCs w:val="32"/>
        </w:rPr>
        <w:t>。主要原因是因工作需要，攀枝花市交通建设工程质量监督站、攀枝花市公路管理处、攀枝花市交通运输综合行政执法支队</w:t>
      </w:r>
      <w:r>
        <w:rPr>
          <w:rFonts w:ascii="宋体" w:hAnsi="宋体"/>
          <w:color w:val="000000"/>
          <w:sz w:val="32"/>
          <w:szCs w:val="32"/>
        </w:rPr>
        <w:t>2018</w:t>
      </w:r>
      <w:r>
        <w:rPr>
          <w:rFonts w:hint="eastAsia" w:ascii="宋体" w:hAnsi="宋体"/>
          <w:color w:val="000000"/>
          <w:sz w:val="32"/>
          <w:szCs w:val="32"/>
        </w:rPr>
        <w:t>年共购置公车</w:t>
      </w:r>
      <w:r>
        <w:rPr>
          <w:rFonts w:ascii="宋体" w:hAnsi="宋体"/>
          <w:color w:val="000000"/>
          <w:sz w:val="32"/>
          <w:szCs w:val="32"/>
        </w:rPr>
        <w:t>4</w:t>
      </w:r>
      <w:r>
        <w:rPr>
          <w:rFonts w:hint="eastAsia" w:ascii="宋体" w:hAnsi="宋体"/>
          <w:color w:val="000000"/>
          <w:sz w:val="32"/>
          <w:szCs w:val="32"/>
        </w:rPr>
        <w:t>台，购置费共计</w:t>
      </w:r>
      <w:r>
        <w:rPr>
          <w:rFonts w:ascii="宋体" w:hAnsi="宋体"/>
          <w:color w:val="000000"/>
          <w:sz w:val="32"/>
          <w:szCs w:val="32"/>
        </w:rPr>
        <w:t>59.40</w:t>
      </w:r>
      <w:r>
        <w:rPr>
          <w:rFonts w:hint="eastAsia" w:ascii="宋体" w:hAnsi="宋体"/>
          <w:color w:val="000000"/>
          <w:sz w:val="32"/>
          <w:szCs w:val="32"/>
        </w:rPr>
        <w:t>万元。</w:t>
      </w:r>
    </w:p>
    <w:p>
      <w:pPr>
        <w:spacing w:line="600" w:lineRule="exact"/>
        <w:ind w:firstLine="640" w:firstLineChars="200"/>
        <w:rPr>
          <w:rFonts w:ascii="宋体"/>
          <w:color w:val="000000"/>
          <w:sz w:val="32"/>
          <w:szCs w:val="32"/>
        </w:rPr>
      </w:pPr>
      <w:r>
        <w:rPr>
          <w:rFonts w:hint="eastAsia" w:ascii="宋体" w:hAnsi="宋体"/>
          <w:color w:val="000000"/>
          <w:sz w:val="32"/>
          <w:szCs w:val="32"/>
        </w:rPr>
        <w:t>其中：公务用车购置支出</w:t>
      </w:r>
      <w:r>
        <w:rPr>
          <w:rFonts w:ascii="宋体" w:hAnsi="宋体"/>
          <w:color w:val="000000"/>
          <w:sz w:val="32"/>
          <w:szCs w:val="32"/>
        </w:rPr>
        <w:t>59.40</w:t>
      </w:r>
      <w:r>
        <w:rPr>
          <w:rFonts w:hint="eastAsia" w:ascii="宋体" w:hAnsi="宋体"/>
          <w:color w:val="000000"/>
          <w:sz w:val="32"/>
          <w:szCs w:val="32"/>
        </w:rPr>
        <w:t>万元。全年按规定更新购置公务用车</w:t>
      </w:r>
      <w:r>
        <w:rPr>
          <w:rFonts w:ascii="宋体" w:hAnsi="宋体"/>
          <w:color w:val="000000"/>
          <w:sz w:val="32"/>
          <w:szCs w:val="32"/>
        </w:rPr>
        <w:t>4</w:t>
      </w:r>
      <w:r>
        <w:rPr>
          <w:rFonts w:hint="eastAsia" w:ascii="宋体" w:hAnsi="宋体"/>
          <w:color w:val="000000"/>
          <w:sz w:val="32"/>
          <w:szCs w:val="32"/>
        </w:rPr>
        <w:t>辆，其中：特种专业技术用车</w:t>
      </w:r>
      <w:r>
        <w:rPr>
          <w:rFonts w:ascii="宋体" w:hAnsi="宋体"/>
          <w:color w:val="000000"/>
          <w:sz w:val="32"/>
          <w:szCs w:val="32"/>
        </w:rPr>
        <w:t>3</w:t>
      </w:r>
      <w:r>
        <w:rPr>
          <w:rFonts w:hint="eastAsia" w:ascii="宋体" w:hAnsi="宋体"/>
          <w:color w:val="000000"/>
          <w:sz w:val="32"/>
          <w:szCs w:val="32"/>
        </w:rPr>
        <w:t>辆，金额</w:t>
      </w:r>
      <w:r>
        <w:rPr>
          <w:rFonts w:ascii="宋体" w:hAnsi="宋体"/>
          <w:color w:val="000000"/>
          <w:sz w:val="32"/>
          <w:szCs w:val="32"/>
        </w:rPr>
        <w:t>44.40</w:t>
      </w:r>
      <w:r>
        <w:rPr>
          <w:rFonts w:hint="eastAsia" w:ascii="宋体" w:hAnsi="宋体"/>
          <w:color w:val="000000"/>
          <w:sz w:val="32"/>
          <w:szCs w:val="32"/>
        </w:rPr>
        <w:t>万元；其他车辆</w:t>
      </w:r>
      <w:r>
        <w:rPr>
          <w:rFonts w:ascii="宋体" w:hAnsi="宋体"/>
          <w:color w:val="000000"/>
          <w:sz w:val="32"/>
          <w:szCs w:val="32"/>
        </w:rPr>
        <w:t>1</w:t>
      </w:r>
      <w:r>
        <w:rPr>
          <w:rFonts w:hint="eastAsia" w:ascii="宋体" w:hAnsi="宋体"/>
          <w:color w:val="000000"/>
          <w:sz w:val="32"/>
          <w:szCs w:val="32"/>
        </w:rPr>
        <w:t>辆，金额</w:t>
      </w:r>
      <w:r>
        <w:rPr>
          <w:rFonts w:ascii="宋体" w:hAnsi="宋体"/>
          <w:color w:val="000000"/>
          <w:sz w:val="32"/>
          <w:szCs w:val="32"/>
        </w:rPr>
        <w:t>15</w:t>
      </w:r>
      <w:r>
        <w:rPr>
          <w:rFonts w:hint="eastAsia" w:ascii="宋体" w:hAnsi="宋体"/>
          <w:color w:val="000000"/>
          <w:sz w:val="32"/>
          <w:szCs w:val="32"/>
        </w:rPr>
        <w:t>万元。主要用于工程质量监督检测、道路运输工作检查、综合执法、公路大中修工程项目考察调研等。截至</w:t>
      </w:r>
      <w:r>
        <w:rPr>
          <w:rFonts w:ascii="宋体" w:hAnsi="宋体"/>
          <w:color w:val="000000"/>
          <w:sz w:val="32"/>
          <w:szCs w:val="32"/>
        </w:rPr>
        <w:t>2018</w:t>
      </w:r>
      <w:r>
        <w:rPr>
          <w:rFonts w:hint="eastAsia" w:ascii="宋体" w:hAnsi="宋体"/>
          <w:color w:val="000000"/>
          <w:sz w:val="32"/>
          <w:szCs w:val="32"/>
        </w:rPr>
        <w:t>年</w:t>
      </w:r>
      <w:r>
        <w:rPr>
          <w:rFonts w:ascii="宋体" w:hAnsi="宋体"/>
          <w:color w:val="000000"/>
          <w:sz w:val="32"/>
          <w:szCs w:val="32"/>
        </w:rPr>
        <w:t>12</w:t>
      </w:r>
      <w:r>
        <w:rPr>
          <w:rFonts w:hint="eastAsia" w:ascii="宋体" w:hAnsi="宋体"/>
          <w:color w:val="000000"/>
          <w:sz w:val="32"/>
          <w:szCs w:val="32"/>
        </w:rPr>
        <w:t>月底，我部门共有公务用车</w:t>
      </w:r>
      <w:r>
        <w:rPr>
          <w:rFonts w:ascii="宋体" w:hAnsi="宋体"/>
          <w:color w:val="000000"/>
          <w:sz w:val="32"/>
          <w:szCs w:val="32"/>
        </w:rPr>
        <w:t>28</w:t>
      </w:r>
      <w:r>
        <w:rPr>
          <w:rFonts w:hint="eastAsia" w:ascii="宋体" w:hAnsi="宋体"/>
          <w:color w:val="000000"/>
          <w:sz w:val="32"/>
          <w:szCs w:val="32"/>
        </w:rPr>
        <w:t>辆（</w:t>
      </w:r>
      <w:r>
        <w:rPr>
          <w:rFonts w:ascii="宋体" w:hAnsi="宋体"/>
          <w:color w:val="000000"/>
          <w:sz w:val="32"/>
          <w:szCs w:val="32"/>
        </w:rPr>
        <w:t>2018</w:t>
      </w:r>
      <w:r>
        <w:rPr>
          <w:rFonts w:hint="eastAsia" w:ascii="宋体" w:hAnsi="宋体"/>
          <w:color w:val="000000"/>
          <w:sz w:val="32"/>
          <w:szCs w:val="32"/>
        </w:rPr>
        <w:t>年部门决算账面车辆数</w:t>
      </w:r>
      <w:r>
        <w:rPr>
          <w:rFonts w:ascii="宋体" w:hAnsi="宋体"/>
          <w:color w:val="000000"/>
          <w:sz w:val="32"/>
          <w:szCs w:val="32"/>
        </w:rPr>
        <w:t>59</w:t>
      </w:r>
      <w:r>
        <w:rPr>
          <w:rFonts w:hint="eastAsia" w:ascii="宋体" w:hAnsi="宋体"/>
          <w:color w:val="000000"/>
          <w:sz w:val="32"/>
          <w:szCs w:val="32"/>
        </w:rPr>
        <w:t>辆，其中</w:t>
      </w:r>
      <w:r>
        <w:rPr>
          <w:rFonts w:ascii="宋体" w:hAnsi="宋体"/>
          <w:color w:val="000000"/>
          <w:sz w:val="32"/>
          <w:szCs w:val="32"/>
        </w:rPr>
        <w:t>31</w:t>
      </w:r>
      <w:r>
        <w:rPr>
          <w:rFonts w:hint="eastAsia" w:ascii="宋体" w:hAnsi="宋体"/>
          <w:color w:val="000000"/>
          <w:sz w:val="32"/>
          <w:szCs w:val="32"/>
        </w:rPr>
        <w:t>辆公车完成公车改革，但尚未完成财务核减，实有公车</w:t>
      </w:r>
      <w:r>
        <w:rPr>
          <w:rFonts w:ascii="宋体" w:hAnsi="宋体"/>
          <w:color w:val="000000"/>
          <w:sz w:val="32"/>
          <w:szCs w:val="32"/>
        </w:rPr>
        <w:t>28</w:t>
      </w:r>
      <w:r>
        <w:rPr>
          <w:rFonts w:hint="eastAsia" w:ascii="宋体" w:hAnsi="宋体"/>
          <w:color w:val="000000"/>
          <w:sz w:val="32"/>
          <w:szCs w:val="32"/>
        </w:rPr>
        <w:t>辆），其中：轿车</w:t>
      </w:r>
      <w:r>
        <w:rPr>
          <w:rFonts w:ascii="宋体" w:hAnsi="宋体"/>
          <w:color w:val="000000"/>
          <w:sz w:val="32"/>
          <w:szCs w:val="32"/>
        </w:rPr>
        <w:t>5</w:t>
      </w:r>
      <w:r>
        <w:rPr>
          <w:rFonts w:hint="eastAsia" w:ascii="宋体" w:hAnsi="宋体"/>
          <w:color w:val="000000"/>
          <w:sz w:val="32"/>
          <w:szCs w:val="32"/>
        </w:rPr>
        <w:t>辆、越野车</w:t>
      </w:r>
      <w:r>
        <w:rPr>
          <w:rFonts w:ascii="宋体" w:hAnsi="宋体"/>
          <w:color w:val="000000"/>
          <w:sz w:val="32"/>
          <w:szCs w:val="32"/>
        </w:rPr>
        <w:t>2</w:t>
      </w:r>
      <w:r>
        <w:rPr>
          <w:rFonts w:hint="eastAsia" w:ascii="宋体" w:hAnsi="宋体"/>
          <w:color w:val="000000"/>
          <w:sz w:val="32"/>
          <w:szCs w:val="32"/>
        </w:rPr>
        <w:t>辆、特种专业技术用车</w:t>
      </w:r>
      <w:r>
        <w:rPr>
          <w:rFonts w:ascii="宋体" w:hAnsi="宋体"/>
          <w:color w:val="000000"/>
          <w:sz w:val="32"/>
          <w:szCs w:val="32"/>
        </w:rPr>
        <w:t>6</w:t>
      </w:r>
      <w:r>
        <w:rPr>
          <w:rFonts w:hint="eastAsia" w:ascii="宋体" w:hAnsi="宋体"/>
          <w:color w:val="000000"/>
          <w:sz w:val="32"/>
          <w:szCs w:val="32"/>
        </w:rPr>
        <w:t>辆、执法用车</w:t>
      </w:r>
      <w:r>
        <w:rPr>
          <w:rFonts w:ascii="宋体" w:hAnsi="宋体"/>
          <w:color w:val="000000"/>
          <w:sz w:val="32"/>
          <w:szCs w:val="32"/>
        </w:rPr>
        <w:t>3</w:t>
      </w:r>
      <w:r>
        <w:rPr>
          <w:rFonts w:hint="eastAsia" w:ascii="宋体" w:hAnsi="宋体"/>
          <w:color w:val="000000"/>
          <w:sz w:val="32"/>
          <w:szCs w:val="32"/>
        </w:rPr>
        <w:t>辆、其他车辆</w:t>
      </w:r>
      <w:r>
        <w:rPr>
          <w:rFonts w:ascii="宋体" w:hAnsi="宋体"/>
          <w:color w:val="000000"/>
          <w:sz w:val="32"/>
          <w:szCs w:val="32"/>
        </w:rPr>
        <w:t>4</w:t>
      </w:r>
      <w:r>
        <w:rPr>
          <w:rFonts w:hint="eastAsia" w:ascii="宋体" w:hAnsi="宋体"/>
          <w:color w:val="000000"/>
          <w:sz w:val="32"/>
          <w:szCs w:val="32"/>
        </w:rPr>
        <w:t>辆、船舶（船舶</w:t>
      </w:r>
      <w:r>
        <w:rPr>
          <w:rFonts w:ascii="宋体" w:hAnsi="宋体"/>
          <w:color w:val="000000"/>
          <w:sz w:val="32"/>
          <w:szCs w:val="32"/>
        </w:rPr>
        <w:t>3</w:t>
      </w:r>
      <w:r>
        <w:rPr>
          <w:rFonts w:hint="eastAsia" w:ascii="宋体" w:hAnsi="宋体"/>
          <w:color w:val="000000"/>
          <w:sz w:val="32"/>
          <w:szCs w:val="32"/>
        </w:rPr>
        <w:t>艘共计</w:t>
      </w:r>
      <w:r>
        <w:rPr>
          <w:rFonts w:ascii="宋体" w:hAnsi="宋体"/>
          <w:color w:val="000000"/>
          <w:sz w:val="32"/>
          <w:szCs w:val="32"/>
        </w:rPr>
        <w:t>320</w:t>
      </w:r>
      <w:r>
        <w:rPr>
          <w:rFonts w:hint="eastAsia" w:ascii="宋体" w:hAnsi="宋体"/>
          <w:color w:val="000000"/>
          <w:sz w:val="32"/>
          <w:szCs w:val="32"/>
        </w:rPr>
        <w:t>马力）按功率折算汽车</w:t>
      </w:r>
      <w:r>
        <w:rPr>
          <w:rFonts w:ascii="宋体" w:hAnsi="宋体"/>
          <w:color w:val="000000"/>
          <w:sz w:val="32"/>
          <w:szCs w:val="32"/>
        </w:rPr>
        <w:t>8</w:t>
      </w:r>
      <w:r>
        <w:rPr>
          <w:rFonts w:hint="eastAsia" w:ascii="宋体" w:hAnsi="宋体"/>
          <w:color w:val="000000"/>
          <w:sz w:val="32"/>
          <w:szCs w:val="32"/>
        </w:rPr>
        <w:t>辆。</w:t>
      </w:r>
    </w:p>
    <w:p>
      <w:pPr>
        <w:spacing w:line="600" w:lineRule="exact"/>
        <w:ind w:firstLine="640"/>
        <w:rPr>
          <w:rFonts w:ascii="宋体"/>
          <w:color w:val="000000"/>
          <w:sz w:val="32"/>
          <w:szCs w:val="32"/>
        </w:rPr>
      </w:pPr>
      <w:r>
        <w:rPr>
          <w:rFonts w:hint="eastAsia" w:ascii="宋体" w:hAnsi="宋体"/>
          <w:color w:val="000000"/>
          <w:sz w:val="32"/>
          <w:szCs w:val="32"/>
        </w:rPr>
        <w:t>公务用车运行维护费支出</w:t>
      </w:r>
      <w:r>
        <w:rPr>
          <w:rFonts w:ascii="宋体" w:hAnsi="宋体"/>
          <w:color w:val="000000"/>
          <w:sz w:val="32"/>
          <w:szCs w:val="32"/>
        </w:rPr>
        <w:t>46.39</w:t>
      </w:r>
      <w:r>
        <w:rPr>
          <w:rFonts w:hint="eastAsia" w:ascii="宋体" w:hAnsi="宋体"/>
          <w:color w:val="000000"/>
          <w:sz w:val="32"/>
          <w:szCs w:val="32"/>
        </w:rPr>
        <w:t>万元。主要用于工程质量监督检测、道路运输工作检查、综合执法、公路大中修工程项目考察调研等所需的公务用车燃料费、维修费、过路过桥费、保险费等支出。</w:t>
      </w:r>
    </w:p>
    <w:p>
      <w:pPr>
        <w:spacing w:line="600" w:lineRule="exact"/>
        <w:ind w:firstLine="640"/>
        <w:rPr>
          <w:rFonts w:ascii="宋体"/>
          <w:color w:val="000000"/>
          <w:sz w:val="32"/>
          <w:szCs w:val="32"/>
        </w:rPr>
      </w:pPr>
      <w:r>
        <w:rPr>
          <w:rFonts w:ascii="宋体" w:hAnsi="宋体"/>
          <w:color w:val="000000"/>
          <w:sz w:val="32"/>
          <w:szCs w:val="32"/>
        </w:rPr>
        <w:t>2.</w:t>
      </w:r>
      <w:r>
        <w:rPr>
          <w:rFonts w:hint="eastAsia" w:ascii="宋体" w:hAnsi="宋体"/>
          <w:color w:val="000000"/>
          <w:sz w:val="32"/>
          <w:szCs w:val="32"/>
        </w:rPr>
        <w:t>公务接待费支出</w:t>
      </w:r>
      <w:r>
        <w:rPr>
          <w:rFonts w:ascii="宋体" w:hAnsi="宋体"/>
          <w:color w:val="000000"/>
          <w:sz w:val="32"/>
          <w:szCs w:val="32"/>
        </w:rPr>
        <w:t>6.38</w:t>
      </w:r>
      <w:r>
        <w:rPr>
          <w:rFonts w:hint="eastAsia" w:ascii="宋体" w:hAnsi="宋体"/>
          <w:color w:val="000000"/>
          <w:sz w:val="32"/>
          <w:szCs w:val="32"/>
        </w:rPr>
        <w:t>万元，</w:t>
      </w:r>
      <w:r>
        <w:rPr>
          <w:rStyle w:val="15"/>
          <w:rFonts w:hint="eastAsia" w:ascii="宋体" w:hAnsi="宋体"/>
          <w:b w:val="0"/>
          <w:bCs/>
          <w:color w:val="000000"/>
          <w:sz w:val="32"/>
          <w:szCs w:val="32"/>
        </w:rPr>
        <w:t>完成预算</w:t>
      </w:r>
      <w:r>
        <w:rPr>
          <w:rStyle w:val="15"/>
          <w:rFonts w:ascii="宋体" w:hAnsi="宋体"/>
          <w:b w:val="0"/>
          <w:bCs/>
          <w:color w:val="000000"/>
          <w:sz w:val="32"/>
          <w:szCs w:val="32"/>
        </w:rPr>
        <w:t>66.25%</w:t>
      </w:r>
      <w:r>
        <w:rPr>
          <w:rStyle w:val="15"/>
          <w:rFonts w:hint="eastAsia" w:ascii="宋体" w:hAnsi="宋体"/>
          <w:b w:val="0"/>
          <w:bCs/>
          <w:color w:val="000000"/>
          <w:sz w:val="32"/>
          <w:szCs w:val="32"/>
        </w:rPr>
        <w:t>。</w:t>
      </w:r>
      <w:r>
        <w:rPr>
          <w:rFonts w:hint="eastAsia" w:ascii="宋体" w:hAnsi="宋体"/>
          <w:color w:val="000000"/>
          <w:sz w:val="32"/>
          <w:szCs w:val="32"/>
        </w:rPr>
        <w:t>公务接待费支出决算比</w:t>
      </w:r>
      <w:r>
        <w:rPr>
          <w:rFonts w:ascii="宋体" w:hAnsi="宋体"/>
          <w:color w:val="000000"/>
          <w:sz w:val="32"/>
          <w:szCs w:val="32"/>
        </w:rPr>
        <w:t>2017</w:t>
      </w:r>
      <w:r>
        <w:rPr>
          <w:rFonts w:hint="eastAsia" w:ascii="宋体" w:hAnsi="宋体"/>
          <w:color w:val="000000"/>
          <w:sz w:val="32"/>
          <w:szCs w:val="32"/>
        </w:rPr>
        <w:t>年增加</w:t>
      </w:r>
      <w:r>
        <w:rPr>
          <w:rFonts w:ascii="宋体" w:hAnsi="宋体"/>
          <w:color w:val="000000"/>
          <w:sz w:val="32"/>
          <w:szCs w:val="32"/>
        </w:rPr>
        <w:t>0.27</w:t>
      </w:r>
      <w:r>
        <w:rPr>
          <w:rFonts w:hint="eastAsia" w:ascii="宋体" w:hAnsi="宋体"/>
          <w:color w:val="000000"/>
          <w:sz w:val="32"/>
          <w:szCs w:val="32"/>
        </w:rPr>
        <w:t>万元，增长</w:t>
      </w:r>
      <w:r>
        <w:rPr>
          <w:rFonts w:ascii="宋体" w:hAnsi="宋体"/>
          <w:color w:val="000000"/>
          <w:sz w:val="32"/>
          <w:szCs w:val="32"/>
        </w:rPr>
        <w:t>4.06%</w:t>
      </w:r>
      <w:r>
        <w:rPr>
          <w:rFonts w:hint="eastAsia" w:ascii="宋体" w:hAnsi="宋体"/>
          <w:color w:val="000000"/>
          <w:sz w:val="32"/>
          <w:szCs w:val="32"/>
        </w:rPr>
        <w:t>。</w:t>
      </w:r>
    </w:p>
    <w:p>
      <w:pPr>
        <w:spacing w:line="600" w:lineRule="exact"/>
        <w:ind w:firstLine="640" w:firstLineChars="200"/>
        <w:rPr>
          <w:rFonts w:ascii="宋体"/>
          <w:color w:val="000000"/>
          <w:sz w:val="32"/>
          <w:szCs w:val="32"/>
        </w:rPr>
      </w:pPr>
      <w:r>
        <w:rPr>
          <w:rFonts w:hint="eastAsia" w:ascii="宋体" w:hAnsi="宋体"/>
          <w:color w:val="000000"/>
          <w:sz w:val="32"/>
          <w:szCs w:val="32"/>
        </w:rPr>
        <w:t>主要用于执行公务、开展业务活动开支的交通费、住宿费、用餐费等。国内公务接待</w:t>
      </w:r>
      <w:r>
        <w:rPr>
          <w:rFonts w:ascii="宋体" w:hAnsi="宋体"/>
          <w:color w:val="000000"/>
          <w:sz w:val="32"/>
          <w:szCs w:val="32"/>
        </w:rPr>
        <w:t>41</w:t>
      </w:r>
      <w:r>
        <w:rPr>
          <w:rFonts w:hint="eastAsia" w:ascii="宋体" w:hAnsi="宋体"/>
          <w:color w:val="000000"/>
          <w:sz w:val="32"/>
          <w:szCs w:val="32"/>
        </w:rPr>
        <w:t>批次，</w:t>
      </w:r>
      <w:r>
        <w:rPr>
          <w:rFonts w:ascii="宋体" w:hAnsi="宋体"/>
          <w:color w:val="000000"/>
          <w:sz w:val="32"/>
          <w:szCs w:val="32"/>
        </w:rPr>
        <w:t>344</w:t>
      </w:r>
      <w:r>
        <w:rPr>
          <w:rFonts w:hint="eastAsia" w:ascii="宋体" w:hAnsi="宋体"/>
          <w:color w:val="000000"/>
          <w:sz w:val="32"/>
          <w:szCs w:val="32"/>
        </w:rPr>
        <w:t>人次（不包括陪同人员），共计支出</w:t>
      </w:r>
      <w:r>
        <w:rPr>
          <w:rFonts w:ascii="宋体" w:hAnsi="宋体"/>
          <w:color w:val="000000"/>
          <w:sz w:val="32"/>
          <w:szCs w:val="32"/>
        </w:rPr>
        <w:t>6.38</w:t>
      </w:r>
      <w:r>
        <w:rPr>
          <w:rFonts w:hint="eastAsia" w:ascii="宋体" w:hAnsi="宋体"/>
          <w:color w:val="000000"/>
          <w:sz w:val="32"/>
          <w:szCs w:val="32"/>
        </w:rPr>
        <w:t>万元，具体内容包括：接待省交通厅“</w:t>
      </w:r>
      <w:r>
        <w:rPr>
          <w:rFonts w:ascii="宋体" w:hAnsi="宋体"/>
          <w:color w:val="000000"/>
          <w:sz w:val="32"/>
          <w:szCs w:val="32"/>
        </w:rPr>
        <w:t>6.21</w:t>
      </w:r>
      <w:r>
        <w:rPr>
          <w:rFonts w:hint="eastAsia" w:ascii="宋体" w:hAnsi="宋体"/>
          <w:color w:val="000000"/>
          <w:sz w:val="32"/>
          <w:szCs w:val="32"/>
        </w:rPr>
        <w:t>”道路安全事故督查支出餐费</w:t>
      </w:r>
      <w:r>
        <w:rPr>
          <w:rFonts w:ascii="宋体" w:hAnsi="宋体"/>
          <w:color w:val="000000"/>
          <w:sz w:val="32"/>
          <w:szCs w:val="32"/>
        </w:rPr>
        <w:t>428</w:t>
      </w:r>
      <w:r>
        <w:rPr>
          <w:rFonts w:hint="eastAsia" w:ascii="宋体" w:hAnsi="宋体"/>
          <w:color w:val="000000"/>
          <w:sz w:val="32"/>
          <w:szCs w:val="32"/>
        </w:rPr>
        <w:t>元；接待四川华腾公路实验检测有限责任公司</w:t>
      </w:r>
      <w:r>
        <w:rPr>
          <w:rFonts w:ascii="宋体" w:hAnsi="宋体"/>
          <w:color w:val="000000"/>
          <w:sz w:val="32"/>
          <w:szCs w:val="32"/>
        </w:rPr>
        <w:t>11</w:t>
      </w:r>
      <w:r>
        <w:rPr>
          <w:rFonts w:hint="eastAsia" w:ascii="宋体" w:hAnsi="宋体"/>
          <w:color w:val="000000"/>
          <w:sz w:val="32"/>
          <w:szCs w:val="32"/>
        </w:rPr>
        <w:t>人开展国省干线公路桥隧抽检巡查工作支出餐费</w:t>
      </w:r>
      <w:r>
        <w:rPr>
          <w:rFonts w:ascii="宋体" w:hAnsi="宋体"/>
          <w:color w:val="000000"/>
          <w:sz w:val="32"/>
          <w:szCs w:val="32"/>
        </w:rPr>
        <w:t>2510</w:t>
      </w:r>
      <w:r>
        <w:rPr>
          <w:rFonts w:hint="eastAsia" w:ascii="宋体" w:hAnsi="宋体"/>
          <w:color w:val="000000"/>
          <w:sz w:val="32"/>
          <w:szCs w:val="32"/>
        </w:rPr>
        <w:t>元；接待木里交通运输局、运管所及运输公司人员来我市对接开通攀枝花</w:t>
      </w:r>
      <w:r>
        <w:rPr>
          <w:rFonts w:ascii="宋体"/>
          <w:color w:val="000000"/>
          <w:sz w:val="32"/>
          <w:szCs w:val="32"/>
        </w:rPr>
        <w:t>-</w:t>
      </w:r>
      <w:r>
        <w:rPr>
          <w:rFonts w:hint="eastAsia" w:ascii="宋体" w:hAnsi="宋体"/>
          <w:color w:val="000000"/>
          <w:sz w:val="32"/>
          <w:szCs w:val="32"/>
        </w:rPr>
        <w:t>木里班线事宜合计</w:t>
      </w:r>
      <w:r>
        <w:rPr>
          <w:rFonts w:ascii="宋体" w:hAnsi="宋体"/>
          <w:color w:val="000000"/>
          <w:sz w:val="32"/>
          <w:szCs w:val="32"/>
        </w:rPr>
        <w:t>11</w:t>
      </w:r>
      <w:r>
        <w:rPr>
          <w:rFonts w:hint="eastAsia" w:ascii="宋体" w:hAnsi="宋体"/>
          <w:color w:val="000000"/>
          <w:sz w:val="32"/>
          <w:szCs w:val="32"/>
        </w:rPr>
        <w:t>人，支出接待费共</w:t>
      </w:r>
      <w:r>
        <w:rPr>
          <w:rFonts w:ascii="宋体" w:hAnsi="宋体"/>
          <w:color w:val="000000"/>
          <w:sz w:val="32"/>
          <w:szCs w:val="32"/>
        </w:rPr>
        <w:t>1168</w:t>
      </w:r>
      <w:r>
        <w:rPr>
          <w:rFonts w:hint="eastAsia" w:ascii="宋体" w:hAnsi="宋体"/>
          <w:color w:val="000000"/>
          <w:sz w:val="32"/>
          <w:szCs w:val="32"/>
        </w:rPr>
        <w:t>元等。</w:t>
      </w:r>
      <w:bookmarkStart w:id="50" w:name="_Toc15396610"/>
      <w:bookmarkStart w:id="51" w:name="_Toc15377218"/>
    </w:p>
    <w:p>
      <w:pPr>
        <w:spacing w:line="600" w:lineRule="exact"/>
        <w:ind w:firstLine="640" w:firstLineChars="200"/>
        <w:rPr>
          <w:rFonts w:ascii="宋体"/>
          <w:color w:val="000000"/>
          <w:sz w:val="32"/>
          <w:szCs w:val="32"/>
        </w:rPr>
      </w:pPr>
      <w:r>
        <w:rPr>
          <w:rFonts w:hint="eastAsia" w:ascii="宋体" w:hAnsi="宋体"/>
          <w:color w:val="000000"/>
          <w:sz w:val="32"/>
          <w:szCs w:val="32"/>
        </w:rPr>
        <w:t>外事接待费</w:t>
      </w:r>
      <w:r>
        <w:rPr>
          <w:rFonts w:ascii="宋体" w:hAnsi="宋体"/>
          <w:color w:val="000000"/>
          <w:sz w:val="32"/>
          <w:szCs w:val="32"/>
        </w:rPr>
        <w:t>0</w:t>
      </w:r>
      <w:r>
        <w:rPr>
          <w:rFonts w:hint="eastAsia" w:ascii="宋体" w:hAnsi="宋体"/>
          <w:color w:val="000000"/>
          <w:sz w:val="32"/>
          <w:szCs w:val="32"/>
        </w:rPr>
        <w:t>万元。</w:t>
      </w:r>
    </w:p>
    <w:p>
      <w:pPr>
        <w:spacing w:line="600" w:lineRule="exact"/>
        <w:ind w:firstLine="640"/>
        <w:outlineLvl w:val="1"/>
        <w:rPr>
          <w:rStyle w:val="18"/>
          <w:rFonts w:ascii="宋体" w:hAnsi="Times New Roman"/>
          <w:b w:val="0"/>
        </w:rPr>
      </w:pPr>
      <w:r>
        <w:rPr>
          <w:rFonts w:hint="eastAsia" w:ascii="宋体" w:hAnsi="宋体"/>
          <w:color w:val="000000"/>
          <w:sz w:val="32"/>
          <w:szCs w:val="32"/>
        </w:rPr>
        <w:t>八、</w:t>
      </w:r>
      <w:r>
        <w:rPr>
          <w:rStyle w:val="18"/>
          <w:rFonts w:hint="eastAsia" w:ascii="宋体" w:hAnsi="宋体"/>
          <w:b w:val="0"/>
        </w:rPr>
        <w:t>政府性基金预算支出决算情况说明</w:t>
      </w:r>
      <w:bookmarkEnd w:id="50"/>
      <w:bookmarkEnd w:id="51"/>
    </w:p>
    <w:p>
      <w:pPr>
        <w:spacing w:line="600" w:lineRule="exact"/>
        <w:ind w:firstLine="64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年攀枝花市交通运输局无政府性基金预算拨款支出。</w:t>
      </w:r>
    </w:p>
    <w:p>
      <w:pPr>
        <w:numPr>
          <w:ilvl w:val="0"/>
          <w:numId w:val="2"/>
        </w:numPr>
        <w:spacing w:line="600" w:lineRule="exact"/>
        <w:ind w:firstLine="640"/>
        <w:outlineLvl w:val="1"/>
        <w:rPr>
          <w:rStyle w:val="18"/>
          <w:rFonts w:ascii="宋体" w:hAnsi="Times New Roman"/>
          <w:b w:val="0"/>
        </w:rPr>
      </w:pPr>
      <w:bookmarkStart w:id="52" w:name="_Toc15377219"/>
      <w:bookmarkStart w:id="53" w:name="_Toc15396611"/>
      <w:r>
        <w:rPr>
          <w:rStyle w:val="18"/>
          <w:rFonts w:hint="eastAsia" w:ascii="宋体" w:hAnsi="宋体"/>
          <w:b w:val="0"/>
        </w:rPr>
        <w:t>国有资本经营预算支出决算情况说明</w:t>
      </w:r>
      <w:bookmarkEnd w:id="52"/>
      <w:bookmarkEnd w:id="53"/>
    </w:p>
    <w:p>
      <w:pPr>
        <w:spacing w:line="600" w:lineRule="exact"/>
        <w:ind w:firstLine="64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年攀枝花市交通运输局无国有资本经营预算拨款支出。</w:t>
      </w:r>
    </w:p>
    <w:p>
      <w:pPr>
        <w:pStyle w:val="28"/>
        <w:numPr>
          <w:ilvl w:val="0"/>
          <w:numId w:val="3"/>
        </w:numPr>
        <w:spacing w:line="580" w:lineRule="exact"/>
        <w:ind w:firstLineChars="0"/>
        <w:rPr>
          <w:rStyle w:val="18"/>
          <w:rFonts w:ascii="宋体" w:hAnsi="Times New Roman"/>
          <w:b w:val="0"/>
        </w:rPr>
      </w:pPr>
      <w:r>
        <w:rPr>
          <w:rStyle w:val="18"/>
          <w:rFonts w:hint="eastAsia" w:ascii="宋体" w:hAnsi="宋体"/>
          <w:b w:val="0"/>
        </w:rPr>
        <w:t>预算绩效情况说明</w:t>
      </w:r>
    </w:p>
    <w:p>
      <w:pPr>
        <w:numPr>
          <w:ilvl w:val="0"/>
          <w:numId w:val="4"/>
        </w:numPr>
        <w:spacing w:line="580" w:lineRule="exact"/>
        <w:ind w:firstLine="640" w:firstLineChars="200"/>
        <w:rPr>
          <w:rFonts w:ascii="宋体" w:cs="楷体_GB2312"/>
          <w:sz w:val="32"/>
          <w:szCs w:val="32"/>
        </w:rPr>
      </w:pPr>
      <w:r>
        <w:rPr>
          <w:rFonts w:hint="eastAsia" w:ascii="宋体" w:hAnsi="宋体" w:cs="楷体_GB2312"/>
          <w:sz w:val="32"/>
          <w:szCs w:val="32"/>
        </w:rPr>
        <w:t>预算绩效管理工作开展情况。</w:t>
      </w:r>
    </w:p>
    <w:p>
      <w:pPr>
        <w:spacing w:line="580" w:lineRule="exact"/>
        <w:ind w:firstLine="640" w:firstLineChars="200"/>
        <w:rPr>
          <w:rFonts w:ascii="宋体" w:cs="仿宋_GB2312"/>
          <w:sz w:val="32"/>
          <w:szCs w:val="32"/>
        </w:rPr>
      </w:pPr>
      <w:r>
        <w:rPr>
          <w:rFonts w:hint="eastAsia" w:ascii="宋体" w:hAnsi="宋体" w:cs="仿宋_GB2312"/>
          <w:sz w:val="32"/>
          <w:szCs w:val="32"/>
        </w:rPr>
        <w:t>根据预算绩效管理要求，本部门（单位）在年初预算编制阶段，组织对</w:t>
      </w:r>
      <w:r>
        <w:rPr>
          <w:rFonts w:hint="eastAsia" w:ascii="宋体" w:hAnsi="宋体"/>
          <w:color w:val="000000"/>
          <w:sz w:val="32"/>
          <w:szCs w:val="32"/>
        </w:rPr>
        <w:t>一般公共预算</w:t>
      </w:r>
      <w:r>
        <w:rPr>
          <w:rFonts w:hint="eastAsia" w:ascii="宋体" w:hAnsi="宋体" w:cs="仿宋_GB2312"/>
          <w:sz w:val="32"/>
          <w:szCs w:val="32"/>
        </w:rPr>
        <w:t>项目开展了预算事前绩效评估，对</w:t>
      </w:r>
      <w:r>
        <w:rPr>
          <w:rFonts w:ascii="宋体" w:hAnsi="宋体" w:cs="仿宋_GB2312"/>
          <w:sz w:val="32"/>
          <w:szCs w:val="32"/>
        </w:rPr>
        <w:t>40</w:t>
      </w:r>
      <w:r>
        <w:rPr>
          <w:rFonts w:hint="eastAsia" w:ascii="宋体" w:hAnsi="宋体" w:cs="仿宋_GB2312"/>
          <w:sz w:val="32"/>
          <w:szCs w:val="32"/>
        </w:rPr>
        <w:t>个项目编制了绩效目标，预算执行过程中，选取</w:t>
      </w:r>
      <w:r>
        <w:rPr>
          <w:rFonts w:ascii="宋体" w:hAnsi="宋体" w:cs="仿宋_GB2312"/>
          <w:sz w:val="32"/>
          <w:szCs w:val="32"/>
        </w:rPr>
        <w:t>21</w:t>
      </w:r>
      <w:r>
        <w:rPr>
          <w:rFonts w:hint="eastAsia" w:ascii="宋体" w:hAnsi="宋体" w:cs="仿宋_GB2312"/>
          <w:sz w:val="32"/>
          <w:szCs w:val="32"/>
        </w:rPr>
        <w:t>个项目开展绩效监控，年终执行完毕后，对</w:t>
      </w:r>
      <w:r>
        <w:rPr>
          <w:rFonts w:ascii="宋体" w:hAnsi="宋体" w:cs="仿宋_GB2312"/>
          <w:sz w:val="32"/>
          <w:szCs w:val="32"/>
        </w:rPr>
        <w:t>21</w:t>
      </w:r>
      <w:r>
        <w:rPr>
          <w:rFonts w:hint="eastAsia" w:ascii="宋体" w:hAnsi="宋体" w:cs="仿宋_GB2312"/>
          <w:sz w:val="32"/>
          <w:szCs w:val="32"/>
        </w:rPr>
        <w:t>个项目开展了绩效目标完成情况梳理填报。</w:t>
      </w:r>
    </w:p>
    <w:p>
      <w:pPr>
        <w:spacing w:line="580" w:lineRule="exact"/>
        <w:ind w:firstLine="640" w:firstLineChars="200"/>
        <w:rPr>
          <w:rFonts w:ascii="宋体" w:cs="仿宋_GB2312"/>
          <w:sz w:val="32"/>
          <w:szCs w:val="32"/>
        </w:rPr>
      </w:pPr>
      <w:r>
        <w:rPr>
          <w:rFonts w:hint="eastAsia" w:ascii="宋体" w:hAnsi="宋体" w:cs="仿宋_GB2312"/>
          <w:sz w:val="32"/>
          <w:szCs w:val="32"/>
        </w:rPr>
        <w:t>本部门按要求对</w:t>
      </w:r>
      <w:r>
        <w:rPr>
          <w:rFonts w:ascii="宋体" w:hAnsi="宋体" w:cs="仿宋_GB2312"/>
          <w:sz w:val="32"/>
          <w:szCs w:val="32"/>
        </w:rPr>
        <w:t>2018</w:t>
      </w:r>
      <w:r>
        <w:rPr>
          <w:rFonts w:hint="eastAsia" w:ascii="宋体" w:hAnsi="宋体" w:cs="仿宋_GB2312"/>
          <w:sz w:val="32"/>
          <w:szCs w:val="32"/>
        </w:rPr>
        <w:t>年部门整体支出开展绩效自评，从评价情况来看整体绩效完成情况较好。</w:t>
      </w:r>
    </w:p>
    <w:p>
      <w:pPr>
        <w:numPr>
          <w:ilvl w:val="0"/>
          <w:numId w:val="5"/>
        </w:numPr>
        <w:tabs>
          <w:tab w:val="clear" w:pos="312"/>
        </w:tabs>
        <w:spacing w:line="580" w:lineRule="exact"/>
        <w:ind w:firstLine="640" w:firstLineChars="200"/>
        <w:rPr>
          <w:rFonts w:ascii="宋体" w:cs="仿宋_GB2312"/>
          <w:sz w:val="32"/>
          <w:szCs w:val="32"/>
        </w:rPr>
      </w:pPr>
      <w:r>
        <w:rPr>
          <w:rFonts w:hint="eastAsia" w:ascii="宋体" w:hAnsi="宋体" w:cs="楷体_GB2312"/>
          <w:sz w:val="32"/>
          <w:szCs w:val="32"/>
        </w:rPr>
        <w:t>项目绩效目标完成情况。</w:t>
      </w:r>
      <w:r>
        <w:rPr>
          <w:rFonts w:ascii="宋体" w:cs="楷体_GB2312"/>
          <w:b/>
          <w:bCs/>
          <w:sz w:val="32"/>
          <w:szCs w:val="32"/>
        </w:rPr>
        <w:br w:type="textWrapping"/>
      </w:r>
      <w:r>
        <w:rPr>
          <w:rFonts w:ascii="宋体" w:hAnsi="宋体" w:cs="仿宋_GB2312"/>
          <w:sz w:val="32"/>
          <w:szCs w:val="32"/>
        </w:rPr>
        <w:t xml:space="preserve">    </w:t>
      </w:r>
      <w:r>
        <w:rPr>
          <w:rFonts w:hint="eastAsia" w:ascii="宋体" w:hAnsi="宋体" w:cs="仿宋_GB2312"/>
          <w:sz w:val="32"/>
          <w:szCs w:val="32"/>
        </w:rPr>
        <w:t>本部门在</w:t>
      </w:r>
      <w:r>
        <w:rPr>
          <w:rFonts w:ascii="宋体" w:hAnsi="宋体" w:cs="仿宋_GB2312"/>
          <w:sz w:val="32"/>
          <w:szCs w:val="32"/>
        </w:rPr>
        <w:t>2018</w:t>
      </w:r>
      <w:r>
        <w:rPr>
          <w:rFonts w:hint="eastAsia" w:ascii="宋体" w:hAnsi="宋体" w:cs="仿宋_GB2312"/>
          <w:sz w:val="32"/>
          <w:szCs w:val="32"/>
        </w:rPr>
        <w:t>年度部门决算中反映攀枝花市交通建设工程质量监督站设备购置费项目、运管处“业务运行费”项目、</w:t>
      </w:r>
      <w:r>
        <w:rPr>
          <w:rFonts w:hint="eastAsia" w:ascii="宋体" w:hAnsi="宋体"/>
          <w:sz w:val="32"/>
          <w:szCs w:val="32"/>
        </w:rPr>
        <w:t>海事管理经费</w:t>
      </w:r>
      <w:r>
        <w:rPr>
          <w:rFonts w:hint="eastAsia" w:ascii="宋体" w:hAnsi="宋体" w:cs="仿宋_GB2312"/>
          <w:sz w:val="32"/>
          <w:szCs w:val="32"/>
        </w:rPr>
        <w:t>”项目、治超经费项目、桥梁检测项目</w:t>
      </w:r>
      <w:r>
        <w:rPr>
          <w:rFonts w:ascii="宋体" w:hAnsi="宋体" w:cs="仿宋_GB2312"/>
          <w:sz w:val="32"/>
          <w:szCs w:val="32"/>
        </w:rPr>
        <w:t>5</w:t>
      </w:r>
      <w:r>
        <w:rPr>
          <w:rFonts w:hint="eastAsia" w:ascii="宋体" w:hAnsi="宋体" w:cs="仿宋_GB2312"/>
          <w:sz w:val="32"/>
          <w:szCs w:val="32"/>
        </w:rPr>
        <w:t>个项目绩效目标实际完成情况。</w:t>
      </w:r>
    </w:p>
    <w:p>
      <w:pPr>
        <w:numPr>
          <w:ilvl w:val="0"/>
          <w:numId w:val="5"/>
        </w:numPr>
        <w:spacing w:line="580" w:lineRule="exact"/>
        <w:ind w:firstLine="640" w:firstLineChars="200"/>
        <w:rPr>
          <w:rFonts w:ascii="宋体" w:cs="仿宋_GB2312"/>
          <w:sz w:val="32"/>
          <w:szCs w:val="32"/>
        </w:rPr>
      </w:pPr>
      <w:r>
        <w:rPr>
          <w:rFonts w:hint="eastAsia" w:ascii="宋体" w:hAnsi="宋体" w:cs="仿宋_GB2312"/>
          <w:sz w:val="32"/>
          <w:szCs w:val="32"/>
        </w:rPr>
        <w:t>攀枝花市交通建设工程质量监督站设备购置费项目绩效目标完成情况综述。项目全年预算数</w:t>
      </w:r>
      <w:r>
        <w:rPr>
          <w:rFonts w:ascii="宋体" w:hAnsi="宋体" w:cs="仿宋_GB2312"/>
          <w:sz w:val="32"/>
          <w:szCs w:val="32"/>
        </w:rPr>
        <w:t>13.5</w:t>
      </w:r>
      <w:r>
        <w:rPr>
          <w:rFonts w:hint="eastAsia" w:ascii="宋体" w:hAnsi="宋体" w:cs="仿宋_GB2312"/>
          <w:sz w:val="32"/>
          <w:szCs w:val="32"/>
        </w:rPr>
        <w:t>万元，执行数为</w:t>
      </w:r>
      <w:r>
        <w:rPr>
          <w:rFonts w:ascii="宋体" w:hAnsi="宋体" w:cs="仿宋_GB2312"/>
          <w:sz w:val="32"/>
          <w:szCs w:val="32"/>
        </w:rPr>
        <w:t>12.82</w:t>
      </w:r>
      <w:r>
        <w:rPr>
          <w:rFonts w:hint="eastAsia" w:ascii="宋体" w:hAnsi="宋体" w:cs="仿宋_GB2312"/>
          <w:sz w:val="32"/>
          <w:szCs w:val="32"/>
        </w:rPr>
        <w:t>万元，完成预算的</w:t>
      </w:r>
      <w:r>
        <w:rPr>
          <w:rFonts w:ascii="宋体" w:hAnsi="宋体" w:cs="仿宋_GB2312"/>
          <w:sz w:val="32"/>
          <w:szCs w:val="32"/>
        </w:rPr>
        <w:t>94.96%</w:t>
      </w:r>
      <w:r>
        <w:rPr>
          <w:rFonts w:hint="eastAsia" w:ascii="宋体" w:hAnsi="宋体" w:cs="仿宋_GB2312"/>
          <w:sz w:val="32"/>
          <w:szCs w:val="32"/>
        </w:rPr>
        <w:t>。通过项目实施，控制工程质量，发现的主要问题：无。下一步改进措施：无。</w:t>
      </w: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设备购置费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交通建设工程质量监督站</w:t>
            </w:r>
          </w:p>
        </w:tc>
      </w:tr>
      <w:tr>
        <w:tblPrEx>
          <w:tblCellMar>
            <w:top w:w="0" w:type="dxa"/>
            <w:left w:w="0" w:type="dxa"/>
            <w:bottom w:w="0" w:type="dxa"/>
            <w:right w:w="0" w:type="dxa"/>
          </w:tblCellMar>
        </w:tblPrEx>
        <w:trPr>
          <w:trHeight w:val="881"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13.5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12.82</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13.5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12.82</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控制工程质量</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控制工程质量</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特种车辆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w:t>
            </w:r>
            <w:r>
              <w:rPr>
                <w:rFonts w:hint="eastAsia" w:ascii="宋体" w:hAnsi="宋体" w:cs="宋体"/>
                <w:color w:val="000000"/>
                <w:sz w:val="24"/>
              </w:rPr>
              <w:t>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w:t>
            </w:r>
            <w:r>
              <w:rPr>
                <w:rFonts w:hint="eastAsia" w:ascii="宋体" w:hAnsi="宋体" w:cs="宋体"/>
                <w:color w:val="000000"/>
                <w:sz w:val="24"/>
              </w:rPr>
              <w:t>台</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保证工程质量合格</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合格率</w:t>
            </w:r>
            <w:r>
              <w:rPr>
                <w:rFonts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合格率</w:t>
            </w:r>
            <w:r>
              <w:rPr>
                <w:rFonts w:ascii="宋体" w:hAnsi="宋体" w:cs="宋体"/>
                <w:color w:val="000000"/>
                <w:sz w:val="24"/>
              </w:rPr>
              <w:t>100%</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12</w:t>
            </w:r>
            <w:r>
              <w:rPr>
                <w:rFonts w:hint="eastAsia" w:ascii="宋体" w:hAnsi="宋体" w:cs="宋体"/>
                <w:color w:val="000000"/>
                <w:sz w:val="24"/>
              </w:rPr>
              <w:t>月前</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特种车辆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135000</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128200</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w:t>
            </w:r>
          </w:p>
          <w:p>
            <w:pPr>
              <w:widowControl/>
              <w:jc w:val="center"/>
              <w:textAlignment w:val="center"/>
              <w:rPr>
                <w:rFonts w:ascii="宋体" w:cs="宋体"/>
                <w:color w:val="000000"/>
                <w:sz w:val="24"/>
              </w:rPr>
            </w:pPr>
            <w:r>
              <w:rPr>
                <w:rFonts w:hint="eastAsia" w:ascii="宋体" w:hAns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工程质量监督</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工程质量监督及时</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工程质量监督及时</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设备合理使用年限</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≥设备合理使用年限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≥设备合理使用年限</w:t>
            </w:r>
          </w:p>
        </w:tc>
      </w:tr>
      <w:tr>
        <w:tblPrEx>
          <w:tblCellMar>
            <w:top w:w="0" w:type="dxa"/>
            <w:left w:w="0" w:type="dxa"/>
            <w:bottom w:w="0" w:type="dxa"/>
            <w:right w:w="0" w:type="dxa"/>
          </w:tblCellMar>
        </w:tblPrEx>
        <w:trPr>
          <w:trHeight w:val="83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满意度指标</w:t>
            </w:r>
          </w:p>
        </w:tc>
        <w:tc>
          <w:tcPr>
            <w:tcW w:w="2392"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部门满意度</w:t>
            </w:r>
          </w:p>
        </w:tc>
        <w:tc>
          <w:tcPr>
            <w:tcW w:w="2394"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r>
              <w:rPr>
                <w:rFonts w:ascii="宋体" w:hAnsi="宋体" w:cs="宋体"/>
                <w:color w:val="000000"/>
                <w:sz w:val="24"/>
              </w:rPr>
              <w:t>100%</w:t>
            </w:r>
          </w:p>
        </w:tc>
        <w:tc>
          <w:tcPr>
            <w:tcW w:w="2392"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r>
              <w:rPr>
                <w:rFonts w:ascii="宋体" w:hAnsi="宋体" w:cs="宋体"/>
                <w:color w:val="000000"/>
                <w:sz w:val="24"/>
              </w:rPr>
              <w:t>100%</w:t>
            </w:r>
          </w:p>
        </w:tc>
      </w:tr>
    </w:tbl>
    <w:p>
      <w:pPr>
        <w:tabs>
          <w:tab w:val="left" w:pos="312"/>
        </w:tabs>
        <w:spacing w:line="580" w:lineRule="exact"/>
        <w:ind w:left="640"/>
        <w:rPr>
          <w:rFonts w:ascii="仿宋_GB2312" w:hAnsi="仿宋_GB2312" w:eastAsia="仿宋_GB2312" w:cs="仿宋_GB2312"/>
          <w:sz w:val="32"/>
          <w:szCs w:val="32"/>
        </w:rPr>
      </w:pPr>
    </w:p>
    <w:p>
      <w:pPr>
        <w:pStyle w:val="28"/>
        <w:numPr>
          <w:ilvl w:val="0"/>
          <w:numId w:val="5"/>
        </w:numPr>
        <w:spacing w:line="580" w:lineRule="exact"/>
        <w:ind w:firstLineChars="0"/>
        <w:rPr>
          <w:rFonts w:ascii="宋体" w:cs="仿宋_GB2312"/>
          <w:sz w:val="32"/>
          <w:szCs w:val="32"/>
        </w:rPr>
      </w:pPr>
      <w:r>
        <w:rPr>
          <w:rFonts w:hint="eastAsia" w:ascii="宋体" w:hAnsi="宋体" w:cs="仿宋_GB2312"/>
          <w:sz w:val="32"/>
          <w:szCs w:val="32"/>
        </w:rPr>
        <w:t>运管处“业务运行费”项目绩效目标完成情况综述。项目全年预算数</w:t>
      </w:r>
      <w:r>
        <w:rPr>
          <w:rFonts w:ascii="宋体" w:hAnsi="宋体" w:cs="仿宋_GB2312"/>
          <w:sz w:val="32"/>
          <w:szCs w:val="32"/>
        </w:rPr>
        <w:t>30.60</w:t>
      </w:r>
      <w:r>
        <w:rPr>
          <w:rFonts w:hint="eastAsia" w:ascii="宋体" w:hAnsi="宋体" w:cs="仿宋_GB2312"/>
          <w:sz w:val="32"/>
          <w:szCs w:val="32"/>
        </w:rPr>
        <w:t>万元，执行数为</w:t>
      </w:r>
      <w:r>
        <w:rPr>
          <w:rFonts w:ascii="宋体" w:hAnsi="宋体" w:cs="仿宋_GB2312"/>
          <w:sz w:val="32"/>
          <w:szCs w:val="32"/>
        </w:rPr>
        <w:t>30.60</w:t>
      </w:r>
      <w:r>
        <w:rPr>
          <w:rFonts w:hint="eastAsia" w:ascii="宋体" w:hAnsi="宋体" w:cs="仿宋_GB2312"/>
          <w:sz w:val="32"/>
          <w:szCs w:val="32"/>
        </w:rPr>
        <w:t>万元，完成预算的</w:t>
      </w:r>
      <w:r>
        <w:rPr>
          <w:rFonts w:ascii="宋体" w:hAnsi="宋体" w:cs="仿宋_GB2312"/>
          <w:sz w:val="32"/>
          <w:szCs w:val="32"/>
        </w:rPr>
        <w:t>100%</w:t>
      </w:r>
      <w:r>
        <w:rPr>
          <w:rFonts w:hint="eastAsia" w:ascii="宋体" w:hAnsi="宋体" w:cs="仿宋_GB2312"/>
          <w:sz w:val="32"/>
          <w:szCs w:val="32"/>
        </w:rPr>
        <w:t>。通过项目实施，保障了道路运输市场持续健康稳定发展和重要时段应急运输，确保了行业安全，提高了道路运输管理水平和服务水平。发现的主要问题：</w:t>
      </w:r>
      <w:r>
        <w:rPr>
          <w:rFonts w:hint="eastAsia" w:ascii="宋体" w:hAnsi="宋体" w:cs="仿宋_GB2312"/>
          <w:snapToGrid w:val="0"/>
          <w:color w:val="333333"/>
          <w:sz w:val="32"/>
          <w:szCs w:val="32"/>
          <w:shd w:val="clear" w:color="auto" w:fill="FFFFFF"/>
        </w:rPr>
        <w:t>保障力度还有待进一步加强，特别是促进经济增长方面</w:t>
      </w:r>
      <w:r>
        <w:rPr>
          <w:rFonts w:hint="eastAsia" w:ascii="宋体" w:hAnsi="宋体" w:cs="仿宋_GB2312"/>
          <w:sz w:val="32"/>
          <w:szCs w:val="32"/>
        </w:rPr>
        <w:t>。下一步改进措施：进一步强化道路运输对全市经济增长贡献的支撑作用。</w:t>
      </w:r>
    </w:p>
    <w:p>
      <w:pPr>
        <w:pStyle w:val="28"/>
        <w:ind w:firstLine="640"/>
        <w:rPr>
          <w:rFonts w:ascii="仿宋_GB2312" w:hAnsi="仿宋_GB2312" w:eastAsia="仿宋_GB2312" w:cs="仿宋_GB2312"/>
          <w:sz w:val="32"/>
          <w:szCs w:val="32"/>
        </w:rPr>
      </w:pPr>
      <w:r>
        <w:rPr>
          <w:rFonts w:ascii="仿宋_GB2312" w:hAnsi="仿宋_GB2312" w:eastAsia="仿宋_GB2312" w:cs="仿宋_GB2312"/>
          <w:sz w:val="32"/>
          <w:szCs w:val="32"/>
        </w:rPr>
        <w:pict>
          <v:shape id="_x0000_i1031" o:spt="75" alt="绩效目标完成情况表(业务运行费)" type="#_x0000_t75" style="height:534.75pt;width:407.25pt;" filled="f" o:preferrelative="t" stroked="f" coordsize="21600,21600">
            <v:path/>
            <v:fill on="f" focussize="0,0"/>
            <v:stroke on="f" joinstyle="miter"/>
            <v:imagedata r:id="rId18" o:title=""/>
            <o:lock v:ext="edit" aspectratio="t"/>
            <w10:wrap type="none"/>
            <w10:anchorlock/>
          </v:shape>
        </w:pict>
      </w:r>
    </w:p>
    <w:p>
      <w:pPr>
        <w:pStyle w:val="28"/>
        <w:tabs>
          <w:tab w:val="left" w:pos="312"/>
        </w:tabs>
        <w:spacing w:line="580" w:lineRule="exact"/>
        <w:ind w:left="420" w:firstLine="0" w:firstLineChars="0"/>
        <w:rPr>
          <w:rFonts w:ascii="仿宋_GB2312" w:hAnsi="仿宋_GB2312" w:eastAsia="仿宋_GB2312" w:cs="仿宋_GB2312"/>
          <w:sz w:val="32"/>
          <w:szCs w:val="32"/>
        </w:rPr>
      </w:pPr>
    </w:p>
    <w:p>
      <w:pPr>
        <w:tabs>
          <w:tab w:val="left" w:pos="312"/>
        </w:tabs>
        <w:spacing w:line="580" w:lineRule="exact"/>
        <w:ind w:firstLine="630"/>
        <w:rPr>
          <w:rFonts w:ascii="宋体" w:cs="仿宋_GB2312"/>
          <w:sz w:val="32"/>
          <w:szCs w:val="32"/>
        </w:rPr>
      </w:pPr>
      <w:r>
        <w:rPr>
          <w:rFonts w:ascii="宋体" w:hAnsi="宋体" w:cs="仿宋_GB2312"/>
          <w:sz w:val="32"/>
          <w:szCs w:val="32"/>
        </w:rPr>
        <w:t>4.</w:t>
      </w:r>
      <w:r>
        <w:rPr>
          <w:rFonts w:hint="eastAsia" w:ascii="宋体" w:hAnsi="宋体"/>
          <w:sz w:val="32"/>
          <w:szCs w:val="32"/>
        </w:rPr>
        <w:t>海事管理经费</w:t>
      </w:r>
      <w:r>
        <w:rPr>
          <w:rFonts w:hint="eastAsia" w:ascii="宋体" w:hAnsi="宋体" w:cs="仿宋_GB2312"/>
          <w:sz w:val="32"/>
          <w:szCs w:val="32"/>
        </w:rPr>
        <w:t>项目绩效目标完成情况综述。项目全年预算数</w:t>
      </w:r>
      <w:r>
        <w:rPr>
          <w:rFonts w:ascii="宋体" w:hAnsi="宋体" w:cs="仿宋_GB2312"/>
          <w:sz w:val="32"/>
          <w:szCs w:val="32"/>
        </w:rPr>
        <w:t>47</w:t>
      </w:r>
      <w:r>
        <w:rPr>
          <w:rFonts w:hint="eastAsia" w:ascii="宋体" w:hAnsi="宋体" w:cs="仿宋_GB2312"/>
          <w:sz w:val="32"/>
          <w:szCs w:val="32"/>
        </w:rPr>
        <w:t>万元，执行数为</w:t>
      </w:r>
      <w:r>
        <w:rPr>
          <w:rFonts w:ascii="宋体" w:hAnsi="宋体" w:cs="仿宋_GB2312"/>
          <w:sz w:val="32"/>
          <w:szCs w:val="32"/>
        </w:rPr>
        <w:t>47</w:t>
      </w:r>
      <w:r>
        <w:rPr>
          <w:rFonts w:hint="eastAsia" w:ascii="宋体" w:hAnsi="宋体" w:cs="仿宋_GB2312"/>
          <w:sz w:val="32"/>
          <w:szCs w:val="32"/>
        </w:rPr>
        <w:t>万元，完成预算的</w:t>
      </w:r>
      <w:r>
        <w:rPr>
          <w:rFonts w:ascii="宋体" w:hAnsi="宋体" w:cs="仿宋_GB2312"/>
          <w:sz w:val="32"/>
          <w:szCs w:val="32"/>
        </w:rPr>
        <w:t>100%</w:t>
      </w:r>
      <w:r>
        <w:rPr>
          <w:rFonts w:hint="eastAsia" w:ascii="宋体" w:hAnsi="宋体" w:cs="仿宋_GB2312"/>
          <w:sz w:val="32"/>
          <w:szCs w:val="32"/>
        </w:rPr>
        <w:t>。通过项目实施，加强了水上交通安全监管；</w:t>
      </w:r>
      <w:r>
        <w:rPr>
          <w:rFonts w:hint="eastAsia" w:ascii="宋体" w:hAnsi="宋体"/>
          <w:sz w:val="32"/>
          <w:szCs w:val="32"/>
        </w:rPr>
        <w:t>强化了应急救援能力建设；加大了巡航巡查、安全宣传力度，进一步提高了人民群众、水运企企业及从业人员的安全生产意识、环境保护意识，得到了人民群众、水运企企业及从业人员的高度认可</w:t>
      </w:r>
      <w:r>
        <w:rPr>
          <w:rFonts w:hint="eastAsia" w:ascii="宋体" w:hAnsi="宋体" w:cs="仿宋_GB2312"/>
          <w:sz w:val="32"/>
          <w:szCs w:val="32"/>
        </w:rPr>
        <w:t>。</w:t>
      </w:r>
    </w:p>
    <w:tbl>
      <w:tblPr>
        <w:tblStyle w:val="13"/>
        <w:tblW w:w="9740" w:type="dxa"/>
        <w:tblInd w:w="95" w:type="dxa"/>
        <w:tblLayout w:type="fixed"/>
        <w:tblCellMar>
          <w:top w:w="0" w:type="dxa"/>
          <w:left w:w="108" w:type="dxa"/>
          <w:bottom w:w="0" w:type="dxa"/>
          <w:right w:w="108" w:type="dxa"/>
        </w:tblCellMar>
      </w:tblPr>
      <w:tblGrid>
        <w:gridCol w:w="417"/>
        <w:gridCol w:w="500"/>
        <w:gridCol w:w="620"/>
        <w:gridCol w:w="1757"/>
        <w:gridCol w:w="1337"/>
        <w:gridCol w:w="1357"/>
        <w:gridCol w:w="3752"/>
      </w:tblGrid>
      <w:tr>
        <w:tblPrEx>
          <w:tblCellMar>
            <w:top w:w="0" w:type="dxa"/>
            <w:left w:w="108" w:type="dxa"/>
            <w:bottom w:w="0" w:type="dxa"/>
            <w:right w:w="108" w:type="dxa"/>
          </w:tblCellMar>
        </w:tblPrEx>
        <w:trPr>
          <w:trHeight w:val="330" w:hRule="atLeast"/>
        </w:trPr>
        <w:tc>
          <w:tcPr>
            <w:tcW w:w="1537" w:type="dxa"/>
            <w:gridSpan w:val="3"/>
            <w:tcBorders>
              <w:top w:val="nil"/>
              <w:left w:val="nil"/>
              <w:bottom w:val="nil"/>
              <w:right w:val="nil"/>
            </w:tcBorders>
            <w:noWrap/>
            <w:vAlign w:val="center"/>
          </w:tcPr>
          <w:p>
            <w:pPr>
              <w:widowControl/>
              <w:jc w:val="left"/>
              <w:rPr>
                <w:rFonts w:ascii="黑体" w:hAnsi="黑体" w:eastAsia="黑体" w:cs="宋体"/>
                <w:kern w:val="0"/>
                <w:sz w:val="24"/>
              </w:rPr>
            </w:pPr>
          </w:p>
        </w:tc>
        <w:tc>
          <w:tcPr>
            <w:tcW w:w="1757" w:type="dxa"/>
            <w:tcBorders>
              <w:top w:val="nil"/>
              <w:left w:val="nil"/>
              <w:bottom w:val="nil"/>
              <w:right w:val="nil"/>
            </w:tcBorders>
            <w:vAlign w:val="center"/>
          </w:tcPr>
          <w:p>
            <w:pPr>
              <w:widowControl/>
              <w:jc w:val="left"/>
              <w:rPr>
                <w:rFonts w:ascii="黑体" w:hAnsi="黑体" w:eastAsia="黑体" w:cs="宋体"/>
                <w:kern w:val="0"/>
                <w:sz w:val="24"/>
              </w:rPr>
            </w:pPr>
          </w:p>
        </w:tc>
        <w:tc>
          <w:tcPr>
            <w:tcW w:w="1337" w:type="dxa"/>
            <w:tcBorders>
              <w:top w:val="nil"/>
              <w:left w:val="nil"/>
              <w:bottom w:val="nil"/>
              <w:right w:val="nil"/>
            </w:tcBorders>
            <w:vAlign w:val="center"/>
          </w:tcPr>
          <w:p>
            <w:pPr>
              <w:widowControl/>
              <w:jc w:val="left"/>
              <w:rPr>
                <w:rFonts w:ascii="宋体" w:cs="宋体"/>
                <w:kern w:val="0"/>
                <w:sz w:val="24"/>
              </w:rPr>
            </w:pPr>
          </w:p>
        </w:tc>
        <w:tc>
          <w:tcPr>
            <w:tcW w:w="1357" w:type="dxa"/>
            <w:tcBorders>
              <w:top w:val="nil"/>
              <w:left w:val="nil"/>
              <w:bottom w:val="nil"/>
              <w:right w:val="nil"/>
            </w:tcBorders>
            <w:vAlign w:val="center"/>
          </w:tcPr>
          <w:p>
            <w:pPr>
              <w:widowControl/>
              <w:jc w:val="left"/>
              <w:rPr>
                <w:rFonts w:ascii="宋体" w:cs="宋体"/>
                <w:kern w:val="0"/>
                <w:sz w:val="24"/>
              </w:rPr>
            </w:pPr>
          </w:p>
        </w:tc>
        <w:tc>
          <w:tcPr>
            <w:tcW w:w="3752" w:type="dxa"/>
            <w:tcBorders>
              <w:top w:val="nil"/>
              <w:left w:val="nil"/>
              <w:bottom w:val="nil"/>
              <w:right w:val="nil"/>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trHeight w:val="675" w:hRule="atLeast"/>
        </w:trPr>
        <w:tc>
          <w:tcPr>
            <w:tcW w:w="9740" w:type="dxa"/>
            <w:gridSpan w:val="7"/>
            <w:tcBorders>
              <w:top w:val="nil"/>
              <w:left w:val="nil"/>
              <w:bottom w:val="nil"/>
              <w:right w:val="nil"/>
            </w:tcBorders>
            <w:vAlign w:val="center"/>
          </w:tcPr>
          <w:p>
            <w:pPr>
              <w:widowControl/>
              <w:jc w:val="center"/>
              <w:rPr>
                <w:rFonts w:ascii="宋体" w:cs="宋体"/>
                <w:b/>
                <w:bCs/>
                <w:kern w:val="0"/>
                <w:sz w:val="32"/>
                <w:szCs w:val="32"/>
              </w:rPr>
            </w:pPr>
            <w:r>
              <w:rPr>
                <w:rFonts w:hint="eastAsia" w:ascii="宋体" w:hAnsi="宋体" w:cs="宋体"/>
                <w:b/>
                <w:bCs/>
                <w:kern w:val="0"/>
                <w:sz w:val="32"/>
                <w:szCs w:val="32"/>
              </w:rPr>
              <w:t>部门项目支出绩效目标申报表</w:t>
            </w:r>
          </w:p>
        </w:tc>
      </w:tr>
      <w:tr>
        <w:tblPrEx>
          <w:tblCellMar>
            <w:top w:w="0" w:type="dxa"/>
            <w:left w:w="108" w:type="dxa"/>
            <w:bottom w:w="0" w:type="dxa"/>
            <w:right w:w="108" w:type="dxa"/>
          </w:tblCellMar>
        </w:tblPrEx>
        <w:trPr>
          <w:trHeight w:val="285" w:hRule="atLeast"/>
        </w:trPr>
        <w:tc>
          <w:tcPr>
            <w:tcW w:w="9740" w:type="dxa"/>
            <w:gridSpan w:val="7"/>
            <w:tcBorders>
              <w:top w:val="nil"/>
              <w:left w:val="nil"/>
              <w:bottom w:val="nil"/>
              <w:right w:val="nil"/>
            </w:tcBorders>
            <w:vAlign w:val="center"/>
          </w:tcPr>
          <w:p>
            <w:pPr>
              <w:widowControl/>
              <w:jc w:val="center"/>
              <w:rPr>
                <w:rFonts w:ascii="宋体" w:cs="宋体"/>
                <w:kern w:val="0"/>
                <w:sz w:val="24"/>
              </w:rPr>
            </w:pPr>
            <w:r>
              <w:rPr>
                <w:rFonts w:hint="eastAsia" w:ascii="宋体" w:hAnsi="宋体" w:cs="宋体"/>
                <w:kern w:val="0"/>
                <w:sz w:val="24"/>
              </w:rPr>
              <w:t>（</w:t>
            </w:r>
            <w:r>
              <w:rPr>
                <w:rFonts w:ascii="宋体" w:hAnsi="宋体" w:cs="宋体"/>
                <w:kern w:val="0"/>
                <w:sz w:val="24"/>
              </w:rPr>
              <w:t>2018</w:t>
            </w:r>
            <w:r>
              <w:rPr>
                <w:rFonts w:hint="eastAsia" w:ascii="宋体" w:hAnsi="宋体" w:cs="宋体"/>
                <w:kern w:val="0"/>
                <w:sz w:val="24"/>
              </w:rPr>
              <w:t>年度）</w:t>
            </w:r>
          </w:p>
        </w:tc>
      </w:tr>
      <w:tr>
        <w:tblPrEx>
          <w:tblCellMar>
            <w:top w:w="0" w:type="dxa"/>
            <w:left w:w="108" w:type="dxa"/>
            <w:bottom w:w="0" w:type="dxa"/>
            <w:right w:w="108" w:type="dxa"/>
          </w:tblCellMar>
        </w:tblPrEx>
        <w:trPr>
          <w:trHeight w:val="435" w:hRule="atLeast"/>
        </w:trPr>
        <w:tc>
          <w:tcPr>
            <w:tcW w:w="417" w:type="dxa"/>
            <w:tcBorders>
              <w:top w:val="nil"/>
              <w:left w:val="nil"/>
              <w:bottom w:val="single" w:color="auto" w:sz="4" w:space="0"/>
              <w:right w:val="nil"/>
            </w:tcBorders>
            <w:noWrap/>
            <w:vAlign w:val="center"/>
          </w:tcPr>
          <w:p>
            <w:pPr>
              <w:widowControl/>
              <w:jc w:val="left"/>
              <w:rPr>
                <w:rFonts w:ascii="宋体" w:cs="宋体"/>
                <w:kern w:val="0"/>
                <w:sz w:val="24"/>
              </w:rPr>
            </w:pPr>
            <w:r>
              <w:rPr>
                <w:rFonts w:hint="eastAsia" w:ascii="宋体" w:hAnsi="宋体" w:cs="宋体"/>
                <w:kern w:val="0"/>
                <w:sz w:val="24"/>
              </w:rPr>
              <w:t>　</w:t>
            </w:r>
          </w:p>
        </w:tc>
        <w:tc>
          <w:tcPr>
            <w:tcW w:w="500" w:type="dxa"/>
            <w:tcBorders>
              <w:top w:val="nil"/>
              <w:left w:val="nil"/>
              <w:bottom w:val="single" w:color="auto" w:sz="4" w:space="0"/>
              <w:right w:val="nil"/>
            </w:tcBorders>
            <w:vAlign w:val="center"/>
          </w:tcPr>
          <w:p>
            <w:pPr>
              <w:widowControl/>
              <w:jc w:val="left"/>
              <w:rPr>
                <w:rFonts w:ascii="宋体" w:cs="宋体"/>
                <w:kern w:val="0"/>
                <w:sz w:val="24"/>
              </w:rPr>
            </w:pPr>
            <w:r>
              <w:rPr>
                <w:rFonts w:hint="eastAsia" w:ascii="宋体" w:hAnsi="宋体" w:cs="宋体"/>
                <w:kern w:val="0"/>
                <w:sz w:val="24"/>
              </w:rPr>
              <w:t>　</w:t>
            </w:r>
          </w:p>
        </w:tc>
        <w:tc>
          <w:tcPr>
            <w:tcW w:w="620" w:type="dxa"/>
            <w:tcBorders>
              <w:top w:val="nil"/>
              <w:left w:val="nil"/>
              <w:bottom w:val="nil"/>
              <w:right w:val="nil"/>
            </w:tcBorders>
            <w:vAlign w:val="center"/>
          </w:tcPr>
          <w:p>
            <w:pPr>
              <w:widowControl/>
              <w:jc w:val="left"/>
              <w:rPr>
                <w:rFonts w:ascii="宋体" w:cs="宋体"/>
                <w:kern w:val="0"/>
                <w:sz w:val="24"/>
              </w:rPr>
            </w:pPr>
          </w:p>
        </w:tc>
        <w:tc>
          <w:tcPr>
            <w:tcW w:w="1757" w:type="dxa"/>
            <w:tcBorders>
              <w:top w:val="nil"/>
              <w:left w:val="nil"/>
              <w:bottom w:val="nil"/>
              <w:right w:val="nil"/>
            </w:tcBorders>
            <w:vAlign w:val="center"/>
          </w:tcPr>
          <w:p>
            <w:pPr>
              <w:widowControl/>
              <w:jc w:val="left"/>
              <w:rPr>
                <w:rFonts w:ascii="宋体" w:cs="宋体"/>
                <w:kern w:val="0"/>
                <w:sz w:val="24"/>
              </w:rPr>
            </w:pPr>
          </w:p>
        </w:tc>
        <w:tc>
          <w:tcPr>
            <w:tcW w:w="1337" w:type="dxa"/>
            <w:tcBorders>
              <w:top w:val="nil"/>
              <w:left w:val="nil"/>
              <w:bottom w:val="nil"/>
              <w:right w:val="nil"/>
            </w:tcBorders>
            <w:vAlign w:val="center"/>
          </w:tcPr>
          <w:p>
            <w:pPr>
              <w:widowControl/>
              <w:jc w:val="left"/>
              <w:rPr>
                <w:rFonts w:ascii="宋体" w:cs="宋体"/>
                <w:kern w:val="0"/>
                <w:sz w:val="24"/>
              </w:rPr>
            </w:pPr>
          </w:p>
        </w:tc>
        <w:tc>
          <w:tcPr>
            <w:tcW w:w="1357" w:type="dxa"/>
            <w:tcBorders>
              <w:top w:val="nil"/>
              <w:left w:val="nil"/>
              <w:bottom w:val="nil"/>
              <w:right w:val="nil"/>
            </w:tcBorders>
            <w:vAlign w:val="center"/>
          </w:tcPr>
          <w:p>
            <w:pPr>
              <w:widowControl/>
              <w:jc w:val="left"/>
              <w:rPr>
                <w:rFonts w:ascii="宋体" w:cs="宋体"/>
                <w:kern w:val="0"/>
                <w:sz w:val="24"/>
              </w:rPr>
            </w:pPr>
          </w:p>
        </w:tc>
        <w:tc>
          <w:tcPr>
            <w:tcW w:w="3752" w:type="dxa"/>
            <w:tcBorders>
              <w:top w:val="nil"/>
              <w:left w:val="nil"/>
              <w:bottom w:val="nil"/>
              <w:right w:val="nil"/>
            </w:tcBorders>
            <w:vAlign w:val="center"/>
          </w:tcPr>
          <w:p>
            <w:pPr>
              <w:widowControl/>
              <w:jc w:val="left"/>
              <w:rPr>
                <w:rFonts w:ascii="宋体" w:cs="宋体"/>
                <w:kern w:val="0"/>
                <w:sz w:val="24"/>
              </w:rPr>
            </w:pPr>
          </w:p>
        </w:tc>
      </w:tr>
      <w:tr>
        <w:tblPrEx>
          <w:tblCellMar>
            <w:top w:w="0" w:type="dxa"/>
            <w:left w:w="108" w:type="dxa"/>
            <w:bottom w:w="0" w:type="dxa"/>
            <w:right w:w="108" w:type="dxa"/>
          </w:tblCellMar>
        </w:tblPrEx>
        <w:trPr>
          <w:trHeight w:val="345" w:hRule="atLeast"/>
        </w:trPr>
        <w:tc>
          <w:tcPr>
            <w:tcW w:w="1537" w:type="dxa"/>
            <w:gridSpan w:val="3"/>
            <w:tcBorders>
              <w:top w:val="single" w:color="auto" w:sz="4" w:space="0"/>
              <w:left w:val="single" w:color="auto" w:sz="4" w:space="0"/>
              <w:bottom w:val="single" w:color="auto" w:sz="4" w:space="0"/>
              <w:right w:val="nil"/>
            </w:tcBorders>
            <w:vAlign w:val="center"/>
          </w:tcPr>
          <w:p>
            <w:pPr>
              <w:widowControl/>
              <w:jc w:val="center"/>
              <w:rPr>
                <w:rFonts w:ascii="宋体" w:cs="宋体"/>
                <w:kern w:val="0"/>
                <w:sz w:val="20"/>
                <w:szCs w:val="20"/>
              </w:rPr>
            </w:pPr>
            <w:r>
              <w:rPr>
                <w:rFonts w:hint="eastAsia" w:ascii="宋体" w:hAnsi="宋体" w:cs="宋体"/>
                <w:kern w:val="0"/>
                <w:sz w:val="20"/>
                <w:szCs w:val="20"/>
              </w:rPr>
              <w:t>项目名称</w:t>
            </w:r>
          </w:p>
        </w:tc>
        <w:tc>
          <w:tcPr>
            <w:tcW w:w="820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海事管理</w:t>
            </w:r>
          </w:p>
        </w:tc>
      </w:tr>
      <w:tr>
        <w:tblPrEx>
          <w:tblCellMar>
            <w:top w:w="0" w:type="dxa"/>
            <w:left w:w="108" w:type="dxa"/>
            <w:bottom w:w="0" w:type="dxa"/>
            <w:right w:w="108" w:type="dxa"/>
          </w:tblCellMar>
        </w:tblPrEx>
        <w:trPr>
          <w:trHeight w:val="345" w:hRule="atLeast"/>
        </w:trPr>
        <w:tc>
          <w:tcPr>
            <w:tcW w:w="1537" w:type="dxa"/>
            <w:gridSpan w:val="3"/>
            <w:tcBorders>
              <w:top w:val="single" w:color="auto" w:sz="4" w:space="0"/>
              <w:left w:val="single" w:color="auto" w:sz="4" w:space="0"/>
              <w:bottom w:val="single" w:color="auto" w:sz="4" w:space="0"/>
              <w:right w:val="nil"/>
            </w:tcBorders>
            <w:vAlign w:val="center"/>
          </w:tcPr>
          <w:p>
            <w:pPr>
              <w:widowControl/>
              <w:jc w:val="center"/>
              <w:rPr>
                <w:rFonts w:ascii="宋体" w:cs="宋体"/>
                <w:kern w:val="0"/>
                <w:sz w:val="20"/>
                <w:szCs w:val="20"/>
              </w:rPr>
            </w:pPr>
            <w:r>
              <w:rPr>
                <w:rFonts w:hint="eastAsia" w:ascii="宋体" w:hAnsi="宋体" w:cs="宋体"/>
                <w:kern w:val="0"/>
                <w:sz w:val="20"/>
                <w:szCs w:val="20"/>
              </w:rPr>
              <w:t>预算单位</w:t>
            </w:r>
          </w:p>
        </w:tc>
        <w:tc>
          <w:tcPr>
            <w:tcW w:w="8203" w:type="dxa"/>
            <w:gridSpan w:val="4"/>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cs="宋体"/>
                <w:kern w:val="0"/>
                <w:sz w:val="20"/>
                <w:szCs w:val="20"/>
              </w:rPr>
            </w:pPr>
            <w:r>
              <w:rPr>
                <w:rFonts w:hint="eastAsia" w:ascii="宋体" w:hAnsi="宋体" w:cs="宋体"/>
                <w:kern w:val="0"/>
                <w:sz w:val="20"/>
                <w:szCs w:val="20"/>
              </w:rPr>
              <w:t>攀枝花市地方海事局</w:t>
            </w:r>
          </w:p>
        </w:tc>
      </w:tr>
      <w:tr>
        <w:tblPrEx>
          <w:tblCellMar>
            <w:top w:w="0" w:type="dxa"/>
            <w:left w:w="108" w:type="dxa"/>
            <w:bottom w:w="0" w:type="dxa"/>
            <w:right w:w="108" w:type="dxa"/>
          </w:tblCellMar>
        </w:tblPrEx>
        <w:trPr>
          <w:trHeight w:val="345" w:hRule="atLeast"/>
        </w:trPr>
        <w:tc>
          <w:tcPr>
            <w:tcW w:w="1537"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项目资金</w:t>
            </w:r>
            <w:r>
              <w:rPr>
                <w:rFonts w:ascii="宋体" w:cs="宋体"/>
                <w:kern w:val="0"/>
                <w:sz w:val="20"/>
                <w:szCs w:val="20"/>
              </w:rPr>
              <w:br w:type="textWrapping"/>
            </w:r>
            <w:r>
              <w:rPr>
                <w:rFonts w:hint="eastAsia" w:ascii="宋体" w:hAnsi="宋体" w:cs="宋体"/>
                <w:kern w:val="0"/>
                <w:sz w:val="20"/>
                <w:szCs w:val="20"/>
              </w:rPr>
              <w:t>（万元）</w:t>
            </w:r>
          </w:p>
        </w:tc>
        <w:tc>
          <w:tcPr>
            <w:tcW w:w="8203" w:type="dxa"/>
            <w:gridSpan w:val="4"/>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年度资金总额：</w:t>
            </w:r>
            <w:r>
              <w:rPr>
                <w:rFonts w:ascii="宋体" w:hAnsi="宋体" w:cs="宋体"/>
                <w:kern w:val="0"/>
                <w:sz w:val="20"/>
                <w:szCs w:val="20"/>
              </w:rPr>
              <w:t xml:space="preserve"> 47</w:t>
            </w: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345" w:hRule="atLeast"/>
        </w:trPr>
        <w:tc>
          <w:tcPr>
            <w:tcW w:w="1537"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8203" w:type="dxa"/>
            <w:gridSpan w:val="4"/>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其中：财政拨款</w:t>
            </w:r>
            <w:r>
              <w:rPr>
                <w:rFonts w:ascii="宋体" w:hAnsi="宋体" w:cs="宋体"/>
                <w:kern w:val="0"/>
                <w:sz w:val="20"/>
                <w:szCs w:val="20"/>
              </w:rPr>
              <w:t xml:space="preserve"> 47</w:t>
            </w: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345" w:hRule="atLeast"/>
        </w:trPr>
        <w:tc>
          <w:tcPr>
            <w:tcW w:w="1537"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8203" w:type="dxa"/>
            <w:gridSpan w:val="4"/>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其他资金</w:t>
            </w:r>
          </w:p>
        </w:tc>
      </w:tr>
      <w:tr>
        <w:tblPrEx>
          <w:tblCellMar>
            <w:top w:w="0" w:type="dxa"/>
            <w:left w:w="108" w:type="dxa"/>
            <w:bottom w:w="0" w:type="dxa"/>
            <w:right w:w="108" w:type="dxa"/>
          </w:tblCellMar>
        </w:tblPrEx>
        <w:trPr>
          <w:trHeight w:val="345" w:hRule="atLeast"/>
        </w:trPr>
        <w:tc>
          <w:tcPr>
            <w:tcW w:w="417"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总</w:t>
            </w:r>
            <w:r>
              <w:rPr>
                <w:rFonts w:ascii="宋体" w:cs="宋体"/>
                <w:kern w:val="0"/>
                <w:sz w:val="20"/>
                <w:szCs w:val="20"/>
              </w:rPr>
              <w:br w:type="textWrapping"/>
            </w:r>
            <w:r>
              <w:rPr>
                <w:rFonts w:hint="eastAsia" w:ascii="宋体" w:hAnsi="宋体" w:cs="宋体"/>
                <w:kern w:val="0"/>
                <w:sz w:val="20"/>
                <w:szCs w:val="20"/>
              </w:rPr>
              <w:t>体</w:t>
            </w:r>
            <w:r>
              <w:rPr>
                <w:rFonts w:ascii="宋体" w:cs="宋体"/>
                <w:kern w:val="0"/>
                <w:sz w:val="20"/>
                <w:szCs w:val="20"/>
              </w:rPr>
              <w:br w:type="textWrapping"/>
            </w:r>
            <w:r>
              <w:rPr>
                <w:rFonts w:hint="eastAsia" w:ascii="宋体" w:hAnsi="宋体" w:cs="宋体"/>
                <w:kern w:val="0"/>
                <w:sz w:val="20"/>
                <w:szCs w:val="20"/>
              </w:rPr>
              <w:t>目</w:t>
            </w:r>
            <w:r>
              <w:rPr>
                <w:rFonts w:ascii="宋体" w:cs="宋体"/>
                <w:kern w:val="0"/>
                <w:sz w:val="20"/>
                <w:szCs w:val="20"/>
              </w:rPr>
              <w:br w:type="textWrapping"/>
            </w:r>
            <w:r>
              <w:rPr>
                <w:rFonts w:hint="eastAsia" w:ascii="宋体" w:hAnsi="宋体" w:cs="宋体"/>
                <w:kern w:val="0"/>
                <w:sz w:val="20"/>
                <w:szCs w:val="20"/>
              </w:rPr>
              <w:t>标</w:t>
            </w:r>
          </w:p>
        </w:tc>
        <w:tc>
          <w:tcPr>
            <w:tcW w:w="9323" w:type="dxa"/>
            <w:gridSpan w:val="6"/>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年度目标</w:t>
            </w:r>
          </w:p>
        </w:tc>
      </w:tr>
      <w:tr>
        <w:tblPrEx>
          <w:tblCellMar>
            <w:top w:w="0" w:type="dxa"/>
            <w:left w:w="108" w:type="dxa"/>
            <w:bottom w:w="0" w:type="dxa"/>
            <w:right w:w="108" w:type="dxa"/>
          </w:tblCellMar>
        </w:tblPrEx>
        <w:trPr>
          <w:trHeight w:val="792" w:hRule="atLeast"/>
        </w:trPr>
        <w:tc>
          <w:tcPr>
            <w:tcW w:w="4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9323" w:type="dxa"/>
            <w:gridSpan w:val="6"/>
            <w:tcBorders>
              <w:top w:val="single" w:color="auto" w:sz="4" w:space="0"/>
              <w:left w:val="nil"/>
              <w:bottom w:val="single" w:color="auto" w:sz="4" w:space="0"/>
              <w:right w:val="single" w:color="auto" w:sz="4" w:space="0"/>
            </w:tcBorders>
          </w:tcPr>
          <w:p>
            <w:pPr>
              <w:widowControl/>
              <w:jc w:val="left"/>
              <w:rPr>
                <w:rFonts w:ascii="宋体" w:cs="宋体"/>
                <w:kern w:val="0"/>
                <w:sz w:val="20"/>
                <w:szCs w:val="20"/>
              </w:rPr>
            </w:pPr>
            <w:r>
              <w:rPr>
                <w:rFonts w:hint="eastAsia" w:ascii="宋体" w:hAnsi="宋体" w:cs="宋体"/>
                <w:kern w:val="0"/>
                <w:sz w:val="20"/>
                <w:szCs w:val="20"/>
              </w:rPr>
              <w:t>水上安全工作包括组织巡航和安全监督检查，召开全市海事、航务工作会，开展水上安全宣传、应急救援演练、海事精神文明建设、三化建设、创建文明城市、环保工作、海事执法人员换装、海事专网、</w:t>
            </w:r>
            <w:r>
              <w:rPr>
                <w:rFonts w:ascii="宋体" w:hAnsi="宋体" w:cs="宋体"/>
                <w:kern w:val="0"/>
                <w:sz w:val="20"/>
                <w:szCs w:val="20"/>
              </w:rPr>
              <w:t>GPS</w:t>
            </w:r>
            <w:r>
              <w:rPr>
                <w:rFonts w:hint="eastAsia" w:ascii="宋体" w:hAnsi="宋体" w:cs="宋体"/>
                <w:kern w:val="0"/>
                <w:sz w:val="20"/>
                <w:szCs w:val="20"/>
              </w:rPr>
              <w:t>使用维护等。</w:t>
            </w:r>
          </w:p>
        </w:tc>
      </w:tr>
      <w:tr>
        <w:tblPrEx>
          <w:tblCellMar>
            <w:top w:w="0" w:type="dxa"/>
            <w:left w:w="108" w:type="dxa"/>
            <w:bottom w:w="0" w:type="dxa"/>
            <w:right w:w="108" w:type="dxa"/>
          </w:tblCellMar>
        </w:tblPrEx>
        <w:trPr>
          <w:trHeight w:val="480" w:hRule="atLeast"/>
        </w:trPr>
        <w:tc>
          <w:tcPr>
            <w:tcW w:w="41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绩</w:t>
            </w:r>
            <w:r>
              <w:rPr>
                <w:rFonts w:ascii="宋体" w:cs="宋体"/>
                <w:kern w:val="0"/>
                <w:sz w:val="20"/>
                <w:szCs w:val="20"/>
              </w:rPr>
              <w:br w:type="textWrapping"/>
            </w:r>
            <w:r>
              <w:rPr>
                <w:rFonts w:hint="eastAsia" w:ascii="宋体" w:hAnsi="宋体" w:cs="宋体"/>
                <w:kern w:val="0"/>
                <w:sz w:val="20"/>
                <w:szCs w:val="20"/>
              </w:rPr>
              <w:t>效</w:t>
            </w:r>
            <w:r>
              <w:rPr>
                <w:rFonts w:ascii="宋体" w:cs="宋体"/>
                <w:kern w:val="0"/>
                <w:sz w:val="20"/>
                <w:szCs w:val="20"/>
              </w:rPr>
              <w:br w:type="textWrapping"/>
            </w:r>
            <w:r>
              <w:rPr>
                <w:rFonts w:hint="eastAsia" w:ascii="宋体" w:hAnsi="宋体" w:cs="宋体"/>
                <w:kern w:val="0"/>
                <w:sz w:val="20"/>
                <w:szCs w:val="20"/>
              </w:rPr>
              <w:t>指</w:t>
            </w:r>
            <w:r>
              <w:rPr>
                <w:rFonts w:ascii="宋体" w:cs="宋体"/>
                <w:kern w:val="0"/>
                <w:sz w:val="20"/>
                <w:szCs w:val="20"/>
              </w:rPr>
              <w:br w:type="textWrapping"/>
            </w:r>
            <w:r>
              <w:rPr>
                <w:rFonts w:hint="eastAsia" w:ascii="宋体" w:hAnsi="宋体" w:cs="宋体"/>
                <w:kern w:val="0"/>
                <w:sz w:val="20"/>
                <w:szCs w:val="20"/>
              </w:rPr>
              <w:t>标</w:t>
            </w:r>
          </w:p>
        </w:tc>
        <w:tc>
          <w:tcPr>
            <w:tcW w:w="500" w:type="dxa"/>
            <w:tcBorders>
              <w:top w:val="nil"/>
              <w:left w:val="nil"/>
              <w:bottom w:val="nil"/>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　</w:t>
            </w:r>
          </w:p>
        </w:tc>
        <w:tc>
          <w:tcPr>
            <w:tcW w:w="62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二级指标</w:t>
            </w:r>
          </w:p>
        </w:tc>
        <w:tc>
          <w:tcPr>
            <w:tcW w:w="1757"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三级指标</w:t>
            </w:r>
          </w:p>
        </w:tc>
        <w:tc>
          <w:tcPr>
            <w:tcW w:w="6446"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指标值（包含数字及文字描述）</w:t>
            </w:r>
          </w:p>
        </w:tc>
      </w:tr>
      <w:tr>
        <w:tblPrEx>
          <w:tblCellMar>
            <w:top w:w="0" w:type="dxa"/>
            <w:left w:w="108" w:type="dxa"/>
            <w:bottom w:w="0" w:type="dxa"/>
            <w:right w:w="108" w:type="dxa"/>
          </w:tblCellMar>
        </w:tblPrEx>
        <w:trPr>
          <w:trHeight w:val="67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项目完成</w:t>
            </w:r>
          </w:p>
        </w:tc>
        <w:tc>
          <w:tcPr>
            <w:tcW w:w="62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数量指标</w:t>
            </w:r>
          </w:p>
        </w:tc>
        <w:tc>
          <w:tcPr>
            <w:tcW w:w="1757" w:type="dxa"/>
            <w:tcBorders>
              <w:top w:val="nil"/>
              <w:left w:val="nil"/>
              <w:bottom w:val="single" w:color="auto" w:sz="4" w:space="0"/>
              <w:right w:val="single" w:color="auto" w:sz="4" w:space="0"/>
            </w:tcBorders>
            <w:vAlign w:val="center"/>
          </w:tcPr>
          <w:p>
            <w:pPr>
              <w:rPr>
                <w:rFonts w:ascii="宋体" w:cs="宋体"/>
                <w:sz w:val="20"/>
                <w:szCs w:val="20"/>
              </w:rPr>
            </w:pPr>
            <w:r>
              <w:rPr>
                <w:rFonts w:hint="eastAsia"/>
                <w:sz w:val="20"/>
                <w:szCs w:val="20"/>
              </w:rPr>
              <w:t>海巡艇巡航、巡查使用及维护费。</w:t>
            </w:r>
          </w:p>
        </w:tc>
        <w:tc>
          <w:tcPr>
            <w:tcW w:w="6446" w:type="dxa"/>
            <w:gridSpan w:val="3"/>
            <w:tcBorders>
              <w:top w:val="single" w:color="auto" w:sz="4" w:space="0"/>
              <w:left w:val="nil"/>
              <w:bottom w:val="single" w:color="auto" w:sz="4" w:space="0"/>
              <w:right w:val="single" w:color="auto" w:sz="4" w:space="0"/>
            </w:tcBorders>
            <w:vAlign w:val="center"/>
          </w:tcPr>
          <w:p>
            <w:pPr>
              <w:rPr>
                <w:rFonts w:ascii="宋体" w:cs="宋体"/>
                <w:sz w:val="20"/>
                <w:szCs w:val="20"/>
              </w:rPr>
            </w:pPr>
            <w:r>
              <w:rPr>
                <w:rFonts w:hint="eastAsia"/>
                <w:sz w:val="20"/>
                <w:szCs w:val="20"/>
              </w:rPr>
              <w:t>全年计划巡航</w:t>
            </w:r>
            <w:r>
              <w:rPr>
                <w:sz w:val="20"/>
                <w:szCs w:val="20"/>
              </w:rPr>
              <w:t>20</w:t>
            </w:r>
            <w:r>
              <w:rPr>
                <w:rFonts w:hint="eastAsia"/>
                <w:sz w:val="20"/>
                <w:szCs w:val="20"/>
              </w:rPr>
              <w:t>航次，</w:t>
            </w:r>
            <w:r>
              <w:rPr>
                <w:sz w:val="20"/>
                <w:szCs w:val="20"/>
              </w:rPr>
              <w:t>2000</w:t>
            </w:r>
            <w:r>
              <w:rPr>
                <w:rFonts w:hint="eastAsia"/>
                <w:sz w:val="20"/>
                <w:szCs w:val="20"/>
              </w:rPr>
              <w:t>公里以上；工作人员伙食补贴；对海巡艇主机及辅机维护保养</w:t>
            </w:r>
            <w:r>
              <w:rPr>
                <w:sz w:val="20"/>
                <w:szCs w:val="20"/>
              </w:rPr>
              <w:t>2</w:t>
            </w:r>
            <w:r>
              <w:rPr>
                <w:rFonts w:hint="eastAsia"/>
                <w:sz w:val="20"/>
                <w:szCs w:val="20"/>
              </w:rPr>
              <w:t>次，对舵系及信号设施维护保养</w:t>
            </w:r>
            <w:r>
              <w:rPr>
                <w:sz w:val="20"/>
                <w:szCs w:val="20"/>
              </w:rPr>
              <w:t>1</w:t>
            </w:r>
            <w:r>
              <w:rPr>
                <w:rFonts w:hint="eastAsia"/>
                <w:sz w:val="20"/>
                <w:szCs w:val="20"/>
              </w:rPr>
              <w:t>次，对电气设备维护保养</w:t>
            </w:r>
            <w:r>
              <w:rPr>
                <w:sz w:val="20"/>
                <w:szCs w:val="20"/>
              </w:rPr>
              <w:t>1</w:t>
            </w:r>
            <w:r>
              <w:rPr>
                <w:rFonts w:hint="eastAsia"/>
                <w:sz w:val="20"/>
                <w:szCs w:val="20"/>
              </w:rPr>
              <w:t>次，全船上墩除锈打漆</w:t>
            </w:r>
            <w:r>
              <w:rPr>
                <w:sz w:val="20"/>
                <w:szCs w:val="20"/>
              </w:rPr>
              <w:t>1</w:t>
            </w:r>
            <w:r>
              <w:rPr>
                <w:rFonts w:hint="eastAsia"/>
                <w:sz w:val="20"/>
                <w:szCs w:val="20"/>
              </w:rPr>
              <w:t>次。</w:t>
            </w:r>
          </w:p>
        </w:tc>
      </w:tr>
      <w:tr>
        <w:tblPrEx>
          <w:tblCellMar>
            <w:top w:w="0" w:type="dxa"/>
            <w:left w:w="108" w:type="dxa"/>
            <w:bottom w:w="0" w:type="dxa"/>
            <w:right w:w="108" w:type="dxa"/>
          </w:tblCellMar>
        </w:tblPrEx>
        <w:trPr>
          <w:trHeight w:val="533"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海事、航务工作会</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工作会、年度总结会、半年工作总结会。</w:t>
            </w:r>
          </w:p>
        </w:tc>
      </w:tr>
      <w:tr>
        <w:tblPrEx>
          <w:tblCellMar>
            <w:top w:w="0" w:type="dxa"/>
            <w:left w:w="108" w:type="dxa"/>
            <w:bottom w:w="0" w:type="dxa"/>
            <w:right w:w="108" w:type="dxa"/>
          </w:tblCellMar>
        </w:tblPrEx>
        <w:trPr>
          <w:trHeight w:val="133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宣传费、精神文明建设等经费</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根据省局《关于开展“三化”建设示范点创建工作的通知》（川交航函党</w:t>
            </w:r>
            <w:r>
              <w:rPr>
                <w:rFonts w:ascii="宋体" w:hAnsi="宋体" w:cs="宋体"/>
                <w:kern w:val="0"/>
                <w:sz w:val="20"/>
                <w:szCs w:val="20"/>
              </w:rPr>
              <w:t>[2016]106</w:t>
            </w:r>
            <w:r>
              <w:rPr>
                <w:rFonts w:hint="eastAsia" w:ascii="宋体" w:hAnsi="宋体" w:cs="宋体"/>
                <w:kern w:val="0"/>
                <w:sz w:val="20"/>
                <w:szCs w:val="20"/>
              </w:rPr>
              <w:t>号）及每年目标任务要求，积极推进我市航务海事“革命化、正规化、现代化”建设工作，推动执法信息公开、行政执法全过程记录工作落实，开展网上受理行政许可；开展创建文明执法窗口，创建全国文明城市、卫生城市、森林城市等活动。</w:t>
            </w:r>
          </w:p>
        </w:tc>
      </w:tr>
      <w:tr>
        <w:tblPrEx>
          <w:tblCellMar>
            <w:top w:w="0" w:type="dxa"/>
            <w:left w:w="108" w:type="dxa"/>
            <w:bottom w:w="0" w:type="dxa"/>
            <w:right w:w="108" w:type="dxa"/>
          </w:tblCellMar>
        </w:tblPrEx>
        <w:trPr>
          <w:trHeight w:val="348"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应急救援演练</w:t>
            </w:r>
          </w:p>
        </w:tc>
        <w:tc>
          <w:tcPr>
            <w:tcW w:w="6446" w:type="dxa"/>
            <w:gridSpan w:val="3"/>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0"/>
                <w:szCs w:val="20"/>
              </w:rPr>
            </w:pPr>
            <w:r>
              <w:rPr>
                <w:rFonts w:hint="eastAsia" w:ascii="宋体" w:hAnsi="宋体" w:cs="宋体"/>
                <w:kern w:val="0"/>
                <w:sz w:val="20"/>
                <w:szCs w:val="20"/>
              </w:rPr>
              <w:t>全市水上应急救援大型演练</w:t>
            </w:r>
            <w:r>
              <w:rPr>
                <w:rFonts w:ascii="宋体" w:hAnsi="宋体" w:cs="宋体"/>
                <w:kern w:val="0"/>
                <w:sz w:val="20"/>
                <w:szCs w:val="20"/>
              </w:rPr>
              <w:t xml:space="preserve">1 </w:t>
            </w:r>
            <w:r>
              <w:rPr>
                <w:rFonts w:hint="eastAsia" w:ascii="宋体" w:hAnsi="宋体" w:cs="宋体"/>
                <w:kern w:val="0"/>
                <w:sz w:val="20"/>
                <w:szCs w:val="20"/>
              </w:rPr>
              <w:t>次，小型应急救援演练</w:t>
            </w:r>
            <w:r>
              <w:rPr>
                <w:rFonts w:ascii="宋体" w:hAnsi="宋体" w:cs="宋体"/>
                <w:kern w:val="0"/>
                <w:sz w:val="20"/>
                <w:szCs w:val="20"/>
              </w:rPr>
              <w:t>2</w:t>
            </w:r>
            <w:r>
              <w:rPr>
                <w:rFonts w:hint="eastAsia" w:ascii="宋体" w:hAnsi="宋体" w:cs="宋体"/>
                <w:kern w:val="0"/>
                <w:sz w:val="20"/>
                <w:szCs w:val="20"/>
              </w:rPr>
              <w:t>次，</w:t>
            </w:r>
          </w:p>
        </w:tc>
      </w:tr>
      <w:tr>
        <w:tblPrEx>
          <w:tblCellMar>
            <w:top w:w="0" w:type="dxa"/>
            <w:left w:w="108" w:type="dxa"/>
            <w:bottom w:w="0" w:type="dxa"/>
            <w:right w:w="108" w:type="dxa"/>
          </w:tblCellMar>
        </w:tblPrEx>
        <w:trPr>
          <w:trHeight w:val="39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网络使用费等</w:t>
            </w:r>
          </w:p>
        </w:tc>
        <w:tc>
          <w:tcPr>
            <w:tcW w:w="6446" w:type="dxa"/>
            <w:gridSpan w:val="3"/>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0"/>
                <w:szCs w:val="20"/>
              </w:rPr>
            </w:pPr>
            <w:r>
              <w:rPr>
                <w:rFonts w:hint="eastAsia" w:ascii="宋体" w:hAnsi="宋体" w:cs="宋体"/>
                <w:kern w:val="0"/>
                <w:sz w:val="20"/>
                <w:szCs w:val="20"/>
              </w:rPr>
              <w:t>海事专网、政务外网、</w:t>
            </w:r>
            <w:r>
              <w:rPr>
                <w:rFonts w:ascii="宋体" w:hAnsi="宋体" w:cs="宋体"/>
                <w:kern w:val="0"/>
                <w:sz w:val="20"/>
                <w:szCs w:val="20"/>
              </w:rPr>
              <w:t>GPS</w:t>
            </w:r>
            <w:r>
              <w:rPr>
                <w:rFonts w:hint="eastAsia" w:ascii="宋体" w:hAnsi="宋体" w:cs="宋体"/>
                <w:kern w:val="0"/>
                <w:sz w:val="20"/>
                <w:szCs w:val="20"/>
              </w:rPr>
              <w:t>监控平台使用及维护费、微信平台维护费</w:t>
            </w:r>
          </w:p>
        </w:tc>
      </w:tr>
      <w:tr>
        <w:tblPrEx>
          <w:tblCellMar>
            <w:top w:w="0" w:type="dxa"/>
            <w:left w:w="108" w:type="dxa"/>
            <w:bottom w:w="0" w:type="dxa"/>
            <w:right w:w="108" w:type="dxa"/>
          </w:tblCellMar>
        </w:tblPrEx>
        <w:trPr>
          <w:trHeight w:val="348"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人员培训</w:t>
            </w:r>
          </w:p>
        </w:tc>
        <w:tc>
          <w:tcPr>
            <w:tcW w:w="6446" w:type="dxa"/>
            <w:gridSpan w:val="3"/>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0"/>
                <w:szCs w:val="20"/>
              </w:rPr>
            </w:pPr>
            <w:r>
              <w:rPr>
                <w:rFonts w:hint="eastAsia" w:ascii="宋体" w:hAnsi="宋体" w:cs="宋体"/>
                <w:kern w:val="0"/>
                <w:sz w:val="20"/>
                <w:szCs w:val="20"/>
              </w:rPr>
              <w:t>船舶从业人员及海事执法人员培训</w:t>
            </w:r>
          </w:p>
        </w:tc>
      </w:tr>
      <w:tr>
        <w:tblPrEx>
          <w:tblCellMar>
            <w:top w:w="0" w:type="dxa"/>
            <w:left w:w="108" w:type="dxa"/>
            <w:bottom w:w="0" w:type="dxa"/>
            <w:right w:w="108" w:type="dxa"/>
          </w:tblCellMar>
        </w:tblPrEx>
        <w:trPr>
          <w:trHeight w:val="24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海事执法人员着装费</w:t>
            </w:r>
          </w:p>
        </w:tc>
        <w:tc>
          <w:tcPr>
            <w:tcW w:w="6446" w:type="dxa"/>
            <w:gridSpan w:val="3"/>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0"/>
                <w:szCs w:val="20"/>
              </w:rPr>
            </w:pPr>
            <w:r>
              <w:rPr>
                <w:rFonts w:ascii="宋体" w:hAnsi="宋体" w:cs="宋体"/>
                <w:kern w:val="0"/>
                <w:sz w:val="20"/>
                <w:szCs w:val="20"/>
              </w:rPr>
              <w:t>2018</w:t>
            </w:r>
            <w:r>
              <w:rPr>
                <w:rFonts w:hint="eastAsia" w:ascii="宋体" w:hAnsi="宋体" w:cs="宋体"/>
                <w:kern w:val="0"/>
                <w:sz w:val="20"/>
                <w:szCs w:val="20"/>
              </w:rPr>
              <w:t>年每人配发：制式短袖衬衫</w:t>
            </w:r>
            <w:r>
              <w:rPr>
                <w:rFonts w:ascii="宋体" w:hAnsi="宋体" w:cs="宋体"/>
                <w:kern w:val="0"/>
                <w:sz w:val="20"/>
                <w:szCs w:val="20"/>
              </w:rPr>
              <w:t>2</w:t>
            </w:r>
            <w:r>
              <w:rPr>
                <w:rFonts w:hint="eastAsia" w:ascii="宋体" w:hAnsi="宋体" w:cs="宋体"/>
                <w:kern w:val="0"/>
                <w:sz w:val="20"/>
                <w:szCs w:val="20"/>
              </w:rPr>
              <w:t>套、内穿长袖衬衫</w:t>
            </w:r>
            <w:r>
              <w:rPr>
                <w:rFonts w:ascii="宋体" w:hAnsi="宋体" w:cs="宋体"/>
                <w:kern w:val="0"/>
                <w:sz w:val="20"/>
                <w:szCs w:val="20"/>
              </w:rPr>
              <w:t>2</w:t>
            </w:r>
            <w:r>
              <w:rPr>
                <w:rFonts w:hint="eastAsia" w:ascii="宋体" w:hAnsi="宋体" w:cs="宋体"/>
                <w:kern w:val="0"/>
                <w:sz w:val="20"/>
                <w:szCs w:val="20"/>
              </w:rPr>
              <w:t>套、制式长袖衬衫</w:t>
            </w:r>
            <w:r>
              <w:rPr>
                <w:rFonts w:ascii="宋体" w:hAnsi="宋体" w:cs="宋体"/>
                <w:kern w:val="0"/>
                <w:sz w:val="20"/>
                <w:szCs w:val="20"/>
              </w:rPr>
              <w:t>1</w:t>
            </w:r>
            <w:r>
              <w:rPr>
                <w:rFonts w:hint="eastAsia" w:ascii="宋体" w:hAnsi="宋体" w:cs="宋体"/>
                <w:kern w:val="0"/>
                <w:sz w:val="20"/>
                <w:szCs w:val="20"/>
              </w:rPr>
              <w:t>套（每年换发）；制式秋装</w:t>
            </w:r>
            <w:r>
              <w:rPr>
                <w:rFonts w:ascii="宋体" w:hAnsi="宋体" w:cs="宋体"/>
                <w:kern w:val="0"/>
                <w:sz w:val="20"/>
                <w:szCs w:val="20"/>
              </w:rPr>
              <w:t>2</w:t>
            </w:r>
            <w:r>
              <w:rPr>
                <w:rFonts w:hint="eastAsia" w:ascii="宋体" w:hAnsi="宋体" w:cs="宋体"/>
                <w:kern w:val="0"/>
                <w:sz w:val="20"/>
                <w:szCs w:val="20"/>
              </w:rPr>
              <w:t>套、制式冬装</w:t>
            </w:r>
            <w:r>
              <w:rPr>
                <w:rFonts w:ascii="宋体" w:hAnsi="宋体" w:cs="宋体"/>
                <w:kern w:val="0"/>
                <w:sz w:val="20"/>
                <w:szCs w:val="20"/>
              </w:rPr>
              <w:t>2</w:t>
            </w:r>
            <w:r>
              <w:rPr>
                <w:rFonts w:hint="eastAsia" w:ascii="宋体" w:hAnsi="宋体" w:cs="宋体"/>
                <w:kern w:val="0"/>
                <w:sz w:val="20"/>
                <w:szCs w:val="20"/>
              </w:rPr>
              <w:t>套（每四年换发）。</w:t>
            </w:r>
          </w:p>
        </w:tc>
      </w:tr>
      <w:tr>
        <w:tblPrEx>
          <w:tblCellMar>
            <w:top w:w="0" w:type="dxa"/>
            <w:left w:w="108" w:type="dxa"/>
            <w:bottom w:w="0" w:type="dxa"/>
            <w:right w:w="108" w:type="dxa"/>
          </w:tblCellMar>
        </w:tblPrEx>
        <w:trPr>
          <w:trHeight w:val="24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24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质量指标</w:t>
            </w: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指标</w:t>
            </w:r>
            <w:r>
              <w:rPr>
                <w:rFonts w:ascii="宋体" w:hAnsi="宋体" w:cs="宋体"/>
                <w:kern w:val="0"/>
                <w:sz w:val="20"/>
                <w:szCs w:val="20"/>
              </w:rPr>
              <w:t>1</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4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指标</w:t>
            </w:r>
            <w:r>
              <w:rPr>
                <w:rFonts w:ascii="宋体" w:hAnsi="宋体" w:cs="宋体"/>
                <w:kern w:val="0"/>
                <w:sz w:val="20"/>
                <w:szCs w:val="20"/>
              </w:rPr>
              <w:t>2</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4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时效指标</w:t>
            </w: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指标</w:t>
            </w:r>
            <w:r>
              <w:rPr>
                <w:rFonts w:ascii="宋体" w:hAnsi="宋体" w:cs="宋体"/>
                <w:kern w:val="0"/>
                <w:sz w:val="20"/>
                <w:szCs w:val="20"/>
              </w:rPr>
              <w:t>1</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4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指标</w:t>
            </w:r>
            <w:r>
              <w:rPr>
                <w:rFonts w:ascii="宋体" w:hAnsi="宋体" w:cs="宋体"/>
                <w:kern w:val="0"/>
                <w:sz w:val="20"/>
                <w:szCs w:val="20"/>
              </w:rPr>
              <w:t>2</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4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成本指标</w:t>
            </w:r>
          </w:p>
        </w:tc>
        <w:tc>
          <w:tcPr>
            <w:tcW w:w="1757" w:type="dxa"/>
            <w:tcBorders>
              <w:top w:val="nil"/>
              <w:left w:val="nil"/>
              <w:bottom w:val="single" w:color="auto" w:sz="4" w:space="0"/>
              <w:right w:val="single" w:color="auto" w:sz="4" w:space="0"/>
            </w:tcBorders>
            <w:vAlign w:val="center"/>
          </w:tcPr>
          <w:p>
            <w:pPr>
              <w:rPr>
                <w:kern w:val="0"/>
              </w:rPr>
            </w:pPr>
            <w:r>
              <w:rPr>
                <w:rFonts w:hint="eastAsia"/>
                <w:kern w:val="0"/>
              </w:rPr>
              <w:t>安全工作布置、巡航、检查费、安全知识</w:t>
            </w:r>
            <w:r>
              <w:rPr>
                <w:rFonts w:hint="eastAsia" w:ascii="宋体" w:hAnsi="宋体" w:cs="宋体"/>
                <w:kern w:val="0"/>
                <w:sz w:val="20"/>
                <w:szCs w:val="20"/>
              </w:rPr>
              <w:t>宣传费</w:t>
            </w:r>
          </w:p>
        </w:tc>
        <w:tc>
          <w:tcPr>
            <w:tcW w:w="6446" w:type="dxa"/>
            <w:gridSpan w:val="3"/>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0"/>
                <w:szCs w:val="20"/>
              </w:rPr>
            </w:pPr>
            <w:r>
              <w:rPr>
                <w:rFonts w:hint="eastAsia" w:ascii="宋体" w:hAnsi="宋体" w:cs="宋体"/>
                <w:kern w:val="0"/>
                <w:sz w:val="20"/>
                <w:szCs w:val="20"/>
              </w:rPr>
              <w:t>工作会、年度总结会、半年工作总结会。</w:t>
            </w:r>
            <w:r>
              <w:rPr>
                <w:rFonts w:hint="eastAsia"/>
                <w:sz w:val="20"/>
                <w:szCs w:val="20"/>
              </w:rPr>
              <w:t>全年巡航工作人员伙食补贴；对海巡艇主机及辅机维护保养。水上交通安全知识宣传约</w:t>
            </w:r>
            <w:r>
              <w:rPr>
                <w:sz w:val="20"/>
                <w:szCs w:val="20"/>
              </w:rPr>
              <w:t>16</w:t>
            </w:r>
            <w:r>
              <w:rPr>
                <w:rFonts w:hint="eastAsia"/>
                <w:sz w:val="20"/>
                <w:szCs w:val="20"/>
              </w:rPr>
              <w:t>万元。</w:t>
            </w:r>
          </w:p>
        </w:tc>
      </w:tr>
      <w:tr>
        <w:tblPrEx>
          <w:tblCellMar>
            <w:top w:w="0" w:type="dxa"/>
            <w:left w:w="108" w:type="dxa"/>
            <w:bottom w:w="0" w:type="dxa"/>
            <w:right w:w="108" w:type="dxa"/>
          </w:tblCellMar>
        </w:tblPrEx>
        <w:trPr>
          <w:trHeight w:val="633"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应急救援演练</w:t>
            </w:r>
          </w:p>
        </w:tc>
        <w:tc>
          <w:tcPr>
            <w:tcW w:w="6446" w:type="dxa"/>
            <w:gridSpan w:val="3"/>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全市水上应急救援大型演练、参加省、市各类相关工作</w:t>
            </w:r>
            <w:r>
              <w:rPr>
                <w:rFonts w:ascii="宋体" w:hAnsi="宋体" w:cs="宋体"/>
                <w:kern w:val="0"/>
                <w:sz w:val="20"/>
                <w:szCs w:val="20"/>
              </w:rPr>
              <w:t>12</w:t>
            </w: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24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网络使用等经费</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海事专网、政务外网、</w:t>
            </w:r>
            <w:r>
              <w:rPr>
                <w:rFonts w:ascii="宋体" w:hAnsi="宋体" w:cs="宋体"/>
                <w:kern w:val="0"/>
                <w:sz w:val="20"/>
                <w:szCs w:val="20"/>
              </w:rPr>
              <w:t>GPS</w:t>
            </w:r>
            <w:r>
              <w:rPr>
                <w:rFonts w:hint="eastAsia" w:ascii="宋体" w:hAnsi="宋体" w:cs="宋体"/>
                <w:kern w:val="0"/>
                <w:sz w:val="20"/>
                <w:szCs w:val="20"/>
              </w:rPr>
              <w:t>监控平台、微信平台使用及维护费等经费</w:t>
            </w:r>
            <w:r>
              <w:rPr>
                <w:rFonts w:ascii="宋体" w:hAnsi="宋体" w:cs="宋体"/>
                <w:kern w:val="0"/>
                <w:sz w:val="20"/>
                <w:szCs w:val="20"/>
              </w:rPr>
              <w:t>4</w:t>
            </w: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353"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帮扶工作</w:t>
            </w:r>
          </w:p>
        </w:tc>
        <w:tc>
          <w:tcPr>
            <w:tcW w:w="6446" w:type="dxa"/>
            <w:gridSpan w:val="3"/>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0"/>
                <w:szCs w:val="20"/>
              </w:rPr>
            </w:pPr>
            <w:r>
              <w:rPr>
                <w:rFonts w:hint="eastAsia" w:ascii="宋体" w:hAnsi="宋体" w:cs="宋体"/>
                <w:kern w:val="0"/>
                <w:sz w:val="20"/>
                <w:szCs w:val="20"/>
              </w:rPr>
              <w:t>开展双联和结对帮扶活动费用约</w:t>
            </w:r>
            <w:r>
              <w:rPr>
                <w:rFonts w:ascii="宋体" w:hAnsi="宋体" w:cs="宋体"/>
                <w:kern w:val="0"/>
                <w:sz w:val="20"/>
                <w:szCs w:val="20"/>
              </w:rPr>
              <w:t>4</w:t>
            </w:r>
            <w:r>
              <w:rPr>
                <w:rFonts w:hint="eastAsia" w:ascii="宋体" w:hAnsi="宋体" w:cs="宋体"/>
                <w:kern w:val="0"/>
                <w:sz w:val="20"/>
                <w:szCs w:val="20"/>
              </w:rPr>
              <w:t>万。</w:t>
            </w:r>
          </w:p>
        </w:tc>
      </w:tr>
      <w:tr>
        <w:tblPrEx>
          <w:tblCellMar>
            <w:top w:w="0" w:type="dxa"/>
            <w:left w:w="108" w:type="dxa"/>
            <w:bottom w:w="0" w:type="dxa"/>
            <w:right w:w="108" w:type="dxa"/>
          </w:tblCellMar>
        </w:tblPrEx>
        <w:trPr>
          <w:trHeight w:val="31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精神文明建、</w:t>
            </w:r>
          </w:p>
        </w:tc>
        <w:tc>
          <w:tcPr>
            <w:tcW w:w="6446" w:type="dxa"/>
            <w:gridSpan w:val="3"/>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0"/>
                <w:szCs w:val="20"/>
              </w:rPr>
            </w:pPr>
            <w:r>
              <w:rPr>
                <w:rFonts w:hint="eastAsia" w:ascii="宋体" w:hAnsi="宋体" w:cs="宋体"/>
                <w:kern w:val="0"/>
                <w:sz w:val="20"/>
                <w:szCs w:val="20"/>
              </w:rPr>
              <w:t>制作水上安全宣传资料、三化建设、精神文明建设、创建文明城市、环保工作等费用</w:t>
            </w:r>
            <w:r>
              <w:rPr>
                <w:rFonts w:ascii="宋体" w:hAnsi="宋体" w:cs="宋体"/>
                <w:kern w:val="0"/>
                <w:sz w:val="20"/>
                <w:szCs w:val="20"/>
              </w:rPr>
              <w:t>3</w:t>
            </w:r>
            <w:r>
              <w:rPr>
                <w:rFonts w:hint="eastAsia" w:ascii="宋体" w:hAnsi="宋体" w:cs="宋体"/>
                <w:kern w:val="0"/>
                <w:sz w:val="20"/>
                <w:szCs w:val="20"/>
              </w:rPr>
              <w:t>万元。</w:t>
            </w:r>
            <w:r>
              <w:rPr>
                <w:rFonts w:ascii="宋体" w:hAnsi="宋体" w:cs="宋体"/>
                <w:kern w:val="0"/>
                <w:sz w:val="20"/>
                <w:szCs w:val="20"/>
              </w:rPr>
              <w:t xml:space="preserve"> </w:t>
            </w:r>
          </w:p>
        </w:tc>
      </w:tr>
      <w:tr>
        <w:tblPrEx>
          <w:tblCellMar>
            <w:top w:w="0" w:type="dxa"/>
            <w:left w:w="108" w:type="dxa"/>
            <w:bottom w:w="0" w:type="dxa"/>
            <w:right w:w="108" w:type="dxa"/>
          </w:tblCellMar>
        </w:tblPrEx>
        <w:trPr>
          <w:trHeight w:val="31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服装费</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服装费约</w:t>
            </w:r>
            <w:r>
              <w:rPr>
                <w:rFonts w:ascii="宋体" w:hAnsi="宋体" w:cs="宋体"/>
                <w:kern w:val="0"/>
                <w:sz w:val="20"/>
                <w:szCs w:val="20"/>
              </w:rPr>
              <w:t>5</w:t>
            </w: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31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其他商品服务</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约</w:t>
            </w:r>
            <w:r>
              <w:rPr>
                <w:rFonts w:ascii="宋体" w:hAnsi="宋体" w:cs="宋体"/>
                <w:kern w:val="0"/>
                <w:sz w:val="20"/>
                <w:szCs w:val="20"/>
              </w:rPr>
              <w:t>3</w:t>
            </w: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31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restart"/>
            <w:tcBorders>
              <w:top w:val="nil"/>
              <w:left w:val="single" w:color="auto" w:sz="4" w:space="0"/>
              <w:bottom w:val="nil"/>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项目效益</w:t>
            </w:r>
          </w:p>
        </w:tc>
        <w:tc>
          <w:tcPr>
            <w:tcW w:w="620" w:type="dxa"/>
            <w:vMerge w:val="restart"/>
            <w:tcBorders>
              <w:top w:val="nil"/>
              <w:left w:val="single" w:color="auto" w:sz="4" w:space="0"/>
              <w:bottom w:val="nil"/>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经济效益指标</w:t>
            </w: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指标</w:t>
            </w:r>
            <w:r>
              <w:rPr>
                <w:rFonts w:ascii="宋体" w:hAnsi="宋体" w:cs="宋体"/>
                <w:kern w:val="0"/>
                <w:sz w:val="20"/>
                <w:szCs w:val="20"/>
              </w:rPr>
              <w:t>1</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2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nil"/>
              <w:left w:val="single" w:color="auto" w:sz="4" w:space="0"/>
              <w:bottom w:val="nil"/>
              <w:right w:val="single" w:color="auto" w:sz="4" w:space="0"/>
            </w:tcBorders>
            <w:vAlign w:val="center"/>
          </w:tcPr>
          <w:p>
            <w:pPr>
              <w:widowControl/>
              <w:jc w:val="left"/>
              <w:rPr>
                <w:rFonts w:ascii="宋体" w:cs="宋体"/>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指标</w:t>
            </w:r>
            <w:r>
              <w:rPr>
                <w:rFonts w:ascii="宋体" w:hAnsi="宋体" w:cs="宋体"/>
                <w:kern w:val="0"/>
                <w:sz w:val="20"/>
                <w:szCs w:val="20"/>
              </w:rPr>
              <w:t>2</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34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nil"/>
              <w:left w:val="single" w:color="auto" w:sz="4" w:space="0"/>
              <w:bottom w:val="nil"/>
              <w:right w:val="single" w:color="auto" w:sz="4" w:space="0"/>
            </w:tcBorders>
            <w:vAlign w:val="center"/>
          </w:tcPr>
          <w:p>
            <w:pPr>
              <w:widowControl/>
              <w:jc w:val="left"/>
              <w:rPr>
                <w:rFonts w:ascii="宋体" w:cs="宋体"/>
                <w:kern w:val="0"/>
                <w:sz w:val="20"/>
                <w:szCs w:val="20"/>
              </w:rPr>
            </w:pPr>
          </w:p>
        </w:tc>
        <w:tc>
          <w:tcPr>
            <w:tcW w:w="620" w:type="dxa"/>
            <w:vMerge w:val="restart"/>
            <w:tcBorders>
              <w:top w:val="single" w:color="auto" w:sz="4" w:space="0"/>
              <w:left w:val="single" w:color="auto" w:sz="4" w:space="0"/>
              <w:bottom w:val="nil"/>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社会效益指标</w:t>
            </w: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便民</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通过微信平台的使用，方便船舶从业人员办理相关业务申请。</w:t>
            </w:r>
          </w:p>
        </w:tc>
      </w:tr>
      <w:tr>
        <w:tblPrEx>
          <w:tblCellMar>
            <w:top w:w="0" w:type="dxa"/>
            <w:left w:w="108" w:type="dxa"/>
            <w:bottom w:w="0" w:type="dxa"/>
            <w:right w:w="108" w:type="dxa"/>
          </w:tblCellMar>
        </w:tblPrEx>
        <w:trPr>
          <w:trHeight w:val="34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nil"/>
              <w:left w:val="single" w:color="auto" w:sz="4" w:space="0"/>
              <w:bottom w:val="nil"/>
              <w:right w:val="single" w:color="auto" w:sz="4" w:space="0"/>
            </w:tcBorders>
            <w:vAlign w:val="center"/>
          </w:tcPr>
          <w:p>
            <w:pPr>
              <w:widowControl/>
              <w:jc w:val="left"/>
              <w:rPr>
                <w:rFonts w:ascii="宋体" w:cs="宋体"/>
                <w:kern w:val="0"/>
                <w:sz w:val="20"/>
                <w:szCs w:val="20"/>
              </w:rPr>
            </w:pPr>
          </w:p>
        </w:tc>
        <w:tc>
          <w:tcPr>
            <w:tcW w:w="62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提升行业形象</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通过精神文明建设，三化建设，提升海事形象。</w:t>
            </w:r>
          </w:p>
        </w:tc>
      </w:tr>
      <w:tr>
        <w:tblPrEx>
          <w:tblCellMar>
            <w:top w:w="0" w:type="dxa"/>
            <w:left w:w="108" w:type="dxa"/>
            <w:bottom w:w="0" w:type="dxa"/>
            <w:right w:w="108" w:type="dxa"/>
          </w:tblCellMar>
        </w:tblPrEx>
        <w:trPr>
          <w:trHeight w:val="34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nil"/>
              <w:left w:val="single" w:color="auto" w:sz="4" w:space="0"/>
              <w:bottom w:val="nil"/>
              <w:right w:val="single" w:color="auto" w:sz="4" w:space="0"/>
            </w:tcBorders>
            <w:vAlign w:val="center"/>
          </w:tcPr>
          <w:p>
            <w:pPr>
              <w:widowControl/>
              <w:jc w:val="left"/>
              <w:rPr>
                <w:rFonts w:ascii="宋体" w:cs="宋体"/>
                <w:kern w:val="0"/>
                <w:sz w:val="20"/>
                <w:szCs w:val="20"/>
              </w:rPr>
            </w:pPr>
          </w:p>
        </w:tc>
        <w:tc>
          <w:tcPr>
            <w:tcW w:w="620" w:type="dxa"/>
            <w:vMerge w:val="restart"/>
            <w:tcBorders>
              <w:top w:val="single" w:color="auto" w:sz="4" w:space="0"/>
              <w:left w:val="single" w:color="auto" w:sz="4" w:space="0"/>
              <w:bottom w:val="nil"/>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生态效益指标</w:t>
            </w: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指标</w:t>
            </w:r>
            <w:r>
              <w:rPr>
                <w:rFonts w:ascii="宋体" w:hAnsi="宋体" w:cs="宋体"/>
                <w:kern w:val="0"/>
                <w:sz w:val="20"/>
                <w:szCs w:val="20"/>
              </w:rPr>
              <w:t>1</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34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nil"/>
              <w:left w:val="single" w:color="auto" w:sz="4" w:space="0"/>
              <w:bottom w:val="nil"/>
              <w:right w:val="single" w:color="auto" w:sz="4" w:space="0"/>
            </w:tcBorders>
            <w:vAlign w:val="center"/>
          </w:tcPr>
          <w:p>
            <w:pPr>
              <w:widowControl/>
              <w:jc w:val="left"/>
              <w:rPr>
                <w:rFonts w:ascii="宋体" w:cs="宋体"/>
                <w:kern w:val="0"/>
                <w:sz w:val="20"/>
                <w:szCs w:val="20"/>
              </w:rPr>
            </w:pPr>
          </w:p>
        </w:tc>
        <w:tc>
          <w:tcPr>
            <w:tcW w:w="62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指标</w:t>
            </w:r>
            <w:r>
              <w:rPr>
                <w:rFonts w:ascii="宋体" w:hAnsi="宋体" w:cs="宋体"/>
                <w:kern w:val="0"/>
                <w:sz w:val="20"/>
                <w:szCs w:val="20"/>
              </w:rPr>
              <w:t>2</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34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nil"/>
              <w:left w:val="single" w:color="auto" w:sz="4" w:space="0"/>
              <w:bottom w:val="nil"/>
              <w:right w:val="single" w:color="auto" w:sz="4" w:space="0"/>
            </w:tcBorders>
            <w:vAlign w:val="center"/>
          </w:tcPr>
          <w:p>
            <w:pPr>
              <w:widowControl/>
              <w:jc w:val="left"/>
              <w:rPr>
                <w:rFonts w:ascii="宋体" w:cs="宋体"/>
                <w:kern w:val="0"/>
                <w:sz w:val="20"/>
                <w:szCs w:val="20"/>
              </w:rPr>
            </w:pPr>
          </w:p>
        </w:tc>
        <w:tc>
          <w:tcPr>
            <w:tcW w:w="620" w:type="dxa"/>
            <w:vMerge w:val="restart"/>
            <w:tcBorders>
              <w:top w:val="single" w:color="auto" w:sz="4" w:space="0"/>
              <w:left w:val="single" w:color="auto" w:sz="4" w:space="0"/>
              <w:bottom w:val="nil"/>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可持续影响指标</w:t>
            </w: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指标</w:t>
            </w:r>
            <w:r>
              <w:rPr>
                <w:rFonts w:ascii="宋体" w:hAnsi="宋体" w:cs="宋体"/>
                <w:kern w:val="0"/>
                <w:sz w:val="20"/>
                <w:szCs w:val="20"/>
              </w:rPr>
              <w:t>1</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345"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nil"/>
              <w:left w:val="single" w:color="auto" w:sz="4" w:space="0"/>
              <w:bottom w:val="nil"/>
              <w:right w:val="single" w:color="auto" w:sz="4" w:space="0"/>
            </w:tcBorders>
            <w:vAlign w:val="center"/>
          </w:tcPr>
          <w:p>
            <w:pPr>
              <w:widowControl/>
              <w:jc w:val="left"/>
              <w:rPr>
                <w:rFonts w:ascii="宋体" w:cs="宋体"/>
                <w:kern w:val="0"/>
                <w:sz w:val="20"/>
                <w:szCs w:val="20"/>
              </w:rPr>
            </w:pPr>
          </w:p>
        </w:tc>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指标</w:t>
            </w:r>
            <w:r>
              <w:rPr>
                <w:rFonts w:ascii="宋体" w:hAnsi="宋体" w:cs="宋体"/>
                <w:kern w:val="0"/>
                <w:sz w:val="20"/>
                <w:szCs w:val="20"/>
              </w:rPr>
              <w:t>2</w:t>
            </w:r>
            <w:r>
              <w:rPr>
                <w:rFonts w:hint="eastAsia" w:ascii="宋体" w:hAnsi="宋体" w:cs="宋体"/>
                <w:kern w:val="0"/>
                <w:sz w:val="20"/>
                <w:szCs w:val="20"/>
              </w:rPr>
              <w:t>：</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132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满意度指标</w:t>
            </w:r>
          </w:p>
        </w:tc>
        <w:tc>
          <w:tcPr>
            <w:tcW w:w="6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满意度指标</w:t>
            </w:r>
          </w:p>
        </w:tc>
        <w:tc>
          <w:tcPr>
            <w:tcW w:w="1757"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公众满意度</w:t>
            </w:r>
          </w:p>
        </w:tc>
        <w:tc>
          <w:tcPr>
            <w:tcW w:w="6446" w:type="dxa"/>
            <w:gridSpan w:val="3"/>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w:t>
            </w:r>
            <w:r>
              <w:rPr>
                <w:rFonts w:ascii="宋体" w:hAnsi="宋体" w:cs="宋体"/>
                <w:kern w:val="0"/>
                <w:sz w:val="20"/>
                <w:szCs w:val="20"/>
              </w:rPr>
              <w:t>90%</w:t>
            </w:r>
          </w:p>
        </w:tc>
      </w:tr>
      <w:tr>
        <w:tblPrEx>
          <w:tblCellMar>
            <w:top w:w="0" w:type="dxa"/>
            <w:left w:w="108" w:type="dxa"/>
            <w:bottom w:w="0" w:type="dxa"/>
            <w:right w:w="108" w:type="dxa"/>
          </w:tblCellMar>
        </w:tblPrEx>
        <w:trPr>
          <w:trHeight w:val="480" w:hRule="atLeast"/>
        </w:trPr>
        <w:tc>
          <w:tcPr>
            <w:tcW w:w="4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757"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 xml:space="preserve"> </w:t>
            </w:r>
            <w:r>
              <w:rPr>
                <w:rFonts w:hint="eastAsia" w:ascii="宋体" w:hAnsi="宋体" w:cs="宋体"/>
                <w:kern w:val="0"/>
                <w:sz w:val="20"/>
                <w:szCs w:val="20"/>
              </w:rPr>
              <w:t>船舶从业人员满意度</w:t>
            </w:r>
          </w:p>
        </w:tc>
        <w:tc>
          <w:tcPr>
            <w:tcW w:w="6446"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w:t>
            </w:r>
            <w:r>
              <w:rPr>
                <w:rFonts w:ascii="宋体" w:hAnsi="宋体" w:cs="宋体"/>
                <w:kern w:val="0"/>
                <w:sz w:val="20"/>
                <w:szCs w:val="20"/>
              </w:rPr>
              <w:t>95%</w:t>
            </w:r>
          </w:p>
        </w:tc>
      </w:tr>
      <w:tr>
        <w:tblPrEx>
          <w:tblCellMar>
            <w:top w:w="0" w:type="dxa"/>
            <w:left w:w="108" w:type="dxa"/>
            <w:bottom w:w="0" w:type="dxa"/>
            <w:right w:w="108" w:type="dxa"/>
          </w:tblCellMar>
        </w:tblPrEx>
        <w:trPr>
          <w:trHeight w:val="240" w:hRule="atLeast"/>
        </w:trPr>
        <w:tc>
          <w:tcPr>
            <w:tcW w:w="417" w:type="dxa"/>
            <w:tcBorders>
              <w:top w:val="nil"/>
              <w:left w:val="nil"/>
              <w:bottom w:val="nil"/>
              <w:right w:val="nil"/>
            </w:tcBorders>
            <w:vAlign w:val="center"/>
          </w:tcPr>
          <w:p>
            <w:pPr>
              <w:widowControl/>
              <w:jc w:val="left"/>
              <w:rPr>
                <w:rFonts w:ascii="宋体" w:cs="宋体"/>
                <w:kern w:val="0"/>
                <w:sz w:val="20"/>
                <w:szCs w:val="20"/>
              </w:rPr>
            </w:pPr>
          </w:p>
        </w:tc>
        <w:tc>
          <w:tcPr>
            <w:tcW w:w="500" w:type="dxa"/>
            <w:tcBorders>
              <w:top w:val="nil"/>
              <w:left w:val="nil"/>
              <w:bottom w:val="nil"/>
              <w:right w:val="nil"/>
            </w:tcBorders>
            <w:vAlign w:val="center"/>
          </w:tcPr>
          <w:p>
            <w:pPr>
              <w:widowControl/>
              <w:jc w:val="left"/>
              <w:rPr>
                <w:rFonts w:ascii="宋体" w:cs="宋体"/>
                <w:kern w:val="0"/>
                <w:sz w:val="20"/>
                <w:szCs w:val="20"/>
              </w:rPr>
            </w:pPr>
          </w:p>
        </w:tc>
        <w:tc>
          <w:tcPr>
            <w:tcW w:w="620" w:type="dxa"/>
            <w:tcBorders>
              <w:top w:val="single" w:color="auto" w:sz="4" w:space="0"/>
              <w:left w:val="nil"/>
              <w:bottom w:val="nil"/>
              <w:right w:val="nil"/>
            </w:tcBorders>
            <w:vAlign w:val="center"/>
          </w:tcPr>
          <w:p>
            <w:pPr>
              <w:widowControl/>
              <w:jc w:val="left"/>
              <w:rPr>
                <w:rFonts w:ascii="宋体" w:cs="宋体"/>
                <w:kern w:val="0"/>
                <w:sz w:val="20"/>
                <w:szCs w:val="20"/>
              </w:rPr>
            </w:pPr>
          </w:p>
        </w:tc>
        <w:tc>
          <w:tcPr>
            <w:tcW w:w="1757" w:type="dxa"/>
            <w:tcBorders>
              <w:top w:val="single" w:color="auto" w:sz="4" w:space="0"/>
              <w:left w:val="nil"/>
              <w:bottom w:val="nil"/>
              <w:right w:val="nil"/>
            </w:tcBorders>
            <w:vAlign w:val="center"/>
          </w:tcPr>
          <w:p>
            <w:pPr>
              <w:widowControl/>
              <w:jc w:val="left"/>
              <w:rPr>
                <w:rFonts w:ascii="宋体" w:cs="宋体"/>
                <w:kern w:val="0"/>
                <w:sz w:val="20"/>
                <w:szCs w:val="20"/>
              </w:rPr>
            </w:pPr>
          </w:p>
        </w:tc>
        <w:tc>
          <w:tcPr>
            <w:tcW w:w="1337" w:type="dxa"/>
            <w:tcBorders>
              <w:top w:val="single" w:color="auto" w:sz="4" w:space="0"/>
              <w:left w:val="nil"/>
              <w:bottom w:val="nil"/>
              <w:right w:val="nil"/>
            </w:tcBorders>
            <w:vAlign w:val="center"/>
          </w:tcPr>
          <w:p>
            <w:pPr>
              <w:widowControl/>
              <w:jc w:val="left"/>
              <w:rPr>
                <w:rFonts w:ascii="宋体" w:cs="宋体"/>
                <w:kern w:val="0"/>
                <w:sz w:val="20"/>
                <w:szCs w:val="20"/>
              </w:rPr>
            </w:pPr>
          </w:p>
        </w:tc>
        <w:tc>
          <w:tcPr>
            <w:tcW w:w="1357" w:type="dxa"/>
            <w:tcBorders>
              <w:top w:val="single" w:color="auto" w:sz="4" w:space="0"/>
              <w:left w:val="nil"/>
              <w:bottom w:val="nil"/>
              <w:right w:val="nil"/>
            </w:tcBorders>
            <w:vAlign w:val="center"/>
          </w:tcPr>
          <w:p>
            <w:pPr>
              <w:widowControl/>
              <w:jc w:val="left"/>
              <w:rPr>
                <w:rFonts w:ascii="宋体" w:cs="宋体"/>
                <w:kern w:val="0"/>
                <w:sz w:val="20"/>
                <w:szCs w:val="20"/>
              </w:rPr>
            </w:pPr>
          </w:p>
        </w:tc>
        <w:tc>
          <w:tcPr>
            <w:tcW w:w="3752" w:type="dxa"/>
            <w:tcBorders>
              <w:top w:val="single" w:color="auto" w:sz="4" w:space="0"/>
              <w:left w:val="nil"/>
              <w:bottom w:val="nil"/>
              <w:right w:val="nil"/>
            </w:tcBorders>
            <w:vAlign w:val="center"/>
          </w:tcPr>
          <w:p>
            <w:pPr>
              <w:widowControl/>
              <w:jc w:val="left"/>
              <w:rPr>
                <w:rFonts w:ascii="宋体" w:cs="宋体"/>
                <w:kern w:val="0"/>
                <w:sz w:val="20"/>
                <w:szCs w:val="20"/>
              </w:rPr>
            </w:pPr>
          </w:p>
        </w:tc>
      </w:tr>
    </w:tbl>
    <w:p>
      <w:pPr>
        <w:tabs>
          <w:tab w:val="left" w:pos="312"/>
        </w:tabs>
        <w:spacing w:line="580" w:lineRule="exact"/>
        <w:rPr>
          <w:rFonts w:ascii="仿宋_GB2312" w:hAnsi="仿宋_GB2312" w:eastAsia="仿宋_GB2312" w:cs="仿宋_GB2312"/>
          <w:sz w:val="32"/>
          <w:szCs w:val="32"/>
        </w:rPr>
      </w:pPr>
    </w:p>
    <w:p>
      <w:pPr>
        <w:tabs>
          <w:tab w:val="left" w:pos="312"/>
        </w:tabs>
        <w:spacing w:line="580" w:lineRule="exact"/>
        <w:ind w:firstLine="630"/>
        <w:rPr>
          <w:rFonts w:ascii="宋体" w:cs="仿宋_GB2312"/>
          <w:sz w:val="32"/>
          <w:szCs w:val="32"/>
        </w:rPr>
      </w:pPr>
      <w:r>
        <w:rPr>
          <w:rFonts w:ascii="宋体" w:hAnsi="宋体" w:cs="仿宋_GB2312"/>
          <w:sz w:val="32"/>
          <w:szCs w:val="32"/>
        </w:rPr>
        <w:t>5.</w:t>
      </w:r>
      <w:r>
        <w:rPr>
          <w:rFonts w:hint="eastAsia" w:ascii="宋体" w:hAnsi="宋体" w:cs="仿宋_GB2312"/>
          <w:sz w:val="32"/>
          <w:szCs w:val="32"/>
        </w:rPr>
        <w:t>治超经费项目绩效目标完成情况综述。项目全年预算数</w:t>
      </w:r>
      <w:r>
        <w:rPr>
          <w:rFonts w:ascii="宋体" w:hAnsi="宋体"/>
          <w:sz w:val="32"/>
          <w:szCs w:val="32"/>
        </w:rPr>
        <w:t>405.33</w:t>
      </w:r>
      <w:r>
        <w:rPr>
          <w:rFonts w:hint="eastAsia" w:ascii="宋体" w:hAnsi="宋体" w:cs="仿宋_GB2312"/>
          <w:sz w:val="32"/>
          <w:szCs w:val="32"/>
        </w:rPr>
        <w:t>万元，执行数为</w:t>
      </w:r>
      <w:r>
        <w:rPr>
          <w:rFonts w:ascii="宋体" w:hAnsi="宋体"/>
          <w:sz w:val="32"/>
          <w:szCs w:val="32"/>
        </w:rPr>
        <w:t>405.33</w:t>
      </w:r>
      <w:r>
        <w:rPr>
          <w:rFonts w:hint="eastAsia" w:ascii="宋体" w:hAnsi="宋体" w:cs="仿宋_GB2312"/>
          <w:sz w:val="32"/>
          <w:szCs w:val="32"/>
        </w:rPr>
        <w:t>万元，完成预算的</w:t>
      </w:r>
      <w:r>
        <w:rPr>
          <w:rFonts w:ascii="宋体" w:hAnsi="宋体" w:cs="仿宋_GB2312"/>
          <w:sz w:val="32"/>
          <w:szCs w:val="32"/>
        </w:rPr>
        <w:t>100%</w:t>
      </w:r>
      <w:r>
        <w:rPr>
          <w:rFonts w:hint="eastAsia" w:ascii="宋体" w:hAnsi="宋体" w:cs="仿宋_GB2312"/>
          <w:sz w:val="32"/>
          <w:szCs w:val="32"/>
        </w:rPr>
        <w:t>。通过项目实施，</w:t>
      </w:r>
      <w:r>
        <w:rPr>
          <w:rFonts w:hint="eastAsia" w:ascii="宋体" w:hAnsi="宋体"/>
          <w:sz w:val="32"/>
          <w:szCs w:val="32"/>
        </w:rPr>
        <w:t>保障了我支队聘用协助执法人员</w:t>
      </w:r>
      <w:r>
        <w:rPr>
          <w:rFonts w:ascii="宋体" w:hAnsi="宋体"/>
          <w:sz w:val="32"/>
          <w:szCs w:val="32"/>
        </w:rPr>
        <w:t>86</w:t>
      </w:r>
      <w:r>
        <w:rPr>
          <w:rFonts w:hint="eastAsia" w:ascii="宋体" w:hAnsi="宋体"/>
          <w:sz w:val="32"/>
          <w:szCs w:val="32"/>
        </w:rPr>
        <w:t>人次全年的工资及社保费缴纳、全年聘用人员加班、高温、夜餐补贴等</w:t>
      </w:r>
      <w:r>
        <w:rPr>
          <w:rFonts w:hint="eastAsia" w:ascii="宋体" w:hAnsi="宋体" w:cs="仿宋_GB2312"/>
          <w:sz w:val="32"/>
          <w:szCs w:val="32"/>
        </w:rPr>
        <w:t>正常发放，并通过开展专业性强、针对性的培训，提高在职及协助执法人员工作水平。发现的主要问题：此项目涉及内容已不能全面反映交通行政综合执法相关工作。下一步改进措施：提请市财政局将项目名称改为业务运行费，以满足</w:t>
      </w:r>
      <w:r>
        <w:rPr>
          <w:rFonts w:ascii="宋体" w:hAnsi="宋体" w:cs="仿宋_GB2312"/>
          <w:sz w:val="32"/>
          <w:szCs w:val="32"/>
        </w:rPr>
        <w:t>2018</w:t>
      </w:r>
      <w:r>
        <w:rPr>
          <w:rFonts w:hint="eastAsia" w:ascii="宋体" w:hAnsi="宋体" w:cs="仿宋_GB2312"/>
          <w:sz w:val="32"/>
          <w:szCs w:val="32"/>
        </w:rPr>
        <w:t>年综合行政执法体制改革后非法营运等相关业务工作正常开展。</w:t>
      </w:r>
    </w:p>
    <w:tbl>
      <w:tblPr>
        <w:tblStyle w:val="13"/>
        <w:tblW w:w="13280" w:type="dxa"/>
        <w:tblInd w:w="93" w:type="dxa"/>
        <w:tblLayout w:type="fixed"/>
        <w:tblCellMar>
          <w:top w:w="0" w:type="dxa"/>
          <w:left w:w="108" w:type="dxa"/>
          <w:bottom w:w="0" w:type="dxa"/>
          <w:right w:w="108" w:type="dxa"/>
        </w:tblCellMar>
      </w:tblPr>
      <w:tblGrid>
        <w:gridCol w:w="960"/>
        <w:gridCol w:w="1180"/>
        <w:gridCol w:w="1420"/>
        <w:gridCol w:w="3230"/>
        <w:gridCol w:w="3210"/>
        <w:gridCol w:w="820"/>
        <w:gridCol w:w="820"/>
        <w:gridCol w:w="820"/>
        <w:gridCol w:w="820"/>
      </w:tblGrid>
      <w:tr>
        <w:tblPrEx>
          <w:tblCellMar>
            <w:top w:w="0" w:type="dxa"/>
            <w:left w:w="108" w:type="dxa"/>
            <w:bottom w:w="0" w:type="dxa"/>
            <w:right w:w="108" w:type="dxa"/>
          </w:tblCellMar>
        </w:tblPrEx>
        <w:trPr>
          <w:trHeight w:val="735" w:hRule="atLeast"/>
        </w:trPr>
        <w:tc>
          <w:tcPr>
            <w:tcW w:w="10000" w:type="dxa"/>
            <w:gridSpan w:val="5"/>
            <w:tcBorders>
              <w:top w:val="nil"/>
              <w:left w:val="nil"/>
              <w:bottom w:val="nil"/>
              <w:right w:val="nil"/>
            </w:tcBorders>
            <w:noWrap/>
            <w:vAlign w:val="center"/>
          </w:tcPr>
          <w:p>
            <w:pPr>
              <w:widowControl/>
              <w:jc w:val="center"/>
              <w:rPr>
                <w:rFonts w:ascii="宋体" w:cs="宋体"/>
                <w:b/>
                <w:bCs/>
                <w:kern w:val="0"/>
                <w:sz w:val="32"/>
                <w:szCs w:val="32"/>
              </w:rPr>
            </w:pPr>
            <w:r>
              <w:rPr>
                <w:rFonts w:hint="eastAsia" w:ascii="宋体" w:hAnsi="宋体" w:cs="宋体"/>
                <w:b/>
                <w:bCs/>
                <w:kern w:val="0"/>
                <w:sz w:val="32"/>
                <w:szCs w:val="32"/>
              </w:rPr>
              <w:t>项目支出绩效目标完成情况表</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300" w:hRule="atLeast"/>
        </w:trPr>
        <w:tc>
          <w:tcPr>
            <w:tcW w:w="960" w:type="dxa"/>
            <w:tcBorders>
              <w:top w:val="nil"/>
              <w:left w:val="nil"/>
              <w:bottom w:val="single" w:color="auto" w:sz="4" w:space="0"/>
              <w:right w:val="nil"/>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c>
          <w:tcPr>
            <w:tcW w:w="1180" w:type="dxa"/>
            <w:tcBorders>
              <w:top w:val="nil"/>
              <w:left w:val="nil"/>
              <w:bottom w:val="single" w:color="auto" w:sz="4" w:space="0"/>
              <w:right w:val="nil"/>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c>
          <w:tcPr>
            <w:tcW w:w="1420" w:type="dxa"/>
            <w:tcBorders>
              <w:top w:val="nil"/>
              <w:left w:val="nil"/>
              <w:bottom w:val="single" w:color="auto" w:sz="4" w:space="0"/>
              <w:right w:val="nil"/>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　</w:t>
            </w:r>
          </w:p>
        </w:tc>
        <w:tc>
          <w:tcPr>
            <w:tcW w:w="3230" w:type="dxa"/>
            <w:tcBorders>
              <w:top w:val="nil"/>
              <w:left w:val="nil"/>
              <w:bottom w:val="nil"/>
              <w:right w:val="nil"/>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r>
              <w:rPr>
                <w:rFonts w:ascii="仿宋" w:hAnsi="仿宋" w:eastAsia="仿宋" w:cs="宋体"/>
                <w:kern w:val="0"/>
                <w:sz w:val="24"/>
              </w:rPr>
              <w:t>2018</w:t>
            </w:r>
            <w:r>
              <w:rPr>
                <w:rFonts w:hint="eastAsia" w:ascii="仿宋" w:hAnsi="仿宋" w:eastAsia="仿宋" w:cs="宋体"/>
                <w:kern w:val="0"/>
                <w:sz w:val="24"/>
              </w:rPr>
              <w:t>年度）</w:t>
            </w:r>
          </w:p>
        </w:tc>
        <w:tc>
          <w:tcPr>
            <w:tcW w:w="3210" w:type="dxa"/>
            <w:tcBorders>
              <w:top w:val="nil"/>
              <w:left w:val="nil"/>
              <w:bottom w:val="nil"/>
              <w:right w:val="nil"/>
            </w:tcBorders>
            <w:vAlign w:val="center"/>
          </w:tcPr>
          <w:p>
            <w:pPr>
              <w:widowControl/>
              <w:jc w:val="left"/>
              <w:rPr>
                <w:rFonts w:ascii="仿宋" w:hAnsi="仿宋" w:eastAsia="仿宋" w:cs="宋体"/>
                <w:kern w:val="0"/>
                <w:sz w:val="24"/>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356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Cs w:val="21"/>
              </w:rPr>
            </w:pPr>
            <w:r>
              <w:rPr>
                <w:rFonts w:hint="eastAsia" w:ascii="宋体" w:hAnsi="宋体" w:cs="宋体"/>
                <w:color w:val="000000"/>
                <w:kern w:val="0"/>
                <w:szCs w:val="21"/>
              </w:rPr>
              <w:t>项目名称</w:t>
            </w:r>
            <w:r>
              <w:rPr>
                <w:rFonts w:ascii="宋体" w:hAnsi="宋体" w:cs="宋体"/>
                <w:color w:val="000000"/>
                <w:kern w:val="0"/>
                <w:szCs w:val="21"/>
              </w:rPr>
              <w:t xml:space="preserve"> </w:t>
            </w:r>
          </w:p>
        </w:tc>
        <w:tc>
          <w:tcPr>
            <w:tcW w:w="3230" w:type="dxa"/>
            <w:tcBorders>
              <w:top w:val="single" w:color="auto" w:sz="4" w:space="0"/>
              <w:left w:val="nil"/>
              <w:bottom w:val="single" w:color="auto" w:sz="4" w:space="0"/>
              <w:right w:val="nil"/>
            </w:tcBorders>
            <w:noWrap/>
            <w:vAlign w:val="center"/>
          </w:tcPr>
          <w:p>
            <w:pPr>
              <w:widowControl/>
              <w:jc w:val="center"/>
              <w:rPr>
                <w:rFonts w:ascii="宋体" w:cs="宋体"/>
                <w:kern w:val="0"/>
                <w:sz w:val="20"/>
                <w:szCs w:val="20"/>
              </w:rPr>
            </w:pPr>
            <w:r>
              <w:rPr>
                <w:rFonts w:hint="eastAsia" w:ascii="宋体" w:hAnsi="宋体" w:cs="宋体"/>
                <w:kern w:val="0"/>
                <w:sz w:val="20"/>
                <w:szCs w:val="20"/>
              </w:rPr>
              <w:t>治超经费</w:t>
            </w:r>
          </w:p>
        </w:tc>
        <w:tc>
          <w:tcPr>
            <w:tcW w:w="3210" w:type="dxa"/>
            <w:tcBorders>
              <w:top w:val="single" w:color="auto" w:sz="4" w:space="0"/>
              <w:left w:val="nil"/>
              <w:bottom w:val="nil"/>
              <w:right w:val="single" w:color="auto" w:sz="4" w:space="0"/>
            </w:tcBorders>
            <w:noWrap/>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356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color w:val="000000"/>
                <w:kern w:val="0"/>
                <w:szCs w:val="21"/>
              </w:rPr>
            </w:pPr>
            <w:r>
              <w:rPr>
                <w:rFonts w:hint="eastAsia" w:ascii="宋体" w:hAnsi="宋体" w:cs="宋体"/>
                <w:color w:val="000000"/>
                <w:kern w:val="0"/>
                <w:szCs w:val="21"/>
              </w:rPr>
              <w:t>预算单位</w:t>
            </w:r>
          </w:p>
        </w:tc>
        <w:tc>
          <w:tcPr>
            <w:tcW w:w="3230" w:type="dxa"/>
            <w:tcBorders>
              <w:top w:val="nil"/>
              <w:left w:val="nil"/>
              <w:bottom w:val="single" w:color="auto" w:sz="4" w:space="0"/>
              <w:right w:val="single" w:color="auto" w:sz="4" w:space="0"/>
            </w:tcBorders>
            <w:noWrap/>
            <w:vAlign w:val="center"/>
          </w:tcPr>
          <w:p>
            <w:pPr>
              <w:widowControl/>
              <w:jc w:val="center"/>
              <w:rPr>
                <w:rFonts w:ascii="宋体" w:cs="宋体"/>
                <w:kern w:val="0"/>
                <w:sz w:val="20"/>
                <w:szCs w:val="20"/>
              </w:rPr>
            </w:pPr>
            <w:r>
              <w:rPr>
                <w:rFonts w:hint="eastAsia" w:ascii="宋体" w:hAnsi="宋体" w:cs="宋体"/>
                <w:kern w:val="0"/>
                <w:sz w:val="20"/>
                <w:szCs w:val="20"/>
              </w:rPr>
              <w:t>攀枝花市交通运输综合行政执法支队</w:t>
            </w:r>
          </w:p>
        </w:tc>
        <w:tc>
          <w:tcPr>
            <w:tcW w:w="3210" w:type="dxa"/>
            <w:tcBorders>
              <w:top w:val="single" w:color="auto" w:sz="4" w:space="0"/>
              <w:left w:val="nil"/>
              <w:bottom w:val="single" w:color="auto" w:sz="4" w:space="0"/>
              <w:right w:val="single" w:color="auto" w:sz="4" w:space="0"/>
            </w:tcBorders>
            <w:noWrap/>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3560"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cs="宋体"/>
                <w:color w:val="000000"/>
                <w:kern w:val="0"/>
                <w:szCs w:val="21"/>
              </w:rPr>
            </w:pPr>
            <w:r>
              <w:rPr>
                <w:rFonts w:hint="eastAsia" w:ascii="宋体" w:hAnsi="宋体" w:cs="宋体"/>
                <w:color w:val="000000"/>
                <w:kern w:val="0"/>
                <w:szCs w:val="21"/>
              </w:rPr>
              <w:t>项目资金</w:t>
            </w:r>
            <w:r>
              <w:rPr>
                <w:rFonts w:ascii="宋体" w:hAnsi="宋体" w:cs="宋体"/>
                <w:color w:val="000000"/>
                <w:kern w:val="0"/>
                <w:szCs w:val="21"/>
              </w:rPr>
              <w:t>(</w:t>
            </w:r>
            <w:r>
              <w:rPr>
                <w:rFonts w:hint="eastAsia" w:ascii="宋体" w:hAnsi="宋体" w:cs="宋体"/>
                <w:color w:val="000000"/>
                <w:kern w:val="0"/>
                <w:szCs w:val="21"/>
              </w:rPr>
              <w:t>万元</w:t>
            </w:r>
            <w:r>
              <w:rPr>
                <w:rFonts w:ascii="宋体" w:hAnsi="宋体" w:cs="宋体"/>
                <w:color w:val="000000"/>
                <w:kern w:val="0"/>
                <w:szCs w:val="21"/>
              </w:rPr>
              <w:t>)</w:t>
            </w:r>
          </w:p>
        </w:tc>
        <w:tc>
          <w:tcPr>
            <w:tcW w:w="3230" w:type="dxa"/>
            <w:tcBorders>
              <w:top w:val="nil"/>
              <w:left w:val="nil"/>
              <w:bottom w:val="single" w:color="auto" w:sz="4" w:space="0"/>
              <w:right w:val="single" w:color="auto" w:sz="4" w:space="0"/>
            </w:tcBorders>
            <w:noWrap/>
            <w:vAlign w:val="center"/>
          </w:tcPr>
          <w:p>
            <w:pPr>
              <w:widowControl/>
              <w:jc w:val="left"/>
              <w:rPr>
                <w:rFonts w:ascii="宋体" w:cs="宋体"/>
                <w:kern w:val="0"/>
                <w:sz w:val="20"/>
                <w:szCs w:val="20"/>
              </w:rPr>
            </w:pPr>
            <w:r>
              <w:rPr>
                <w:rFonts w:hint="eastAsia" w:ascii="宋体" w:hAnsi="宋体" w:cs="宋体"/>
                <w:kern w:val="0"/>
                <w:sz w:val="20"/>
                <w:szCs w:val="20"/>
              </w:rPr>
              <w:t>年度资金总额：</w:t>
            </w:r>
            <w:r>
              <w:rPr>
                <w:rFonts w:ascii="宋体" w:hAnsi="宋体" w:cs="宋体"/>
                <w:kern w:val="0"/>
                <w:sz w:val="20"/>
                <w:szCs w:val="20"/>
              </w:rPr>
              <w:t xml:space="preserve"> </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405.33</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3560"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cs="宋体"/>
                <w:color w:val="000000"/>
                <w:kern w:val="0"/>
                <w:szCs w:val="21"/>
              </w:rPr>
            </w:pPr>
          </w:p>
        </w:tc>
        <w:tc>
          <w:tcPr>
            <w:tcW w:w="3230" w:type="dxa"/>
            <w:tcBorders>
              <w:top w:val="nil"/>
              <w:left w:val="nil"/>
              <w:bottom w:val="single" w:color="auto" w:sz="4" w:space="0"/>
              <w:right w:val="single" w:color="auto" w:sz="4" w:space="0"/>
            </w:tcBorders>
            <w:vAlign w:val="center"/>
          </w:tcPr>
          <w:p>
            <w:pPr>
              <w:widowControl/>
              <w:jc w:val="left"/>
              <w:rPr>
                <w:rFonts w:ascii="宋体" w:cs="宋体"/>
                <w:color w:val="000000"/>
                <w:kern w:val="0"/>
                <w:szCs w:val="21"/>
              </w:rPr>
            </w:pPr>
            <w:r>
              <w:rPr>
                <w:rFonts w:hint="eastAsia" w:ascii="宋体" w:hAnsi="宋体" w:cs="宋体"/>
                <w:color w:val="000000"/>
                <w:kern w:val="0"/>
                <w:szCs w:val="21"/>
              </w:rPr>
              <w:t>其中：财政拨款</w:t>
            </w:r>
            <w:r>
              <w:rPr>
                <w:rFonts w:ascii="宋体" w:hAnsi="宋体" w:cs="宋体"/>
                <w:color w:val="000000"/>
                <w:kern w:val="0"/>
                <w:szCs w:val="21"/>
              </w:rPr>
              <w:t xml:space="preserve"> </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hAnsi="宋体" w:cs="宋体"/>
                <w:kern w:val="0"/>
                <w:sz w:val="20"/>
                <w:szCs w:val="20"/>
              </w:rPr>
              <w:t>405.33</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3560"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cs="宋体"/>
                <w:color w:val="000000"/>
                <w:kern w:val="0"/>
                <w:szCs w:val="21"/>
              </w:rPr>
            </w:pPr>
          </w:p>
        </w:tc>
        <w:tc>
          <w:tcPr>
            <w:tcW w:w="3230" w:type="dxa"/>
            <w:tcBorders>
              <w:top w:val="nil"/>
              <w:left w:val="nil"/>
              <w:bottom w:val="single" w:color="auto" w:sz="4" w:space="0"/>
              <w:right w:val="single" w:color="auto" w:sz="4" w:space="0"/>
            </w:tcBorders>
            <w:vAlign w:val="center"/>
          </w:tcPr>
          <w:p>
            <w:pPr>
              <w:widowControl/>
              <w:jc w:val="left"/>
              <w:rPr>
                <w:rFonts w:ascii="宋体" w:cs="宋体"/>
                <w:color w:val="000000"/>
                <w:kern w:val="0"/>
                <w:szCs w:val="21"/>
              </w:rPr>
            </w:pPr>
            <w:r>
              <w:rPr>
                <w:rFonts w:hint="eastAsia" w:ascii="宋体" w:hAnsi="宋体" w:cs="宋体"/>
                <w:color w:val="000000"/>
                <w:kern w:val="0"/>
                <w:szCs w:val="21"/>
              </w:rPr>
              <w:t>其他资金</w:t>
            </w:r>
            <w:r>
              <w:rPr>
                <w:rFonts w:ascii="宋体" w:hAnsi="宋体" w:cs="宋体"/>
                <w:color w:val="000000"/>
                <w:kern w:val="0"/>
                <w:szCs w:val="21"/>
              </w:rPr>
              <w:t xml:space="preserve"> </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ascii="宋体" w:cs="宋体"/>
                <w:kern w:val="0"/>
                <w:sz w:val="20"/>
                <w:szCs w:val="20"/>
              </w:rPr>
              <w:t>0.00</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9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0"/>
                <w:szCs w:val="20"/>
              </w:rPr>
            </w:pPr>
            <w:r>
              <w:rPr>
                <w:rFonts w:hint="eastAsia" w:ascii="宋体" w:hAnsi="宋体" w:cs="宋体"/>
                <w:color w:val="000000"/>
                <w:kern w:val="0"/>
                <w:sz w:val="20"/>
                <w:szCs w:val="20"/>
              </w:rPr>
              <w:t>总体目标</w:t>
            </w:r>
            <w:r>
              <w:rPr>
                <w:rFonts w:ascii="宋体" w:hAnsi="宋体" w:cs="宋体"/>
                <w:color w:val="000000"/>
                <w:kern w:val="0"/>
                <w:sz w:val="20"/>
                <w:szCs w:val="20"/>
              </w:rPr>
              <w:t xml:space="preserve"> </w:t>
            </w:r>
          </w:p>
        </w:tc>
        <w:tc>
          <w:tcPr>
            <w:tcW w:w="1180" w:type="dxa"/>
            <w:tcBorders>
              <w:top w:val="nil"/>
              <w:left w:val="nil"/>
              <w:bottom w:val="single" w:color="auto" w:sz="4" w:space="0"/>
              <w:right w:val="single" w:color="auto" w:sz="4" w:space="0"/>
            </w:tcBorders>
            <w:noWrap/>
            <w:vAlign w:val="center"/>
          </w:tcPr>
          <w:p>
            <w:pPr>
              <w:widowControl/>
              <w:jc w:val="center"/>
              <w:rPr>
                <w:rFonts w:ascii="宋体" w:cs="宋体"/>
                <w:kern w:val="0"/>
                <w:sz w:val="20"/>
                <w:szCs w:val="20"/>
              </w:rPr>
            </w:pPr>
            <w:r>
              <w:rPr>
                <w:rFonts w:hint="eastAsia" w:ascii="宋体" w:hAnsi="宋体" w:cs="宋体"/>
                <w:kern w:val="0"/>
                <w:sz w:val="20"/>
                <w:szCs w:val="20"/>
              </w:rPr>
              <w:t>年度目标</w:t>
            </w:r>
          </w:p>
        </w:tc>
        <w:tc>
          <w:tcPr>
            <w:tcW w:w="1420" w:type="dxa"/>
            <w:tcBorders>
              <w:top w:val="nil"/>
              <w:left w:val="nil"/>
              <w:bottom w:val="single" w:color="auto" w:sz="4" w:space="0"/>
              <w:right w:val="single" w:color="auto" w:sz="4" w:space="0"/>
            </w:tcBorders>
            <w:noWrap/>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3230" w:type="dxa"/>
            <w:tcBorders>
              <w:top w:val="nil"/>
              <w:left w:val="nil"/>
              <w:bottom w:val="single" w:color="auto" w:sz="4" w:space="0"/>
              <w:right w:val="single" w:color="auto" w:sz="4" w:space="0"/>
            </w:tcBorders>
            <w:noWrap/>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3210" w:type="dxa"/>
            <w:tcBorders>
              <w:top w:val="nil"/>
              <w:left w:val="nil"/>
              <w:bottom w:val="single" w:color="auto" w:sz="4" w:space="0"/>
              <w:right w:val="single" w:color="auto" w:sz="4" w:space="0"/>
            </w:tcBorders>
            <w:noWrap/>
            <w:vAlign w:val="center"/>
          </w:tcPr>
          <w:p>
            <w:pPr>
              <w:widowControl/>
              <w:jc w:val="left"/>
              <w:rPr>
                <w:rFonts w:ascii="宋体" w:cs="宋体"/>
                <w:kern w:val="0"/>
                <w:sz w:val="20"/>
                <w:szCs w:val="20"/>
              </w:rPr>
            </w:pPr>
            <w:r>
              <w:rPr>
                <w:rFonts w:hint="eastAsia" w:ascii="宋体" w:hAnsi="宋体" w:cs="宋体"/>
                <w:kern w:val="0"/>
                <w:sz w:val="20"/>
                <w:szCs w:val="20"/>
              </w:rPr>
              <w:t>　</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1140" w:hRule="atLeast"/>
        </w:trPr>
        <w:tc>
          <w:tcPr>
            <w:tcW w:w="9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color w:val="000000"/>
                <w:kern w:val="0"/>
                <w:sz w:val="20"/>
                <w:szCs w:val="20"/>
              </w:rPr>
            </w:pPr>
          </w:p>
        </w:tc>
        <w:tc>
          <w:tcPr>
            <w:tcW w:w="9040" w:type="dxa"/>
            <w:gridSpan w:val="4"/>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五个超限运输检测站，检测所有进出攀枝花的运输车辆，坚决制止超限运输车辆，消除安全隐患，保护公路、公路桥梁及公路设施，经检测载货汽车检测率控制在</w:t>
            </w:r>
            <w:r>
              <w:rPr>
                <w:rFonts w:ascii="宋体" w:hAnsi="宋体" w:cs="宋体"/>
                <w:kern w:val="0"/>
                <w:sz w:val="20"/>
                <w:szCs w:val="20"/>
              </w:rPr>
              <w:t>4.5</w:t>
            </w:r>
            <w:r>
              <w:rPr>
                <w:rFonts w:hint="eastAsia" w:ascii="宋体" w:hAnsi="宋体" w:cs="宋体"/>
                <w:kern w:val="0"/>
                <w:sz w:val="20"/>
                <w:szCs w:val="20"/>
              </w:rPr>
              <w:t>内，非法超限运输卸载率不低</w:t>
            </w:r>
            <w:r>
              <w:rPr>
                <w:rFonts w:ascii="宋体" w:hAnsi="宋体" w:cs="宋体"/>
                <w:kern w:val="0"/>
                <w:sz w:val="20"/>
                <w:szCs w:val="20"/>
              </w:rPr>
              <w:t>90%</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600" w:hRule="atLeast"/>
        </w:trPr>
        <w:tc>
          <w:tcPr>
            <w:tcW w:w="9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绩效指标</w:t>
            </w:r>
            <w:r>
              <w:rPr>
                <w:rFonts w:ascii="宋体" w:hAnsi="宋体" w:cs="宋体"/>
                <w:kern w:val="0"/>
                <w:sz w:val="20"/>
                <w:szCs w:val="20"/>
              </w:rPr>
              <w:t xml:space="preserve"> </w:t>
            </w:r>
          </w:p>
        </w:tc>
        <w:tc>
          <w:tcPr>
            <w:tcW w:w="1180" w:type="dxa"/>
            <w:tcBorders>
              <w:top w:val="nil"/>
              <w:left w:val="nil"/>
              <w:bottom w:val="single" w:color="auto" w:sz="4" w:space="0"/>
              <w:right w:val="single" w:color="auto" w:sz="4" w:space="0"/>
            </w:tcBorders>
            <w:vAlign w:val="center"/>
          </w:tcPr>
          <w:p>
            <w:pPr>
              <w:widowControl/>
              <w:jc w:val="center"/>
              <w:rPr>
                <w:rFonts w:ascii="宋体" w:cs="宋体"/>
                <w:color w:val="000000"/>
                <w:kern w:val="0"/>
                <w:szCs w:val="21"/>
              </w:rPr>
            </w:pPr>
            <w:r>
              <w:rPr>
                <w:rFonts w:hint="eastAsia" w:ascii="宋体" w:hAnsi="宋体" w:cs="宋体"/>
                <w:color w:val="000000"/>
                <w:kern w:val="0"/>
                <w:szCs w:val="21"/>
              </w:rPr>
              <w:t>一级指标</w:t>
            </w:r>
            <w:r>
              <w:rPr>
                <w:rFonts w:ascii="宋体" w:hAnsi="宋体" w:cs="宋体"/>
                <w:color w:val="000000"/>
                <w:kern w:val="0"/>
                <w:szCs w:val="21"/>
              </w:rPr>
              <w:t xml:space="preserve"> </w:t>
            </w:r>
          </w:p>
        </w:tc>
        <w:tc>
          <w:tcPr>
            <w:tcW w:w="1420" w:type="dxa"/>
            <w:tcBorders>
              <w:top w:val="nil"/>
              <w:left w:val="nil"/>
              <w:bottom w:val="single" w:color="auto" w:sz="4" w:space="0"/>
              <w:right w:val="single" w:color="auto" w:sz="4" w:space="0"/>
            </w:tcBorders>
            <w:vAlign w:val="center"/>
          </w:tcPr>
          <w:p>
            <w:pPr>
              <w:widowControl/>
              <w:jc w:val="center"/>
              <w:rPr>
                <w:rFonts w:ascii="宋体" w:cs="宋体"/>
                <w:color w:val="000000"/>
                <w:kern w:val="0"/>
                <w:szCs w:val="21"/>
              </w:rPr>
            </w:pPr>
            <w:r>
              <w:rPr>
                <w:rFonts w:hint="eastAsia" w:ascii="宋体" w:hAnsi="宋体" w:cs="宋体"/>
                <w:color w:val="000000"/>
                <w:kern w:val="0"/>
                <w:szCs w:val="21"/>
              </w:rPr>
              <w:t>二级指标</w:t>
            </w:r>
            <w:r>
              <w:rPr>
                <w:rFonts w:ascii="宋体" w:hAnsi="宋体" w:cs="宋体"/>
                <w:color w:val="000000"/>
                <w:kern w:val="0"/>
                <w:szCs w:val="21"/>
              </w:rPr>
              <w:t xml:space="preserve"> </w:t>
            </w:r>
          </w:p>
        </w:tc>
        <w:tc>
          <w:tcPr>
            <w:tcW w:w="3230"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三级指标</w:t>
            </w:r>
            <w:r>
              <w:rPr>
                <w:rFonts w:ascii="宋体" w:hAnsi="宋体" w:cs="宋体"/>
                <w:kern w:val="0"/>
                <w:sz w:val="20"/>
                <w:szCs w:val="20"/>
              </w:rPr>
              <w:t xml:space="preserve"> </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指标值（包含数字及文字描述）</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840" w:hRule="atLeast"/>
        </w:trPr>
        <w:tc>
          <w:tcPr>
            <w:tcW w:w="9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项目完成</w:t>
            </w:r>
          </w:p>
        </w:tc>
        <w:tc>
          <w:tcPr>
            <w:tcW w:w="142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数量指标</w:t>
            </w:r>
            <w:r>
              <w:rPr>
                <w:rFonts w:ascii="宋体" w:hAnsi="宋体" w:cs="宋体"/>
                <w:kern w:val="0"/>
                <w:sz w:val="20"/>
                <w:szCs w:val="20"/>
              </w:rPr>
              <w:t xml:space="preserve"> </w:t>
            </w:r>
          </w:p>
        </w:tc>
        <w:tc>
          <w:tcPr>
            <w:tcW w:w="323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合同制用工人数</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ascii="宋体" w:hAnsi="宋体" w:cs="宋体"/>
                <w:kern w:val="0"/>
                <w:sz w:val="18"/>
                <w:szCs w:val="18"/>
              </w:rPr>
              <w:t>90</w:t>
            </w:r>
            <w:r>
              <w:rPr>
                <w:rFonts w:hint="eastAsia" w:ascii="宋体" w:hAnsi="宋体" w:cs="宋体"/>
                <w:kern w:val="0"/>
                <w:sz w:val="18"/>
                <w:szCs w:val="18"/>
              </w:rPr>
              <w:t>人</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840" w:hRule="atLeast"/>
        </w:trPr>
        <w:tc>
          <w:tcPr>
            <w:tcW w:w="9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42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质量指标</w:t>
            </w:r>
            <w:r>
              <w:rPr>
                <w:rFonts w:ascii="宋体" w:hAnsi="宋体" w:cs="宋体"/>
                <w:kern w:val="0"/>
                <w:sz w:val="20"/>
                <w:szCs w:val="20"/>
              </w:rPr>
              <w:t xml:space="preserve"> </w:t>
            </w:r>
          </w:p>
        </w:tc>
        <w:tc>
          <w:tcPr>
            <w:tcW w:w="323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保证道路运输系统正常运转</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辅助完成调查执法相关工作</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840" w:hRule="atLeast"/>
        </w:trPr>
        <w:tc>
          <w:tcPr>
            <w:tcW w:w="9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42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时效指标</w:t>
            </w:r>
            <w:r>
              <w:rPr>
                <w:rFonts w:ascii="宋体" w:hAnsi="宋体" w:cs="宋体"/>
                <w:kern w:val="0"/>
                <w:sz w:val="20"/>
                <w:szCs w:val="20"/>
              </w:rPr>
              <w:t xml:space="preserve"> </w:t>
            </w:r>
          </w:p>
        </w:tc>
        <w:tc>
          <w:tcPr>
            <w:tcW w:w="323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完成时间</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ascii="宋体" w:hAnsi="宋体" w:cs="宋体"/>
                <w:kern w:val="0"/>
                <w:sz w:val="18"/>
                <w:szCs w:val="18"/>
              </w:rPr>
              <w:t>2019</w:t>
            </w:r>
            <w:r>
              <w:rPr>
                <w:rFonts w:hint="eastAsia" w:ascii="宋体" w:hAnsi="宋体" w:cs="宋体"/>
                <w:kern w:val="0"/>
                <w:sz w:val="18"/>
                <w:szCs w:val="18"/>
              </w:rPr>
              <w:t>年全年</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840" w:hRule="atLeast"/>
        </w:trPr>
        <w:tc>
          <w:tcPr>
            <w:tcW w:w="9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42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成本指标</w:t>
            </w:r>
          </w:p>
        </w:tc>
        <w:tc>
          <w:tcPr>
            <w:tcW w:w="323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工资及社保</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根据文件批复，聘用</w:t>
            </w:r>
            <w:r>
              <w:rPr>
                <w:rFonts w:ascii="宋体" w:hAnsi="宋体" w:cs="宋体"/>
                <w:kern w:val="0"/>
                <w:sz w:val="18"/>
                <w:szCs w:val="18"/>
              </w:rPr>
              <w:t>90</w:t>
            </w:r>
            <w:r>
              <w:rPr>
                <w:rFonts w:hint="eastAsia" w:ascii="宋体" w:hAnsi="宋体" w:cs="宋体"/>
                <w:kern w:val="0"/>
                <w:sz w:val="18"/>
                <w:szCs w:val="18"/>
              </w:rPr>
              <w:t>名编外合同制用工人员，经费计算方法：</w:t>
            </w:r>
            <w:r>
              <w:rPr>
                <w:rFonts w:ascii="宋体" w:hAnsi="宋体" w:cs="宋体"/>
                <w:kern w:val="0"/>
                <w:sz w:val="18"/>
                <w:szCs w:val="18"/>
              </w:rPr>
              <w:t>4.5</w:t>
            </w:r>
            <w:r>
              <w:rPr>
                <w:rFonts w:hint="eastAsia" w:ascii="宋体" w:hAnsi="宋体" w:cs="宋体"/>
                <w:kern w:val="0"/>
                <w:sz w:val="18"/>
                <w:szCs w:val="18"/>
              </w:rPr>
              <w:t>万元</w:t>
            </w:r>
            <w:r>
              <w:rPr>
                <w:rFonts w:ascii="宋体" w:hAnsi="宋体" w:cs="宋体"/>
                <w:kern w:val="0"/>
                <w:sz w:val="18"/>
                <w:szCs w:val="18"/>
              </w:rPr>
              <w:t>/</w:t>
            </w:r>
            <w:r>
              <w:rPr>
                <w:rFonts w:hint="eastAsia" w:ascii="宋体" w:hAnsi="宋体" w:cs="宋体"/>
                <w:kern w:val="0"/>
                <w:sz w:val="18"/>
                <w:szCs w:val="18"/>
              </w:rPr>
              <w:t>人</w:t>
            </w:r>
            <w:r>
              <w:rPr>
                <w:rFonts w:ascii="宋体" w:hAnsi="宋体" w:cs="宋体"/>
                <w:kern w:val="0"/>
                <w:sz w:val="18"/>
                <w:szCs w:val="18"/>
              </w:rPr>
              <w:t>/</w:t>
            </w:r>
            <w:r>
              <w:rPr>
                <w:rFonts w:hint="eastAsia" w:ascii="宋体" w:hAnsi="宋体" w:cs="宋体"/>
                <w:kern w:val="0"/>
                <w:sz w:val="18"/>
                <w:szCs w:val="18"/>
              </w:rPr>
              <w:t>年，全年预计需</w:t>
            </w:r>
            <w:r>
              <w:rPr>
                <w:rFonts w:ascii="宋体" w:hAnsi="宋体" w:cs="宋体"/>
                <w:kern w:val="0"/>
                <w:sz w:val="18"/>
                <w:szCs w:val="18"/>
              </w:rPr>
              <w:t>431.41</w:t>
            </w:r>
            <w:r>
              <w:rPr>
                <w:rFonts w:hint="eastAsia" w:ascii="宋体" w:hAnsi="宋体" w:cs="宋体"/>
                <w:kern w:val="0"/>
                <w:sz w:val="18"/>
                <w:szCs w:val="18"/>
              </w:rPr>
              <w:t>万元</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840" w:hRule="atLeast"/>
        </w:trPr>
        <w:tc>
          <w:tcPr>
            <w:tcW w:w="9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18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项目效益</w:t>
            </w:r>
          </w:p>
        </w:tc>
        <w:tc>
          <w:tcPr>
            <w:tcW w:w="142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社会效益指标</w:t>
            </w:r>
          </w:p>
        </w:tc>
        <w:tc>
          <w:tcPr>
            <w:tcW w:w="323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保障工资正常发放</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及时足额发放工资，保障工作人员正常生活</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r>
        <w:tblPrEx>
          <w:tblCellMar>
            <w:top w:w="0" w:type="dxa"/>
            <w:left w:w="108" w:type="dxa"/>
            <w:bottom w:w="0" w:type="dxa"/>
            <w:right w:w="108" w:type="dxa"/>
          </w:tblCellMar>
        </w:tblPrEx>
        <w:trPr>
          <w:trHeight w:val="840" w:hRule="atLeast"/>
        </w:trPr>
        <w:tc>
          <w:tcPr>
            <w:tcW w:w="9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18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满意度指标</w:t>
            </w:r>
            <w:r>
              <w:rPr>
                <w:rFonts w:ascii="宋体" w:hAnsi="宋体" w:cs="宋体"/>
                <w:kern w:val="0"/>
                <w:sz w:val="20"/>
                <w:szCs w:val="20"/>
              </w:rPr>
              <w:t xml:space="preserve"> </w:t>
            </w:r>
          </w:p>
        </w:tc>
        <w:tc>
          <w:tcPr>
            <w:tcW w:w="1420"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服务对象满意度指标</w:t>
            </w:r>
            <w:r>
              <w:rPr>
                <w:rFonts w:ascii="宋体" w:hAnsi="宋体" w:cs="宋体"/>
                <w:kern w:val="0"/>
                <w:sz w:val="20"/>
                <w:szCs w:val="20"/>
              </w:rPr>
              <w:t xml:space="preserve"> </w:t>
            </w:r>
          </w:p>
        </w:tc>
        <w:tc>
          <w:tcPr>
            <w:tcW w:w="323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人员满意度</w:t>
            </w:r>
          </w:p>
        </w:tc>
        <w:tc>
          <w:tcPr>
            <w:tcW w:w="3210" w:type="dxa"/>
            <w:tcBorders>
              <w:top w:val="nil"/>
              <w:left w:val="nil"/>
              <w:bottom w:val="single" w:color="auto" w:sz="4" w:space="0"/>
              <w:right w:val="single" w:color="auto" w:sz="4" w:space="0"/>
            </w:tcBorders>
            <w:vAlign w:val="center"/>
          </w:tcPr>
          <w:p>
            <w:pPr>
              <w:widowControl/>
              <w:jc w:val="left"/>
              <w:rPr>
                <w:rFonts w:ascii="宋体" w:cs="宋体"/>
                <w:kern w:val="0"/>
                <w:sz w:val="18"/>
                <w:szCs w:val="18"/>
              </w:rPr>
            </w:pPr>
            <w:r>
              <w:rPr>
                <w:rFonts w:hint="eastAsia" w:ascii="宋体" w:hAnsi="宋体" w:cs="宋体"/>
                <w:kern w:val="0"/>
                <w:sz w:val="18"/>
                <w:szCs w:val="18"/>
              </w:rPr>
              <w:t>≥</w:t>
            </w:r>
            <w:r>
              <w:rPr>
                <w:rFonts w:ascii="宋体" w:hAnsi="宋体" w:cs="宋体"/>
                <w:kern w:val="0"/>
                <w:sz w:val="18"/>
                <w:szCs w:val="18"/>
              </w:rPr>
              <w:t>95%</w:t>
            </w: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820" w:type="dxa"/>
            <w:tcBorders>
              <w:top w:val="nil"/>
              <w:left w:val="nil"/>
              <w:bottom w:val="nil"/>
              <w:right w:val="nil"/>
            </w:tcBorders>
            <w:noWrap/>
            <w:vAlign w:val="center"/>
          </w:tcPr>
          <w:p>
            <w:pPr>
              <w:widowControl/>
              <w:jc w:val="left"/>
              <w:rPr>
                <w:rFonts w:ascii="宋体" w:cs="宋体"/>
                <w:color w:val="000000"/>
                <w:kern w:val="0"/>
                <w:sz w:val="18"/>
                <w:szCs w:val="18"/>
              </w:rPr>
            </w:pPr>
          </w:p>
        </w:tc>
      </w:tr>
    </w:tbl>
    <w:p>
      <w:pPr>
        <w:tabs>
          <w:tab w:val="left" w:pos="312"/>
        </w:tabs>
        <w:spacing w:line="580" w:lineRule="exact"/>
        <w:ind w:firstLine="640" w:firstLineChars="200"/>
        <w:rPr>
          <w:rFonts w:ascii="宋体" w:cs="仿宋_GB2312"/>
          <w:sz w:val="32"/>
          <w:szCs w:val="32"/>
        </w:rPr>
      </w:pPr>
      <w:r>
        <w:rPr>
          <w:rFonts w:ascii="宋体" w:hAnsi="宋体" w:cs="仿宋_GB2312"/>
          <w:sz w:val="32"/>
          <w:szCs w:val="32"/>
        </w:rPr>
        <w:t xml:space="preserve">6. </w:t>
      </w:r>
      <w:r>
        <w:rPr>
          <w:rFonts w:hint="eastAsia" w:ascii="宋体" w:hAnsi="宋体" w:cs="仿宋_GB2312"/>
          <w:sz w:val="32"/>
          <w:szCs w:val="32"/>
        </w:rPr>
        <w:t>桥梁检测项目绩效目标完成情况综述。项目全年预算数</w:t>
      </w:r>
      <w:r>
        <w:rPr>
          <w:rFonts w:ascii="宋体" w:hAnsi="宋体" w:cs="仿宋_GB2312"/>
          <w:sz w:val="32"/>
          <w:szCs w:val="32"/>
        </w:rPr>
        <w:t>246</w:t>
      </w:r>
      <w:r>
        <w:rPr>
          <w:rFonts w:hint="eastAsia" w:ascii="宋体" w:hAnsi="宋体" w:cs="仿宋_GB2312"/>
          <w:sz w:val="32"/>
          <w:szCs w:val="32"/>
        </w:rPr>
        <w:t>万元，项目已完工，因优化检测方案执行数为</w:t>
      </w:r>
      <w:r>
        <w:rPr>
          <w:rFonts w:ascii="宋体" w:hAnsi="宋体" w:cs="仿宋_GB2312"/>
          <w:sz w:val="32"/>
          <w:szCs w:val="32"/>
        </w:rPr>
        <w:t>219.8</w:t>
      </w:r>
      <w:r>
        <w:rPr>
          <w:rFonts w:hint="eastAsia" w:ascii="宋体" w:hAnsi="宋体" w:cs="仿宋_GB2312"/>
          <w:sz w:val="32"/>
          <w:szCs w:val="32"/>
        </w:rPr>
        <w:t>万元，完成预算的</w:t>
      </w:r>
      <w:r>
        <w:rPr>
          <w:rFonts w:ascii="宋体" w:hAnsi="宋体" w:cs="仿宋_GB2312"/>
          <w:sz w:val="32"/>
          <w:szCs w:val="32"/>
        </w:rPr>
        <w:t>89.35%</w:t>
      </w:r>
      <w:r>
        <w:rPr>
          <w:rFonts w:hint="eastAsia" w:ascii="宋体" w:hAnsi="宋体" w:cs="仿宋_GB2312"/>
          <w:sz w:val="32"/>
          <w:szCs w:val="32"/>
        </w:rPr>
        <w:t>，节约</w:t>
      </w:r>
      <w:r>
        <w:rPr>
          <w:rFonts w:ascii="宋体" w:hAnsi="宋体" w:cs="仿宋_GB2312"/>
          <w:sz w:val="32"/>
          <w:szCs w:val="32"/>
        </w:rPr>
        <w:t>26.2</w:t>
      </w:r>
      <w:r>
        <w:rPr>
          <w:rFonts w:hint="eastAsia" w:ascii="宋体" w:hAnsi="宋体" w:cs="仿宋_GB2312"/>
          <w:sz w:val="32"/>
          <w:szCs w:val="32"/>
        </w:rPr>
        <w:t>万元已上报财政局调整到渡口立交</w:t>
      </w:r>
      <w:r>
        <w:rPr>
          <w:rFonts w:ascii="宋体" w:hAnsi="宋体" w:cs="仿宋_GB2312"/>
          <w:sz w:val="32"/>
          <w:szCs w:val="32"/>
        </w:rPr>
        <w:t>3</w:t>
      </w:r>
      <w:r>
        <w:rPr>
          <w:rFonts w:hint="eastAsia" w:ascii="宋体" w:hAnsi="宋体" w:cs="仿宋_GB2312"/>
          <w:sz w:val="32"/>
          <w:szCs w:val="32"/>
        </w:rPr>
        <w:t>号桥、仁和沟桥等桥维修加固使用。通过项目实施，完成了攀枝花市倮果金沙江大桥、新庄大桥、荷花池大桥等</w:t>
      </w:r>
      <w:r>
        <w:rPr>
          <w:rFonts w:ascii="宋体" w:hAnsi="宋体" w:cs="仿宋_GB2312"/>
          <w:sz w:val="32"/>
          <w:szCs w:val="32"/>
        </w:rPr>
        <w:t>8</w:t>
      </w:r>
      <w:r>
        <w:rPr>
          <w:rFonts w:hint="eastAsia" w:ascii="宋体" w:hAnsi="宋体" w:cs="仿宋_GB2312"/>
          <w:sz w:val="32"/>
          <w:szCs w:val="32"/>
        </w:rPr>
        <w:t>座桥梁的特殊检查、结构验算、荷载实验等内容，保障了过往车辆及行人的出行安全。</w:t>
      </w: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8"/>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仿宋_GB2312" w:hAnsi="宋体" w:eastAsia="仿宋_GB2312" w:cs="宋体"/>
                <w:kern w:val="0"/>
                <w:sz w:val="32"/>
                <w:szCs w:val="32"/>
              </w:rPr>
              <w:t>桥梁检测项目</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市公路管理处</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2460000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2198000</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2460000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2198000</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完成攀枝花市倮果金沙江大桥、新庄大桥、荷花池大桥等</w:t>
            </w:r>
            <w:r>
              <w:rPr>
                <w:rFonts w:ascii="宋体" w:hAnsi="宋体" w:cs="仿宋_GB2312"/>
                <w:sz w:val="24"/>
              </w:rPr>
              <w:t>8</w:t>
            </w:r>
            <w:r>
              <w:rPr>
                <w:rFonts w:hint="eastAsia" w:ascii="宋体" w:hAnsi="宋体" w:cs="仿宋_GB2312"/>
                <w:sz w:val="24"/>
              </w:rPr>
              <w:t>座桥梁的特殊检查、结构验算、荷载实验等内容</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完成攀枝花市倮果金沙江大桥、新庄大桥、荷花池大桥等</w:t>
            </w:r>
            <w:r>
              <w:rPr>
                <w:rFonts w:ascii="宋体" w:hAnsi="宋体" w:cs="仿宋_GB2312"/>
                <w:sz w:val="24"/>
              </w:rPr>
              <w:t>8</w:t>
            </w:r>
            <w:r>
              <w:rPr>
                <w:rFonts w:hint="eastAsia" w:ascii="宋体" w:hAnsi="宋体" w:cs="仿宋_GB2312"/>
                <w:sz w:val="24"/>
              </w:rPr>
              <w:t>座桥梁的特殊检查、结构验算、荷载实验等内容</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攀枝花市倮果金沙江大桥、新庄大桥、荷花池大桥等</w:t>
            </w:r>
            <w:r>
              <w:rPr>
                <w:rFonts w:ascii="宋体" w:hAnsi="宋体" w:cs="仿宋_GB2312"/>
                <w:sz w:val="24"/>
              </w:rPr>
              <w:t>8</w:t>
            </w:r>
            <w:r>
              <w:rPr>
                <w:rFonts w:hint="eastAsia" w:ascii="宋体" w:hAnsi="宋体" w:cs="仿宋_GB2312"/>
                <w:sz w:val="24"/>
              </w:rPr>
              <w:t>座桥梁的特殊检查、结构验算、荷载实验等内容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完成攀枝花市倮果金沙江大桥、新庄大桥、荷花池大桥等</w:t>
            </w:r>
            <w:r>
              <w:rPr>
                <w:rFonts w:ascii="宋体" w:hAnsi="宋体" w:cs="仿宋_GB2312"/>
                <w:sz w:val="24"/>
              </w:rPr>
              <w:t>8</w:t>
            </w:r>
            <w:r>
              <w:rPr>
                <w:rFonts w:hint="eastAsia" w:ascii="宋体" w:hAnsi="宋体" w:cs="仿宋_GB2312"/>
                <w:sz w:val="24"/>
              </w:rPr>
              <w:t>座桥梁的特殊检查、结构验算、荷载实验等内容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完成攀枝花市倮果金沙江大桥、新庄大桥、荷花池大桥等</w:t>
            </w:r>
            <w:r>
              <w:rPr>
                <w:rFonts w:ascii="宋体" w:hAnsi="宋体" w:cs="仿宋_GB2312"/>
                <w:sz w:val="24"/>
              </w:rPr>
              <w:t>8</w:t>
            </w:r>
            <w:r>
              <w:rPr>
                <w:rFonts w:hint="eastAsia" w:ascii="宋体" w:hAnsi="宋体" w:cs="仿宋_GB2312"/>
                <w:sz w:val="24"/>
              </w:rPr>
              <w:t>座桥梁的特殊检查、结构验算、荷载实验等内容</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按相差要求进行质量监督</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年保质保量完成</w:t>
            </w:r>
            <w:r>
              <w:rPr>
                <w:rFonts w:hint="eastAsia" w:ascii="宋体" w:hAnsi="宋体" w:cs="仿宋_GB2312"/>
                <w:sz w:val="24"/>
              </w:rPr>
              <w:t>倮果金沙江大桥、新庄大桥、荷花池大桥等</w:t>
            </w:r>
            <w:r>
              <w:rPr>
                <w:rFonts w:ascii="宋体" w:hAnsi="宋体" w:cs="仿宋_GB2312"/>
                <w:sz w:val="24"/>
              </w:rPr>
              <w:t>8</w:t>
            </w:r>
            <w:r>
              <w:rPr>
                <w:rFonts w:hint="eastAsia" w:ascii="宋体" w:hAnsi="宋体" w:cs="仿宋_GB2312"/>
                <w:sz w:val="24"/>
              </w:rPr>
              <w:t>座桥梁的特殊检查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符合国家相差强制性技术标准、规范和规程的要求</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按工作计划推进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8</w:t>
            </w:r>
            <w:r>
              <w:rPr>
                <w:rFonts w:hint="eastAsia" w:ascii="宋体" w:hAnsi="宋体" w:cs="宋体"/>
                <w:color w:val="000000"/>
                <w:sz w:val="24"/>
              </w:rPr>
              <w:t>月</w:t>
            </w:r>
            <w:r>
              <w:rPr>
                <w:rFonts w:ascii="宋体" w:hAnsi="宋体" w:cs="宋体"/>
                <w:color w:val="000000"/>
                <w:sz w:val="24"/>
              </w:rPr>
              <w:t>-11</w:t>
            </w:r>
            <w:r>
              <w:rPr>
                <w:rFonts w:hint="eastAsia" w:ascii="宋体" w:hAnsi="宋体" w:cs="宋体"/>
                <w:color w:val="000000"/>
                <w:sz w:val="24"/>
              </w:rPr>
              <w:t>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w:t>
            </w:r>
            <w:r>
              <w:rPr>
                <w:rFonts w:ascii="宋体" w:hAnsi="宋体" w:cs="宋体"/>
                <w:color w:val="000000"/>
                <w:sz w:val="24"/>
              </w:rPr>
              <w:t>8</w:t>
            </w:r>
            <w:r>
              <w:rPr>
                <w:rFonts w:hint="eastAsia" w:ascii="宋体" w:hAnsi="宋体" w:cs="宋体"/>
                <w:color w:val="000000"/>
                <w:sz w:val="24"/>
              </w:rPr>
              <w:t>月</w:t>
            </w:r>
            <w:r>
              <w:rPr>
                <w:rFonts w:ascii="宋体" w:hAnsi="宋体" w:cs="宋体"/>
                <w:color w:val="000000"/>
                <w:sz w:val="24"/>
              </w:rPr>
              <w:t>-11</w:t>
            </w:r>
            <w:r>
              <w:rPr>
                <w:rFonts w:hint="eastAsia" w:ascii="宋体" w:hAnsi="宋体" w:cs="宋体"/>
                <w:color w:val="000000"/>
                <w:sz w:val="24"/>
              </w:rPr>
              <w:t>月</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桥梁检测费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倮果金沙江大桥、新庄大桥、荷花池大桥等</w:t>
            </w:r>
            <w:r>
              <w:rPr>
                <w:rFonts w:ascii="宋体" w:hAnsi="宋体" w:cs="仿宋_GB2312"/>
                <w:sz w:val="24"/>
              </w:rPr>
              <w:t>8</w:t>
            </w:r>
            <w:r>
              <w:rPr>
                <w:rFonts w:hint="eastAsia" w:ascii="宋体" w:hAnsi="宋体" w:cs="仿宋_GB2312"/>
                <w:sz w:val="24"/>
              </w:rPr>
              <w:t>座桥梁的特殊检查等内容</w:t>
            </w:r>
            <w:r>
              <w:rPr>
                <w:rFonts w:ascii="宋体" w:hAnsi="宋体" w:cs="仿宋_GB2312"/>
                <w:sz w:val="24"/>
              </w:rPr>
              <w:t>246</w:t>
            </w:r>
            <w:r>
              <w:rPr>
                <w:rFonts w:hint="eastAsia" w:ascii="宋体" w:hAnsi="宋体" w:cs="仿宋_GB2312"/>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仿宋_GB2312"/>
                <w:sz w:val="24"/>
              </w:rPr>
              <w:t>市倮果金沙江大桥、新庄大桥、荷花池大桥等</w:t>
            </w:r>
            <w:r>
              <w:rPr>
                <w:rFonts w:ascii="宋体" w:hAnsi="宋体" w:cs="仿宋_GB2312"/>
                <w:sz w:val="24"/>
              </w:rPr>
              <w:t>8</w:t>
            </w:r>
            <w:r>
              <w:rPr>
                <w:rFonts w:hint="eastAsia" w:ascii="宋体" w:hAnsi="宋体" w:cs="仿宋_GB2312"/>
                <w:sz w:val="24"/>
              </w:rPr>
              <w:t>座桥梁的特殊检查等内容</w:t>
            </w:r>
            <w:r>
              <w:rPr>
                <w:rFonts w:ascii="宋体" w:hAnsi="宋体" w:cs="仿宋_GB2312"/>
                <w:sz w:val="24"/>
              </w:rPr>
              <w:t>219.8</w:t>
            </w:r>
            <w:r>
              <w:rPr>
                <w:rFonts w:hint="eastAsia" w:ascii="宋体" w:hAnsi="宋体" w:cs="仿宋_GB2312"/>
                <w:sz w:val="24"/>
              </w:rPr>
              <w:t>万元</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安全指数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消除安全隐患</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消除安全隐患、提高公共安全指数</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社会影响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保证车辆及行人安全出行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保证车辆及行人安全出行</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公众满意度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达到基本满意以上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达到基本满意以上</w:t>
            </w:r>
          </w:p>
        </w:tc>
      </w:tr>
    </w:tbl>
    <w:p>
      <w:pPr>
        <w:spacing w:line="580" w:lineRule="exact"/>
        <w:rPr>
          <w:rFonts w:ascii="仿宋_GB2312" w:hAnsi="仿宋_GB2312" w:eastAsia="仿宋_GB2312" w:cs="仿宋_GB2312"/>
          <w:sz w:val="32"/>
          <w:szCs w:val="32"/>
        </w:rPr>
      </w:pPr>
    </w:p>
    <w:p>
      <w:pPr>
        <w:numPr>
          <w:ilvl w:val="0"/>
          <w:numId w:val="4"/>
        </w:numPr>
        <w:spacing w:line="580" w:lineRule="exact"/>
        <w:ind w:firstLine="640" w:firstLineChars="200"/>
        <w:rPr>
          <w:rFonts w:ascii="宋体" w:cs="仿宋_GB2312"/>
          <w:sz w:val="32"/>
          <w:szCs w:val="32"/>
        </w:rPr>
      </w:pPr>
      <w:r>
        <w:rPr>
          <w:rFonts w:hint="eastAsia" w:ascii="宋体" w:hAnsi="宋体" w:cs="楷体_GB2312"/>
          <w:sz w:val="32"/>
          <w:szCs w:val="32"/>
        </w:rPr>
        <w:t>部门开展绩效评价结果。</w:t>
      </w:r>
    </w:p>
    <w:p>
      <w:pPr>
        <w:spacing w:line="580" w:lineRule="exact"/>
        <w:ind w:firstLine="640" w:firstLineChars="200"/>
        <w:rPr>
          <w:rFonts w:ascii="宋体" w:cs="仿宋_GB2312"/>
          <w:sz w:val="32"/>
          <w:szCs w:val="32"/>
        </w:rPr>
      </w:pPr>
      <w:r>
        <w:rPr>
          <w:rFonts w:hint="eastAsia" w:ascii="宋体" w:hAnsi="宋体" w:cs="仿宋_GB2312"/>
          <w:sz w:val="32"/>
          <w:szCs w:val="32"/>
        </w:rPr>
        <w:t>本部门按要求对</w:t>
      </w:r>
      <w:r>
        <w:rPr>
          <w:rFonts w:ascii="宋体" w:hAnsi="宋体" w:cs="仿宋_GB2312"/>
          <w:sz w:val="32"/>
          <w:szCs w:val="32"/>
        </w:rPr>
        <w:t>2018</w:t>
      </w:r>
      <w:r>
        <w:rPr>
          <w:rFonts w:hint="eastAsia" w:ascii="宋体" w:hAnsi="宋体" w:cs="仿宋_GB2312"/>
          <w:sz w:val="32"/>
          <w:szCs w:val="32"/>
        </w:rPr>
        <w:t>年部门整体支出绩效评价情况开展自评，《攀枝花市交通运输局</w:t>
      </w:r>
      <w:r>
        <w:rPr>
          <w:rFonts w:ascii="宋体" w:hAnsi="宋体" w:cs="仿宋_GB2312"/>
          <w:sz w:val="32"/>
          <w:szCs w:val="32"/>
        </w:rPr>
        <w:t>2018</w:t>
      </w:r>
      <w:r>
        <w:rPr>
          <w:rFonts w:hint="eastAsia" w:ascii="宋体" w:hAnsi="宋体" w:cs="仿宋_GB2312"/>
          <w:sz w:val="32"/>
          <w:szCs w:val="32"/>
        </w:rPr>
        <w:t>年部门整体支出绩效评价报告》见附件。</w:t>
      </w:r>
    </w:p>
    <w:p>
      <w:pPr>
        <w:spacing w:line="580" w:lineRule="exact"/>
        <w:ind w:firstLine="640" w:firstLineChars="200"/>
        <w:rPr>
          <w:rFonts w:ascii="宋体" w:cs="仿宋_GB2312"/>
          <w:sz w:val="32"/>
          <w:szCs w:val="32"/>
        </w:rPr>
      </w:pPr>
      <w:r>
        <w:rPr>
          <w:rFonts w:hint="eastAsia" w:ascii="宋体" w:hAnsi="宋体" w:cs="仿宋_GB2312"/>
          <w:sz w:val="32"/>
          <w:szCs w:val="32"/>
        </w:rPr>
        <w:t>本部门自行组织对攀枝花市交通建设工程质量监督站设备购置费项目、运管处“业务运行费”项目、</w:t>
      </w:r>
      <w:r>
        <w:rPr>
          <w:rFonts w:hint="eastAsia" w:ascii="宋体" w:hAnsi="宋体"/>
          <w:sz w:val="32"/>
          <w:szCs w:val="32"/>
        </w:rPr>
        <w:t>海事管理经费</w:t>
      </w:r>
      <w:r>
        <w:rPr>
          <w:rFonts w:hint="eastAsia" w:ascii="宋体" w:hAnsi="宋体" w:cs="仿宋_GB2312"/>
          <w:sz w:val="32"/>
          <w:szCs w:val="32"/>
        </w:rPr>
        <w:t>”项目、治超经费项目、桥梁检测项目开展了绩效评价，详见附件。</w:t>
      </w:r>
    </w:p>
    <w:p>
      <w:pPr>
        <w:spacing w:line="600" w:lineRule="exact"/>
        <w:ind w:firstLine="800" w:firstLineChars="250"/>
        <w:outlineLvl w:val="1"/>
        <w:rPr>
          <w:rStyle w:val="18"/>
          <w:rFonts w:ascii="宋体" w:hAnsi="Times New Roman"/>
        </w:rPr>
      </w:pPr>
      <w:bookmarkStart w:id="54" w:name="_Toc15396612"/>
      <w:bookmarkStart w:id="55" w:name="_Toc15377221"/>
      <w:r>
        <w:rPr>
          <w:rFonts w:hint="eastAsia" w:ascii="宋体" w:hAnsi="宋体"/>
          <w:color w:val="000000"/>
          <w:sz w:val="32"/>
          <w:szCs w:val="32"/>
        </w:rPr>
        <w:t>十</w:t>
      </w:r>
      <w:r>
        <w:rPr>
          <w:rStyle w:val="18"/>
          <w:rFonts w:hint="eastAsia" w:ascii="宋体" w:hAnsi="宋体"/>
        </w:rPr>
        <w:t>一、</w:t>
      </w:r>
      <w:r>
        <w:rPr>
          <w:rStyle w:val="18"/>
          <w:rFonts w:hint="eastAsia" w:ascii="宋体" w:hAnsi="宋体"/>
          <w:b w:val="0"/>
        </w:rPr>
        <w:t>其他重要事项的情况说明</w:t>
      </w:r>
      <w:bookmarkEnd w:id="54"/>
      <w:bookmarkEnd w:id="55"/>
    </w:p>
    <w:p>
      <w:pPr>
        <w:spacing w:line="600" w:lineRule="exact"/>
        <w:ind w:firstLine="640" w:firstLineChars="200"/>
        <w:outlineLvl w:val="2"/>
        <w:rPr>
          <w:rFonts w:ascii="宋体"/>
          <w:bCs/>
          <w:color w:val="000000"/>
          <w:sz w:val="32"/>
          <w:szCs w:val="32"/>
        </w:rPr>
      </w:pPr>
      <w:bookmarkStart w:id="56" w:name="_Toc15377222"/>
      <w:r>
        <w:rPr>
          <w:rFonts w:hint="eastAsia" w:ascii="宋体" w:hAnsi="宋体"/>
          <w:bCs/>
          <w:color w:val="000000"/>
          <w:sz w:val="32"/>
          <w:szCs w:val="32"/>
        </w:rPr>
        <w:t>（一）机关运行经费支出情况</w:t>
      </w:r>
      <w:bookmarkEnd w:id="56"/>
    </w:p>
    <w:p>
      <w:pPr>
        <w:spacing w:line="600" w:lineRule="exact"/>
        <w:ind w:firstLine="640" w:firstLineChars="200"/>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年，攀枝花市交通运输局机关运行经费支出</w:t>
      </w:r>
      <w:r>
        <w:rPr>
          <w:rFonts w:ascii="宋体" w:hAnsi="宋体"/>
          <w:color w:val="000000"/>
          <w:sz w:val="32"/>
          <w:szCs w:val="32"/>
        </w:rPr>
        <w:t>596.72</w:t>
      </w:r>
      <w:r>
        <w:rPr>
          <w:rFonts w:hint="eastAsia" w:ascii="宋体" w:hAnsi="宋体"/>
          <w:color w:val="000000"/>
          <w:sz w:val="32"/>
          <w:szCs w:val="32"/>
        </w:rPr>
        <w:t>万元，比</w:t>
      </w:r>
      <w:r>
        <w:rPr>
          <w:rFonts w:ascii="宋体" w:hAnsi="宋体"/>
          <w:color w:val="000000"/>
          <w:sz w:val="32"/>
          <w:szCs w:val="32"/>
        </w:rPr>
        <w:t>2017</w:t>
      </w:r>
      <w:r>
        <w:rPr>
          <w:rFonts w:hint="eastAsia" w:ascii="宋体" w:hAnsi="宋体"/>
          <w:color w:val="000000"/>
          <w:sz w:val="32"/>
          <w:szCs w:val="32"/>
        </w:rPr>
        <w:t>年增加</w:t>
      </w:r>
      <w:r>
        <w:rPr>
          <w:rFonts w:ascii="宋体" w:hAnsi="宋体"/>
          <w:color w:val="000000"/>
          <w:sz w:val="32"/>
          <w:szCs w:val="32"/>
        </w:rPr>
        <w:t>39.22</w:t>
      </w:r>
      <w:r>
        <w:rPr>
          <w:rFonts w:hint="eastAsia" w:ascii="宋体" w:hAnsi="宋体"/>
          <w:color w:val="000000"/>
          <w:sz w:val="32"/>
          <w:szCs w:val="32"/>
        </w:rPr>
        <w:t>万元，增长</w:t>
      </w:r>
      <w:r>
        <w:rPr>
          <w:rFonts w:ascii="宋体" w:hAnsi="宋体"/>
          <w:color w:val="000000"/>
          <w:sz w:val="32"/>
          <w:szCs w:val="32"/>
        </w:rPr>
        <w:t>6.11%</w:t>
      </w:r>
      <w:r>
        <w:rPr>
          <w:rFonts w:hint="eastAsia" w:ascii="宋体" w:hAnsi="宋体"/>
          <w:color w:val="000000"/>
          <w:sz w:val="32"/>
          <w:szCs w:val="32"/>
        </w:rPr>
        <w:t>。主要原因是人员增加，导致机关运行经费增加。</w:t>
      </w:r>
    </w:p>
    <w:p>
      <w:pPr>
        <w:autoSpaceDE w:val="0"/>
        <w:autoSpaceDN w:val="0"/>
        <w:adjustRightInd w:val="0"/>
        <w:spacing w:line="600" w:lineRule="exact"/>
        <w:ind w:firstLine="640" w:firstLineChars="200"/>
        <w:jc w:val="left"/>
        <w:outlineLvl w:val="2"/>
        <w:rPr>
          <w:rFonts w:ascii="宋体"/>
          <w:bCs/>
          <w:color w:val="000000"/>
          <w:sz w:val="32"/>
          <w:szCs w:val="32"/>
        </w:rPr>
      </w:pPr>
      <w:bookmarkStart w:id="57" w:name="_Toc15377223"/>
      <w:r>
        <w:rPr>
          <w:rFonts w:hint="eastAsia" w:ascii="宋体" w:hAnsi="宋体"/>
          <w:bCs/>
          <w:color w:val="000000"/>
          <w:sz w:val="32"/>
          <w:szCs w:val="32"/>
        </w:rPr>
        <w:t>（二）政府采购支出情况</w:t>
      </w:r>
      <w:bookmarkEnd w:id="57"/>
    </w:p>
    <w:p>
      <w:pPr>
        <w:spacing w:line="600" w:lineRule="exact"/>
        <w:ind w:firstLine="640" w:firstLineChars="200"/>
        <w:rPr>
          <w:rFonts w:ascii="宋体"/>
          <w:b/>
          <w:color w:val="000000"/>
          <w:sz w:val="32"/>
          <w:szCs w:val="32"/>
        </w:rPr>
      </w:pPr>
      <w:r>
        <w:rPr>
          <w:rFonts w:ascii="宋体" w:hAnsi="宋体"/>
          <w:color w:val="000000"/>
          <w:sz w:val="32"/>
          <w:szCs w:val="32"/>
        </w:rPr>
        <w:t>2018</w:t>
      </w:r>
      <w:r>
        <w:rPr>
          <w:rFonts w:hint="eastAsia" w:ascii="宋体" w:hAnsi="宋体"/>
          <w:color w:val="000000"/>
          <w:sz w:val="32"/>
          <w:szCs w:val="32"/>
        </w:rPr>
        <w:t>年，攀枝花市交通运输局政府采购支出总额</w:t>
      </w:r>
      <w:r>
        <w:rPr>
          <w:rFonts w:ascii="宋体" w:hAnsi="宋体"/>
          <w:color w:val="000000"/>
          <w:sz w:val="32"/>
          <w:szCs w:val="32"/>
        </w:rPr>
        <w:t>119.28</w:t>
      </w:r>
      <w:r>
        <w:rPr>
          <w:rFonts w:hint="eastAsia" w:ascii="宋体" w:hAnsi="宋体"/>
          <w:color w:val="000000"/>
          <w:sz w:val="32"/>
          <w:szCs w:val="32"/>
        </w:rPr>
        <w:t>万元，其中：政府采购货物支出</w:t>
      </w:r>
      <w:r>
        <w:rPr>
          <w:rFonts w:ascii="宋体" w:hAnsi="宋体"/>
          <w:color w:val="000000"/>
          <w:sz w:val="32"/>
          <w:szCs w:val="32"/>
        </w:rPr>
        <w:t>119.28</w:t>
      </w:r>
      <w:r>
        <w:rPr>
          <w:rFonts w:hint="eastAsia" w:ascii="宋体" w:hAnsi="宋体"/>
          <w:color w:val="000000"/>
          <w:sz w:val="32"/>
          <w:szCs w:val="32"/>
        </w:rPr>
        <w:t>万元。主要用于购置办公设备，用于日常工作需要。</w:t>
      </w:r>
    </w:p>
    <w:p>
      <w:pPr>
        <w:autoSpaceDE w:val="0"/>
        <w:autoSpaceDN w:val="0"/>
        <w:adjustRightInd w:val="0"/>
        <w:spacing w:line="600" w:lineRule="exact"/>
        <w:ind w:firstLine="640" w:firstLineChars="200"/>
        <w:jc w:val="left"/>
        <w:outlineLvl w:val="2"/>
        <w:rPr>
          <w:rFonts w:ascii="宋体"/>
          <w:bCs/>
          <w:color w:val="000000"/>
          <w:sz w:val="32"/>
          <w:szCs w:val="32"/>
        </w:rPr>
      </w:pPr>
      <w:bookmarkStart w:id="58" w:name="_Toc15377224"/>
      <w:r>
        <w:rPr>
          <w:rFonts w:hint="eastAsia" w:ascii="宋体" w:hAnsi="宋体"/>
          <w:bCs/>
          <w:color w:val="000000"/>
          <w:sz w:val="32"/>
          <w:szCs w:val="32"/>
        </w:rPr>
        <w:t>（三）国有资产占有使用情况</w:t>
      </w:r>
      <w:bookmarkEnd w:id="58"/>
    </w:p>
    <w:p>
      <w:pPr>
        <w:autoSpaceDE w:val="0"/>
        <w:autoSpaceDN w:val="0"/>
        <w:adjustRightInd w:val="0"/>
        <w:spacing w:line="600" w:lineRule="exact"/>
        <w:ind w:firstLine="640" w:firstLineChars="200"/>
        <w:jc w:val="left"/>
        <w:rPr>
          <w:rFonts w:ascii="宋体"/>
          <w:color w:val="000000"/>
          <w:sz w:val="32"/>
          <w:szCs w:val="32"/>
        </w:rPr>
      </w:pPr>
      <w:r>
        <w:rPr>
          <w:rFonts w:hint="eastAsia" w:ascii="宋体" w:hAnsi="宋体"/>
          <w:color w:val="000000"/>
          <w:sz w:val="32"/>
          <w:szCs w:val="32"/>
        </w:rPr>
        <w:t>截至</w:t>
      </w:r>
      <w:r>
        <w:rPr>
          <w:rFonts w:ascii="宋体" w:hAnsi="宋体"/>
          <w:color w:val="000000"/>
          <w:sz w:val="32"/>
          <w:szCs w:val="32"/>
        </w:rPr>
        <w:t>2018</w:t>
      </w:r>
      <w:r>
        <w:rPr>
          <w:rFonts w:hint="eastAsia" w:ascii="宋体" w:hAnsi="宋体"/>
          <w:color w:val="000000"/>
          <w:sz w:val="32"/>
          <w:szCs w:val="32"/>
        </w:rPr>
        <w:t>年</w:t>
      </w:r>
      <w:r>
        <w:rPr>
          <w:rFonts w:ascii="宋体" w:hAnsi="宋体"/>
          <w:color w:val="000000"/>
          <w:sz w:val="32"/>
          <w:szCs w:val="32"/>
        </w:rPr>
        <w:t>12</w:t>
      </w:r>
      <w:r>
        <w:rPr>
          <w:rFonts w:hint="eastAsia" w:ascii="宋体" w:hAnsi="宋体"/>
          <w:color w:val="000000"/>
          <w:sz w:val="32"/>
          <w:szCs w:val="32"/>
        </w:rPr>
        <w:t>月底，我部门共有公务用车</w:t>
      </w:r>
      <w:r>
        <w:rPr>
          <w:rFonts w:ascii="宋体" w:hAnsi="宋体"/>
          <w:color w:val="000000"/>
          <w:sz w:val="32"/>
          <w:szCs w:val="32"/>
        </w:rPr>
        <w:t>28</w:t>
      </w:r>
      <w:r>
        <w:rPr>
          <w:rFonts w:hint="eastAsia" w:ascii="宋体" w:hAnsi="宋体"/>
          <w:color w:val="000000"/>
          <w:sz w:val="32"/>
          <w:szCs w:val="32"/>
        </w:rPr>
        <w:t>辆（</w:t>
      </w:r>
      <w:r>
        <w:rPr>
          <w:rFonts w:ascii="宋体" w:hAnsi="宋体"/>
          <w:color w:val="000000"/>
          <w:sz w:val="32"/>
          <w:szCs w:val="32"/>
        </w:rPr>
        <w:t>2018</w:t>
      </w:r>
      <w:r>
        <w:rPr>
          <w:rFonts w:hint="eastAsia" w:ascii="宋体" w:hAnsi="宋体"/>
          <w:color w:val="000000"/>
          <w:sz w:val="32"/>
          <w:szCs w:val="32"/>
        </w:rPr>
        <w:t>年部门决算账面车辆数</w:t>
      </w:r>
      <w:r>
        <w:rPr>
          <w:rFonts w:ascii="宋体" w:hAnsi="宋体"/>
          <w:color w:val="000000"/>
          <w:sz w:val="32"/>
          <w:szCs w:val="32"/>
        </w:rPr>
        <w:t>59</w:t>
      </w:r>
      <w:r>
        <w:rPr>
          <w:rFonts w:hint="eastAsia" w:ascii="宋体" w:hAnsi="宋体"/>
          <w:color w:val="000000"/>
          <w:sz w:val="32"/>
          <w:szCs w:val="32"/>
        </w:rPr>
        <w:t>辆，其中</w:t>
      </w:r>
      <w:r>
        <w:rPr>
          <w:rFonts w:ascii="宋体" w:hAnsi="宋体"/>
          <w:color w:val="000000"/>
          <w:sz w:val="32"/>
          <w:szCs w:val="32"/>
        </w:rPr>
        <w:t>31</w:t>
      </w:r>
      <w:r>
        <w:rPr>
          <w:rFonts w:hint="eastAsia" w:ascii="宋体" w:hAnsi="宋体"/>
          <w:color w:val="000000"/>
          <w:sz w:val="32"/>
          <w:szCs w:val="32"/>
        </w:rPr>
        <w:t>辆公车完成公车改革，但尚未完成财务核减，实有公车</w:t>
      </w:r>
      <w:r>
        <w:rPr>
          <w:rFonts w:ascii="宋体" w:hAnsi="宋体"/>
          <w:color w:val="000000"/>
          <w:sz w:val="32"/>
          <w:szCs w:val="32"/>
        </w:rPr>
        <w:t>28</w:t>
      </w:r>
      <w:r>
        <w:rPr>
          <w:rFonts w:hint="eastAsia" w:ascii="宋体" w:hAnsi="宋体"/>
          <w:color w:val="000000"/>
          <w:sz w:val="32"/>
          <w:szCs w:val="32"/>
        </w:rPr>
        <w:t>辆），其中：轿车</w:t>
      </w:r>
      <w:r>
        <w:rPr>
          <w:rFonts w:ascii="宋体" w:hAnsi="宋体"/>
          <w:color w:val="000000"/>
          <w:sz w:val="32"/>
          <w:szCs w:val="32"/>
        </w:rPr>
        <w:t>5</w:t>
      </w:r>
      <w:r>
        <w:rPr>
          <w:rFonts w:hint="eastAsia" w:ascii="宋体" w:hAnsi="宋体"/>
          <w:color w:val="000000"/>
          <w:sz w:val="32"/>
          <w:szCs w:val="32"/>
        </w:rPr>
        <w:t>辆、越野车</w:t>
      </w:r>
      <w:r>
        <w:rPr>
          <w:rFonts w:ascii="宋体" w:hAnsi="宋体"/>
          <w:color w:val="000000"/>
          <w:sz w:val="32"/>
          <w:szCs w:val="32"/>
        </w:rPr>
        <w:t>2</w:t>
      </w:r>
      <w:r>
        <w:rPr>
          <w:rFonts w:hint="eastAsia" w:ascii="宋体" w:hAnsi="宋体"/>
          <w:color w:val="000000"/>
          <w:sz w:val="32"/>
          <w:szCs w:val="32"/>
        </w:rPr>
        <w:t>辆、特种专业技术用车</w:t>
      </w:r>
      <w:r>
        <w:rPr>
          <w:rFonts w:ascii="宋体" w:hAnsi="宋体"/>
          <w:color w:val="000000"/>
          <w:sz w:val="32"/>
          <w:szCs w:val="32"/>
        </w:rPr>
        <w:t>6</w:t>
      </w:r>
      <w:r>
        <w:rPr>
          <w:rFonts w:hint="eastAsia" w:ascii="宋体" w:hAnsi="宋体"/>
          <w:color w:val="000000"/>
          <w:sz w:val="32"/>
          <w:szCs w:val="32"/>
        </w:rPr>
        <w:t>辆、执法用车</w:t>
      </w:r>
      <w:r>
        <w:rPr>
          <w:rFonts w:ascii="宋体" w:hAnsi="宋体"/>
          <w:color w:val="000000"/>
          <w:sz w:val="32"/>
          <w:szCs w:val="32"/>
        </w:rPr>
        <w:t>3</w:t>
      </w:r>
      <w:r>
        <w:rPr>
          <w:rFonts w:hint="eastAsia" w:ascii="宋体" w:hAnsi="宋体"/>
          <w:color w:val="000000"/>
          <w:sz w:val="32"/>
          <w:szCs w:val="32"/>
        </w:rPr>
        <w:t>辆、其他车辆</w:t>
      </w:r>
      <w:r>
        <w:rPr>
          <w:rFonts w:ascii="宋体" w:hAnsi="宋体"/>
          <w:color w:val="000000"/>
          <w:sz w:val="32"/>
          <w:szCs w:val="32"/>
        </w:rPr>
        <w:t>4</w:t>
      </w:r>
      <w:r>
        <w:rPr>
          <w:rFonts w:hint="eastAsia" w:ascii="宋体" w:hAnsi="宋体"/>
          <w:color w:val="000000"/>
          <w:sz w:val="32"/>
          <w:szCs w:val="32"/>
        </w:rPr>
        <w:t>辆、船舶（船舶</w:t>
      </w:r>
      <w:r>
        <w:rPr>
          <w:rFonts w:ascii="宋体" w:hAnsi="宋体"/>
          <w:color w:val="000000"/>
          <w:sz w:val="32"/>
          <w:szCs w:val="32"/>
        </w:rPr>
        <w:t>3</w:t>
      </w:r>
      <w:r>
        <w:rPr>
          <w:rFonts w:hint="eastAsia" w:ascii="宋体" w:hAnsi="宋体"/>
          <w:color w:val="000000"/>
          <w:sz w:val="32"/>
          <w:szCs w:val="32"/>
        </w:rPr>
        <w:t>艘共计</w:t>
      </w:r>
      <w:r>
        <w:rPr>
          <w:rFonts w:ascii="宋体" w:hAnsi="宋体"/>
          <w:color w:val="000000"/>
          <w:sz w:val="32"/>
          <w:szCs w:val="32"/>
        </w:rPr>
        <w:t>320</w:t>
      </w:r>
      <w:r>
        <w:rPr>
          <w:rFonts w:hint="eastAsia" w:ascii="宋体" w:hAnsi="宋体"/>
          <w:color w:val="000000"/>
          <w:sz w:val="32"/>
          <w:szCs w:val="32"/>
        </w:rPr>
        <w:t>马力）按功率折算汽车</w:t>
      </w:r>
      <w:r>
        <w:rPr>
          <w:rFonts w:ascii="宋体" w:hAnsi="宋体"/>
          <w:color w:val="000000"/>
          <w:sz w:val="32"/>
          <w:szCs w:val="32"/>
        </w:rPr>
        <w:t>8</w:t>
      </w:r>
      <w:r>
        <w:rPr>
          <w:rFonts w:hint="eastAsia" w:ascii="宋体" w:hAnsi="宋体"/>
          <w:color w:val="000000"/>
          <w:sz w:val="32"/>
          <w:szCs w:val="32"/>
        </w:rPr>
        <w:t>辆。单价</w:t>
      </w:r>
      <w:r>
        <w:rPr>
          <w:rFonts w:ascii="宋体" w:hAnsi="宋体"/>
          <w:color w:val="000000"/>
          <w:sz w:val="32"/>
          <w:szCs w:val="32"/>
        </w:rPr>
        <w:t>50</w:t>
      </w:r>
      <w:r>
        <w:rPr>
          <w:rFonts w:hint="eastAsia" w:ascii="宋体" w:hAnsi="宋体"/>
          <w:color w:val="000000"/>
          <w:sz w:val="32"/>
          <w:szCs w:val="32"/>
        </w:rPr>
        <w:t>万元以上通用设备</w:t>
      </w:r>
      <w:r>
        <w:rPr>
          <w:rFonts w:ascii="宋体" w:hAnsi="宋体"/>
          <w:color w:val="000000"/>
          <w:sz w:val="32"/>
          <w:szCs w:val="32"/>
        </w:rPr>
        <w:t>2</w:t>
      </w:r>
      <w:r>
        <w:rPr>
          <w:rFonts w:hint="eastAsia" w:ascii="宋体" w:hAnsi="宋体"/>
          <w:color w:val="000000"/>
          <w:sz w:val="32"/>
          <w:szCs w:val="32"/>
        </w:rPr>
        <w:t>台（套），单价</w:t>
      </w:r>
      <w:r>
        <w:rPr>
          <w:rFonts w:ascii="宋体" w:hAnsi="宋体"/>
          <w:color w:val="000000"/>
          <w:sz w:val="32"/>
          <w:szCs w:val="32"/>
        </w:rPr>
        <w:t>100</w:t>
      </w:r>
      <w:r>
        <w:rPr>
          <w:rFonts w:hint="eastAsia" w:ascii="宋体" w:hAnsi="宋体"/>
          <w:color w:val="000000"/>
          <w:sz w:val="32"/>
          <w:szCs w:val="32"/>
        </w:rPr>
        <w:t>万元以上专用设备</w:t>
      </w:r>
      <w:r>
        <w:rPr>
          <w:rFonts w:ascii="宋体" w:hAnsi="宋体"/>
          <w:color w:val="000000"/>
          <w:sz w:val="32"/>
          <w:szCs w:val="32"/>
        </w:rPr>
        <w:t>1</w:t>
      </w:r>
      <w:r>
        <w:rPr>
          <w:rFonts w:hint="eastAsia" w:ascii="宋体" w:hAnsi="宋体"/>
          <w:color w:val="000000"/>
          <w:sz w:val="32"/>
          <w:szCs w:val="32"/>
        </w:rPr>
        <w:t>台（套）。</w:t>
      </w:r>
    </w:p>
    <w:p>
      <w:pPr>
        <w:spacing w:line="600" w:lineRule="atLeast"/>
        <w:ind w:firstLine="642" w:firstLineChars="200"/>
        <w:rPr>
          <w:rFonts w:ascii="仿宋_GB2312" w:eastAsia="仿宋_GB2312"/>
          <w:b/>
          <w:color w:val="000000"/>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6"/>
        </w:numPr>
        <w:spacing w:line="600" w:lineRule="exact"/>
        <w:ind w:firstLine="662" w:firstLineChars="150"/>
        <w:jc w:val="center"/>
        <w:outlineLvl w:val="0"/>
        <w:rPr>
          <w:rStyle w:val="17"/>
          <w:rFonts w:ascii="黑体" w:hAnsi="黑体" w:eastAsia="黑体"/>
          <w:b w:val="0"/>
        </w:rPr>
      </w:pPr>
      <w:bookmarkStart w:id="59" w:name="_Toc15377225"/>
      <w:bookmarkStart w:id="60" w:name="_Toc15396613"/>
      <w:r>
        <w:rPr>
          <w:rFonts w:hint="eastAsia" w:ascii="黑体" w:hAnsi="黑体" w:eastAsia="黑体"/>
          <w:b/>
          <w:color w:val="000000"/>
          <w:sz w:val="44"/>
          <w:szCs w:val="44"/>
        </w:rPr>
        <w:t>名</w:t>
      </w:r>
      <w:r>
        <w:rPr>
          <w:rStyle w:val="17"/>
          <w:rFonts w:hint="eastAsia" w:ascii="黑体" w:hAnsi="黑体" w:eastAsia="黑体"/>
          <w:b w:val="0"/>
        </w:rPr>
        <w:t>词解释</w:t>
      </w:r>
      <w:bookmarkEnd w:id="59"/>
      <w:bookmarkEnd w:id="60"/>
    </w:p>
    <w:p>
      <w:pPr>
        <w:spacing w:line="600" w:lineRule="exact"/>
        <w:jc w:val="left"/>
        <w:rPr>
          <w:rFonts w:ascii="宋体"/>
          <w:b/>
          <w:color w:val="000000"/>
          <w:sz w:val="44"/>
          <w:szCs w:val="44"/>
        </w:rPr>
      </w:pPr>
    </w:p>
    <w:p>
      <w:pPr>
        <w:pStyle w:val="27"/>
        <w:spacing w:line="560" w:lineRule="exact"/>
        <w:ind w:firstLine="640" w:firstLineChars="200"/>
        <w:rPr>
          <w:rFonts w:ascii="宋体" w:hAnsi="宋体" w:eastAsia="宋体"/>
          <w:sz w:val="32"/>
          <w:szCs w:val="32"/>
        </w:rPr>
      </w:pPr>
      <w:r>
        <w:rPr>
          <w:rFonts w:ascii="宋体" w:hAnsi="宋体" w:eastAsia="宋体"/>
          <w:sz w:val="32"/>
          <w:szCs w:val="32"/>
        </w:rPr>
        <w:t>1.</w:t>
      </w:r>
      <w:r>
        <w:rPr>
          <w:rFonts w:hint="eastAsia" w:ascii="宋体" w:hAnsi="宋体" w:eastAsia="宋体"/>
          <w:sz w:val="32"/>
          <w:szCs w:val="32"/>
        </w:rPr>
        <w:t>财政拨款收入：指单位从同级财政部门取得的财政预算资金。</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2.</w:t>
      </w:r>
      <w:r>
        <w:rPr>
          <w:rFonts w:hint="eastAsia" w:ascii="宋体" w:hAnsi="宋体" w:eastAsia="宋体"/>
          <w:sz w:val="32"/>
          <w:szCs w:val="32"/>
        </w:rPr>
        <w:t>事业收入：指事业单位开展专业业务活动及辅助活动取得的收入。</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3.</w:t>
      </w:r>
      <w:r>
        <w:rPr>
          <w:rFonts w:hint="eastAsia" w:ascii="宋体" w:hAnsi="宋体" w:eastAsia="宋体"/>
          <w:sz w:val="32"/>
          <w:szCs w:val="32"/>
        </w:rPr>
        <w:t>经营收入：指事业单位在专业业务活动及其辅助活动之外开展非独立核算经营活动取得的收入。</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4.</w:t>
      </w:r>
      <w:r>
        <w:rPr>
          <w:rFonts w:hint="eastAsia" w:ascii="宋体" w:hAnsi="宋体" w:eastAsia="宋体"/>
          <w:sz w:val="32"/>
          <w:szCs w:val="32"/>
        </w:rPr>
        <w:t>其他收入：指单位取得的除上述收入以外的各项收入。主要是利息收入等。</w:t>
      </w:r>
      <w:r>
        <w:rPr>
          <w:rFonts w:ascii="宋体" w:hAnsi="宋体" w:eastAsia="宋体"/>
          <w:sz w:val="32"/>
          <w:szCs w:val="32"/>
        </w:rPr>
        <w:t xml:space="preserve"> </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5.</w:t>
      </w:r>
      <w:r>
        <w:rPr>
          <w:rFonts w:hint="eastAsia" w:ascii="宋体" w:hAnsi="宋体" w:eastAsia="宋体"/>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宋体" w:hAnsi="宋体" w:eastAsia="宋体"/>
          <w:sz w:val="32"/>
          <w:szCs w:val="32"/>
        </w:rPr>
        <w:t xml:space="preserve"> </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6.</w:t>
      </w:r>
      <w:r>
        <w:rPr>
          <w:rFonts w:hint="eastAsia" w:ascii="宋体" w:hAnsi="宋体" w:eastAsia="宋体"/>
          <w:sz w:val="32"/>
          <w:szCs w:val="32"/>
        </w:rPr>
        <w:t>年初结转和结余：指以前年度尚未完成、结转到本年按有关规定继续使用的资金。</w:t>
      </w:r>
      <w:r>
        <w:rPr>
          <w:rFonts w:ascii="宋体" w:hAnsi="宋体" w:eastAsia="宋体"/>
          <w:sz w:val="32"/>
          <w:szCs w:val="32"/>
        </w:rPr>
        <w:t xml:space="preserve"> </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7.</w:t>
      </w:r>
      <w:r>
        <w:rPr>
          <w:rFonts w:hint="eastAsia" w:ascii="宋体" w:hAnsi="宋体" w:eastAsia="宋体"/>
          <w:sz w:val="32"/>
          <w:szCs w:val="32"/>
        </w:rPr>
        <w:t>结余分配：指事业单位按照事业单位会计制度的规定从非财政补助结余中分配的事业基金和职工福利基金等。</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8</w:t>
      </w:r>
      <w:r>
        <w:rPr>
          <w:rFonts w:hint="eastAsia" w:ascii="宋体" w:hAnsi="宋体" w:eastAsia="宋体"/>
          <w:sz w:val="32"/>
          <w:szCs w:val="32"/>
        </w:rPr>
        <w:t>、年末结转和结余：指单位按有关规定结转到下年或以后年度继续使用的资金。</w:t>
      </w:r>
    </w:p>
    <w:p>
      <w:pPr>
        <w:ind w:firstLine="640" w:firstLineChars="200"/>
        <w:rPr>
          <w:rFonts w:ascii="宋体"/>
          <w:color w:val="000000"/>
          <w:sz w:val="32"/>
          <w:szCs w:val="32"/>
        </w:rPr>
      </w:pPr>
      <w:r>
        <w:rPr>
          <w:rFonts w:ascii="宋体" w:hAnsi="宋体"/>
          <w:color w:val="000000"/>
          <w:sz w:val="32"/>
          <w:szCs w:val="32"/>
        </w:rPr>
        <w:t>9.</w:t>
      </w:r>
      <w:r>
        <w:rPr>
          <w:rFonts w:hint="eastAsia" w:ascii="宋体" w:hAnsi="宋体"/>
          <w:color w:val="000000"/>
          <w:sz w:val="32"/>
          <w:szCs w:val="32"/>
        </w:rPr>
        <w:t>一般公共服务（类）…（款）…（项）：指国家规定的，都是无偿公共服务。款包括政府办公（厅）及机关机构事务；项包括行政运行、一般行政管理事务、事业运行、其他政府办公（厅）及机关机构事务支出。</w:t>
      </w:r>
    </w:p>
    <w:p>
      <w:pPr>
        <w:ind w:firstLine="640" w:firstLineChars="200"/>
        <w:rPr>
          <w:rFonts w:ascii="宋体"/>
          <w:color w:val="000000"/>
          <w:sz w:val="32"/>
          <w:szCs w:val="32"/>
        </w:rPr>
      </w:pPr>
      <w:r>
        <w:rPr>
          <w:rFonts w:ascii="宋体" w:hAnsi="宋体"/>
          <w:color w:val="000000"/>
          <w:sz w:val="32"/>
          <w:szCs w:val="32"/>
        </w:rPr>
        <w:t>10.</w:t>
      </w:r>
      <w:r>
        <w:rPr>
          <w:rFonts w:hint="eastAsia" w:ascii="宋体" w:hAnsi="宋体"/>
          <w:color w:val="000000"/>
          <w:sz w:val="32"/>
          <w:szCs w:val="32"/>
        </w:rPr>
        <w:t>社会保障和就业（类）…（款）…（项）：指与社会保障和就业相关的公共事务。包括国家规定的行政事业单位职工、离退休人员享有的生活保障和就业支出，社会保险、社会救助、社会优抚和社会福利等内容。</w:t>
      </w:r>
    </w:p>
    <w:p>
      <w:pPr>
        <w:ind w:firstLine="640" w:firstLineChars="200"/>
        <w:rPr>
          <w:rFonts w:ascii="宋体"/>
          <w:color w:val="000000"/>
          <w:sz w:val="32"/>
          <w:szCs w:val="32"/>
        </w:rPr>
      </w:pPr>
      <w:r>
        <w:rPr>
          <w:rFonts w:ascii="宋体" w:hAnsi="宋体"/>
          <w:color w:val="000000"/>
          <w:sz w:val="32"/>
          <w:szCs w:val="32"/>
        </w:rPr>
        <w:t>11.</w:t>
      </w:r>
      <w:r>
        <w:rPr>
          <w:rFonts w:hint="eastAsia" w:ascii="宋体" w:hAnsi="宋体"/>
          <w:color w:val="000000"/>
          <w:sz w:val="32"/>
          <w:szCs w:val="32"/>
        </w:rPr>
        <w:t>医疗卫生与计划生育（类）…（款）…（项）：指与医疗卫生与计划生育相关的公共事务。</w:t>
      </w:r>
    </w:p>
    <w:p>
      <w:pPr>
        <w:ind w:firstLine="640" w:firstLineChars="200"/>
        <w:rPr>
          <w:rFonts w:ascii="宋体"/>
          <w:color w:val="000000"/>
          <w:sz w:val="32"/>
          <w:szCs w:val="32"/>
        </w:rPr>
      </w:pPr>
      <w:r>
        <w:rPr>
          <w:rFonts w:ascii="宋体" w:hAnsi="宋体"/>
          <w:color w:val="000000"/>
          <w:sz w:val="32"/>
          <w:szCs w:val="32"/>
        </w:rPr>
        <w:t>12.</w:t>
      </w:r>
      <w:r>
        <w:rPr>
          <w:rFonts w:hint="eastAsia" w:ascii="宋体" w:hAnsi="宋体"/>
          <w:color w:val="000000"/>
          <w:sz w:val="32"/>
          <w:szCs w:val="32"/>
        </w:rPr>
        <w:t>节能环保（类）…（款）…（项）：指与节能环保相关的公共事务。</w:t>
      </w:r>
    </w:p>
    <w:p>
      <w:pPr>
        <w:ind w:firstLine="640" w:firstLineChars="200"/>
        <w:rPr>
          <w:rFonts w:ascii="宋体"/>
          <w:color w:val="000000"/>
          <w:sz w:val="32"/>
          <w:szCs w:val="32"/>
        </w:rPr>
      </w:pPr>
      <w:r>
        <w:rPr>
          <w:rFonts w:ascii="宋体" w:hAnsi="宋体"/>
          <w:color w:val="000000"/>
          <w:sz w:val="32"/>
          <w:szCs w:val="32"/>
        </w:rPr>
        <w:t>13.</w:t>
      </w:r>
      <w:r>
        <w:rPr>
          <w:rFonts w:hint="eastAsia" w:ascii="宋体" w:hAnsi="宋体"/>
          <w:color w:val="000000"/>
          <w:sz w:val="32"/>
          <w:szCs w:val="32"/>
        </w:rPr>
        <w:t>城乡社区（类）…（款）…（项）：指与城乡社区相关的公共事务。</w:t>
      </w:r>
    </w:p>
    <w:p>
      <w:pPr>
        <w:ind w:firstLine="640" w:firstLineChars="200"/>
        <w:rPr>
          <w:rFonts w:ascii="宋体"/>
          <w:color w:val="000000"/>
          <w:sz w:val="32"/>
          <w:szCs w:val="32"/>
        </w:rPr>
      </w:pPr>
      <w:r>
        <w:rPr>
          <w:rFonts w:ascii="宋体" w:hAnsi="宋体"/>
          <w:color w:val="000000"/>
          <w:sz w:val="32"/>
          <w:szCs w:val="32"/>
        </w:rPr>
        <w:t>14.</w:t>
      </w:r>
      <w:r>
        <w:rPr>
          <w:rFonts w:hint="eastAsia" w:ascii="宋体" w:hAnsi="宋体"/>
          <w:color w:val="000000"/>
          <w:sz w:val="32"/>
          <w:szCs w:val="32"/>
        </w:rPr>
        <w:t>交通运输（类）…（款）…（项）：指与交通运输相关的公共事务。</w:t>
      </w:r>
    </w:p>
    <w:p>
      <w:pPr>
        <w:ind w:firstLine="640" w:firstLineChars="200"/>
        <w:rPr>
          <w:rFonts w:ascii="宋体"/>
          <w:color w:val="000000"/>
          <w:sz w:val="32"/>
          <w:szCs w:val="32"/>
        </w:rPr>
      </w:pPr>
      <w:r>
        <w:rPr>
          <w:rFonts w:ascii="宋体" w:hAnsi="宋体"/>
          <w:color w:val="000000"/>
          <w:sz w:val="32"/>
          <w:szCs w:val="32"/>
        </w:rPr>
        <w:t>15.</w:t>
      </w:r>
      <w:r>
        <w:rPr>
          <w:rFonts w:hint="eastAsia" w:ascii="宋体" w:hAnsi="宋体"/>
          <w:color w:val="000000"/>
          <w:sz w:val="32"/>
          <w:szCs w:val="32"/>
        </w:rPr>
        <w:t>住房保障（类）…（款）…（项）：指与住房保障相关的公共事务。</w:t>
      </w:r>
    </w:p>
    <w:p>
      <w:pPr>
        <w:ind w:firstLine="640" w:firstLineChars="200"/>
        <w:rPr>
          <w:rFonts w:ascii="宋体"/>
          <w:color w:val="000000"/>
          <w:sz w:val="32"/>
          <w:szCs w:val="32"/>
        </w:rPr>
      </w:pPr>
      <w:r>
        <w:rPr>
          <w:rFonts w:ascii="宋体" w:hAnsi="宋体"/>
          <w:color w:val="000000"/>
          <w:sz w:val="32"/>
          <w:szCs w:val="32"/>
        </w:rPr>
        <w:t>16.</w:t>
      </w:r>
      <w:r>
        <w:rPr>
          <w:rFonts w:hint="eastAsia" w:ascii="宋体" w:hAnsi="宋体"/>
          <w:color w:val="000000"/>
          <w:sz w:val="32"/>
          <w:szCs w:val="32"/>
        </w:rPr>
        <w:t>基本支出：指为保障机构正常运转、完成日常工作任务而发生的人员支出和公用支出。</w:t>
      </w:r>
    </w:p>
    <w:p>
      <w:pPr>
        <w:ind w:firstLine="640" w:firstLineChars="200"/>
        <w:rPr>
          <w:rFonts w:ascii="宋体" w:hAnsi="宋体"/>
          <w:color w:val="000000"/>
          <w:sz w:val="32"/>
          <w:szCs w:val="32"/>
        </w:rPr>
      </w:pPr>
      <w:r>
        <w:rPr>
          <w:rFonts w:ascii="宋体" w:hAnsi="宋体"/>
          <w:color w:val="000000"/>
          <w:sz w:val="32"/>
          <w:szCs w:val="32"/>
        </w:rPr>
        <w:t>17.</w:t>
      </w:r>
      <w:r>
        <w:rPr>
          <w:rFonts w:hint="eastAsia" w:ascii="宋体" w:hAnsi="宋体"/>
          <w:color w:val="000000"/>
          <w:sz w:val="32"/>
          <w:szCs w:val="32"/>
        </w:rPr>
        <w:t>项目支出：指在基本支出之外为完成特定行政任务和事业发展目标所发生的支出。</w:t>
      </w:r>
      <w:r>
        <w:rPr>
          <w:rFonts w:ascii="宋体" w:hAnsi="宋体"/>
          <w:color w:val="000000"/>
          <w:sz w:val="32"/>
          <w:szCs w:val="32"/>
        </w:rPr>
        <w:t xml:space="preserve"> </w:t>
      </w:r>
    </w:p>
    <w:p>
      <w:pPr>
        <w:ind w:firstLine="640" w:firstLineChars="200"/>
        <w:rPr>
          <w:rFonts w:ascii="宋体"/>
          <w:color w:val="000000"/>
          <w:sz w:val="32"/>
          <w:szCs w:val="32"/>
        </w:rPr>
      </w:pPr>
      <w:r>
        <w:rPr>
          <w:rFonts w:ascii="宋体" w:hAnsi="宋体"/>
          <w:color w:val="000000"/>
          <w:sz w:val="32"/>
          <w:szCs w:val="32"/>
        </w:rPr>
        <w:t>18.</w:t>
      </w:r>
      <w:r>
        <w:rPr>
          <w:rFonts w:hint="eastAsia" w:ascii="宋体" w:hAnsi="宋体"/>
          <w:color w:val="000000"/>
          <w:sz w:val="32"/>
          <w:szCs w:val="32"/>
        </w:rPr>
        <w:t>经营支出：指事业单位在专业业务活动及其辅助活动之外开展非独立核算经营活动发生的支出。</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19.</w:t>
      </w:r>
      <w:r>
        <w:rPr>
          <w:rFonts w:hint="eastAsia" w:ascii="宋体" w:hAnsi="宋体" w:eastAsia="宋体"/>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ascii="宋体" w:hAnsi="宋体" w:eastAsia="宋体"/>
          <w:sz w:val="32"/>
          <w:szCs w:val="32"/>
        </w:rPr>
      </w:pPr>
      <w:r>
        <w:rPr>
          <w:rFonts w:ascii="宋体" w:hAnsi="宋体" w:eastAsia="宋体"/>
          <w:sz w:val="32"/>
          <w:szCs w:val="32"/>
        </w:rPr>
        <w:t>20.</w:t>
      </w:r>
      <w:r>
        <w:rPr>
          <w:rFonts w:hint="eastAsia" w:ascii="宋体" w:hAnsi="宋体" w:eastAsia="宋体"/>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17"/>
          <w:rFonts w:ascii="黑体" w:hAnsi="黑体" w:eastAsia="黑体"/>
          <w:b w:val="0"/>
        </w:rPr>
      </w:pPr>
      <w:bookmarkStart w:id="61" w:name="_Toc15377226"/>
      <w:r>
        <w:rPr>
          <w:rFonts w:ascii="宋体"/>
          <w:b/>
          <w:color w:val="000000"/>
          <w:sz w:val="44"/>
          <w:szCs w:val="44"/>
        </w:rPr>
        <w:br w:type="page"/>
      </w:r>
      <w:bookmarkStart w:id="62" w:name="_Toc15396614"/>
      <w:r>
        <w:rPr>
          <w:rFonts w:hint="eastAsia" w:ascii="黑体" w:hAnsi="黑体" w:eastAsia="黑体"/>
          <w:color w:val="000000"/>
          <w:sz w:val="44"/>
          <w:szCs w:val="44"/>
        </w:rPr>
        <w:t>第</w:t>
      </w:r>
      <w:r>
        <w:rPr>
          <w:rStyle w:val="17"/>
          <w:rFonts w:hint="eastAsia" w:ascii="黑体" w:hAnsi="黑体" w:eastAsia="黑体"/>
          <w:b w:val="0"/>
        </w:rPr>
        <w:t>四部分</w:t>
      </w:r>
      <w:r>
        <w:rPr>
          <w:rStyle w:val="17"/>
          <w:rFonts w:ascii="黑体" w:hAnsi="黑体" w:eastAsia="黑体"/>
          <w:b w:val="0"/>
        </w:rPr>
        <w:t xml:space="preserve"> </w:t>
      </w:r>
      <w:r>
        <w:rPr>
          <w:rStyle w:val="17"/>
          <w:rFonts w:hint="eastAsia" w:ascii="黑体" w:hAnsi="黑体" w:eastAsia="黑体"/>
          <w:b w:val="0"/>
        </w:rPr>
        <w:t>附件</w:t>
      </w:r>
      <w:bookmarkEnd w:id="62"/>
    </w:p>
    <w:p>
      <w:pPr>
        <w:spacing w:line="600" w:lineRule="exact"/>
        <w:jc w:val="center"/>
        <w:outlineLvl w:val="0"/>
        <w:rPr>
          <w:rStyle w:val="17"/>
        </w:rPr>
      </w:pPr>
    </w:p>
    <w:p>
      <w:pPr>
        <w:pStyle w:val="3"/>
        <w:rPr>
          <w:rStyle w:val="17"/>
          <w:rFonts w:ascii="仿宋" w:hAnsi="仿宋" w:eastAsia="仿宋"/>
          <w:b w:val="0"/>
          <w:bCs w:val="0"/>
          <w:sz w:val="32"/>
          <w:szCs w:val="32"/>
        </w:rPr>
      </w:pPr>
      <w:bookmarkStart w:id="63" w:name="_Toc15396615"/>
      <w:r>
        <w:rPr>
          <w:rStyle w:val="17"/>
          <w:rFonts w:hint="eastAsia" w:ascii="仿宋" w:hAnsi="仿宋" w:eastAsia="仿宋"/>
          <w:b w:val="0"/>
          <w:bCs w:val="0"/>
          <w:sz w:val="32"/>
          <w:szCs w:val="32"/>
        </w:rPr>
        <w:t>附件</w:t>
      </w:r>
      <w:r>
        <w:rPr>
          <w:rStyle w:val="17"/>
          <w:rFonts w:ascii="仿宋" w:hAnsi="仿宋" w:eastAsia="仿宋"/>
          <w:b w:val="0"/>
          <w:bCs w:val="0"/>
          <w:sz w:val="32"/>
          <w:szCs w:val="32"/>
        </w:rPr>
        <w:t>1</w:t>
      </w:r>
      <w:bookmarkEnd w:id="63"/>
    </w:p>
    <w:p>
      <w:pPr>
        <w:spacing w:line="600" w:lineRule="exact"/>
        <w:jc w:val="center"/>
        <w:outlineLvl w:val="0"/>
        <w:rPr>
          <w:rFonts w:ascii="黑体" w:hAnsi="黑体" w:eastAsia="黑体" w:cs="方正小标宋简体"/>
          <w:sz w:val="36"/>
          <w:szCs w:val="36"/>
        </w:rPr>
      </w:pPr>
      <w:bookmarkStart w:id="64" w:name="_Toc15396616"/>
      <w:r>
        <w:rPr>
          <w:rFonts w:hint="eastAsia" w:ascii="黑体" w:hAnsi="黑体" w:eastAsia="黑体" w:cs="方正小标宋简体"/>
          <w:sz w:val="36"/>
          <w:szCs w:val="36"/>
        </w:rPr>
        <w:t>攀枝花市交通运输局部门</w:t>
      </w:r>
      <w:r>
        <w:rPr>
          <w:rFonts w:ascii="黑体" w:hAnsi="黑体" w:eastAsia="黑体" w:cs="方正小标宋简体"/>
          <w:sz w:val="36"/>
          <w:szCs w:val="36"/>
        </w:rPr>
        <w:t>2018</w:t>
      </w:r>
      <w:r>
        <w:rPr>
          <w:rFonts w:hint="eastAsia" w:ascii="黑体" w:hAnsi="黑体" w:eastAsia="黑体" w:cs="方正小标宋简体"/>
          <w:sz w:val="36"/>
          <w:szCs w:val="36"/>
        </w:rPr>
        <w:t>年部门整体支出绩效评价报告</w:t>
      </w:r>
      <w:bookmarkEnd w:id="64"/>
    </w:p>
    <w:p>
      <w:pPr>
        <w:spacing w:line="580" w:lineRule="exact"/>
        <w:ind w:firstLine="640" w:firstLineChars="200"/>
        <w:rPr>
          <w:rFonts w:ascii="黑体" w:hAnsi="黑体" w:eastAsia="黑体" w:cs="黑体"/>
          <w:sz w:val="32"/>
          <w:szCs w:val="32"/>
        </w:rPr>
      </w:pPr>
    </w:p>
    <w:p>
      <w:pPr>
        <w:spacing w:line="580" w:lineRule="exact"/>
        <w:ind w:firstLine="640" w:firstLineChars="200"/>
        <w:rPr>
          <w:rFonts w:ascii="宋体" w:cs="黑体"/>
          <w:sz w:val="32"/>
          <w:szCs w:val="32"/>
        </w:rPr>
      </w:pPr>
      <w:r>
        <w:rPr>
          <w:rFonts w:hint="eastAsia" w:ascii="宋体" w:hAnsi="宋体" w:cs="黑体"/>
          <w:sz w:val="32"/>
          <w:szCs w:val="32"/>
        </w:rPr>
        <w:t>一、部门（单位）概况</w:t>
      </w:r>
    </w:p>
    <w:p>
      <w:pPr>
        <w:spacing w:line="580" w:lineRule="exact"/>
        <w:ind w:firstLine="640" w:firstLineChars="200"/>
        <w:rPr>
          <w:rFonts w:ascii="宋体" w:cs="仿宋_GB2312"/>
          <w:sz w:val="32"/>
          <w:szCs w:val="32"/>
        </w:rPr>
      </w:pPr>
      <w:r>
        <w:rPr>
          <w:rFonts w:hint="eastAsia" w:ascii="宋体" w:hAnsi="宋体" w:cs="仿宋_GB2312"/>
          <w:sz w:val="32"/>
          <w:szCs w:val="32"/>
        </w:rPr>
        <w:t>（一）机构组成。</w:t>
      </w:r>
    </w:p>
    <w:p>
      <w:pPr>
        <w:spacing w:line="580" w:lineRule="exact"/>
        <w:ind w:firstLine="640" w:firstLineChars="200"/>
        <w:rPr>
          <w:rFonts w:ascii="宋体"/>
          <w:sz w:val="32"/>
          <w:szCs w:val="32"/>
        </w:rPr>
      </w:pPr>
      <w:r>
        <w:rPr>
          <w:rFonts w:hint="eastAsia" w:ascii="宋体" w:hAnsi="宋体"/>
          <w:sz w:val="32"/>
          <w:szCs w:val="32"/>
        </w:rPr>
        <w:t>攀枝花市交通运输局下属攀枝花市交通建设工程质量监督站、攀枝花市地方海事局、攀枝花市运输管理处、攀枝花市交通运输综合执法支队、攀枝花市公路管理处、攀枝花公交客运总公司、攀枝花市汽车客运中心、攀枝花市公路养护管理总段共七个二级单位。其中只有攀枝花市交通建设工程质量监督站、攀枝花市地方海事局、攀枝花市运输管理处、攀枝花市交通运输综合执法支队、攀枝花市公路管理处五个参公事业单位是财政预算管理的二级预算单位。</w:t>
      </w:r>
    </w:p>
    <w:p>
      <w:pPr>
        <w:spacing w:line="580" w:lineRule="exact"/>
        <w:ind w:firstLine="640" w:firstLineChars="200"/>
        <w:rPr>
          <w:rFonts w:ascii="宋体" w:cs="仿宋_GB2312"/>
          <w:sz w:val="32"/>
          <w:szCs w:val="32"/>
        </w:rPr>
      </w:pPr>
      <w:r>
        <w:rPr>
          <w:rFonts w:hint="eastAsia" w:ascii="宋体" w:hAnsi="宋体" w:cs="仿宋_GB2312"/>
          <w:sz w:val="32"/>
          <w:szCs w:val="32"/>
        </w:rPr>
        <w:t>（二）机构职能。</w:t>
      </w:r>
    </w:p>
    <w:p>
      <w:pPr>
        <w:spacing w:line="580" w:lineRule="exact"/>
        <w:ind w:firstLine="640" w:firstLineChars="200"/>
        <w:rPr>
          <w:rFonts w:ascii="宋体" w:cs="仿宋_GB2312"/>
          <w:sz w:val="32"/>
          <w:szCs w:val="32"/>
        </w:rPr>
      </w:pPr>
      <w:r>
        <w:rPr>
          <w:rFonts w:hint="eastAsia" w:ascii="宋体" w:hAnsi="宋体"/>
          <w:color w:val="000000"/>
          <w:sz w:val="32"/>
          <w:szCs w:val="32"/>
        </w:rPr>
        <w:t>负责制订并实施全市公路、水路交通基础设施发展规划；负责指导全市公路管理和养护；负责全市交通建设市场和工程质量监管；负责全市公路、水路客货运输行业管理；负责全市水上交通安全监督和公路运输源头安全监管。</w:t>
      </w:r>
      <w:r>
        <w:rPr>
          <w:rFonts w:ascii="宋体" w:hAnsi="宋体"/>
          <w:color w:val="000000"/>
          <w:sz w:val="32"/>
          <w:szCs w:val="32"/>
        </w:rPr>
        <w:t>2017</w:t>
      </w:r>
      <w:r>
        <w:rPr>
          <w:rFonts w:hint="eastAsia" w:ascii="宋体" w:hAnsi="宋体"/>
          <w:color w:val="000000"/>
          <w:sz w:val="32"/>
          <w:szCs w:val="32"/>
        </w:rPr>
        <w:t>年</w:t>
      </w:r>
      <w:r>
        <w:rPr>
          <w:rFonts w:ascii="宋体" w:hAnsi="宋体"/>
          <w:color w:val="000000"/>
          <w:sz w:val="32"/>
          <w:szCs w:val="32"/>
        </w:rPr>
        <w:t>3</w:t>
      </w:r>
      <w:r>
        <w:rPr>
          <w:rFonts w:hint="eastAsia" w:ascii="宋体" w:hAnsi="宋体"/>
          <w:color w:val="000000"/>
          <w:sz w:val="32"/>
          <w:szCs w:val="32"/>
        </w:rPr>
        <w:t>月市政府常务会决定将保安营机场工作临时交由我局负责联系。</w:t>
      </w:r>
    </w:p>
    <w:p>
      <w:pPr>
        <w:spacing w:line="580" w:lineRule="exact"/>
        <w:ind w:firstLine="640" w:firstLineChars="200"/>
        <w:rPr>
          <w:rFonts w:ascii="宋体" w:cs="仿宋_GB2312"/>
          <w:sz w:val="32"/>
          <w:szCs w:val="32"/>
        </w:rPr>
      </w:pPr>
      <w:r>
        <w:rPr>
          <w:rFonts w:hint="eastAsia" w:ascii="宋体" w:hAnsi="宋体" w:cs="仿宋_GB2312"/>
          <w:sz w:val="32"/>
          <w:szCs w:val="32"/>
        </w:rPr>
        <w:t>（三）人员概况。</w:t>
      </w:r>
    </w:p>
    <w:p>
      <w:pPr>
        <w:spacing w:line="580" w:lineRule="exact"/>
        <w:ind w:firstLine="640" w:firstLineChars="200"/>
        <w:rPr>
          <w:rFonts w:ascii="宋体" w:cs="仿宋_GB2312"/>
          <w:sz w:val="32"/>
          <w:szCs w:val="32"/>
        </w:rPr>
      </w:pPr>
      <w:r>
        <w:rPr>
          <w:rFonts w:hint="eastAsia" w:ascii="宋体" w:hAnsi="宋体"/>
          <w:sz w:val="32"/>
          <w:szCs w:val="32"/>
        </w:rPr>
        <w:t>我部门纳入决算的各单位（攀枝花市交通运输局机关、攀枝花市交通建设工程质量监督站、攀枝花市地方海事局、攀枝花市运输管理处、攀枝花市交通运输综合执法支队、攀枝花市公路管理处、攀枝花市公路养护管理总段）核定编制人数共计</w:t>
      </w:r>
      <w:r>
        <w:rPr>
          <w:rFonts w:ascii="宋体" w:hAnsi="宋体"/>
          <w:sz w:val="32"/>
          <w:szCs w:val="32"/>
        </w:rPr>
        <w:t>1028</w:t>
      </w:r>
      <w:r>
        <w:rPr>
          <w:rFonts w:hint="eastAsia" w:ascii="宋体" w:hAnsi="宋体"/>
          <w:sz w:val="32"/>
          <w:szCs w:val="32"/>
        </w:rPr>
        <w:t>人，</w:t>
      </w:r>
      <w:r>
        <w:rPr>
          <w:rFonts w:ascii="宋体" w:hAnsi="宋体"/>
          <w:sz w:val="32"/>
          <w:szCs w:val="32"/>
        </w:rPr>
        <w:t xml:space="preserve"> 2018</w:t>
      </w:r>
      <w:r>
        <w:rPr>
          <w:rFonts w:hint="eastAsia" w:ascii="宋体" w:hAnsi="宋体"/>
          <w:sz w:val="32"/>
          <w:szCs w:val="32"/>
        </w:rPr>
        <w:t>年底实有在编人数</w:t>
      </w:r>
      <w:r>
        <w:rPr>
          <w:rFonts w:ascii="宋体" w:hAnsi="宋体"/>
          <w:sz w:val="32"/>
          <w:szCs w:val="32"/>
        </w:rPr>
        <w:t>844</w:t>
      </w:r>
      <w:r>
        <w:rPr>
          <w:rFonts w:hint="eastAsia" w:ascii="宋体" w:hAnsi="宋体"/>
          <w:sz w:val="32"/>
          <w:szCs w:val="32"/>
        </w:rPr>
        <w:t>人，其中公务员</w:t>
      </w:r>
      <w:r>
        <w:rPr>
          <w:rFonts w:ascii="宋体" w:hAnsi="宋体"/>
          <w:sz w:val="32"/>
          <w:szCs w:val="32"/>
        </w:rPr>
        <w:t>42</w:t>
      </w:r>
      <w:r>
        <w:rPr>
          <w:rFonts w:hint="eastAsia" w:ascii="宋体" w:hAnsi="宋体"/>
          <w:sz w:val="32"/>
          <w:szCs w:val="32"/>
        </w:rPr>
        <w:t>人，工勤人员</w:t>
      </w:r>
      <w:r>
        <w:rPr>
          <w:rFonts w:ascii="宋体" w:hAnsi="宋体"/>
          <w:sz w:val="32"/>
          <w:szCs w:val="32"/>
        </w:rPr>
        <w:t>6</w:t>
      </w:r>
      <w:r>
        <w:rPr>
          <w:rFonts w:hint="eastAsia" w:ascii="宋体" w:hAnsi="宋体"/>
          <w:sz w:val="32"/>
          <w:szCs w:val="32"/>
        </w:rPr>
        <w:t>人，参照公务员管理人员</w:t>
      </w:r>
      <w:r>
        <w:rPr>
          <w:rFonts w:ascii="宋体" w:hAnsi="宋体"/>
          <w:sz w:val="32"/>
          <w:szCs w:val="32"/>
        </w:rPr>
        <w:t>164</w:t>
      </w:r>
      <w:r>
        <w:rPr>
          <w:rFonts w:hint="eastAsia" w:ascii="宋体" w:hAnsi="宋体"/>
          <w:sz w:val="32"/>
          <w:szCs w:val="32"/>
        </w:rPr>
        <w:t>人，财政补助事业人员</w:t>
      </w:r>
      <w:r>
        <w:rPr>
          <w:rFonts w:ascii="宋体" w:hAnsi="宋体"/>
          <w:sz w:val="32"/>
          <w:szCs w:val="32"/>
        </w:rPr>
        <w:t>631</w:t>
      </w:r>
      <w:r>
        <w:rPr>
          <w:rFonts w:hint="eastAsia" w:ascii="宋体" w:hAnsi="宋体"/>
          <w:sz w:val="32"/>
          <w:szCs w:val="32"/>
        </w:rPr>
        <w:t>人，编内聘用人员</w:t>
      </w:r>
      <w:r>
        <w:rPr>
          <w:rFonts w:ascii="宋体" w:hAnsi="宋体"/>
          <w:sz w:val="32"/>
          <w:szCs w:val="32"/>
        </w:rPr>
        <w:t>1</w:t>
      </w:r>
      <w:r>
        <w:rPr>
          <w:rFonts w:hint="eastAsia" w:ascii="宋体" w:hAnsi="宋体"/>
          <w:sz w:val="32"/>
          <w:szCs w:val="32"/>
        </w:rPr>
        <w:t>人，其他人员</w:t>
      </w:r>
      <w:r>
        <w:rPr>
          <w:rFonts w:ascii="宋体" w:hAnsi="宋体"/>
          <w:sz w:val="32"/>
          <w:szCs w:val="32"/>
        </w:rPr>
        <w:t>17</w:t>
      </w:r>
      <w:r>
        <w:rPr>
          <w:rFonts w:hint="eastAsia" w:ascii="宋体" w:hAnsi="宋体"/>
          <w:sz w:val="32"/>
          <w:szCs w:val="32"/>
        </w:rPr>
        <w:t>人，离休人员</w:t>
      </w:r>
      <w:r>
        <w:rPr>
          <w:rFonts w:ascii="宋体" w:hAnsi="宋体"/>
          <w:sz w:val="32"/>
          <w:szCs w:val="32"/>
        </w:rPr>
        <w:t>5</w:t>
      </w:r>
      <w:r>
        <w:rPr>
          <w:rFonts w:hint="eastAsia" w:ascii="宋体" w:hAnsi="宋体"/>
          <w:sz w:val="32"/>
          <w:szCs w:val="32"/>
        </w:rPr>
        <w:t>人。</w:t>
      </w:r>
    </w:p>
    <w:p>
      <w:pPr>
        <w:spacing w:line="580" w:lineRule="exact"/>
        <w:ind w:firstLine="640" w:firstLineChars="200"/>
        <w:rPr>
          <w:rFonts w:ascii="宋体" w:cs="黑体"/>
          <w:sz w:val="32"/>
          <w:szCs w:val="32"/>
        </w:rPr>
      </w:pPr>
      <w:r>
        <w:rPr>
          <w:rFonts w:hint="eastAsia" w:ascii="宋体" w:hAnsi="宋体" w:cs="黑体"/>
          <w:sz w:val="32"/>
          <w:szCs w:val="32"/>
        </w:rPr>
        <w:t>二、部门财政资金收支情况</w:t>
      </w:r>
    </w:p>
    <w:p>
      <w:pPr>
        <w:spacing w:line="580" w:lineRule="exact"/>
        <w:ind w:firstLine="640" w:firstLineChars="200"/>
        <w:rPr>
          <w:rFonts w:ascii="宋体" w:cs="仿宋_GB2312"/>
          <w:sz w:val="32"/>
          <w:szCs w:val="32"/>
        </w:rPr>
      </w:pPr>
      <w:r>
        <w:rPr>
          <w:rFonts w:hint="eastAsia" w:ascii="宋体" w:hAnsi="宋体" w:cs="仿宋_GB2312"/>
          <w:sz w:val="32"/>
          <w:szCs w:val="32"/>
        </w:rPr>
        <w:t>（一）部门财政资金收入情况。</w:t>
      </w:r>
    </w:p>
    <w:p>
      <w:pPr>
        <w:spacing w:line="600" w:lineRule="exact"/>
        <w:ind w:firstLine="640" w:firstLineChars="200"/>
        <w:outlineLvl w:val="1"/>
        <w:rPr>
          <w:rFonts w:ascii="宋体"/>
          <w:color w:val="000000"/>
          <w:sz w:val="32"/>
          <w:szCs w:val="32"/>
        </w:rPr>
      </w:pPr>
      <w:r>
        <w:rPr>
          <w:rFonts w:ascii="宋体" w:hAnsi="宋体"/>
          <w:color w:val="000000"/>
          <w:sz w:val="32"/>
          <w:szCs w:val="32"/>
        </w:rPr>
        <w:t>2018</w:t>
      </w:r>
      <w:r>
        <w:rPr>
          <w:rFonts w:hint="eastAsia" w:ascii="宋体" w:hAnsi="宋体"/>
          <w:color w:val="000000"/>
          <w:sz w:val="32"/>
          <w:szCs w:val="32"/>
        </w:rPr>
        <w:t>年度收入总计</w:t>
      </w:r>
      <w:r>
        <w:rPr>
          <w:rFonts w:ascii="宋体" w:hAnsi="宋体"/>
          <w:color w:val="000000"/>
          <w:sz w:val="32"/>
          <w:szCs w:val="32"/>
        </w:rPr>
        <w:t>31735.92</w:t>
      </w:r>
      <w:r>
        <w:rPr>
          <w:rFonts w:hint="eastAsia" w:ascii="宋体" w:hAnsi="宋体"/>
          <w:color w:val="000000"/>
          <w:sz w:val="32"/>
          <w:szCs w:val="32"/>
        </w:rPr>
        <w:t>万元，与</w:t>
      </w:r>
      <w:r>
        <w:rPr>
          <w:rFonts w:ascii="宋体" w:hAnsi="宋体"/>
          <w:color w:val="000000"/>
          <w:sz w:val="32"/>
          <w:szCs w:val="32"/>
        </w:rPr>
        <w:t>2017</w:t>
      </w:r>
      <w:r>
        <w:rPr>
          <w:rFonts w:hint="eastAsia" w:ascii="宋体" w:hAnsi="宋体"/>
          <w:color w:val="000000"/>
          <w:sz w:val="32"/>
          <w:szCs w:val="32"/>
        </w:rPr>
        <w:t>年相比，收入总计减少</w:t>
      </w:r>
      <w:r>
        <w:rPr>
          <w:rFonts w:ascii="宋体" w:hAnsi="宋体"/>
          <w:color w:val="000000"/>
          <w:sz w:val="32"/>
          <w:szCs w:val="32"/>
        </w:rPr>
        <w:t>39780.33</w:t>
      </w:r>
      <w:r>
        <w:rPr>
          <w:rFonts w:hint="eastAsia" w:ascii="宋体" w:hAnsi="宋体"/>
          <w:color w:val="000000"/>
          <w:sz w:val="32"/>
          <w:szCs w:val="32"/>
        </w:rPr>
        <w:t>万元，下降</w:t>
      </w:r>
      <w:r>
        <w:rPr>
          <w:rFonts w:ascii="宋体" w:hAnsi="宋体"/>
          <w:color w:val="000000"/>
          <w:sz w:val="32"/>
          <w:szCs w:val="32"/>
        </w:rPr>
        <w:t>55.62%</w:t>
      </w:r>
      <w:r>
        <w:rPr>
          <w:rFonts w:hint="eastAsia" w:ascii="宋体" w:hAnsi="宋体"/>
          <w:color w:val="000000"/>
          <w:sz w:val="32"/>
          <w:szCs w:val="32"/>
        </w:rPr>
        <w:t>。主要变动原因是</w:t>
      </w:r>
      <w:r>
        <w:rPr>
          <w:rFonts w:ascii="宋体" w:hAnsi="宋体"/>
          <w:color w:val="000000"/>
          <w:sz w:val="32"/>
          <w:szCs w:val="32"/>
        </w:rPr>
        <w:t>2018</w:t>
      </w:r>
      <w:r>
        <w:rPr>
          <w:rFonts w:hint="eastAsia" w:ascii="宋体" w:hAnsi="宋体"/>
          <w:color w:val="000000"/>
          <w:sz w:val="32"/>
          <w:szCs w:val="32"/>
        </w:rPr>
        <w:t>年大中修市级资金安排减少，以及</w:t>
      </w:r>
      <w:r>
        <w:rPr>
          <w:rFonts w:ascii="宋体" w:hAnsi="宋体"/>
          <w:color w:val="000000"/>
          <w:sz w:val="32"/>
          <w:szCs w:val="32"/>
        </w:rPr>
        <w:t>2018</w:t>
      </w:r>
      <w:r>
        <w:rPr>
          <w:rFonts w:hint="eastAsia" w:ascii="宋体" w:hAnsi="宋体"/>
          <w:color w:val="000000"/>
          <w:sz w:val="32"/>
          <w:szCs w:val="32"/>
        </w:rPr>
        <w:t>年取消政府还贷二级公路收费专项资金收入减少。</w:t>
      </w:r>
      <w:r>
        <w:rPr>
          <w:rFonts w:ascii="宋体" w:hAnsi="宋体"/>
          <w:color w:val="000000"/>
          <w:sz w:val="32"/>
          <w:szCs w:val="32"/>
        </w:rPr>
        <w:t>2018</w:t>
      </w:r>
      <w:r>
        <w:rPr>
          <w:rFonts w:hint="eastAsia" w:ascii="宋体" w:hAnsi="宋体"/>
          <w:color w:val="000000"/>
          <w:sz w:val="32"/>
          <w:szCs w:val="32"/>
        </w:rPr>
        <w:t>年本年收入合计</w:t>
      </w:r>
      <w:r>
        <w:rPr>
          <w:rFonts w:ascii="宋体" w:hAnsi="宋体"/>
          <w:color w:val="000000"/>
          <w:sz w:val="32"/>
          <w:szCs w:val="32"/>
        </w:rPr>
        <w:t>31735.92</w:t>
      </w:r>
      <w:r>
        <w:rPr>
          <w:rFonts w:hint="eastAsia" w:ascii="宋体" w:hAnsi="宋体"/>
          <w:color w:val="000000"/>
          <w:sz w:val="32"/>
          <w:szCs w:val="32"/>
        </w:rPr>
        <w:t>万元，其中：一般公共预算财政拨款收入</w:t>
      </w:r>
      <w:r>
        <w:rPr>
          <w:rFonts w:ascii="宋体" w:hAnsi="宋体"/>
          <w:color w:val="000000"/>
          <w:sz w:val="32"/>
          <w:szCs w:val="32"/>
        </w:rPr>
        <w:t>30729.67</w:t>
      </w:r>
      <w:r>
        <w:rPr>
          <w:rFonts w:hint="eastAsia" w:ascii="宋体" w:hAnsi="宋体"/>
          <w:color w:val="000000"/>
          <w:sz w:val="32"/>
          <w:szCs w:val="32"/>
        </w:rPr>
        <w:t>万元，占</w:t>
      </w:r>
      <w:r>
        <w:rPr>
          <w:rFonts w:ascii="宋体" w:hAnsi="宋体"/>
          <w:color w:val="000000"/>
          <w:sz w:val="32"/>
          <w:szCs w:val="32"/>
        </w:rPr>
        <w:t>96.83%</w:t>
      </w:r>
      <w:r>
        <w:rPr>
          <w:rFonts w:hint="eastAsia" w:ascii="宋体" w:hAnsi="宋体"/>
          <w:color w:val="000000"/>
          <w:sz w:val="32"/>
          <w:szCs w:val="32"/>
        </w:rPr>
        <w:t>；其他收入</w:t>
      </w:r>
      <w:r>
        <w:rPr>
          <w:rFonts w:ascii="宋体" w:hAnsi="宋体"/>
          <w:color w:val="000000"/>
          <w:sz w:val="32"/>
          <w:szCs w:val="32"/>
        </w:rPr>
        <w:t>1006.25</w:t>
      </w:r>
      <w:r>
        <w:rPr>
          <w:rFonts w:hint="eastAsia" w:ascii="宋体" w:hAnsi="宋体"/>
          <w:color w:val="000000"/>
          <w:sz w:val="32"/>
          <w:szCs w:val="32"/>
        </w:rPr>
        <w:t>万元，占</w:t>
      </w:r>
      <w:r>
        <w:rPr>
          <w:rFonts w:ascii="宋体" w:hAnsi="宋体"/>
          <w:color w:val="000000"/>
          <w:sz w:val="32"/>
          <w:szCs w:val="32"/>
        </w:rPr>
        <w:t>3.17%</w:t>
      </w:r>
      <w:r>
        <w:rPr>
          <w:rFonts w:hint="eastAsia" w:ascii="宋体" w:hAnsi="宋体"/>
          <w:color w:val="000000"/>
          <w:sz w:val="32"/>
          <w:szCs w:val="32"/>
        </w:rPr>
        <w:t>。</w:t>
      </w:r>
    </w:p>
    <w:p>
      <w:pPr>
        <w:spacing w:line="580" w:lineRule="exact"/>
        <w:ind w:firstLine="640" w:firstLineChars="200"/>
        <w:rPr>
          <w:rFonts w:ascii="宋体" w:cs="仿宋_GB2312"/>
          <w:sz w:val="32"/>
          <w:szCs w:val="32"/>
        </w:rPr>
      </w:pPr>
      <w:r>
        <w:rPr>
          <w:rFonts w:hint="eastAsia" w:ascii="宋体" w:hAnsi="宋体" w:cs="仿宋_GB2312"/>
          <w:sz w:val="32"/>
          <w:szCs w:val="32"/>
        </w:rPr>
        <w:t>（二）部门财政资金支出情况。</w:t>
      </w:r>
    </w:p>
    <w:p>
      <w:pPr>
        <w:spacing w:line="600" w:lineRule="exact"/>
        <w:ind w:firstLine="640"/>
        <w:rPr>
          <w:rFonts w:ascii="宋体"/>
          <w:color w:val="000000"/>
          <w:sz w:val="32"/>
          <w:szCs w:val="32"/>
          <w:shd w:val="pct10" w:color="auto" w:fill="FFFFFF"/>
        </w:rPr>
      </w:pPr>
      <w:r>
        <w:rPr>
          <w:rFonts w:ascii="宋体" w:hAnsi="宋体"/>
          <w:color w:val="000000"/>
          <w:sz w:val="32"/>
          <w:szCs w:val="32"/>
        </w:rPr>
        <w:t>2018</w:t>
      </w:r>
      <w:r>
        <w:rPr>
          <w:rFonts w:hint="eastAsia" w:ascii="宋体" w:hAnsi="宋体"/>
          <w:color w:val="000000"/>
          <w:sz w:val="32"/>
          <w:szCs w:val="32"/>
        </w:rPr>
        <w:t>年度支出总计</w:t>
      </w:r>
      <w:r>
        <w:rPr>
          <w:rFonts w:ascii="宋体" w:hAnsi="宋体"/>
          <w:color w:val="000000"/>
          <w:sz w:val="32"/>
          <w:szCs w:val="32"/>
        </w:rPr>
        <w:t>33016.86</w:t>
      </w:r>
      <w:r>
        <w:rPr>
          <w:rFonts w:hint="eastAsia" w:ascii="宋体" w:hAnsi="宋体"/>
          <w:color w:val="000000"/>
          <w:sz w:val="32"/>
          <w:szCs w:val="32"/>
        </w:rPr>
        <w:t>万元，与</w:t>
      </w:r>
      <w:r>
        <w:rPr>
          <w:rFonts w:ascii="宋体" w:hAnsi="宋体"/>
          <w:color w:val="000000"/>
          <w:sz w:val="32"/>
          <w:szCs w:val="32"/>
        </w:rPr>
        <w:t>2017</w:t>
      </w:r>
      <w:r>
        <w:rPr>
          <w:rFonts w:hint="eastAsia" w:ascii="宋体" w:hAnsi="宋体"/>
          <w:color w:val="000000"/>
          <w:sz w:val="32"/>
          <w:szCs w:val="32"/>
        </w:rPr>
        <w:t>年相比，支出总计减少</w:t>
      </w:r>
      <w:r>
        <w:rPr>
          <w:rFonts w:ascii="宋体" w:hAnsi="宋体"/>
          <w:color w:val="000000"/>
          <w:sz w:val="32"/>
          <w:szCs w:val="32"/>
        </w:rPr>
        <w:t>34832.05</w:t>
      </w:r>
      <w:r>
        <w:rPr>
          <w:rFonts w:hint="eastAsia" w:ascii="宋体" w:hAnsi="宋体"/>
          <w:color w:val="000000"/>
          <w:sz w:val="32"/>
          <w:szCs w:val="32"/>
        </w:rPr>
        <w:t>万元，下降</w:t>
      </w:r>
      <w:r>
        <w:rPr>
          <w:rFonts w:ascii="宋体" w:hAnsi="宋体"/>
          <w:color w:val="000000"/>
          <w:sz w:val="32"/>
          <w:szCs w:val="32"/>
        </w:rPr>
        <w:t>51.34%</w:t>
      </w:r>
      <w:r>
        <w:rPr>
          <w:rFonts w:hint="eastAsia" w:ascii="宋体" w:hAnsi="宋体"/>
          <w:color w:val="000000"/>
          <w:sz w:val="32"/>
          <w:szCs w:val="32"/>
        </w:rPr>
        <w:t>。主要变动原因是</w:t>
      </w:r>
      <w:r>
        <w:rPr>
          <w:rFonts w:ascii="宋体" w:hAnsi="宋体"/>
          <w:color w:val="000000"/>
          <w:sz w:val="32"/>
          <w:szCs w:val="32"/>
        </w:rPr>
        <w:t>2018</w:t>
      </w:r>
      <w:r>
        <w:rPr>
          <w:rFonts w:hint="eastAsia" w:ascii="宋体" w:hAnsi="宋体"/>
          <w:color w:val="000000"/>
          <w:sz w:val="32"/>
          <w:szCs w:val="32"/>
        </w:rPr>
        <w:t>年大中修市级资金安排减少，以及</w:t>
      </w:r>
      <w:r>
        <w:rPr>
          <w:rFonts w:ascii="宋体" w:hAnsi="宋体"/>
          <w:color w:val="000000"/>
          <w:sz w:val="32"/>
          <w:szCs w:val="32"/>
        </w:rPr>
        <w:t>2018</w:t>
      </w:r>
      <w:r>
        <w:rPr>
          <w:rFonts w:hint="eastAsia" w:ascii="宋体" w:hAnsi="宋体"/>
          <w:color w:val="000000"/>
          <w:sz w:val="32"/>
          <w:szCs w:val="32"/>
        </w:rPr>
        <w:t>年取消政府还贷二级公路收费专项资金支出减少。</w:t>
      </w:r>
      <w:r>
        <w:rPr>
          <w:rFonts w:ascii="宋体" w:hAnsi="宋体"/>
          <w:color w:val="000000"/>
          <w:sz w:val="32"/>
          <w:szCs w:val="32"/>
        </w:rPr>
        <w:t>2018</w:t>
      </w:r>
      <w:r>
        <w:rPr>
          <w:rFonts w:hint="eastAsia" w:ascii="宋体" w:hAnsi="宋体"/>
          <w:color w:val="000000"/>
          <w:sz w:val="32"/>
          <w:szCs w:val="32"/>
        </w:rPr>
        <w:t>年本年支出合计</w:t>
      </w:r>
      <w:r>
        <w:rPr>
          <w:rFonts w:ascii="宋体" w:hAnsi="宋体"/>
          <w:color w:val="000000"/>
          <w:sz w:val="32"/>
          <w:szCs w:val="32"/>
        </w:rPr>
        <w:t>33016.86</w:t>
      </w:r>
      <w:r>
        <w:rPr>
          <w:rFonts w:hint="eastAsia" w:ascii="宋体" w:hAnsi="宋体"/>
          <w:color w:val="000000"/>
          <w:sz w:val="32"/>
          <w:szCs w:val="32"/>
        </w:rPr>
        <w:t>万元，其中：基本支出</w:t>
      </w:r>
      <w:r>
        <w:rPr>
          <w:rFonts w:ascii="宋体" w:hAnsi="宋体"/>
          <w:color w:val="000000"/>
          <w:sz w:val="32"/>
          <w:szCs w:val="32"/>
        </w:rPr>
        <w:t>15047.79</w:t>
      </w:r>
      <w:r>
        <w:rPr>
          <w:rFonts w:hint="eastAsia" w:ascii="宋体" w:hAnsi="宋体"/>
          <w:color w:val="000000"/>
          <w:sz w:val="32"/>
          <w:szCs w:val="32"/>
        </w:rPr>
        <w:t>万元，占</w:t>
      </w:r>
      <w:r>
        <w:rPr>
          <w:rFonts w:ascii="宋体" w:hAnsi="宋体"/>
          <w:color w:val="000000"/>
          <w:sz w:val="32"/>
          <w:szCs w:val="32"/>
        </w:rPr>
        <w:t>45.58%</w:t>
      </w:r>
      <w:r>
        <w:rPr>
          <w:rFonts w:hint="eastAsia" w:ascii="宋体" w:hAnsi="宋体"/>
          <w:color w:val="000000"/>
          <w:sz w:val="32"/>
          <w:szCs w:val="32"/>
        </w:rPr>
        <w:t>；项目支出</w:t>
      </w:r>
      <w:r>
        <w:rPr>
          <w:rFonts w:ascii="宋体" w:hAnsi="宋体"/>
          <w:color w:val="000000"/>
          <w:sz w:val="32"/>
          <w:szCs w:val="32"/>
        </w:rPr>
        <w:t>17969.07</w:t>
      </w:r>
      <w:r>
        <w:rPr>
          <w:rFonts w:hint="eastAsia" w:ascii="宋体" w:hAnsi="宋体"/>
          <w:color w:val="000000"/>
          <w:sz w:val="32"/>
          <w:szCs w:val="32"/>
        </w:rPr>
        <w:t>万元，占</w:t>
      </w:r>
      <w:r>
        <w:rPr>
          <w:rFonts w:ascii="宋体" w:hAnsi="宋体"/>
          <w:color w:val="000000"/>
          <w:sz w:val="32"/>
          <w:szCs w:val="32"/>
        </w:rPr>
        <w:t>54.42%</w:t>
      </w:r>
      <w:r>
        <w:rPr>
          <w:rFonts w:hint="eastAsia" w:ascii="宋体" w:hAnsi="宋体"/>
          <w:color w:val="000000"/>
          <w:sz w:val="32"/>
          <w:szCs w:val="32"/>
        </w:rPr>
        <w:t>。</w:t>
      </w:r>
    </w:p>
    <w:p>
      <w:pPr>
        <w:spacing w:line="580" w:lineRule="exact"/>
        <w:ind w:firstLine="640" w:firstLineChars="200"/>
        <w:rPr>
          <w:rFonts w:ascii="宋体" w:cs="黑体"/>
          <w:sz w:val="32"/>
          <w:szCs w:val="32"/>
        </w:rPr>
      </w:pPr>
      <w:r>
        <w:rPr>
          <w:rFonts w:hint="eastAsia" w:ascii="宋体" w:hAnsi="宋体" w:cs="黑体"/>
          <w:sz w:val="32"/>
          <w:szCs w:val="32"/>
        </w:rPr>
        <w:t>三、部门整体预算绩效管理情况</w:t>
      </w:r>
    </w:p>
    <w:p>
      <w:pPr>
        <w:spacing w:line="580" w:lineRule="exact"/>
        <w:ind w:firstLine="640" w:firstLineChars="200"/>
        <w:rPr>
          <w:rFonts w:ascii="宋体" w:cs="仿宋_GB2312"/>
          <w:sz w:val="32"/>
          <w:szCs w:val="32"/>
        </w:rPr>
      </w:pPr>
      <w:r>
        <w:rPr>
          <w:rFonts w:hint="eastAsia" w:ascii="宋体" w:hAnsi="宋体" w:cs="仿宋_GB2312"/>
          <w:sz w:val="32"/>
          <w:szCs w:val="32"/>
        </w:rPr>
        <w:t>（一）部门预算管理。</w:t>
      </w:r>
    </w:p>
    <w:p>
      <w:pPr>
        <w:pStyle w:val="12"/>
        <w:shd w:val="clear" w:color="auto" w:fill="FFFFFF"/>
        <w:spacing w:before="0" w:beforeAutospacing="0" w:after="150" w:afterAutospacing="0" w:line="495" w:lineRule="atLeast"/>
        <w:ind w:firstLine="640" w:firstLineChars="200"/>
        <w:rPr>
          <w:color w:val="666666"/>
          <w:sz w:val="32"/>
          <w:szCs w:val="32"/>
        </w:rPr>
      </w:pPr>
      <w:r>
        <w:rPr>
          <w:color w:val="666666"/>
          <w:sz w:val="32"/>
          <w:szCs w:val="32"/>
        </w:rPr>
        <w:t>.</w:t>
      </w:r>
      <w:r>
        <w:rPr>
          <w:rFonts w:hint="eastAsia"/>
          <w:color w:val="666666"/>
          <w:sz w:val="32"/>
          <w:szCs w:val="32"/>
        </w:rPr>
        <w:t>严格预算支出管理。在支出预算编制上，人员经费按照配置定额，逐人核定编制，公用经费分类分档，按定额编制；根据“总量控制、计划管理”的要求从严控制行政经费，压缩公务费开支，严格控制“三公”经费，资产的配置严格政府采购，按照预算科目和项目资金的规定使用财政资金，保障部门整体支出的规范化、制度化。财务管理上，按照国家相关法律法规，制定了机关财务、公物购置使用、接待、会务、差旅等管理制度，并严格按照制度管理和执行，防范风险，保证财政资金的安全和高效运行。</w:t>
      </w:r>
      <w:r>
        <w:rPr>
          <w:color w:val="666666"/>
          <w:sz w:val="32"/>
          <w:szCs w:val="32"/>
        </w:rPr>
        <w:t>2018</w:t>
      </w:r>
      <w:r>
        <w:rPr>
          <w:rFonts w:hint="eastAsia"/>
          <w:color w:val="666666"/>
          <w:sz w:val="32"/>
          <w:szCs w:val="32"/>
        </w:rPr>
        <w:t>年，根据我局年初工作规划和重点工作，围绕市委、市政府的工作部署，积极履行职责，强化管理，较好地完成了年度工作目标，同时加强预算收支的管理，建立健全内部管理制度，严格内部管理流程，部门整体支出管理得到了提升。</w:t>
      </w:r>
    </w:p>
    <w:p>
      <w:pPr>
        <w:spacing w:line="580" w:lineRule="exact"/>
        <w:ind w:firstLine="640" w:firstLineChars="200"/>
        <w:rPr>
          <w:rFonts w:ascii="宋体" w:cs="仿宋_GB2312"/>
          <w:sz w:val="32"/>
          <w:szCs w:val="32"/>
        </w:rPr>
      </w:pPr>
      <w:r>
        <w:rPr>
          <w:rFonts w:hint="eastAsia" w:ascii="宋体" w:hAnsi="宋体" w:cs="仿宋_GB2312"/>
          <w:sz w:val="32"/>
          <w:szCs w:val="32"/>
        </w:rPr>
        <w:t>（二）专项预算管理。</w:t>
      </w:r>
    </w:p>
    <w:p>
      <w:pPr>
        <w:widowControl/>
        <w:spacing w:line="480" w:lineRule="auto"/>
        <w:ind w:firstLine="480"/>
        <w:rPr>
          <w:rFonts w:ascii="宋体" w:cs="宋体"/>
          <w:color w:val="333333"/>
          <w:kern w:val="0"/>
          <w:sz w:val="32"/>
          <w:szCs w:val="32"/>
          <w:shd w:val="clear" w:color="auto" w:fill="FFFFFF"/>
        </w:rPr>
      </w:pPr>
      <w:r>
        <w:rPr>
          <w:rFonts w:hint="eastAsia" w:ascii="宋体" w:hAnsi="宋体" w:cs="宋体"/>
          <w:color w:val="333333"/>
          <w:kern w:val="0"/>
          <w:sz w:val="32"/>
          <w:szCs w:val="32"/>
          <w:shd w:val="clear" w:color="auto" w:fill="FFFFFF"/>
        </w:rPr>
        <w:t>加强各单位的预算资金管理，减少预算资金使用的随意性，对预算的事前、事中、事后进行全过程控制，加大对预算编制与执行的监督管理力度，提高预算资金使用效率。同时，提高各单位人员对预算资金使用效益的认识，把预算资金是否发挥使用效益与各岗位是否履职尽责相结合，将预算资金使用的效率和效益作为对各岗位人员工作考核评价的重要内容之一。精细测算支出额度，把需求核准核实，充分发挥财政资金的效益。各单位加强对项目实施进度的实时监控，要求项目承担单位对项目实施过程中的进度异常，实施范围调整等及时报批或备案，对达成政府采购标准的项目支出，严格执行政府采购流程优选供应商。</w:t>
      </w:r>
    </w:p>
    <w:p>
      <w:pPr>
        <w:spacing w:line="580" w:lineRule="exact"/>
        <w:ind w:firstLine="640" w:firstLineChars="200"/>
        <w:rPr>
          <w:rFonts w:ascii="宋体" w:cs="仿宋_GB2312"/>
          <w:sz w:val="32"/>
          <w:szCs w:val="32"/>
        </w:rPr>
      </w:pPr>
      <w:r>
        <w:rPr>
          <w:rFonts w:hint="eastAsia" w:ascii="宋体" w:hAnsi="宋体" w:cs="仿宋_GB2312"/>
          <w:sz w:val="32"/>
          <w:szCs w:val="32"/>
        </w:rPr>
        <w:t>（三）结果应用情况。</w:t>
      </w:r>
    </w:p>
    <w:p>
      <w:pPr>
        <w:widowControl/>
        <w:spacing w:line="480" w:lineRule="auto"/>
        <w:ind w:firstLine="480"/>
        <w:rPr>
          <w:rFonts w:ascii="宋体" w:cs="宋体"/>
          <w:color w:val="333333"/>
          <w:kern w:val="0"/>
          <w:sz w:val="32"/>
          <w:szCs w:val="32"/>
          <w:shd w:val="clear" w:color="auto" w:fill="FFFFFF"/>
        </w:rPr>
      </w:pPr>
      <w:r>
        <w:rPr>
          <w:rFonts w:hint="eastAsia" w:ascii="宋体" w:hAnsi="宋体" w:cs="宋体"/>
          <w:color w:val="333333"/>
          <w:kern w:val="0"/>
          <w:sz w:val="32"/>
          <w:szCs w:val="32"/>
          <w:shd w:val="clear" w:color="auto" w:fill="FFFFFF"/>
        </w:rPr>
        <w:t>绩效自评结果将在我厅门户网站上进行公开，绩效评价结果与下年度资金安排直接挂钩，并将绩效评价整改通知书下放给各市州及单位，责令及时整改，按时提交整改资料。</w:t>
      </w:r>
    </w:p>
    <w:p>
      <w:pPr>
        <w:spacing w:line="580" w:lineRule="exact"/>
        <w:ind w:firstLine="640" w:firstLineChars="200"/>
        <w:rPr>
          <w:rFonts w:ascii="宋体" w:cs="黑体"/>
          <w:sz w:val="32"/>
          <w:szCs w:val="32"/>
        </w:rPr>
      </w:pPr>
      <w:r>
        <w:rPr>
          <w:rFonts w:hint="eastAsia" w:ascii="宋体" w:hAnsi="宋体" w:cs="黑体"/>
          <w:sz w:val="32"/>
          <w:szCs w:val="32"/>
        </w:rPr>
        <w:t>四、评价结论及建议</w:t>
      </w:r>
    </w:p>
    <w:p>
      <w:pPr>
        <w:spacing w:line="580" w:lineRule="exact"/>
        <w:ind w:firstLine="640" w:firstLineChars="200"/>
        <w:rPr>
          <w:rFonts w:ascii="宋体" w:cs="仿宋_GB2312"/>
          <w:sz w:val="32"/>
          <w:szCs w:val="32"/>
        </w:rPr>
      </w:pPr>
      <w:r>
        <w:rPr>
          <w:rFonts w:hint="eastAsia" w:ascii="宋体" w:hAnsi="宋体" w:cs="仿宋_GB2312"/>
          <w:sz w:val="32"/>
          <w:szCs w:val="32"/>
        </w:rPr>
        <w:t>（一）评价结论。</w:t>
      </w:r>
    </w:p>
    <w:p>
      <w:pPr>
        <w:pStyle w:val="12"/>
        <w:shd w:val="clear" w:color="auto" w:fill="FFFFFF"/>
        <w:spacing w:before="0" w:beforeAutospacing="0" w:after="150" w:afterAutospacing="0" w:line="495" w:lineRule="atLeast"/>
        <w:rPr>
          <w:color w:val="666666"/>
          <w:sz w:val="32"/>
          <w:szCs w:val="32"/>
        </w:rPr>
      </w:pPr>
      <w:r>
        <w:rPr>
          <w:color w:val="666666"/>
          <w:sz w:val="32"/>
          <w:szCs w:val="32"/>
        </w:rPr>
        <w:t>  </w:t>
      </w:r>
      <w:r>
        <w:rPr>
          <w:rFonts w:hint="eastAsia"/>
          <w:color w:val="666666"/>
          <w:sz w:val="32"/>
          <w:szCs w:val="32"/>
        </w:rPr>
        <w:t>根据此次整体绩效评价自评，我部门</w:t>
      </w:r>
      <w:r>
        <w:rPr>
          <w:color w:val="666666"/>
          <w:sz w:val="32"/>
          <w:szCs w:val="32"/>
        </w:rPr>
        <w:t>2018</w:t>
      </w:r>
      <w:r>
        <w:rPr>
          <w:rFonts w:hint="eastAsia"/>
          <w:color w:val="666666"/>
          <w:sz w:val="32"/>
          <w:szCs w:val="32"/>
        </w:rPr>
        <w:t>年整体支出，严格按照国家的相关财务管理制度规定，财务制度健全、会计核算规范，依照计划管理使用。</w:t>
      </w:r>
      <w:r>
        <w:rPr>
          <w:color w:val="666666"/>
          <w:sz w:val="32"/>
          <w:szCs w:val="32"/>
        </w:rPr>
        <w:t>   </w:t>
      </w:r>
    </w:p>
    <w:p>
      <w:pPr>
        <w:spacing w:line="580" w:lineRule="exact"/>
        <w:ind w:firstLine="640" w:firstLineChars="200"/>
        <w:rPr>
          <w:rFonts w:ascii="宋体" w:cs="仿宋_GB2312"/>
          <w:sz w:val="32"/>
          <w:szCs w:val="32"/>
        </w:rPr>
      </w:pPr>
      <w:r>
        <w:rPr>
          <w:rFonts w:hint="eastAsia" w:ascii="宋体" w:hAnsi="宋体" w:cs="仿宋_GB2312"/>
          <w:sz w:val="32"/>
          <w:szCs w:val="32"/>
        </w:rPr>
        <w:t>（二）存在问题。</w:t>
      </w:r>
    </w:p>
    <w:p>
      <w:pPr>
        <w:snapToGrid w:val="0"/>
        <w:spacing w:line="360" w:lineRule="auto"/>
        <w:ind w:firstLine="640" w:firstLineChars="200"/>
        <w:rPr>
          <w:rFonts w:ascii="宋体"/>
          <w:sz w:val="32"/>
          <w:szCs w:val="32"/>
        </w:rPr>
      </w:pPr>
      <w:r>
        <w:rPr>
          <w:rFonts w:ascii="宋体" w:hAnsi="宋体"/>
          <w:sz w:val="32"/>
          <w:szCs w:val="32"/>
        </w:rPr>
        <w:t>1</w:t>
      </w:r>
      <w:r>
        <w:rPr>
          <w:rFonts w:hint="eastAsia" w:ascii="宋体" w:hAnsi="宋体"/>
          <w:sz w:val="32"/>
          <w:szCs w:val="32"/>
        </w:rPr>
        <w:t>、绩效评价指标体系还不完善。财政支出的评价涉及多方面业务，目前虽然财政部已经发布了《部门整体支出绩效评价共性指标体系框架》，但真正能体现项目效果的个性指标，在标准设计上存在难度，导致评价内容不够全面，评价数据采集缺少充分的调查分析和严密的逻辑关系，难以满足不同层面和不同性质的绩效评价需求。</w:t>
      </w:r>
    </w:p>
    <w:p>
      <w:pPr>
        <w:snapToGrid w:val="0"/>
        <w:spacing w:line="360" w:lineRule="auto"/>
        <w:ind w:firstLine="640" w:firstLineChars="200"/>
        <w:rPr>
          <w:rFonts w:ascii="宋体"/>
          <w:sz w:val="32"/>
          <w:szCs w:val="32"/>
        </w:rPr>
      </w:pPr>
      <w:r>
        <w:rPr>
          <w:rFonts w:ascii="宋体" w:hAnsi="宋体"/>
          <w:sz w:val="32"/>
          <w:szCs w:val="32"/>
        </w:rPr>
        <w:t>2</w:t>
      </w:r>
      <w:r>
        <w:rPr>
          <w:rFonts w:hint="eastAsia" w:ascii="宋体" w:hAnsi="宋体"/>
          <w:sz w:val="32"/>
          <w:szCs w:val="32"/>
        </w:rPr>
        <w:t>、人员素质有待进一步提高。由于预算绩效管理工作开展时间短，涉及面广，专业性强，加上缺乏系统的培训，对预算绩效管理理解不充分，对预算绩效管理业务不精通，在一定程度上影响了绩效评价工作质量。</w:t>
      </w:r>
    </w:p>
    <w:p>
      <w:pPr>
        <w:spacing w:line="580" w:lineRule="exact"/>
        <w:ind w:firstLine="640" w:firstLineChars="200"/>
        <w:rPr>
          <w:rFonts w:ascii="宋体" w:cs="仿宋_GB2312"/>
          <w:sz w:val="32"/>
          <w:szCs w:val="32"/>
        </w:rPr>
      </w:pPr>
      <w:r>
        <w:rPr>
          <w:rFonts w:hint="eastAsia" w:ascii="宋体" w:hAnsi="宋体" w:cs="仿宋_GB2312"/>
          <w:sz w:val="32"/>
          <w:szCs w:val="32"/>
        </w:rPr>
        <w:t>（三）改进建议。</w:t>
      </w:r>
    </w:p>
    <w:p>
      <w:pPr>
        <w:snapToGrid w:val="0"/>
        <w:spacing w:line="360" w:lineRule="auto"/>
        <w:ind w:firstLine="640" w:firstLineChars="200"/>
        <w:rPr>
          <w:rFonts w:ascii="宋体"/>
          <w:sz w:val="32"/>
          <w:szCs w:val="32"/>
        </w:rPr>
      </w:pPr>
      <w:r>
        <w:rPr>
          <w:rFonts w:ascii="宋体" w:hAnsi="宋体"/>
          <w:sz w:val="32"/>
          <w:szCs w:val="32"/>
        </w:rPr>
        <w:t>1</w:t>
      </w:r>
      <w:r>
        <w:rPr>
          <w:rFonts w:hint="eastAsia" w:ascii="宋体" w:hAnsi="宋体"/>
          <w:sz w:val="32"/>
          <w:szCs w:val="32"/>
        </w:rPr>
        <w:t>、加强学习培训，提升业务能力。由于绩效评价工作要求高，工作量大，涉及项目业务、财务、效益多方面的专业知识，只有通过进行多方位多层次的学习培训，努力提高相关人员素质，才能真正将预算绩效管理工作落实到位。</w:t>
      </w:r>
    </w:p>
    <w:p>
      <w:pPr>
        <w:spacing w:line="580" w:lineRule="exact"/>
        <w:ind w:firstLine="640" w:firstLineChars="200"/>
        <w:rPr>
          <w:rFonts w:ascii="宋体" w:cs="仿宋_GB2312"/>
          <w:sz w:val="32"/>
          <w:szCs w:val="32"/>
        </w:rPr>
      </w:pPr>
      <w:r>
        <w:rPr>
          <w:rFonts w:ascii="宋体" w:hAnsi="宋体"/>
          <w:sz w:val="32"/>
          <w:szCs w:val="32"/>
        </w:rPr>
        <w:t>2</w:t>
      </w:r>
      <w:r>
        <w:rPr>
          <w:rFonts w:hint="eastAsia" w:ascii="宋体" w:hAnsi="宋体"/>
          <w:sz w:val="32"/>
          <w:szCs w:val="32"/>
        </w:rPr>
        <w:t>、加大宣传力度，树立绩效管理理念。通过各种媒介、各种形式和渠道，加大绩效管理理念宣传，创造良好社会舆论氛围，不断提高绩效意识，发挥部门在预算绩效管理中的主体作用。</w:t>
      </w:r>
    </w:p>
    <w:p>
      <w:pPr>
        <w:widowControl/>
        <w:jc w:val="left"/>
        <w:rPr>
          <w:rFonts w:ascii="宋体" w:cs="仿宋_GB2312"/>
          <w:sz w:val="32"/>
          <w:szCs w:val="32"/>
        </w:rPr>
      </w:pPr>
      <w:r>
        <w:rPr>
          <w:rFonts w:ascii="宋体" w:cs="仿宋_GB2312"/>
          <w:sz w:val="32"/>
          <w:szCs w:val="32"/>
        </w:rPr>
        <w:br w:type="page"/>
      </w:r>
    </w:p>
    <w:p>
      <w:pPr>
        <w:pStyle w:val="3"/>
        <w:rPr>
          <w:rStyle w:val="17"/>
          <w:rFonts w:ascii="仿宋" w:hAnsi="仿宋" w:eastAsia="仿宋"/>
          <w:b w:val="0"/>
          <w:bCs w:val="0"/>
          <w:sz w:val="32"/>
          <w:szCs w:val="32"/>
        </w:rPr>
      </w:pPr>
      <w:bookmarkStart w:id="65" w:name="_Toc15396617"/>
      <w:r>
        <w:rPr>
          <w:rStyle w:val="17"/>
          <w:rFonts w:hint="eastAsia" w:ascii="仿宋" w:hAnsi="仿宋" w:eastAsia="仿宋"/>
          <w:b w:val="0"/>
          <w:bCs w:val="0"/>
          <w:sz w:val="32"/>
          <w:szCs w:val="32"/>
        </w:rPr>
        <w:t>附件</w:t>
      </w:r>
      <w:r>
        <w:rPr>
          <w:rStyle w:val="17"/>
          <w:rFonts w:ascii="仿宋" w:hAnsi="仿宋" w:eastAsia="仿宋"/>
          <w:b w:val="0"/>
          <w:bCs w:val="0"/>
          <w:sz w:val="32"/>
          <w:szCs w:val="32"/>
        </w:rPr>
        <w:t>2</w:t>
      </w:r>
      <w:bookmarkEnd w:id="65"/>
    </w:p>
    <w:p>
      <w:pPr>
        <w:spacing w:line="580" w:lineRule="exact"/>
        <w:jc w:val="center"/>
        <w:rPr>
          <w:rFonts w:ascii="黑体" w:hAnsi="黑体" w:eastAsia="黑体" w:cs="方正小标宋简体"/>
          <w:sz w:val="44"/>
          <w:szCs w:val="44"/>
        </w:rPr>
      </w:pPr>
      <w:bookmarkStart w:id="66" w:name="_Toc15396618"/>
    </w:p>
    <w:p>
      <w:pPr>
        <w:spacing w:line="580" w:lineRule="exact"/>
        <w:jc w:val="center"/>
        <w:rPr>
          <w:rFonts w:ascii="黑体" w:hAnsi="黑体" w:eastAsia="黑体" w:cs="方正小标宋简体"/>
          <w:sz w:val="44"/>
          <w:szCs w:val="44"/>
        </w:rPr>
      </w:pPr>
      <w:r>
        <w:rPr>
          <w:rFonts w:ascii="黑体" w:hAnsi="黑体" w:eastAsia="黑体" w:cs="方正小标宋简体"/>
          <w:sz w:val="44"/>
          <w:szCs w:val="44"/>
        </w:rPr>
        <w:t>2018</w:t>
      </w:r>
      <w:r>
        <w:rPr>
          <w:rFonts w:hint="eastAsia" w:ascii="黑体" w:hAnsi="黑体" w:eastAsia="黑体" w:cs="方正小标宋简体"/>
          <w:sz w:val="44"/>
          <w:szCs w:val="44"/>
        </w:rPr>
        <w:t>年攀枝花市交通建设工程质量监督站设备购置费项目支出绩效评价报告</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宋体" w:cs="仿宋_GB2312"/>
          <w:sz w:val="32"/>
          <w:szCs w:val="32"/>
        </w:rPr>
      </w:pPr>
      <w:r>
        <w:rPr>
          <w:rFonts w:hint="eastAsia" w:ascii="宋体" w:hAnsi="宋体" w:cs="仿宋_GB2312"/>
          <w:sz w:val="32"/>
          <w:szCs w:val="32"/>
        </w:rPr>
        <w:t>一、评价工作开展及项目情况</w:t>
      </w:r>
    </w:p>
    <w:p>
      <w:pPr>
        <w:spacing w:line="580" w:lineRule="exact"/>
        <w:ind w:firstLine="640" w:firstLineChars="200"/>
        <w:rPr>
          <w:rFonts w:ascii="宋体" w:cs="仿宋_GB2312"/>
          <w:sz w:val="32"/>
          <w:szCs w:val="32"/>
        </w:rPr>
      </w:pPr>
      <w:r>
        <w:rPr>
          <w:rFonts w:hint="eastAsia" w:ascii="宋体" w:hAnsi="宋体" w:cs="仿宋_GB2312"/>
          <w:sz w:val="32"/>
          <w:szCs w:val="32"/>
        </w:rPr>
        <w:t>项目评价实施方案情况：按照《部门预算项目支出绩效目标申报表》中的内容逐一进行评价。</w:t>
      </w:r>
    </w:p>
    <w:p>
      <w:pPr>
        <w:spacing w:line="580" w:lineRule="exact"/>
        <w:ind w:firstLine="640" w:firstLineChars="200"/>
        <w:rPr>
          <w:rFonts w:ascii="宋体" w:cs="仿宋_GB2312"/>
          <w:sz w:val="32"/>
          <w:szCs w:val="32"/>
        </w:rPr>
      </w:pPr>
      <w:r>
        <w:rPr>
          <w:rFonts w:hint="eastAsia" w:ascii="宋体" w:hAnsi="宋体" w:cs="仿宋_GB2312"/>
          <w:sz w:val="32"/>
          <w:szCs w:val="32"/>
        </w:rPr>
        <w:t>二、评价结论及绩效分析</w:t>
      </w:r>
    </w:p>
    <w:p>
      <w:pPr>
        <w:spacing w:line="580" w:lineRule="exact"/>
        <w:ind w:firstLine="640" w:firstLineChars="200"/>
        <w:rPr>
          <w:rFonts w:ascii="宋体" w:cs="仿宋_GB2312"/>
          <w:sz w:val="32"/>
          <w:szCs w:val="32"/>
        </w:rPr>
      </w:pPr>
      <w:r>
        <w:rPr>
          <w:rFonts w:hint="eastAsia" w:ascii="宋体" w:hAnsi="宋体" w:cs="仿宋_GB2312"/>
          <w:sz w:val="32"/>
          <w:szCs w:val="32"/>
        </w:rPr>
        <w:t>（一）评价结论</w:t>
      </w:r>
    </w:p>
    <w:p>
      <w:pPr>
        <w:spacing w:line="580" w:lineRule="exact"/>
        <w:ind w:firstLine="640" w:firstLineChars="200"/>
        <w:rPr>
          <w:rFonts w:ascii="宋体" w:cs="仿宋_GB2312"/>
          <w:sz w:val="32"/>
          <w:szCs w:val="32"/>
        </w:rPr>
      </w:pPr>
      <w:r>
        <w:rPr>
          <w:rFonts w:hint="eastAsia" w:ascii="宋体" w:hAnsi="宋体" w:cs="仿宋_GB2312"/>
          <w:sz w:val="32"/>
          <w:szCs w:val="32"/>
        </w:rPr>
        <w:t>项目绩效评价总体结论：本项目按质按量如期完成。</w:t>
      </w:r>
    </w:p>
    <w:p>
      <w:pPr>
        <w:spacing w:line="580" w:lineRule="exact"/>
        <w:ind w:firstLine="640" w:firstLineChars="200"/>
        <w:rPr>
          <w:rFonts w:ascii="宋体" w:cs="仿宋_GB2312"/>
          <w:sz w:val="32"/>
          <w:szCs w:val="32"/>
        </w:rPr>
      </w:pPr>
      <w:r>
        <w:rPr>
          <w:rFonts w:hint="eastAsia" w:ascii="宋体" w:hAnsi="宋体" w:cs="仿宋_GB2312"/>
          <w:sz w:val="32"/>
          <w:szCs w:val="32"/>
        </w:rPr>
        <w:t>（二）绩效分析</w:t>
      </w:r>
    </w:p>
    <w:p>
      <w:pPr>
        <w:spacing w:line="580" w:lineRule="exact"/>
        <w:ind w:firstLine="640" w:firstLineChars="200"/>
        <w:rPr>
          <w:rFonts w:ascii="宋体" w:cs="仿宋_GB2312"/>
          <w:sz w:val="32"/>
          <w:szCs w:val="32"/>
        </w:rPr>
      </w:pPr>
      <w:r>
        <w:rPr>
          <w:rFonts w:ascii="宋体" w:hAnsi="宋体" w:cs="仿宋_GB2312"/>
          <w:sz w:val="32"/>
          <w:szCs w:val="32"/>
        </w:rPr>
        <w:t>1</w:t>
      </w:r>
      <w:r>
        <w:rPr>
          <w:rFonts w:hint="eastAsia" w:ascii="宋体" w:hAnsi="宋体" w:cs="仿宋_GB2312"/>
          <w:sz w:val="32"/>
          <w:szCs w:val="32"/>
        </w:rPr>
        <w:t>、项目决策</w:t>
      </w:r>
    </w:p>
    <w:p>
      <w:pPr>
        <w:spacing w:line="580" w:lineRule="exact"/>
        <w:ind w:firstLine="640" w:firstLineChars="200"/>
        <w:rPr>
          <w:rFonts w:ascii="宋体" w:cs="仿宋_GB2312"/>
          <w:sz w:val="32"/>
          <w:szCs w:val="32"/>
        </w:rPr>
      </w:pPr>
      <w:r>
        <w:rPr>
          <w:rFonts w:hint="eastAsia" w:ascii="宋体" w:hAnsi="宋体" w:cs="仿宋_GB2312"/>
          <w:sz w:val="32"/>
          <w:szCs w:val="32"/>
        </w:rPr>
        <w:t>本项目用于购置的设备使用，设备为特种车辆，经市财政局批准购买。为保证工程质量及时有效的监督，我单位必须保证有一辆特种车辆，绩效目标设置为控制工程质量，既明确又合理。</w:t>
      </w:r>
    </w:p>
    <w:p>
      <w:pPr>
        <w:spacing w:line="580" w:lineRule="exact"/>
        <w:ind w:firstLine="640" w:firstLineChars="200"/>
        <w:rPr>
          <w:rFonts w:ascii="宋体" w:cs="仿宋_GB2312"/>
          <w:sz w:val="32"/>
          <w:szCs w:val="32"/>
        </w:rPr>
      </w:pPr>
      <w:r>
        <w:rPr>
          <w:rFonts w:ascii="宋体" w:hAnsi="宋体" w:cs="仿宋_GB2312"/>
          <w:sz w:val="32"/>
          <w:szCs w:val="32"/>
        </w:rPr>
        <w:t>2</w:t>
      </w:r>
      <w:r>
        <w:rPr>
          <w:rFonts w:hint="eastAsia" w:ascii="宋体" w:hAnsi="宋体" w:cs="仿宋_GB2312"/>
          <w:sz w:val="32"/>
          <w:szCs w:val="32"/>
        </w:rPr>
        <w:t>、项目管理</w:t>
      </w:r>
    </w:p>
    <w:p>
      <w:pPr>
        <w:spacing w:line="580" w:lineRule="exact"/>
        <w:ind w:firstLine="640" w:firstLineChars="200"/>
        <w:rPr>
          <w:rFonts w:ascii="宋体" w:cs="仿宋_GB2312"/>
          <w:sz w:val="32"/>
          <w:szCs w:val="32"/>
        </w:rPr>
      </w:pPr>
      <w:r>
        <w:rPr>
          <w:rFonts w:hint="eastAsia" w:ascii="宋体" w:hAnsi="宋体" w:cs="仿宋_GB2312"/>
          <w:sz w:val="32"/>
          <w:szCs w:val="32"/>
        </w:rPr>
        <w:t>本项目预算</w:t>
      </w:r>
      <w:r>
        <w:rPr>
          <w:rFonts w:ascii="宋体" w:hAnsi="宋体" w:cs="仿宋_GB2312"/>
          <w:sz w:val="32"/>
          <w:szCs w:val="32"/>
        </w:rPr>
        <w:t>13.5</w:t>
      </w:r>
      <w:r>
        <w:rPr>
          <w:rFonts w:hint="eastAsia" w:ascii="宋体" w:hAnsi="宋体" w:cs="仿宋_GB2312"/>
          <w:sz w:val="32"/>
          <w:szCs w:val="32"/>
        </w:rPr>
        <w:t>万元，实际使用</w:t>
      </w:r>
      <w:r>
        <w:rPr>
          <w:rFonts w:ascii="宋体" w:hAnsi="宋体" w:cs="仿宋_GB2312"/>
          <w:sz w:val="32"/>
          <w:szCs w:val="32"/>
        </w:rPr>
        <w:t>12.82</w:t>
      </w:r>
      <w:r>
        <w:rPr>
          <w:rFonts w:hint="eastAsia" w:ascii="宋体" w:hAnsi="宋体" w:cs="仿宋_GB2312"/>
          <w:sz w:val="32"/>
          <w:szCs w:val="32"/>
        </w:rPr>
        <w:t>万元，资金分配管理科学、合理、规范性。</w:t>
      </w:r>
    </w:p>
    <w:p>
      <w:pPr>
        <w:spacing w:line="580" w:lineRule="exact"/>
        <w:ind w:firstLine="640" w:firstLineChars="200"/>
        <w:rPr>
          <w:rFonts w:ascii="宋体" w:cs="仿宋_GB2312"/>
          <w:sz w:val="32"/>
          <w:szCs w:val="32"/>
        </w:rPr>
      </w:pPr>
      <w:r>
        <w:rPr>
          <w:rFonts w:ascii="宋体" w:hAnsi="宋体" w:cs="仿宋_GB2312"/>
          <w:sz w:val="32"/>
          <w:szCs w:val="32"/>
        </w:rPr>
        <w:t>3</w:t>
      </w:r>
      <w:r>
        <w:rPr>
          <w:rFonts w:hint="eastAsia" w:ascii="宋体" w:hAnsi="宋体" w:cs="仿宋_GB2312"/>
          <w:sz w:val="32"/>
          <w:szCs w:val="32"/>
        </w:rPr>
        <w:t>、项目绩效</w:t>
      </w:r>
    </w:p>
    <w:p>
      <w:pPr>
        <w:spacing w:line="580" w:lineRule="exact"/>
        <w:ind w:firstLine="640" w:firstLineChars="200"/>
        <w:rPr>
          <w:rFonts w:ascii="宋体" w:cs="仿宋_GB2312"/>
          <w:sz w:val="32"/>
          <w:szCs w:val="32"/>
        </w:rPr>
      </w:pPr>
      <w:r>
        <w:rPr>
          <w:rFonts w:hint="eastAsia" w:ascii="宋体" w:hAnsi="宋体" w:cs="仿宋_GB2312"/>
          <w:sz w:val="32"/>
          <w:szCs w:val="32"/>
        </w:rPr>
        <w:t>项目目标完成情况（数量指标：购买</w:t>
      </w:r>
      <w:r>
        <w:rPr>
          <w:rFonts w:ascii="宋体" w:hAnsi="宋体" w:cs="仿宋_GB2312"/>
          <w:sz w:val="32"/>
          <w:szCs w:val="32"/>
        </w:rPr>
        <w:t>1</w:t>
      </w:r>
      <w:r>
        <w:rPr>
          <w:rFonts w:hint="eastAsia" w:ascii="宋体" w:hAnsi="宋体" w:cs="仿宋_GB2312"/>
          <w:sz w:val="32"/>
          <w:szCs w:val="32"/>
        </w:rPr>
        <w:t>台特种车辆；质量指标：保证工程质量合格；时效指标：</w:t>
      </w:r>
      <w:r>
        <w:rPr>
          <w:rFonts w:ascii="宋体" w:hAnsi="宋体" w:cs="仿宋_GB2312"/>
          <w:sz w:val="32"/>
          <w:szCs w:val="32"/>
        </w:rPr>
        <w:t>2018</w:t>
      </w:r>
      <w:r>
        <w:rPr>
          <w:rFonts w:hint="eastAsia" w:ascii="宋体" w:hAnsi="宋体" w:cs="仿宋_GB2312"/>
          <w:sz w:val="32"/>
          <w:szCs w:val="32"/>
        </w:rPr>
        <w:t>年</w:t>
      </w:r>
      <w:r>
        <w:rPr>
          <w:rFonts w:ascii="宋体" w:hAnsi="宋体" w:cs="仿宋_GB2312"/>
          <w:sz w:val="32"/>
          <w:szCs w:val="32"/>
        </w:rPr>
        <w:t>12</w:t>
      </w:r>
      <w:r>
        <w:rPr>
          <w:rFonts w:hint="eastAsia" w:ascii="宋体" w:hAnsi="宋体" w:cs="仿宋_GB2312"/>
          <w:sz w:val="32"/>
          <w:szCs w:val="32"/>
        </w:rPr>
        <w:t>月前已购买完成；成本指标：购买特种车辆共计花费</w:t>
      </w:r>
      <w:r>
        <w:rPr>
          <w:rFonts w:ascii="宋体" w:hAnsi="宋体" w:cs="仿宋_GB2312"/>
          <w:sz w:val="32"/>
          <w:szCs w:val="32"/>
        </w:rPr>
        <w:t>12.82</w:t>
      </w:r>
      <w:r>
        <w:rPr>
          <w:rFonts w:hint="eastAsia" w:ascii="宋体" w:hAnsi="宋体" w:cs="仿宋_GB2312"/>
          <w:sz w:val="32"/>
          <w:szCs w:val="32"/>
        </w:rPr>
        <w:t>万元），项目效益情况（项目社会效益指标：工程质量监督及时可持续效益指标：≥设备合理使用年限、资金使用效率达</w:t>
      </w:r>
      <w:r>
        <w:rPr>
          <w:rFonts w:ascii="宋体" w:hAnsi="宋体" w:cs="仿宋_GB2312"/>
          <w:sz w:val="32"/>
          <w:szCs w:val="32"/>
        </w:rPr>
        <w:t>100%</w:t>
      </w:r>
      <w:r>
        <w:rPr>
          <w:rFonts w:hint="eastAsia" w:ascii="宋体" w:hAnsi="宋体" w:cs="仿宋_GB2312"/>
          <w:sz w:val="32"/>
          <w:szCs w:val="32"/>
        </w:rPr>
        <w:t>、受益群体满意度≥</w:t>
      </w:r>
      <w:r>
        <w:rPr>
          <w:rFonts w:ascii="宋体" w:hAnsi="宋体" w:cs="仿宋_GB2312"/>
          <w:sz w:val="32"/>
          <w:szCs w:val="32"/>
        </w:rPr>
        <w:t>100%</w:t>
      </w:r>
      <w:r>
        <w:rPr>
          <w:rFonts w:hint="eastAsia" w:ascii="宋体" w:hAnsi="宋体" w:cs="仿宋_GB2312"/>
          <w:sz w:val="32"/>
          <w:szCs w:val="32"/>
        </w:rPr>
        <w:t>）。</w:t>
      </w:r>
    </w:p>
    <w:p>
      <w:pPr>
        <w:spacing w:line="580" w:lineRule="exact"/>
        <w:ind w:firstLine="640" w:firstLineChars="200"/>
        <w:rPr>
          <w:rFonts w:ascii="宋体" w:cs="仿宋_GB2312"/>
          <w:sz w:val="32"/>
          <w:szCs w:val="32"/>
        </w:rPr>
      </w:pPr>
      <w:r>
        <w:rPr>
          <w:rFonts w:hint="eastAsia" w:ascii="宋体" w:hAnsi="宋体" w:cs="仿宋_GB2312"/>
          <w:sz w:val="32"/>
          <w:szCs w:val="32"/>
        </w:rPr>
        <w:t>三、存在主要问题</w:t>
      </w:r>
    </w:p>
    <w:p>
      <w:pPr>
        <w:spacing w:line="580" w:lineRule="exact"/>
        <w:ind w:firstLine="640" w:firstLineChars="200"/>
        <w:rPr>
          <w:rFonts w:ascii="宋体" w:cs="仿宋_GB2312"/>
          <w:sz w:val="32"/>
          <w:szCs w:val="32"/>
        </w:rPr>
      </w:pPr>
      <w:r>
        <w:rPr>
          <w:rFonts w:hint="eastAsia" w:ascii="宋体" w:hAnsi="宋体" w:cs="仿宋_GB2312"/>
          <w:sz w:val="32"/>
          <w:szCs w:val="32"/>
        </w:rPr>
        <w:t>无</w:t>
      </w:r>
    </w:p>
    <w:p>
      <w:pPr>
        <w:spacing w:line="580" w:lineRule="exact"/>
        <w:ind w:firstLine="640" w:firstLineChars="200"/>
        <w:rPr>
          <w:rFonts w:ascii="宋体" w:cs="仿宋_GB2312"/>
          <w:sz w:val="32"/>
          <w:szCs w:val="32"/>
        </w:rPr>
      </w:pPr>
      <w:r>
        <w:rPr>
          <w:rFonts w:hint="eastAsia" w:ascii="宋体" w:hAnsi="宋体" w:cs="仿宋_GB2312"/>
          <w:sz w:val="32"/>
          <w:szCs w:val="32"/>
        </w:rPr>
        <w:t>四、相关措施建议</w:t>
      </w:r>
    </w:p>
    <w:p>
      <w:pPr>
        <w:spacing w:line="580" w:lineRule="exact"/>
        <w:ind w:firstLine="640" w:firstLineChars="200"/>
        <w:rPr>
          <w:rStyle w:val="17"/>
          <w:rFonts w:ascii="宋体" w:cs="仿宋_GB2312"/>
          <w:b w:val="0"/>
          <w:bCs w:val="0"/>
          <w:sz w:val="32"/>
          <w:szCs w:val="32"/>
        </w:rPr>
      </w:pPr>
      <w:r>
        <w:rPr>
          <w:rFonts w:hint="eastAsia" w:ascii="宋体" w:hAnsi="宋体" w:cs="仿宋_GB2312"/>
          <w:sz w:val="32"/>
          <w:szCs w:val="32"/>
        </w:rPr>
        <w:t>无</w:t>
      </w: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攀枝花市交通运输管理处</w:t>
      </w:r>
    </w:p>
    <w:p>
      <w:pPr>
        <w:spacing w:line="580" w:lineRule="exact"/>
        <w:jc w:val="center"/>
        <w:rPr>
          <w:rFonts w:ascii="黑体" w:hAnsi="黑体" w:eastAsia="黑体" w:cs="方正小标宋简体"/>
          <w:sz w:val="44"/>
          <w:szCs w:val="44"/>
        </w:rPr>
      </w:pPr>
      <w:r>
        <w:rPr>
          <w:rFonts w:ascii="黑体" w:hAnsi="黑体" w:eastAsia="黑体" w:cs="方正小标宋简体"/>
          <w:sz w:val="44"/>
          <w:szCs w:val="44"/>
        </w:rPr>
        <w:t>2018</w:t>
      </w:r>
      <w:r>
        <w:rPr>
          <w:rFonts w:hint="eastAsia" w:ascii="黑体" w:hAnsi="黑体" w:eastAsia="黑体" w:cs="方正小标宋简体"/>
          <w:sz w:val="44"/>
          <w:szCs w:val="44"/>
        </w:rPr>
        <w:t>年业务运行费项目支出绩效评价报告</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宋体" w:cs="仿宋_GB2312"/>
          <w:sz w:val="32"/>
          <w:szCs w:val="32"/>
        </w:rPr>
      </w:pPr>
      <w:r>
        <w:rPr>
          <w:rFonts w:hint="eastAsia" w:ascii="宋体" w:hAnsi="宋体" w:cs="仿宋_GB2312"/>
          <w:sz w:val="32"/>
          <w:szCs w:val="32"/>
        </w:rPr>
        <w:t>一、项目情况及评价工作开展</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仿宋_GB2312"/>
          <w:snapToGrid w:val="0"/>
          <w:sz w:val="32"/>
          <w:szCs w:val="32"/>
        </w:rPr>
      </w:pPr>
      <w:r>
        <w:rPr>
          <w:rFonts w:hint="eastAsia" w:ascii="宋体" w:hAnsi="宋体" w:cs="仿宋_GB2312"/>
          <w:snapToGrid w:val="0"/>
          <w:sz w:val="32"/>
          <w:szCs w:val="32"/>
        </w:rPr>
        <w:t>运管业务</w:t>
      </w:r>
      <w:r>
        <w:rPr>
          <w:rFonts w:hint="eastAsia" w:ascii="宋体" w:hAnsi="宋体" w:cs="仿宋_GB2312"/>
          <w:color w:val="333333"/>
          <w:kern w:val="0"/>
          <w:sz w:val="32"/>
          <w:szCs w:val="32"/>
        </w:rPr>
        <w:t>费是一项日常性管理工作经费。本项目属于持续性、常年性项目，按财政支出功能分类属于其他公路水路运输支出、成品油价格改革补贴其他支出。</w:t>
      </w:r>
    </w:p>
    <w:p>
      <w:pPr>
        <w:pStyle w:val="12"/>
        <w:shd w:val="clear" w:color="auto" w:fill="FFFFFF"/>
        <w:spacing w:before="75" w:beforeAutospacing="0" w:after="75" w:afterAutospacing="0" w:line="555" w:lineRule="atLeast"/>
        <w:ind w:firstLine="600"/>
        <w:rPr>
          <w:rFonts w:cs="仿宋_GB2312"/>
          <w:sz w:val="32"/>
          <w:szCs w:val="32"/>
        </w:rPr>
      </w:pPr>
      <w:r>
        <w:rPr>
          <w:rFonts w:hint="eastAsia" w:cs="仿宋_GB2312"/>
          <w:snapToGrid w:val="0"/>
          <w:sz w:val="32"/>
          <w:szCs w:val="32"/>
        </w:rPr>
        <w:t>我处根据绩效管理要求和该项目以前年度实际运行情况</w:t>
      </w:r>
      <w:r>
        <w:rPr>
          <w:rFonts w:hint="eastAsia" w:cs="仿宋_GB2312"/>
          <w:color w:val="000000"/>
          <w:sz w:val="32"/>
          <w:szCs w:val="32"/>
          <w:shd w:val="clear" w:color="auto" w:fill="FFFFFF"/>
        </w:rPr>
        <w:t>设置了三级指标，并采取打分评价的形式，满分为</w:t>
      </w:r>
      <w:r>
        <w:rPr>
          <w:rFonts w:cs="仿宋_GB2312"/>
          <w:color w:val="000000"/>
          <w:sz w:val="32"/>
          <w:szCs w:val="32"/>
          <w:shd w:val="clear" w:color="auto" w:fill="FFFFFF"/>
        </w:rPr>
        <w:t>100</w:t>
      </w:r>
      <w:r>
        <w:rPr>
          <w:rFonts w:hint="eastAsia" w:cs="仿宋_GB2312"/>
          <w:color w:val="000000"/>
          <w:sz w:val="32"/>
          <w:szCs w:val="32"/>
          <w:shd w:val="clear" w:color="auto" w:fill="FFFFFF"/>
        </w:rPr>
        <w:t>分。一级指标权重统一设置为：产出指标</w:t>
      </w:r>
      <w:r>
        <w:rPr>
          <w:rFonts w:cs="仿宋_GB2312"/>
          <w:color w:val="000000"/>
          <w:sz w:val="32"/>
          <w:szCs w:val="32"/>
          <w:shd w:val="clear" w:color="auto" w:fill="FFFFFF"/>
        </w:rPr>
        <w:t>50</w:t>
      </w:r>
      <w:r>
        <w:rPr>
          <w:rFonts w:hint="eastAsia" w:cs="仿宋_GB2312"/>
          <w:color w:val="000000"/>
          <w:sz w:val="32"/>
          <w:szCs w:val="32"/>
          <w:shd w:val="clear" w:color="auto" w:fill="FFFFFF"/>
        </w:rPr>
        <w:t>分、效益指标</w:t>
      </w:r>
      <w:r>
        <w:rPr>
          <w:rFonts w:cs="仿宋_GB2312"/>
          <w:color w:val="000000"/>
          <w:sz w:val="32"/>
          <w:szCs w:val="32"/>
          <w:shd w:val="clear" w:color="auto" w:fill="FFFFFF"/>
        </w:rPr>
        <w:t>30</w:t>
      </w:r>
      <w:r>
        <w:rPr>
          <w:rFonts w:hint="eastAsia" w:cs="仿宋_GB2312"/>
          <w:color w:val="000000"/>
          <w:sz w:val="32"/>
          <w:szCs w:val="32"/>
          <w:shd w:val="clear" w:color="auto" w:fill="FFFFFF"/>
        </w:rPr>
        <w:t>分、满意度指标</w:t>
      </w:r>
      <w:r>
        <w:rPr>
          <w:rFonts w:cs="仿宋_GB2312"/>
          <w:color w:val="000000"/>
          <w:sz w:val="32"/>
          <w:szCs w:val="32"/>
          <w:shd w:val="clear" w:color="auto" w:fill="FFFFFF"/>
        </w:rPr>
        <w:t>10</w:t>
      </w:r>
      <w:r>
        <w:rPr>
          <w:rFonts w:hint="eastAsia" w:cs="仿宋_GB2312"/>
          <w:color w:val="000000"/>
          <w:sz w:val="32"/>
          <w:szCs w:val="32"/>
          <w:shd w:val="clear" w:color="auto" w:fill="FFFFFF"/>
        </w:rPr>
        <w:t>分、预算资金执行率</w:t>
      </w:r>
      <w:r>
        <w:rPr>
          <w:rFonts w:cs="仿宋_GB2312"/>
          <w:color w:val="000000"/>
          <w:sz w:val="32"/>
          <w:szCs w:val="32"/>
          <w:shd w:val="clear" w:color="auto" w:fill="FFFFFF"/>
        </w:rPr>
        <w:t>10</w:t>
      </w:r>
      <w:r>
        <w:rPr>
          <w:rFonts w:hint="eastAsia" w:cs="仿宋_GB2312"/>
          <w:color w:val="000000"/>
          <w:sz w:val="32"/>
          <w:szCs w:val="32"/>
          <w:shd w:val="clear" w:color="auto" w:fill="FFFFFF"/>
        </w:rPr>
        <w:t>分。产出完成指标设置</w:t>
      </w:r>
      <w:r>
        <w:rPr>
          <w:rFonts w:cs="仿宋_GB2312"/>
          <w:color w:val="000000"/>
          <w:sz w:val="32"/>
          <w:szCs w:val="32"/>
          <w:shd w:val="clear" w:color="auto" w:fill="FFFFFF"/>
        </w:rPr>
        <w:t>4</w:t>
      </w:r>
      <w:r>
        <w:rPr>
          <w:rFonts w:hint="eastAsia" w:cs="仿宋_GB2312"/>
          <w:color w:val="000000"/>
          <w:sz w:val="32"/>
          <w:szCs w:val="32"/>
          <w:shd w:val="clear" w:color="auto" w:fill="FFFFFF"/>
        </w:rPr>
        <w:t>类二级指标，共</w:t>
      </w:r>
      <w:r>
        <w:rPr>
          <w:rFonts w:cs="仿宋_GB2312"/>
          <w:color w:val="000000"/>
          <w:sz w:val="32"/>
          <w:szCs w:val="32"/>
          <w:shd w:val="clear" w:color="auto" w:fill="FFFFFF"/>
        </w:rPr>
        <w:t>14</w:t>
      </w:r>
      <w:r>
        <w:rPr>
          <w:rFonts w:hint="eastAsia" w:cs="仿宋_GB2312"/>
          <w:color w:val="000000"/>
          <w:sz w:val="32"/>
          <w:szCs w:val="32"/>
          <w:shd w:val="clear" w:color="auto" w:fill="FFFFFF"/>
        </w:rPr>
        <w:t>个三级指标；效益指标设置</w:t>
      </w:r>
      <w:r>
        <w:rPr>
          <w:rFonts w:cs="仿宋_GB2312"/>
          <w:color w:val="000000"/>
          <w:sz w:val="32"/>
          <w:szCs w:val="32"/>
          <w:shd w:val="clear" w:color="auto" w:fill="FFFFFF"/>
        </w:rPr>
        <w:t>4</w:t>
      </w:r>
      <w:r>
        <w:rPr>
          <w:rFonts w:hint="eastAsia" w:cs="仿宋_GB2312"/>
          <w:color w:val="000000"/>
          <w:sz w:val="32"/>
          <w:szCs w:val="32"/>
          <w:shd w:val="clear" w:color="auto" w:fill="FFFFFF"/>
        </w:rPr>
        <w:t>类二级指标，共</w:t>
      </w:r>
      <w:r>
        <w:rPr>
          <w:rFonts w:cs="仿宋_GB2312"/>
          <w:color w:val="000000"/>
          <w:sz w:val="32"/>
          <w:szCs w:val="32"/>
          <w:shd w:val="clear" w:color="auto" w:fill="FFFFFF"/>
        </w:rPr>
        <w:t>4</w:t>
      </w:r>
      <w:r>
        <w:rPr>
          <w:rFonts w:hint="eastAsia" w:cs="仿宋_GB2312"/>
          <w:color w:val="000000"/>
          <w:sz w:val="32"/>
          <w:szCs w:val="32"/>
          <w:shd w:val="clear" w:color="auto" w:fill="FFFFFF"/>
        </w:rPr>
        <w:t>个三级指标；满意度指标设置</w:t>
      </w:r>
      <w:r>
        <w:rPr>
          <w:rFonts w:cs="仿宋_GB2312"/>
          <w:color w:val="000000"/>
          <w:sz w:val="32"/>
          <w:szCs w:val="32"/>
          <w:shd w:val="clear" w:color="auto" w:fill="FFFFFF"/>
        </w:rPr>
        <w:t>2</w:t>
      </w:r>
      <w:r>
        <w:rPr>
          <w:rFonts w:hint="eastAsia" w:cs="仿宋_GB2312"/>
          <w:color w:val="000000"/>
          <w:sz w:val="32"/>
          <w:szCs w:val="32"/>
          <w:shd w:val="clear" w:color="auto" w:fill="FFFFFF"/>
        </w:rPr>
        <w:t>类二级指标，共</w:t>
      </w:r>
      <w:r>
        <w:rPr>
          <w:rFonts w:cs="仿宋_GB2312"/>
          <w:color w:val="000000"/>
          <w:sz w:val="32"/>
          <w:szCs w:val="32"/>
          <w:shd w:val="clear" w:color="auto" w:fill="FFFFFF"/>
        </w:rPr>
        <w:t>2</w:t>
      </w:r>
      <w:r>
        <w:rPr>
          <w:rFonts w:hint="eastAsia" w:cs="仿宋_GB2312"/>
          <w:color w:val="000000"/>
          <w:sz w:val="32"/>
          <w:szCs w:val="32"/>
          <w:shd w:val="clear" w:color="auto" w:fill="FFFFFF"/>
        </w:rPr>
        <w:t>个三级指标；项目依据各级指标逐项分析评价打分。</w:t>
      </w:r>
    </w:p>
    <w:p>
      <w:pPr>
        <w:spacing w:line="580" w:lineRule="exact"/>
        <w:ind w:firstLine="640" w:firstLineChars="200"/>
        <w:rPr>
          <w:rFonts w:ascii="宋体" w:cs="仿宋_GB2312"/>
          <w:sz w:val="32"/>
          <w:szCs w:val="32"/>
        </w:rPr>
      </w:pPr>
      <w:r>
        <w:rPr>
          <w:rFonts w:hint="eastAsia" w:ascii="宋体" w:hAnsi="宋体" w:cs="仿宋_GB2312"/>
          <w:sz w:val="32"/>
          <w:szCs w:val="32"/>
        </w:rPr>
        <w:t>二、评价结论及绩效分析</w:t>
      </w:r>
    </w:p>
    <w:p>
      <w:pPr>
        <w:spacing w:line="580" w:lineRule="exact"/>
        <w:ind w:firstLine="640" w:firstLineChars="200"/>
        <w:rPr>
          <w:rFonts w:ascii="宋体" w:cs="仿宋_GB2312"/>
          <w:sz w:val="32"/>
          <w:szCs w:val="32"/>
        </w:rPr>
      </w:pPr>
      <w:r>
        <w:rPr>
          <w:rFonts w:hint="eastAsia" w:ascii="宋体" w:hAnsi="宋体" w:cs="仿宋_GB2312"/>
          <w:sz w:val="32"/>
          <w:szCs w:val="32"/>
        </w:rPr>
        <w:t>（一）评价结论</w:t>
      </w:r>
    </w:p>
    <w:p>
      <w:pPr>
        <w:spacing w:line="520" w:lineRule="exact"/>
        <w:ind w:firstLine="640"/>
        <w:rPr>
          <w:rFonts w:ascii="宋体" w:cs="仿宋_GB2312"/>
          <w:sz w:val="32"/>
          <w:szCs w:val="32"/>
        </w:rPr>
      </w:pPr>
      <w:r>
        <w:rPr>
          <w:rFonts w:hint="eastAsia" w:ascii="宋体" w:hAnsi="宋体" w:cs="仿宋_GB2312"/>
          <w:bCs/>
          <w:snapToGrid w:val="0"/>
          <w:color w:val="000000"/>
          <w:sz w:val="32"/>
          <w:szCs w:val="32"/>
        </w:rPr>
        <w:t>该项目支出</w:t>
      </w:r>
      <w:r>
        <w:rPr>
          <w:rFonts w:hint="eastAsia" w:ascii="宋体" w:hAnsi="宋体" w:cs="仿宋_GB2312"/>
          <w:snapToGrid w:val="0"/>
          <w:sz w:val="32"/>
          <w:szCs w:val="32"/>
        </w:rPr>
        <w:t>保障了道路客运、城市客运、维修、货运、驾培、行业源头安全监管等道路运输管理工作的正常开展，</w:t>
      </w:r>
      <w:r>
        <w:rPr>
          <w:rFonts w:hint="eastAsia" w:ascii="宋体" w:hAnsi="宋体" w:cs="仿宋_GB2312"/>
          <w:bCs/>
          <w:snapToGrid w:val="0"/>
          <w:color w:val="000000"/>
          <w:sz w:val="32"/>
          <w:szCs w:val="32"/>
        </w:rPr>
        <w:t>一定程度上促进了道路运输行业发展和稳定。支出达到预期绩效目标。</w:t>
      </w:r>
      <w:r>
        <w:rPr>
          <w:rFonts w:hint="eastAsia" w:ascii="宋体" w:hAnsi="宋体" w:cs="仿宋_GB2312"/>
          <w:sz w:val="32"/>
          <w:szCs w:val="32"/>
        </w:rPr>
        <w:t>项目绩效评价得分</w:t>
      </w:r>
      <w:r>
        <w:rPr>
          <w:rFonts w:ascii="宋体" w:hAnsi="宋体" w:cs="仿宋_GB2312"/>
          <w:sz w:val="32"/>
          <w:szCs w:val="32"/>
        </w:rPr>
        <w:t>94</w:t>
      </w:r>
      <w:r>
        <w:rPr>
          <w:rFonts w:hint="eastAsia" w:ascii="宋体" w:hAnsi="宋体" w:cs="仿宋_GB2312"/>
          <w:sz w:val="32"/>
          <w:szCs w:val="32"/>
        </w:rPr>
        <w:t>分，扣分主要为两个满意度指标各扣</w:t>
      </w:r>
      <w:r>
        <w:rPr>
          <w:rFonts w:ascii="宋体" w:hAnsi="宋体" w:cs="仿宋_GB2312"/>
          <w:sz w:val="32"/>
          <w:szCs w:val="32"/>
        </w:rPr>
        <w:t>2</w:t>
      </w:r>
      <w:r>
        <w:rPr>
          <w:rFonts w:hint="eastAsia" w:ascii="宋体" w:hAnsi="宋体" w:cs="仿宋_GB2312"/>
          <w:sz w:val="32"/>
          <w:szCs w:val="32"/>
        </w:rPr>
        <w:t>分，资金执行方面扣</w:t>
      </w:r>
      <w:r>
        <w:rPr>
          <w:rFonts w:ascii="宋体" w:hAnsi="宋体" w:cs="仿宋_GB2312"/>
          <w:sz w:val="32"/>
          <w:szCs w:val="32"/>
        </w:rPr>
        <w:t>2</w:t>
      </w:r>
      <w:r>
        <w:rPr>
          <w:rFonts w:hint="eastAsia" w:ascii="宋体" w:hAnsi="宋体" w:cs="仿宋_GB2312"/>
          <w:sz w:val="32"/>
          <w:szCs w:val="32"/>
        </w:rPr>
        <w:t>分，因该项目内部之间有所调剂，并未完全按年初设立的指标使用。</w:t>
      </w:r>
    </w:p>
    <w:p>
      <w:pPr>
        <w:spacing w:line="580" w:lineRule="exact"/>
        <w:ind w:firstLine="640" w:firstLineChars="200"/>
        <w:rPr>
          <w:rFonts w:ascii="宋体" w:cs="仿宋_GB2312"/>
          <w:sz w:val="32"/>
          <w:szCs w:val="32"/>
        </w:rPr>
      </w:pPr>
      <w:r>
        <w:rPr>
          <w:rFonts w:hint="eastAsia" w:ascii="宋体" w:hAnsi="宋体" w:cs="仿宋_GB2312"/>
          <w:sz w:val="32"/>
          <w:szCs w:val="32"/>
        </w:rPr>
        <w:t>（二）绩效分析</w:t>
      </w:r>
    </w:p>
    <w:p>
      <w:pPr>
        <w:spacing w:line="580" w:lineRule="exact"/>
        <w:ind w:firstLine="640" w:firstLineChars="200"/>
        <w:rPr>
          <w:rFonts w:ascii="宋体" w:cs="仿宋_GB2312"/>
          <w:sz w:val="32"/>
          <w:szCs w:val="32"/>
        </w:rPr>
      </w:pPr>
      <w:r>
        <w:rPr>
          <w:rFonts w:ascii="宋体" w:hAnsi="宋体" w:cs="仿宋_GB2312"/>
          <w:sz w:val="32"/>
          <w:szCs w:val="32"/>
        </w:rPr>
        <w:t>1</w:t>
      </w:r>
      <w:r>
        <w:rPr>
          <w:rFonts w:hint="eastAsia" w:ascii="宋体" w:hAnsi="宋体" w:cs="仿宋_GB2312"/>
          <w:sz w:val="32"/>
          <w:szCs w:val="32"/>
        </w:rPr>
        <w:t>、项目决策</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仿宋_GB2312"/>
          <w:color w:val="333333"/>
          <w:kern w:val="0"/>
          <w:sz w:val="32"/>
          <w:szCs w:val="32"/>
        </w:rPr>
      </w:pPr>
      <w:r>
        <w:rPr>
          <w:rFonts w:hint="eastAsia" w:ascii="宋体" w:hAnsi="宋体" w:cs="仿宋_GB2312"/>
          <w:color w:val="333333"/>
          <w:kern w:val="0"/>
          <w:sz w:val="32"/>
          <w:szCs w:val="32"/>
        </w:rPr>
        <w:t>该项目根据《中华人民共和国道路运输条例》、《四川省道路运输条例》、《中华人民共和国道路交通安全法》等文件依据和政府、上级门部署安排开展的道路运输业务运行类工作活动设置。</w:t>
      </w:r>
    </w:p>
    <w:p>
      <w:pPr>
        <w:spacing w:line="580" w:lineRule="exact"/>
        <w:ind w:firstLine="640" w:firstLineChars="200"/>
        <w:rPr>
          <w:rFonts w:ascii="宋体" w:cs="仿宋_GB2312"/>
          <w:sz w:val="32"/>
          <w:szCs w:val="32"/>
        </w:rPr>
      </w:pPr>
      <w:r>
        <w:rPr>
          <w:rFonts w:ascii="宋体" w:hAnsi="宋体" w:cs="仿宋_GB2312"/>
          <w:sz w:val="32"/>
          <w:szCs w:val="32"/>
        </w:rPr>
        <w:t>2</w:t>
      </w:r>
      <w:r>
        <w:rPr>
          <w:rFonts w:hint="eastAsia" w:ascii="宋体" w:hAnsi="宋体" w:cs="仿宋_GB2312"/>
          <w:sz w:val="32"/>
          <w:szCs w:val="32"/>
        </w:rPr>
        <w:t>、项目管理</w:t>
      </w:r>
    </w:p>
    <w:p>
      <w:pPr>
        <w:spacing w:line="580" w:lineRule="exact"/>
        <w:ind w:firstLine="640" w:firstLineChars="200"/>
        <w:rPr>
          <w:rFonts w:ascii="宋体" w:cs="仿宋_GB2312"/>
          <w:sz w:val="32"/>
          <w:szCs w:val="32"/>
        </w:rPr>
      </w:pPr>
      <w:r>
        <w:rPr>
          <w:rFonts w:hint="eastAsia" w:ascii="宋体" w:hAnsi="宋体" w:cs="仿宋_GB2312"/>
          <w:sz w:val="32"/>
          <w:szCs w:val="32"/>
        </w:rPr>
        <w:t>业务运行费项目预算金额</w:t>
      </w:r>
      <w:r>
        <w:rPr>
          <w:rFonts w:ascii="宋体" w:hAnsi="宋体" w:cs="仿宋_GB2312"/>
          <w:sz w:val="32"/>
          <w:szCs w:val="32"/>
        </w:rPr>
        <w:t>30.60</w:t>
      </w:r>
      <w:r>
        <w:rPr>
          <w:rFonts w:hint="eastAsia" w:ascii="宋体" w:hAnsi="宋体" w:cs="仿宋_GB2312"/>
          <w:sz w:val="32"/>
          <w:szCs w:val="32"/>
        </w:rPr>
        <w:t>万元，比上年下降</w:t>
      </w:r>
      <w:r>
        <w:rPr>
          <w:rFonts w:ascii="宋体" w:hAnsi="宋体" w:cs="仿宋_GB2312"/>
          <w:sz w:val="32"/>
          <w:szCs w:val="32"/>
        </w:rPr>
        <w:t>15%</w:t>
      </w:r>
      <w:r>
        <w:rPr>
          <w:rFonts w:hint="eastAsia" w:ascii="宋体" w:hAnsi="宋体" w:cs="仿宋_GB2312"/>
          <w:sz w:val="32"/>
          <w:szCs w:val="32"/>
        </w:rPr>
        <w:t>，具体分为行业管理经费</w:t>
      </w:r>
      <w:r>
        <w:rPr>
          <w:rFonts w:ascii="宋体" w:hAnsi="宋体" w:cs="仿宋_GB2312"/>
          <w:sz w:val="32"/>
          <w:szCs w:val="32"/>
        </w:rPr>
        <w:t>15</w:t>
      </w:r>
      <w:r>
        <w:rPr>
          <w:rFonts w:hint="eastAsia" w:ascii="宋体" w:hAnsi="宋体" w:cs="仿宋_GB2312"/>
          <w:sz w:val="32"/>
          <w:szCs w:val="32"/>
        </w:rPr>
        <w:t>万元</w:t>
      </w:r>
      <w:r>
        <w:rPr>
          <w:rFonts w:ascii="宋体" w:hAnsi="宋体" w:cs="仿宋_GB2312"/>
          <w:sz w:val="32"/>
          <w:szCs w:val="32"/>
        </w:rPr>
        <w:t>(</w:t>
      </w:r>
      <w:r>
        <w:rPr>
          <w:rFonts w:hint="eastAsia" w:ascii="宋体" w:hAnsi="宋体" w:cs="仿宋_GB2312"/>
          <w:sz w:val="32"/>
          <w:szCs w:val="32"/>
        </w:rPr>
        <w:t>道客、城客、维修、驾培、货运各</w:t>
      </w:r>
      <w:r>
        <w:rPr>
          <w:rFonts w:ascii="宋体" w:hAnsi="宋体" w:cs="仿宋_GB2312"/>
          <w:sz w:val="32"/>
          <w:szCs w:val="32"/>
        </w:rPr>
        <w:t>3</w:t>
      </w:r>
      <w:r>
        <w:rPr>
          <w:rFonts w:hint="eastAsia" w:ascii="宋体" w:hAnsi="宋体" w:cs="仿宋_GB2312"/>
          <w:sz w:val="32"/>
          <w:szCs w:val="32"/>
        </w:rPr>
        <w:t>万元</w:t>
      </w:r>
      <w:r>
        <w:rPr>
          <w:rFonts w:ascii="宋体" w:hAnsi="宋体" w:cs="仿宋_GB2312"/>
          <w:sz w:val="32"/>
          <w:szCs w:val="32"/>
        </w:rPr>
        <w:t>)</w:t>
      </w:r>
      <w:r>
        <w:rPr>
          <w:rFonts w:hint="eastAsia" w:ascii="宋体" w:hAnsi="宋体" w:cs="仿宋_GB2312"/>
          <w:sz w:val="32"/>
          <w:szCs w:val="32"/>
        </w:rPr>
        <w:t>，安全经费</w:t>
      </w:r>
      <w:r>
        <w:rPr>
          <w:rFonts w:ascii="宋体" w:hAnsi="宋体" w:cs="仿宋_GB2312"/>
          <w:sz w:val="32"/>
          <w:szCs w:val="32"/>
        </w:rPr>
        <w:t>8</w:t>
      </w:r>
      <w:r>
        <w:rPr>
          <w:rFonts w:hint="eastAsia" w:ascii="宋体" w:hAnsi="宋体" w:cs="仿宋_GB2312"/>
          <w:sz w:val="32"/>
          <w:szCs w:val="32"/>
        </w:rPr>
        <w:t>万元，委托业务费</w:t>
      </w:r>
      <w:r>
        <w:rPr>
          <w:rFonts w:ascii="宋体" w:hAnsi="宋体" w:cs="仿宋_GB2312"/>
          <w:sz w:val="32"/>
          <w:szCs w:val="32"/>
        </w:rPr>
        <w:t>4</w:t>
      </w:r>
      <w:r>
        <w:rPr>
          <w:rFonts w:hint="eastAsia" w:ascii="宋体" w:hAnsi="宋体" w:cs="仿宋_GB2312"/>
          <w:sz w:val="32"/>
          <w:szCs w:val="32"/>
        </w:rPr>
        <w:t>万元，印刷费用</w:t>
      </w:r>
      <w:r>
        <w:rPr>
          <w:rFonts w:ascii="宋体" w:hAnsi="宋体" w:cs="仿宋_GB2312"/>
          <w:sz w:val="32"/>
          <w:szCs w:val="32"/>
        </w:rPr>
        <w:t>3.6</w:t>
      </w:r>
      <w:r>
        <w:rPr>
          <w:rFonts w:hint="eastAsia" w:ascii="宋体" w:hAnsi="宋体" w:cs="仿宋_GB2312"/>
          <w:sz w:val="32"/>
          <w:szCs w:val="32"/>
        </w:rPr>
        <w:t>万元。</w:t>
      </w:r>
      <w:r>
        <w:rPr>
          <w:rFonts w:hint="eastAsia" w:ascii="宋体" w:hAnsi="宋体" w:cs="仿宋_GB2312"/>
          <w:snapToGrid w:val="0"/>
          <w:sz w:val="32"/>
          <w:szCs w:val="32"/>
        </w:rPr>
        <w:t>项目完成进度</w:t>
      </w:r>
      <w:r>
        <w:rPr>
          <w:rFonts w:ascii="宋体" w:hAnsi="宋体" w:cs="仿宋_GB2312"/>
          <w:snapToGrid w:val="0"/>
          <w:sz w:val="32"/>
          <w:szCs w:val="32"/>
        </w:rPr>
        <w:t>100%</w:t>
      </w:r>
      <w:r>
        <w:rPr>
          <w:rFonts w:hint="eastAsia" w:ascii="宋体" w:hAnsi="宋体" w:cs="仿宋_GB2312"/>
          <w:snapToGrid w:val="0"/>
          <w:sz w:val="32"/>
          <w:szCs w:val="32"/>
        </w:rPr>
        <w:t>，资金支付进度</w:t>
      </w:r>
      <w:r>
        <w:rPr>
          <w:rFonts w:ascii="宋体" w:hAnsi="宋体" w:cs="仿宋_GB2312"/>
          <w:snapToGrid w:val="0"/>
          <w:sz w:val="32"/>
          <w:szCs w:val="32"/>
        </w:rPr>
        <w:t>100%</w:t>
      </w:r>
      <w:r>
        <w:rPr>
          <w:rFonts w:hint="eastAsia" w:ascii="宋体" w:hAnsi="宋体" w:cs="仿宋_GB2312"/>
          <w:snapToGrid w:val="0"/>
          <w:sz w:val="32"/>
          <w:szCs w:val="32"/>
        </w:rPr>
        <w:t>。</w:t>
      </w:r>
    </w:p>
    <w:p>
      <w:pPr>
        <w:spacing w:line="580" w:lineRule="exact"/>
        <w:ind w:firstLine="640" w:firstLineChars="200"/>
        <w:rPr>
          <w:rFonts w:ascii="宋体" w:cs="仿宋_GB2312"/>
          <w:sz w:val="32"/>
          <w:szCs w:val="32"/>
        </w:rPr>
      </w:pPr>
      <w:r>
        <w:rPr>
          <w:rFonts w:ascii="宋体" w:hAnsi="宋体" w:cs="仿宋_GB2312"/>
          <w:sz w:val="32"/>
          <w:szCs w:val="32"/>
        </w:rPr>
        <w:t>3</w:t>
      </w:r>
      <w:r>
        <w:rPr>
          <w:rFonts w:hint="eastAsia" w:ascii="宋体" w:hAnsi="宋体" w:cs="仿宋_GB2312"/>
          <w:sz w:val="32"/>
          <w:szCs w:val="32"/>
        </w:rPr>
        <w:t>、项目绩效</w:t>
      </w:r>
    </w:p>
    <w:p>
      <w:pPr>
        <w:spacing w:line="580" w:lineRule="exact"/>
        <w:ind w:firstLine="640" w:firstLineChars="200"/>
        <w:rPr>
          <w:rFonts w:ascii="宋体" w:cs="仿宋_GB2312"/>
          <w:sz w:val="32"/>
          <w:szCs w:val="32"/>
        </w:rPr>
      </w:pPr>
      <w:r>
        <w:rPr>
          <w:rFonts w:hint="eastAsia" w:ascii="宋体" w:hAnsi="宋体" w:cs="仿宋_GB2312"/>
          <w:sz w:val="32"/>
          <w:szCs w:val="32"/>
        </w:rPr>
        <w:t>项目执行较好地完成绩效设定目标。运输市场持续健康稳定发展，企业经营规范，行业应急能力得到有效强化，重要节假日、重要时段及重点物资运输保障有力；出租车行业服务水平切实提高，行业较平稳，公交线路优化调整，班线客运、农村客运有序发展，群众出行难问题得到一定程度解决；货运市场健康有序发展，货运周转量增长</w:t>
      </w:r>
      <w:r>
        <w:rPr>
          <w:rFonts w:ascii="宋体" w:hAnsi="宋体" w:cs="仿宋_GB2312"/>
          <w:sz w:val="32"/>
          <w:szCs w:val="32"/>
        </w:rPr>
        <w:t>8.29%</w:t>
      </w:r>
      <w:r>
        <w:rPr>
          <w:rFonts w:hint="eastAsia" w:ascii="宋体" w:hAnsi="宋体" w:cs="仿宋_GB2312"/>
          <w:sz w:val="32"/>
          <w:szCs w:val="32"/>
        </w:rPr>
        <w:t>，高于全省平均增速；维修</w:t>
      </w:r>
      <w:r>
        <w:rPr>
          <w:rFonts w:ascii="宋体" w:hAnsi="宋体" w:cs="仿宋_GB2312"/>
          <w:sz w:val="32"/>
          <w:szCs w:val="32"/>
        </w:rPr>
        <w:t>I/M</w:t>
      </w:r>
      <w:r>
        <w:rPr>
          <w:rFonts w:hint="eastAsia" w:ascii="宋体" w:hAnsi="宋体" w:cs="仿宋_GB2312"/>
          <w:sz w:val="32"/>
          <w:szCs w:val="32"/>
        </w:rPr>
        <w:t>信息系统得到切实推广，改装行为得到有效遏制，环保工作稳步推进；驾驶计时培训系统管理进一步强化，从业资质计分管理有序推进；行政许可严把审核关并强化档案管理，简化了流程，提高了效率。</w:t>
      </w:r>
    </w:p>
    <w:p>
      <w:pPr>
        <w:numPr>
          <w:ilvl w:val="0"/>
          <w:numId w:val="7"/>
        </w:numPr>
        <w:spacing w:line="580" w:lineRule="exact"/>
        <w:ind w:firstLine="640" w:firstLineChars="200"/>
        <w:rPr>
          <w:rFonts w:ascii="宋体" w:cs="仿宋_GB2312"/>
          <w:sz w:val="32"/>
          <w:szCs w:val="32"/>
        </w:rPr>
      </w:pPr>
      <w:r>
        <w:rPr>
          <w:rFonts w:hint="eastAsia" w:ascii="宋体" w:hAnsi="宋体" w:cs="仿宋_GB2312"/>
          <w:sz w:val="32"/>
          <w:szCs w:val="32"/>
        </w:rPr>
        <w:t>存在主要问题</w:t>
      </w:r>
    </w:p>
    <w:p>
      <w:pPr>
        <w:spacing w:line="580" w:lineRule="exact"/>
        <w:rPr>
          <w:rFonts w:ascii="宋体" w:cs="仿宋_GB2312"/>
          <w:sz w:val="32"/>
          <w:szCs w:val="32"/>
        </w:rPr>
      </w:pPr>
      <w:r>
        <w:rPr>
          <w:rFonts w:ascii="宋体" w:hAnsi="宋体" w:cs="仿宋_GB2312"/>
          <w:sz w:val="32"/>
          <w:szCs w:val="32"/>
        </w:rPr>
        <w:t xml:space="preserve">    </w:t>
      </w:r>
      <w:r>
        <w:rPr>
          <w:rFonts w:hint="eastAsia" w:ascii="宋体" w:hAnsi="宋体" w:cs="仿宋_GB2312"/>
          <w:sz w:val="32"/>
          <w:szCs w:val="32"/>
        </w:rPr>
        <w:t>保障力度有待进一步加强，特别是促进经济发展方面的行业发展经费不足；项目执行总体较好，但是设立的具体三级指标和实际执行有偏差；平时的绩效监控手段落后。</w:t>
      </w:r>
    </w:p>
    <w:p>
      <w:pPr>
        <w:numPr>
          <w:ilvl w:val="0"/>
          <w:numId w:val="7"/>
        </w:numPr>
        <w:spacing w:line="580" w:lineRule="exact"/>
        <w:ind w:firstLine="640" w:firstLineChars="200"/>
        <w:rPr>
          <w:rFonts w:ascii="宋体" w:cs="仿宋_GB2312"/>
          <w:sz w:val="32"/>
          <w:szCs w:val="32"/>
        </w:rPr>
      </w:pPr>
      <w:r>
        <w:rPr>
          <w:rFonts w:hint="eastAsia" w:ascii="宋体" w:hAnsi="宋体" w:cs="仿宋_GB2312"/>
          <w:sz w:val="32"/>
          <w:szCs w:val="32"/>
        </w:rPr>
        <w:t>相关措施建议</w:t>
      </w:r>
    </w:p>
    <w:p>
      <w:pPr>
        <w:spacing w:line="580" w:lineRule="exact"/>
        <w:ind w:left="420" w:leftChars="200"/>
        <w:rPr>
          <w:rFonts w:ascii="宋体" w:cs="仿宋_GB2312"/>
          <w:sz w:val="32"/>
          <w:szCs w:val="32"/>
        </w:rPr>
      </w:pPr>
      <w:r>
        <w:rPr>
          <w:rFonts w:ascii="宋体" w:hAnsi="宋体" w:cs="仿宋_GB2312"/>
          <w:sz w:val="32"/>
          <w:szCs w:val="32"/>
        </w:rPr>
        <w:t xml:space="preserve"> </w:t>
      </w:r>
      <w:r>
        <w:rPr>
          <w:rFonts w:hint="eastAsia" w:ascii="宋体" w:hAnsi="宋体" w:cs="仿宋_GB2312"/>
          <w:sz w:val="32"/>
          <w:szCs w:val="32"/>
        </w:rPr>
        <w:t>进一步加大道路运输业务运行费保障力度，进一步强化</w:t>
      </w:r>
    </w:p>
    <w:p>
      <w:pPr>
        <w:spacing w:line="580" w:lineRule="exact"/>
        <w:rPr>
          <w:rFonts w:ascii="宋体" w:cs="仿宋_GB2312"/>
          <w:sz w:val="32"/>
          <w:szCs w:val="32"/>
        </w:rPr>
      </w:pPr>
      <w:r>
        <w:rPr>
          <w:rFonts w:hint="eastAsia" w:ascii="宋体" w:hAnsi="宋体" w:cs="仿宋_GB2312"/>
          <w:sz w:val="32"/>
          <w:szCs w:val="32"/>
        </w:rPr>
        <w:t>道路运输对全市经济增长贡献的支撑作用；</w:t>
      </w:r>
    </w:p>
    <w:p>
      <w:pPr>
        <w:spacing w:line="580" w:lineRule="exact"/>
        <w:ind w:firstLine="640"/>
        <w:rPr>
          <w:rFonts w:ascii="宋体" w:cs="仿宋_GB2312"/>
          <w:sz w:val="32"/>
          <w:szCs w:val="32"/>
        </w:rPr>
      </w:pPr>
      <w:r>
        <w:rPr>
          <w:rFonts w:hint="eastAsia" w:ascii="宋体" w:hAnsi="宋体" w:cs="仿宋_GB2312"/>
          <w:snapToGrid w:val="0"/>
          <w:sz w:val="32"/>
          <w:szCs w:val="32"/>
        </w:rPr>
        <w:t>加强预算编制的前瞻性，按照新《预算法》和新《政府会计准则》及其实施条例的相关规定，按政策规定及本部门的发展规划，结合上一年度预算执行情况和本年度预算收支变化因素，科学合理地编制本年度预算，不断</w:t>
      </w:r>
      <w:r>
        <w:rPr>
          <w:rFonts w:hint="eastAsia" w:ascii="宋体" w:hAnsi="宋体" w:cs="仿宋_GB2312"/>
          <w:sz w:val="32"/>
          <w:szCs w:val="32"/>
        </w:rPr>
        <w:t>优化项目绩效指标设置，最大程度的减少执行过程中的差异情况。</w:t>
      </w:r>
    </w:p>
    <w:p>
      <w:pPr>
        <w:spacing w:line="580" w:lineRule="exact"/>
        <w:ind w:firstLine="640"/>
        <w:rPr>
          <w:rFonts w:ascii="宋体" w:cs="仿宋_GB2312"/>
          <w:sz w:val="32"/>
          <w:szCs w:val="32"/>
        </w:rPr>
      </w:pPr>
      <w:r>
        <w:rPr>
          <w:rFonts w:hint="eastAsia" w:ascii="宋体" w:hAnsi="宋体" w:cs="仿宋_GB2312"/>
          <w:sz w:val="32"/>
          <w:szCs w:val="32"/>
        </w:rPr>
        <w:t>建立并完善单位内控信息系统，通过技术手段有效开展绩效监控工作。</w:t>
      </w: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580" w:lineRule="exact"/>
        <w:jc w:val="center"/>
        <w:rPr>
          <w:rFonts w:ascii="宋体" w:cs="宋体"/>
          <w:b/>
          <w:bCs/>
          <w:sz w:val="44"/>
          <w:szCs w:val="44"/>
        </w:rPr>
      </w:pPr>
      <w:r>
        <w:rPr>
          <w:rFonts w:ascii="宋体" w:hAnsi="宋体" w:cs="宋体"/>
          <w:b/>
          <w:bCs/>
          <w:sz w:val="44"/>
          <w:szCs w:val="44"/>
        </w:rPr>
        <w:t>2018</w:t>
      </w:r>
      <w:r>
        <w:rPr>
          <w:rFonts w:hint="eastAsia" w:ascii="宋体" w:hAnsi="宋体" w:cs="宋体"/>
          <w:b/>
          <w:bCs/>
          <w:sz w:val="44"/>
          <w:szCs w:val="44"/>
        </w:rPr>
        <w:t>年桥梁检测项目支出绩效评价报告</w:t>
      </w:r>
    </w:p>
    <w:p>
      <w:pPr>
        <w:spacing w:line="580" w:lineRule="exact"/>
        <w:ind w:firstLine="640" w:firstLineChars="200"/>
        <w:rPr>
          <w:rFonts w:ascii="宋体" w:cs="仿宋_GB2312"/>
          <w:sz w:val="32"/>
          <w:szCs w:val="32"/>
        </w:rPr>
      </w:pPr>
    </w:p>
    <w:p>
      <w:pPr>
        <w:spacing w:line="580" w:lineRule="exact"/>
        <w:ind w:firstLine="640" w:firstLineChars="200"/>
        <w:rPr>
          <w:rFonts w:ascii="宋体" w:cs="仿宋_GB2312"/>
          <w:sz w:val="32"/>
          <w:szCs w:val="32"/>
        </w:rPr>
      </w:pPr>
      <w:r>
        <w:rPr>
          <w:rFonts w:hint="eastAsia" w:ascii="宋体" w:hAnsi="宋体" w:cs="仿宋_GB2312"/>
          <w:sz w:val="32"/>
          <w:szCs w:val="32"/>
        </w:rPr>
        <w:t>一、评价工作开展及项目情况</w:t>
      </w:r>
    </w:p>
    <w:p>
      <w:pPr>
        <w:spacing w:line="580" w:lineRule="exact"/>
        <w:ind w:firstLine="640" w:firstLineChars="200"/>
        <w:rPr>
          <w:rFonts w:ascii="宋体" w:cs="仿宋_GB2312"/>
          <w:sz w:val="32"/>
          <w:szCs w:val="32"/>
        </w:rPr>
      </w:pPr>
      <w:r>
        <w:rPr>
          <w:rFonts w:hint="eastAsia" w:ascii="宋体" w:hAnsi="宋体" w:cs="仿宋_GB2312"/>
          <w:sz w:val="32"/>
          <w:szCs w:val="32"/>
        </w:rPr>
        <w:t>项目评价实施方案情况：按照《部门预算项目支出绩效目标申报表》中的内容逐一进行评价。</w:t>
      </w:r>
    </w:p>
    <w:p>
      <w:pPr>
        <w:spacing w:line="580" w:lineRule="exact"/>
        <w:ind w:firstLine="640" w:firstLineChars="200"/>
        <w:rPr>
          <w:rFonts w:ascii="宋体" w:cs="仿宋_GB2312"/>
          <w:sz w:val="32"/>
          <w:szCs w:val="32"/>
        </w:rPr>
      </w:pPr>
      <w:r>
        <w:rPr>
          <w:rFonts w:hint="eastAsia" w:ascii="宋体" w:hAnsi="宋体" w:cs="仿宋_GB2312"/>
          <w:sz w:val="32"/>
          <w:szCs w:val="32"/>
        </w:rPr>
        <w:t>二、评价结论及绩效分析</w:t>
      </w:r>
    </w:p>
    <w:p>
      <w:pPr>
        <w:spacing w:line="580" w:lineRule="exact"/>
        <w:ind w:firstLine="640" w:firstLineChars="200"/>
        <w:rPr>
          <w:rFonts w:ascii="宋体" w:cs="仿宋_GB2312"/>
          <w:sz w:val="32"/>
          <w:szCs w:val="32"/>
        </w:rPr>
      </w:pPr>
      <w:r>
        <w:rPr>
          <w:rFonts w:hint="eastAsia" w:ascii="宋体" w:hAnsi="宋体" w:cs="仿宋_GB2312"/>
          <w:sz w:val="32"/>
          <w:szCs w:val="32"/>
        </w:rPr>
        <w:t>（一）评价结论</w:t>
      </w:r>
    </w:p>
    <w:p>
      <w:pPr>
        <w:spacing w:line="580" w:lineRule="exact"/>
        <w:ind w:firstLine="640" w:firstLineChars="200"/>
        <w:rPr>
          <w:rFonts w:ascii="宋体" w:cs="仿宋_GB2312"/>
          <w:sz w:val="32"/>
          <w:szCs w:val="32"/>
        </w:rPr>
      </w:pPr>
      <w:r>
        <w:rPr>
          <w:rFonts w:hint="eastAsia" w:ascii="宋体" w:hAnsi="宋体" w:cs="仿宋_GB2312"/>
          <w:sz w:val="32"/>
          <w:szCs w:val="32"/>
        </w:rPr>
        <w:t>项目绩效评价总体结论：本项目按质按量如期完成。</w:t>
      </w:r>
    </w:p>
    <w:p>
      <w:pPr>
        <w:spacing w:line="580" w:lineRule="exact"/>
        <w:ind w:firstLine="640" w:firstLineChars="200"/>
        <w:rPr>
          <w:rFonts w:ascii="宋体" w:cs="仿宋_GB2312"/>
          <w:sz w:val="32"/>
          <w:szCs w:val="32"/>
        </w:rPr>
      </w:pPr>
      <w:r>
        <w:rPr>
          <w:rFonts w:hint="eastAsia" w:ascii="宋体" w:hAnsi="宋体" w:cs="仿宋_GB2312"/>
          <w:sz w:val="32"/>
          <w:szCs w:val="32"/>
        </w:rPr>
        <w:t>（二）绩效分析</w:t>
      </w:r>
    </w:p>
    <w:p>
      <w:pPr>
        <w:spacing w:line="580" w:lineRule="exact"/>
        <w:ind w:firstLine="640" w:firstLineChars="200"/>
        <w:rPr>
          <w:rFonts w:ascii="宋体" w:cs="仿宋_GB2312"/>
          <w:sz w:val="32"/>
          <w:szCs w:val="32"/>
        </w:rPr>
      </w:pPr>
      <w:r>
        <w:rPr>
          <w:rFonts w:ascii="宋体" w:hAnsi="宋体" w:cs="仿宋_GB2312"/>
          <w:sz w:val="32"/>
          <w:szCs w:val="32"/>
        </w:rPr>
        <w:t>1</w:t>
      </w:r>
      <w:r>
        <w:rPr>
          <w:rFonts w:hint="eastAsia" w:ascii="宋体" w:hAnsi="宋体" w:cs="仿宋_GB2312"/>
          <w:sz w:val="32"/>
          <w:szCs w:val="32"/>
        </w:rPr>
        <w:t>、项目决策</w:t>
      </w:r>
    </w:p>
    <w:p>
      <w:pPr>
        <w:spacing w:line="580" w:lineRule="exact"/>
        <w:ind w:firstLine="640" w:firstLineChars="200"/>
        <w:rPr>
          <w:rFonts w:ascii="宋体" w:cs="仿宋_GB2312"/>
          <w:sz w:val="32"/>
          <w:szCs w:val="32"/>
        </w:rPr>
      </w:pPr>
      <w:r>
        <w:rPr>
          <w:rFonts w:hint="eastAsia" w:ascii="宋体" w:hAnsi="宋体" w:cs="仿宋_GB2312"/>
          <w:sz w:val="32"/>
          <w:szCs w:val="32"/>
        </w:rPr>
        <w:t>本项目用于倮果金沙江大桥等</w:t>
      </w:r>
      <w:r>
        <w:rPr>
          <w:rFonts w:ascii="宋体" w:hAnsi="宋体" w:cs="仿宋_GB2312"/>
          <w:sz w:val="32"/>
          <w:szCs w:val="32"/>
        </w:rPr>
        <w:t>8</w:t>
      </w:r>
      <w:r>
        <w:rPr>
          <w:rFonts w:hint="eastAsia" w:ascii="宋体" w:hAnsi="宋体" w:cs="仿宋_GB2312"/>
          <w:sz w:val="32"/>
          <w:szCs w:val="32"/>
        </w:rPr>
        <w:t>座桥特殊检查，通过检查获得主要构件几何尺寸，缺陷、损伤和病害进行描述和记录对发现的病害实地判断缺损原因，确定维修范围及方式。对损坏严重、危及安全运行的部件，提出处置的建议。此项目经市财政局批准纳入</w:t>
      </w:r>
      <w:r>
        <w:rPr>
          <w:rFonts w:ascii="宋体" w:hAnsi="宋体" w:cs="仿宋_GB2312"/>
          <w:sz w:val="32"/>
          <w:szCs w:val="32"/>
        </w:rPr>
        <w:t>2018</w:t>
      </w:r>
      <w:r>
        <w:rPr>
          <w:rFonts w:hint="eastAsia" w:ascii="宋体" w:hAnsi="宋体" w:cs="仿宋_GB2312"/>
          <w:sz w:val="32"/>
          <w:szCs w:val="32"/>
        </w:rPr>
        <w:t>年计划，绩效目标设置为控制工程质量，既明确又合理。</w:t>
      </w:r>
    </w:p>
    <w:p>
      <w:pPr>
        <w:spacing w:line="580" w:lineRule="exact"/>
        <w:ind w:firstLine="640" w:firstLineChars="200"/>
        <w:rPr>
          <w:rFonts w:ascii="宋体" w:cs="仿宋_GB2312"/>
          <w:sz w:val="32"/>
          <w:szCs w:val="32"/>
        </w:rPr>
      </w:pPr>
      <w:r>
        <w:rPr>
          <w:rFonts w:ascii="宋体" w:hAnsi="宋体" w:cs="仿宋_GB2312"/>
          <w:sz w:val="32"/>
          <w:szCs w:val="32"/>
        </w:rPr>
        <w:t>2</w:t>
      </w:r>
      <w:r>
        <w:rPr>
          <w:rFonts w:hint="eastAsia" w:ascii="宋体" w:hAnsi="宋体" w:cs="仿宋_GB2312"/>
          <w:sz w:val="32"/>
          <w:szCs w:val="32"/>
        </w:rPr>
        <w:t>、项目管理</w:t>
      </w:r>
    </w:p>
    <w:p>
      <w:pPr>
        <w:spacing w:line="580" w:lineRule="exact"/>
        <w:ind w:firstLine="640" w:firstLineChars="200"/>
        <w:rPr>
          <w:rFonts w:ascii="宋体" w:cs="仿宋_GB2312"/>
          <w:sz w:val="32"/>
          <w:szCs w:val="32"/>
        </w:rPr>
      </w:pPr>
      <w:r>
        <w:rPr>
          <w:rFonts w:hint="eastAsia" w:ascii="宋体" w:hAnsi="宋体" w:cs="仿宋_GB2312"/>
          <w:sz w:val="32"/>
          <w:szCs w:val="32"/>
        </w:rPr>
        <w:t>本项目预算为财政拨款</w:t>
      </w:r>
      <w:r>
        <w:rPr>
          <w:rFonts w:ascii="宋体" w:hAnsi="宋体" w:cs="仿宋_GB2312"/>
          <w:sz w:val="32"/>
          <w:szCs w:val="32"/>
        </w:rPr>
        <w:t>246</w:t>
      </w:r>
      <w:r>
        <w:rPr>
          <w:rFonts w:hint="eastAsia" w:ascii="宋体" w:hAnsi="宋体" w:cs="仿宋_GB2312"/>
          <w:sz w:val="32"/>
          <w:szCs w:val="32"/>
        </w:rPr>
        <w:t>万元，经检测方案优化实际使用</w:t>
      </w:r>
      <w:r>
        <w:rPr>
          <w:rFonts w:ascii="宋体" w:hAnsi="宋体" w:cs="仿宋_GB2312"/>
          <w:sz w:val="32"/>
          <w:szCs w:val="32"/>
        </w:rPr>
        <w:t>219.8</w:t>
      </w:r>
      <w:r>
        <w:rPr>
          <w:rFonts w:hint="eastAsia" w:ascii="宋体" w:hAnsi="宋体" w:cs="仿宋_GB2312"/>
          <w:sz w:val="32"/>
          <w:szCs w:val="32"/>
        </w:rPr>
        <w:t>万元，资金分配管理科学、合理、规范性。</w:t>
      </w:r>
    </w:p>
    <w:p>
      <w:pPr>
        <w:spacing w:line="580" w:lineRule="exact"/>
        <w:ind w:firstLine="640" w:firstLineChars="200"/>
        <w:rPr>
          <w:rFonts w:ascii="宋体" w:cs="仿宋_GB2312"/>
          <w:sz w:val="32"/>
          <w:szCs w:val="32"/>
        </w:rPr>
      </w:pPr>
      <w:r>
        <w:rPr>
          <w:rFonts w:ascii="宋体" w:hAnsi="宋体" w:cs="仿宋_GB2312"/>
          <w:sz w:val="32"/>
          <w:szCs w:val="32"/>
        </w:rPr>
        <w:t>3</w:t>
      </w:r>
      <w:r>
        <w:rPr>
          <w:rFonts w:hint="eastAsia" w:ascii="宋体" w:hAnsi="宋体" w:cs="仿宋_GB2312"/>
          <w:sz w:val="32"/>
          <w:szCs w:val="32"/>
        </w:rPr>
        <w:t>、项目绩效</w:t>
      </w:r>
    </w:p>
    <w:p>
      <w:pPr>
        <w:spacing w:line="580" w:lineRule="exact"/>
        <w:ind w:firstLine="640" w:firstLineChars="200"/>
        <w:rPr>
          <w:rFonts w:ascii="宋体" w:cs="仿宋_GB2312"/>
          <w:sz w:val="32"/>
          <w:szCs w:val="32"/>
        </w:rPr>
      </w:pPr>
      <w:r>
        <w:rPr>
          <w:rFonts w:hint="eastAsia" w:ascii="宋体" w:hAnsi="宋体" w:cs="仿宋_GB2312"/>
          <w:sz w:val="32"/>
          <w:szCs w:val="32"/>
        </w:rPr>
        <w:t>项目目标完成情况（数量指标：，完成了攀枝花市倮果金沙江大桥、新庄大桥、荷花池大桥等</w:t>
      </w:r>
      <w:r>
        <w:rPr>
          <w:rFonts w:ascii="宋体" w:hAnsi="宋体" w:cs="仿宋_GB2312"/>
          <w:sz w:val="32"/>
          <w:szCs w:val="32"/>
        </w:rPr>
        <w:t>8</w:t>
      </w:r>
      <w:r>
        <w:rPr>
          <w:rFonts w:hint="eastAsia" w:ascii="宋体" w:hAnsi="宋体" w:cs="仿宋_GB2312"/>
          <w:sz w:val="32"/>
          <w:szCs w:val="32"/>
        </w:rPr>
        <w:t>座桥梁的特殊检查、结构验算、荷载实验等内容。质量指标：在保证安全与环保的情况下按质按量的完成了</w:t>
      </w:r>
      <w:r>
        <w:rPr>
          <w:rFonts w:ascii="宋体" w:hAnsi="宋体" w:cs="仿宋_GB2312"/>
          <w:sz w:val="32"/>
          <w:szCs w:val="32"/>
        </w:rPr>
        <w:t>8</w:t>
      </w:r>
      <w:r>
        <w:rPr>
          <w:rFonts w:hint="eastAsia" w:ascii="宋体" w:hAnsi="宋体" w:cs="仿宋_GB2312"/>
          <w:sz w:val="32"/>
          <w:szCs w:val="32"/>
        </w:rPr>
        <w:t>座桥的检查；时效指标：于</w:t>
      </w:r>
      <w:r>
        <w:rPr>
          <w:rFonts w:ascii="宋体" w:hAnsi="宋体" w:cs="宋体"/>
          <w:color w:val="000000"/>
          <w:sz w:val="32"/>
          <w:szCs w:val="32"/>
        </w:rPr>
        <w:t>2018</w:t>
      </w:r>
      <w:r>
        <w:rPr>
          <w:rFonts w:hint="eastAsia" w:ascii="宋体" w:hAnsi="宋体" w:cs="宋体"/>
          <w:color w:val="000000"/>
          <w:sz w:val="32"/>
          <w:szCs w:val="32"/>
        </w:rPr>
        <w:t>年</w:t>
      </w:r>
      <w:r>
        <w:rPr>
          <w:rFonts w:ascii="宋体" w:hAnsi="宋体" w:cs="宋体"/>
          <w:color w:val="000000"/>
          <w:sz w:val="32"/>
          <w:szCs w:val="32"/>
        </w:rPr>
        <w:t>8</w:t>
      </w:r>
      <w:r>
        <w:rPr>
          <w:rFonts w:hint="eastAsia" w:ascii="宋体" w:hAnsi="宋体" w:cs="宋体"/>
          <w:color w:val="000000"/>
          <w:sz w:val="32"/>
          <w:szCs w:val="32"/>
        </w:rPr>
        <w:t>月</w:t>
      </w:r>
      <w:r>
        <w:rPr>
          <w:rFonts w:ascii="宋体" w:hAnsi="宋体" w:cs="宋体"/>
          <w:color w:val="000000"/>
          <w:sz w:val="32"/>
          <w:szCs w:val="32"/>
        </w:rPr>
        <w:t>-11</w:t>
      </w:r>
      <w:r>
        <w:rPr>
          <w:rFonts w:hint="eastAsia" w:ascii="宋体" w:hAnsi="宋体" w:cs="宋体"/>
          <w:color w:val="000000"/>
          <w:sz w:val="32"/>
          <w:szCs w:val="32"/>
        </w:rPr>
        <w:t>月完成了</w:t>
      </w:r>
      <w:r>
        <w:rPr>
          <w:rFonts w:ascii="宋体" w:hAnsi="宋体" w:cs="仿宋_GB2312"/>
          <w:sz w:val="32"/>
          <w:szCs w:val="32"/>
        </w:rPr>
        <w:t>8</w:t>
      </w:r>
      <w:r>
        <w:rPr>
          <w:rFonts w:hint="eastAsia" w:ascii="宋体" w:hAnsi="宋体" w:cs="仿宋_GB2312"/>
          <w:sz w:val="32"/>
          <w:szCs w:val="32"/>
        </w:rPr>
        <w:t>座桥的检查；成本指标：攀枝花市倮果金沙江大桥、新庄大桥、荷花池大桥等</w:t>
      </w:r>
      <w:r>
        <w:rPr>
          <w:rFonts w:ascii="宋体" w:hAnsi="宋体" w:cs="仿宋_GB2312"/>
          <w:sz w:val="32"/>
          <w:szCs w:val="32"/>
        </w:rPr>
        <w:t>8</w:t>
      </w:r>
      <w:r>
        <w:rPr>
          <w:rFonts w:hint="eastAsia" w:ascii="宋体" w:hAnsi="宋体" w:cs="仿宋_GB2312"/>
          <w:sz w:val="32"/>
          <w:szCs w:val="32"/>
        </w:rPr>
        <w:t>座桥梁的特殊检查执行数为</w:t>
      </w:r>
      <w:r>
        <w:rPr>
          <w:rFonts w:ascii="宋体" w:hAnsi="宋体" w:cs="仿宋_GB2312"/>
          <w:sz w:val="32"/>
          <w:szCs w:val="32"/>
        </w:rPr>
        <w:t>219.8</w:t>
      </w:r>
      <w:r>
        <w:rPr>
          <w:rFonts w:hint="eastAsia" w:ascii="宋体" w:hAnsi="宋体" w:cs="仿宋_GB2312"/>
          <w:sz w:val="32"/>
          <w:szCs w:val="32"/>
        </w:rPr>
        <w:t>万元，项目社会效益指标：</w:t>
      </w:r>
      <w:r>
        <w:rPr>
          <w:rFonts w:hint="eastAsia" w:ascii="宋体" w:hAnsi="宋体" w:cs="宋体"/>
          <w:color w:val="000000"/>
          <w:sz w:val="32"/>
          <w:szCs w:val="32"/>
        </w:rPr>
        <w:t>消除安全隐患、提高公共安全指数</w:t>
      </w:r>
      <w:r>
        <w:rPr>
          <w:rFonts w:hint="eastAsia" w:ascii="宋体" w:hAnsi="宋体" w:cs="仿宋_GB2312"/>
          <w:sz w:val="32"/>
          <w:szCs w:val="32"/>
        </w:rPr>
        <w:t>，保障了过往车辆及行人的出行安全。资金使用效率达</w:t>
      </w:r>
      <w:r>
        <w:rPr>
          <w:rFonts w:ascii="宋体" w:hAnsi="宋体" w:cs="仿宋_GB2312"/>
          <w:sz w:val="32"/>
          <w:szCs w:val="32"/>
        </w:rPr>
        <w:t>100%</w:t>
      </w:r>
      <w:r>
        <w:rPr>
          <w:rFonts w:hint="eastAsia" w:ascii="宋体" w:hAnsi="宋体" w:cs="仿宋_GB2312"/>
          <w:sz w:val="32"/>
          <w:szCs w:val="32"/>
        </w:rPr>
        <w:t>、受益群体满意度≥</w:t>
      </w:r>
      <w:r>
        <w:rPr>
          <w:rFonts w:ascii="宋体" w:hAnsi="宋体" w:cs="仿宋_GB2312"/>
          <w:sz w:val="32"/>
          <w:szCs w:val="32"/>
        </w:rPr>
        <w:t>90%</w:t>
      </w:r>
      <w:r>
        <w:rPr>
          <w:rFonts w:hint="eastAsia" w:ascii="宋体" w:hAnsi="宋体" w:cs="仿宋_GB2312"/>
          <w:sz w:val="32"/>
          <w:szCs w:val="32"/>
        </w:rPr>
        <w:t>）。</w:t>
      </w:r>
    </w:p>
    <w:p>
      <w:pPr>
        <w:spacing w:line="580" w:lineRule="exact"/>
        <w:ind w:firstLine="640"/>
        <w:rPr>
          <w:rFonts w:ascii="宋体" w:cs="仿宋_GB2312"/>
          <w:sz w:val="32"/>
          <w:szCs w:val="32"/>
        </w:rPr>
      </w:pPr>
      <w:r>
        <w:rPr>
          <w:rFonts w:hint="eastAsia" w:ascii="宋体" w:hAnsi="宋体" w:cs="仿宋_GB2312"/>
          <w:sz w:val="32"/>
          <w:szCs w:val="32"/>
        </w:rPr>
        <w:t>三、存在主要问题</w:t>
      </w:r>
    </w:p>
    <w:p>
      <w:pPr>
        <w:ind w:firstLine="640"/>
        <w:rPr>
          <w:rFonts w:ascii="宋体"/>
          <w:sz w:val="32"/>
          <w:szCs w:val="32"/>
        </w:rPr>
      </w:pPr>
      <w:r>
        <w:rPr>
          <w:rFonts w:hint="eastAsia" w:ascii="宋体" w:hAnsi="宋体"/>
          <w:sz w:val="32"/>
          <w:szCs w:val="32"/>
        </w:rPr>
        <w:t>无</w:t>
      </w:r>
    </w:p>
    <w:p>
      <w:pPr>
        <w:spacing w:line="580" w:lineRule="exact"/>
        <w:ind w:firstLine="640"/>
        <w:rPr>
          <w:rFonts w:ascii="宋体" w:cs="仿宋_GB2312"/>
          <w:sz w:val="32"/>
          <w:szCs w:val="32"/>
        </w:rPr>
      </w:pPr>
      <w:r>
        <w:rPr>
          <w:rFonts w:hint="eastAsia" w:ascii="宋体" w:hAnsi="宋体" w:cs="仿宋_GB2312"/>
          <w:sz w:val="32"/>
          <w:szCs w:val="32"/>
        </w:rPr>
        <w:t>四、相关措施建议</w:t>
      </w:r>
    </w:p>
    <w:p>
      <w:pPr>
        <w:ind w:firstLine="640"/>
        <w:rPr>
          <w:rStyle w:val="17"/>
          <w:rFonts w:ascii="宋体" w:cs="仿宋_GB2312"/>
          <w:sz w:val="32"/>
          <w:szCs w:val="32"/>
        </w:rPr>
      </w:pPr>
      <w:r>
        <w:rPr>
          <w:rStyle w:val="17"/>
          <w:rFonts w:hint="eastAsia" w:ascii="宋体" w:hAnsi="宋体" w:cs="仿宋_GB2312"/>
          <w:b w:val="0"/>
          <w:bCs w:val="0"/>
          <w:sz w:val="32"/>
          <w:szCs w:val="32"/>
        </w:rPr>
        <w:t>无</w:t>
      </w:r>
    </w:p>
    <w:p>
      <w:pPr>
        <w:spacing w:line="600" w:lineRule="exact"/>
        <w:outlineLvl w:val="0"/>
        <w:rPr>
          <w:rFonts w:ascii="黑体" w:hAnsi="黑体" w:eastAsia="黑体"/>
          <w:color w:val="000000"/>
          <w:sz w:val="44"/>
          <w:szCs w:val="44"/>
        </w:rPr>
      </w:pPr>
      <w:r>
        <w:rPr>
          <w:rFonts w:ascii="黑体" w:hAnsi="黑体" w:eastAsia="黑体"/>
          <w:color w:val="000000"/>
          <w:sz w:val="44"/>
          <w:szCs w:val="44"/>
        </w:rPr>
        <w:t xml:space="preserve">    </w:t>
      </w: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580" w:lineRule="exact"/>
        <w:jc w:val="center"/>
        <w:rPr>
          <w:rFonts w:ascii="黑体" w:hAnsi="黑体" w:eastAsia="黑体" w:cs="方正小标宋简体"/>
          <w:sz w:val="44"/>
          <w:szCs w:val="44"/>
        </w:rPr>
      </w:pPr>
      <w:r>
        <w:rPr>
          <w:rFonts w:ascii="黑体" w:hAnsi="黑体" w:eastAsia="黑体" w:cs="方正小标宋简体"/>
          <w:sz w:val="44"/>
          <w:szCs w:val="44"/>
        </w:rPr>
        <w:t>2018</w:t>
      </w:r>
      <w:r>
        <w:rPr>
          <w:rFonts w:hint="eastAsia" w:ascii="黑体" w:hAnsi="黑体" w:eastAsia="黑体" w:cs="方正小标宋简体"/>
          <w:sz w:val="44"/>
          <w:szCs w:val="44"/>
        </w:rPr>
        <w:t>年海事管理项目支出绩效评价报告</w:t>
      </w:r>
    </w:p>
    <w:p>
      <w:pPr>
        <w:spacing w:line="580" w:lineRule="exact"/>
        <w:ind w:firstLine="640" w:firstLineChars="200"/>
        <w:rPr>
          <w:rFonts w:ascii="华文仿宋" w:hAnsi="华文仿宋" w:eastAsia="华文仿宋" w:cs="仿宋_GB2312"/>
          <w:sz w:val="32"/>
          <w:szCs w:val="32"/>
        </w:rPr>
      </w:pPr>
    </w:p>
    <w:p>
      <w:pPr>
        <w:spacing w:line="580" w:lineRule="exact"/>
        <w:ind w:firstLine="640" w:firstLineChars="200"/>
        <w:rPr>
          <w:rFonts w:ascii="宋体" w:cs="宋体"/>
          <w:sz w:val="32"/>
          <w:szCs w:val="32"/>
        </w:rPr>
      </w:pPr>
      <w:r>
        <w:rPr>
          <w:rFonts w:hint="eastAsia" w:ascii="宋体" w:hAnsi="宋体" w:cs="宋体"/>
          <w:sz w:val="32"/>
          <w:szCs w:val="32"/>
        </w:rPr>
        <w:t>一、评价工作开展及项目情况</w:t>
      </w:r>
    </w:p>
    <w:p>
      <w:pPr>
        <w:spacing w:line="580" w:lineRule="exact"/>
        <w:ind w:firstLine="640" w:firstLineChars="200"/>
        <w:rPr>
          <w:rFonts w:ascii="宋体" w:hAnsi="宋体" w:cs="宋体"/>
          <w:sz w:val="32"/>
          <w:szCs w:val="32"/>
        </w:rPr>
      </w:pPr>
      <w:r>
        <w:rPr>
          <w:rFonts w:hint="eastAsia" w:ascii="宋体" w:hAnsi="宋体" w:cs="宋体"/>
          <w:sz w:val="32"/>
          <w:szCs w:val="32"/>
        </w:rPr>
        <w:t>以省、市下达的年度工作目标为依据综合规划本年度水上安全工作。本年度海事管理项目经费财政预算下达</w:t>
      </w:r>
      <w:r>
        <w:rPr>
          <w:rFonts w:ascii="宋体" w:hAnsi="宋体" w:cs="宋体"/>
          <w:sz w:val="32"/>
          <w:szCs w:val="32"/>
        </w:rPr>
        <w:t>47</w:t>
      </w:r>
      <w:r>
        <w:rPr>
          <w:rFonts w:hint="eastAsia" w:ascii="宋体" w:hAnsi="宋体" w:cs="宋体"/>
          <w:sz w:val="32"/>
          <w:szCs w:val="32"/>
        </w:rPr>
        <w:t>万元。此项工作经费主要用于：</w:t>
      </w:r>
      <w:r>
        <w:rPr>
          <w:rFonts w:hint="eastAsia" w:ascii="宋体" w:hAnsi="宋体" w:cs="宋体"/>
          <w:kern w:val="10"/>
          <w:sz w:val="32"/>
          <w:szCs w:val="32"/>
        </w:rPr>
        <w:t>对辖区水域交通安全组织巡航和安全监督检查，召开全市海事、航务工作会，开展水上安全宣传、应急救援演练、海事精神文明建设、三化建设、创建文明城市、环保工作、海事执法人员换装、海事专网、</w:t>
      </w:r>
      <w:r>
        <w:rPr>
          <w:rFonts w:ascii="宋体" w:hAnsi="宋体" w:cs="宋体"/>
          <w:kern w:val="10"/>
          <w:sz w:val="32"/>
          <w:szCs w:val="32"/>
        </w:rPr>
        <w:t>GPS</w:t>
      </w:r>
      <w:r>
        <w:rPr>
          <w:rFonts w:hint="eastAsia" w:ascii="宋体" w:hAnsi="宋体" w:cs="宋体"/>
          <w:kern w:val="10"/>
          <w:sz w:val="32"/>
          <w:szCs w:val="32"/>
        </w:rPr>
        <w:t>使用维护等。</w:t>
      </w:r>
      <w:r>
        <w:rPr>
          <w:rFonts w:ascii="宋体" w:hAnsi="宋体" w:cs="宋体"/>
          <w:sz w:val="32"/>
          <w:szCs w:val="32"/>
        </w:rPr>
        <w:t xml:space="preserve"> </w:t>
      </w:r>
    </w:p>
    <w:p>
      <w:pPr>
        <w:spacing w:line="580" w:lineRule="exact"/>
        <w:ind w:firstLine="640" w:firstLineChars="200"/>
        <w:rPr>
          <w:rFonts w:ascii="宋体" w:cs="宋体"/>
          <w:sz w:val="32"/>
          <w:szCs w:val="32"/>
        </w:rPr>
      </w:pPr>
      <w:r>
        <w:rPr>
          <w:rFonts w:hint="eastAsia" w:ascii="宋体" w:hAnsi="宋体" w:cs="宋体"/>
          <w:sz w:val="32"/>
          <w:szCs w:val="32"/>
        </w:rPr>
        <w:t>二、评价结论及绩效分析</w:t>
      </w:r>
    </w:p>
    <w:p>
      <w:pPr>
        <w:spacing w:line="580" w:lineRule="exact"/>
        <w:ind w:firstLine="640" w:firstLineChars="200"/>
        <w:rPr>
          <w:rFonts w:ascii="宋体" w:cs="宋体"/>
          <w:sz w:val="32"/>
          <w:szCs w:val="32"/>
        </w:rPr>
      </w:pPr>
      <w:r>
        <w:rPr>
          <w:rFonts w:hint="eastAsia" w:ascii="宋体" w:hAnsi="宋体" w:cs="宋体"/>
          <w:sz w:val="32"/>
          <w:szCs w:val="32"/>
        </w:rPr>
        <w:t>（一）评价结论</w:t>
      </w:r>
    </w:p>
    <w:p>
      <w:pPr>
        <w:ind w:firstLine="640" w:firstLineChars="200"/>
        <w:jc w:val="left"/>
        <w:rPr>
          <w:rFonts w:ascii="宋体" w:cs="宋体"/>
          <w:sz w:val="32"/>
          <w:szCs w:val="32"/>
        </w:rPr>
      </w:pPr>
      <w:r>
        <w:rPr>
          <w:rFonts w:hint="eastAsia" w:ascii="宋体" w:hAnsi="宋体" w:cs="宋体"/>
          <w:sz w:val="32"/>
          <w:szCs w:val="32"/>
        </w:rPr>
        <w:t>项目绩效评价总体结论：本项目中各项任务完成较好，资金保障到位。</w:t>
      </w:r>
    </w:p>
    <w:p>
      <w:pPr>
        <w:spacing w:line="580" w:lineRule="exact"/>
        <w:ind w:firstLine="640" w:firstLineChars="200"/>
        <w:rPr>
          <w:rFonts w:ascii="宋体" w:cs="宋体"/>
          <w:sz w:val="32"/>
          <w:szCs w:val="32"/>
        </w:rPr>
      </w:pPr>
      <w:r>
        <w:rPr>
          <w:rFonts w:hint="eastAsia" w:ascii="宋体" w:hAnsi="宋体" w:cs="宋体"/>
          <w:sz w:val="32"/>
          <w:szCs w:val="32"/>
        </w:rPr>
        <w:t>（二）绩效分析</w:t>
      </w:r>
    </w:p>
    <w:p>
      <w:pPr>
        <w:spacing w:line="580" w:lineRule="exact"/>
        <w:ind w:firstLine="640" w:firstLineChars="200"/>
        <w:rPr>
          <w:rFonts w:ascii="宋体" w:cs="宋体"/>
          <w:sz w:val="32"/>
          <w:szCs w:val="32"/>
        </w:rPr>
      </w:pPr>
      <w:r>
        <w:rPr>
          <w:rFonts w:ascii="宋体" w:hAnsi="宋体" w:cs="宋体"/>
          <w:sz w:val="32"/>
          <w:szCs w:val="32"/>
        </w:rPr>
        <w:t>1</w:t>
      </w:r>
      <w:r>
        <w:rPr>
          <w:rFonts w:hint="eastAsia" w:ascii="宋体" w:hAnsi="宋体" w:cs="宋体"/>
          <w:sz w:val="32"/>
          <w:szCs w:val="32"/>
        </w:rPr>
        <w:t>、项目决策</w:t>
      </w:r>
    </w:p>
    <w:p>
      <w:pPr>
        <w:spacing w:line="580" w:lineRule="exact"/>
        <w:ind w:firstLine="640" w:firstLineChars="200"/>
        <w:rPr>
          <w:rFonts w:ascii="宋体" w:cs="宋体"/>
          <w:sz w:val="32"/>
          <w:szCs w:val="32"/>
        </w:rPr>
      </w:pPr>
      <w:r>
        <w:rPr>
          <w:rFonts w:hint="eastAsia" w:ascii="宋体" w:hAnsi="宋体" w:cs="宋体"/>
          <w:sz w:val="32"/>
          <w:szCs w:val="32"/>
        </w:rPr>
        <w:t>此项工作以国家法律、法规为依据进行水上安全巡航、巡查工作，并对检查中发现的违法、违规行为能限期整改的，限期整改。无法整改的该处罚的处罚。</w:t>
      </w:r>
    </w:p>
    <w:p>
      <w:pPr>
        <w:ind w:firstLine="640" w:firstLineChars="200"/>
        <w:jc w:val="left"/>
        <w:rPr>
          <w:rFonts w:ascii="宋体" w:cs="宋体"/>
          <w:sz w:val="32"/>
          <w:szCs w:val="32"/>
        </w:rPr>
      </w:pPr>
      <w:r>
        <w:rPr>
          <w:rFonts w:hint="eastAsia" w:ascii="宋体" w:hAnsi="宋体" w:cs="宋体"/>
          <w:sz w:val="32"/>
          <w:szCs w:val="32"/>
        </w:rPr>
        <w:t>对涉及本行业行政权力清单进行了认真清理和行政权力事项认领，积极推进一体化政务服务平台建设。通过海事微信公众号搭建网上受理行政许可平台，实现全部海事行政许可事项网上申报，同时积极推行行政审批“容缺受理”机制，申请人可在事项办结领件时将容缺资料补齐，大大降低网上申报操作时间，切实让办事群众享受到网上办理和“最多跑一次”的便利。</w:t>
      </w:r>
    </w:p>
    <w:p>
      <w:pPr>
        <w:spacing w:line="580" w:lineRule="exact"/>
        <w:ind w:firstLine="640" w:firstLineChars="200"/>
        <w:rPr>
          <w:rFonts w:ascii="宋体" w:cs="宋体"/>
          <w:sz w:val="32"/>
          <w:szCs w:val="32"/>
        </w:rPr>
      </w:pPr>
      <w:r>
        <w:rPr>
          <w:rFonts w:hint="eastAsia" w:ascii="宋体" w:hAnsi="宋体" w:cs="宋体"/>
          <w:sz w:val="32"/>
          <w:szCs w:val="32"/>
        </w:rPr>
        <w:t>绩效目标设置合理。</w:t>
      </w:r>
    </w:p>
    <w:p>
      <w:pPr>
        <w:spacing w:line="580" w:lineRule="exact"/>
        <w:ind w:firstLine="640" w:firstLineChars="200"/>
        <w:rPr>
          <w:rFonts w:ascii="宋体" w:cs="宋体"/>
          <w:sz w:val="32"/>
          <w:szCs w:val="32"/>
        </w:rPr>
      </w:pPr>
      <w:r>
        <w:rPr>
          <w:rFonts w:ascii="宋体" w:hAnsi="宋体" w:cs="宋体"/>
          <w:sz w:val="32"/>
          <w:szCs w:val="32"/>
        </w:rPr>
        <w:t>2</w:t>
      </w:r>
      <w:r>
        <w:rPr>
          <w:rFonts w:hint="eastAsia" w:ascii="宋体" w:hAnsi="宋体" w:cs="宋体"/>
          <w:sz w:val="32"/>
          <w:szCs w:val="32"/>
        </w:rPr>
        <w:t>、项目管理</w:t>
      </w:r>
    </w:p>
    <w:p>
      <w:pPr>
        <w:spacing w:line="580" w:lineRule="exact"/>
        <w:ind w:firstLine="640" w:firstLineChars="200"/>
        <w:rPr>
          <w:rFonts w:ascii="宋体" w:cs="宋体"/>
          <w:sz w:val="32"/>
          <w:szCs w:val="32"/>
        </w:rPr>
      </w:pPr>
      <w:r>
        <w:rPr>
          <w:rFonts w:hint="eastAsia" w:ascii="宋体" w:hAnsi="宋体" w:cs="宋体"/>
          <w:sz w:val="32"/>
          <w:szCs w:val="32"/>
        </w:rPr>
        <w:t>资金分配上以水上安全巡航、巡查工作、安全宣传、应急救援演练工作为重，使用资金约</w:t>
      </w:r>
      <w:r>
        <w:rPr>
          <w:rFonts w:ascii="宋体" w:hAnsi="宋体" w:cs="宋体"/>
          <w:sz w:val="32"/>
          <w:szCs w:val="32"/>
        </w:rPr>
        <w:t>28</w:t>
      </w:r>
      <w:r>
        <w:rPr>
          <w:rFonts w:hint="eastAsia" w:ascii="宋体" w:hAnsi="宋体" w:cs="宋体"/>
          <w:sz w:val="32"/>
          <w:szCs w:val="32"/>
        </w:rPr>
        <w:t>万元。其他工作经费主要用于执法人员制服、网络平台使用、维护等</w:t>
      </w:r>
    </w:p>
    <w:p>
      <w:pPr>
        <w:spacing w:line="580" w:lineRule="exact"/>
        <w:ind w:firstLine="640" w:firstLineChars="200"/>
        <w:rPr>
          <w:rFonts w:ascii="宋体" w:cs="宋体"/>
          <w:sz w:val="32"/>
          <w:szCs w:val="32"/>
        </w:rPr>
      </w:pPr>
      <w:r>
        <w:rPr>
          <w:rFonts w:ascii="宋体" w:hAnsi="宋体" w:cs="宋体"/>
          <w:sz w:val="32"/>
          <w:szCs w:val="32"/>
        </w:rPr>
        <w:t>3</w:t>
      </w:r>
      <w:r>
        <w:rPr>
          <w:rFonts w:hint="eastAsia" w:ascii="宋体" w:hAnsi="宋体" w:cs="宋体"/>
          <w:sz w:val="32"/>
          <w:szCs w:val="32"/>
        </w:rPr>
        <w:t>、项目绩效</w:t>
      </w:r>
    </w:p>
    <w:p>
      <w:pPr>
        <w:ind w:firstLine="640" w:firstLineChars="200"/>
        <w:jc w:val="left"/>
        <w:rPr>
          <w:rFonts w:ascii="宋体" w:cs="宋体"/>
          <w:sz w:val="32"/>
          <w:szCs w:val="32"/>
        </w:rPr>
      </w:pPr>
      <w:r>
        <w:rPr>
          <w:rFonts w:hint="eastAsia" w:ascii="宋体" w:hAnsi="宋体" w:cs="宋体"/>
          <w:sz w:val="32"/>
          <w:szCs w:val="32"/>
        </w:rPr>
        <w:t>数量指标：完成了年度水上安全巡航、巡查工作，并通过发放宣传资料，悬挂宣传横幅，办公场所、码头</w:t>
      </w:r>
      <w:r>
        <w:rPr>
          <w:rFonts w:ascii="宋体" w:hAnsi="宋体" w:cs="宋体"/>
          <w:sz w:val="32"/>
          <w:szCs w:val="32"/>
        </w:rPr>
        <w:t xml:space="preserve"> LED </w:t>
      </w:r>
      <w:r>
        <w:rPr>
          <w:rFonts w:hint="eastAsia" w:ascii="宋体" w:hAnsi="宋体" w:cs="宋体"/>
          <w:sz w:val="32"/>
          <w:szCs w:val="32"/>
        </w:rPr>
        <w:t>屏滚动播放等方式，加强了水上交通安全宣传，</w:t>
      </w:r>
    </w:p>
    <w:p>
      <w:pPr>
        <w:ind w:firstLine="640" w:firstLineChars="200"/>
        <w:jc w:val="left"/>
        <w:rPr>
          <w:rFonts w:ascii="宋体" w:cs="宋体"/>
          <w:sz w:val="32"/>
          <w:szCs w:val="32"/>
        </w:rPr>
      </w:pPr>
      <w:r>
        <w:rPr>
          <w:rFonts w:hint="eastAsia" w:ascii="宋体" w:hAnsi="宋体" w:cs="宋体"/>
          <w:sz w:val="32"/>
          <w:szCs w:val="32"/>
        </w:rPr>
        <w:t>时效指标：</w:t>
      </w:r>
      <w:r>
        <w:rPr>
          <w:rFonts w:ascii="宋体" w:hAnsi="宋体" w:cs="宋体"/>
          <w:sz w:val="32"/>
          <w:szCs w:val="32"/>
        </w:rPr>
        <w:t>2018</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月完成全年工作任务。</w:t>
      </w:r>
    </w:p>
    <w:p>
      <w:pPr>
        <w:ind w:firstLine="640" w:firstLineChars="200"/>
        <w:jc w:val="left"/>
        <w:rPr>
          <w:rFonts w:ascii="宋体" w:cs="宋体"/>
          <w:sz w:val="32"/>
          <w:szCs w:val="32"/>
        </w:rPr>
      </w:pPr>
      <w:r>
        <w:rPr>
          <w:rFonts w:hint="eastAsia" w:ascii="宋体" w:hAnsi="宋体" w:cs="宋体"/>
          <w:sz w:val="32"/>
          <w:szCs w:val="32"/>
        </w:rPr>
        <w:t>成本指标：全年使用经费</w:t>
      </w:r>
      <w:r>
        <w:rPr>
          <w:rFonts w:ascii="宋体" w:hAnsi="宋体" w:cs="宋体"/>
          <w:sz w:val="32"/>
          <w:szCs w:val="32"/>
        </w:rPr>
        <w:t>47</w:t>
      </w:r>
      <w:r>
        <w:rPr>
          <w:rFonts w:hint="eastAsia" w:ascii="宋体" w:hAnsi="宋体" w:cs="宋体"/>
          <w:sz w:val="32"/>
          <w:szCs w:val="32"/>
        </w:rPr>
        <w:t>万元，资金使用效率达</w:t>
      </w:r>
      <w:r>
        <w:rPr>
          <w:rFonts w:ascii="宋体" w:hAnsi="宋体" w:cs="宋体"/>
          <w:sz w:val="32"/>
          <w:szCs w:val="32"/>
        </w:rPr>
        <w:t>100%</w:t>
      </w:r>
      <w:r>
        <w:rPr>
          <w:rFonts w:hint="eastAsia" w:ascii="宋体" w:hAnsi="宋体" w:cs="宋体"/>
          <w:sz w:val="32"/>
          <w:szCs w:val="32"/>
        </w:rPr>
        <w:t>。</w:t>
      </w:r>
    </w:p>
    <w:p>
      <w:pPr>
        <w:ind w:firstLine="640" w:firstLineChars="200"/>
        <w:jc w:val="left"/>
        <w:rPr>
          <w:rFonts w:ascii="宋体" w:cs="宋体"/>
          <w:sz w:val="32"/>
          <w:szCs w:val="32"/>
        </w:rPr>
      </w:pPr>
      <w:r>
        <w:rPr>
          <w:rFonts w:hint="eastAsia" w:ascii="宋体" w:hAnsi="宋体" w:cs="宋体"/>
          <w:sz w:val="32"/>
          <w:szCs w:val="32"/>
        </w:rPr>
        <w:t>项目效益情况（项目社会效益指标）：通过开展从业人员培训、安全宣传、环保宣传，进一步提高了人民群众、水运企企业及从业人员的法律意识、安全生产意识、环境保护意识。并通过网络平台实现全部海事行政许可事项网上申报，切实让办事群众享受到网上办理和“最多跑一次”的便利。通过应急救援演练，进一步强化应急救援队伍的业务素质，提高水上应急救援能力，确保在紧急情况下能够迅速出动，提升应急救援效率。</w:t>
      </w:r>
    </w:p>
    <w:p>
      <w:pPr>
        <w:ind w:firstLine="640" w:firstLineChars="200"/>
        <w:jc w:val="left"/>
        <w:rPr>
          <w:rFonts w:ascii="宋体" w:cs="宋体"/>
          <w:sz w:val="32"/>
          <w:szCs w:val="32"/>
        </w:rPr>
      </w:pPr>
      <w:r>
        <w:rPr>
          <w:rFonts w:hint="eastAsia" w:ascii="宋体" w:hAnsi="宋体" w:cs="宋体"/>
          <w:sz w:val="32"/>
          <w:szCs w:val="32"/>
        </w:rPr>
        <w:t>满意度指标：≥</w:t>
      </w:r>
      <w:r>
        <w:rPr>
          <w:rFonts w:ascii="宋体" w:hAnsi="宋体" w:cs="宋体"/>
          <w:sz w:val="32"/>
          <w:szCs w:val="32"/>
        </w:rPr>
        <w:t>95%</w:t>
      </w:r>
      <w:r>
        <w:rPr>
          <w:rFonts w:hint="eastAsia" w:ascii="宋体" w:hAnsi="宋体" w:cs="宋体"/>
          <w:sz w:val="32"/>
          <w:szCs w:val="32"/>
        </w:rPr>
        <w:t>。得到了人民群众、水运企企业及</w:t>
      </w:r>
    </w:p>
    <w:p>
      <w:pPr>
        <w:spacing w:line="580" w:lineRule="exact"/>
        <w:ind w:firstLine="640" w:firstLineChars="200"/>
        <w:rPr>
          <w:rFonts w:ascii="宋体" w:cs="宋体"/>
          <w:sz w:val="32"/>
          <w:szCs w:val="32"/>
        </w:rPr>
      </w:pPr>
      <w:r>
        <w:rPr>
          <w:rFonts w:hint="eastAsia" w:ascii="宋体" w:hAnsi="宋体" w:cs="宋体"/>
          <w:sz w:val="32"/>
          <w:szCs w:val="32"/>
        </w:rPr>
        <w:t>三、存在主要问题</w:t>
      </w:r>
    </w:p>
    <w:p>
      <w:pPr>
        <w:spacing w:line="580" w:lineRule="exact"/>
        <w:ind w:firstLine="640" w:firstLineChars="200"/>
        <w:rPr>
          <w:rFonts w:ascii="宋体" w:cs="宋体"/>
          <w:sz w:val="32"/>
          <w:szCs w:val="32"/>
        </w:rPr>
      </w:pPr>
      <w:r>
        <w:rPr>
          <w:rFonts w:hint="eastAsia" w:ascii="宋体" w:hAnsi="宋体" w:cs="宋体"/>
          <w:sz w:val="32"/>
          <w:szCs w:val="32"/>
        </w:rPr>
        <w:t>无</w:t>
      </w:r>
    </w:p>
    <w:p>
      <w:pPr>
        <w:spacing w:line="580" w:lineRule="exact"/>
        <w:ind w:firstLine="640" w:firstLineChars="200"/>
        <w:rPr>
          <w:rFonts w:ascii="宋体" w:cs="宋体"/>
          <w:sz w:val="32"/>
          <w:szCs w:val="32"/>
        </w:rPr>
      </w:pPr>
      <w:r>
        <w:rPr>
          <w:rFonts w:hint="eastAsia" w:ascii="宋体" w:hAnsi="宋体" w:cs="宋体"/>
          <w:sz w:val="32"/>
          <w:szCs w:val="32"/>
        </w:rPr>
        <w:t>四、相关措施建议</w:t>
      </w:r>
    </w:p>
    <w:p>
      <w:pPr>
        <w:spacing w:line="580" w:lineRule="exact"/>
        <w:ind w:firstLine="640" w:firstLineChars="200"/>
        <w:rPr>
          <w:rStyle w:val="17"/>
          <w:rFonts w:ascii="宋体" w:cs="宋体"/>
          <w:b w:val="0"/>
          <w:bCs w:val="0"/>
          <w:sz w:val="32"/>
          <w:szCs w:val="32"/>
        </w:rPr>
      </w:pPr>
      <w:r>
        <w:rPr>
          <w:rFonts w:hint="eastAsia" w:ascii="宋体" w:hAnsi="宋体" w:cs="宋体"/>
          <w:sz w:val="32"/>
          <w:szCs w:val="32"/>
        </w:rPr>
        <w:t>无</w:t>
      </w: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攀枝花市交通运输综合行政执法支队</w:t>
      </w:r>
    </w:p>
    <w:p>
      <w:pPr>
        <w:spacing w:line="580" w:lineRule="exact"/>
        <w:jc w:val="center"/>
        <w:rPr>
          <w:rFonts w:ascii="黑体" w:hAnsi="黑体" w:eastAsia="黑体" w:cs="方正小标宋简体"/>
          <w:sz w:val="44"/>
          <w:szCs w:val="44"/>
        </w:rPr>
      </w:pPr>
      <w:r>
        <w:rPr>
          <w:rFonts w:ascii="黑体" w:hAnsi="黑体" w:eastAsia="黑体" w:cs="方正小标宋简体"/>
          <w:sz w:val="44"/>
          <w:szCs w:val="44"/>
        </w:rPr>
        <w:t>2018</w:t>
      </w:r>
      <w:r>
        <w:rPr>
          <w:rFonts w:hint="eastAsia" w:ascii="黑体" w:hAnsi="黑体" w:eastAsia="黑体" w:cs="方正小标宋简体"/>
          <w:sz w:val="44"/>
          <w:szCs w:val="44"/>
        </w:rPr>
        <w:t>年超限站运行经费项目支出</w:t>
      </w:r>
      <w:r>
        <w:rPr>
          <w:rFonts w:ascii="黑体" w:hAnsi="黑体" w:eastAsia="黑体" w:cs="方正小标宋简体"/>
          <w:sz w:val="44"/>
          <w:szCs w:val="44"/>
        </w:rPr>
        <w:t xml:space="preserve">        </w:t>
      </w:r>
      <w:r>
        <w:rPr>
          <w:rFonts w:hint="eastAsia" w:ascii="黑体" w:hAnsi="黑体" w:eastAsia="黑体" w:cs="方正小标宋简体"/>
          <w:sz w:val="44"/>
          <w:szCs w:val="44"/>
        </w:rPr>
        <w:t>绩效评价报告</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宋体" w:cs="宋体"/>
          <w:sz w:val="32"/>
          <w:szCs w:val="32"/>
        </w:rPr>
      </w:pPr>
      <w:r>
        <w:rPr>
          <w:rFonts w:hint="eastAsia" w:ascii="宋体" w:hAnsi="宋体" w:cs="宋体"/>
          <w:sz w:val="32"/>
          <w:szCs w:val="32"/>
        </w:rPr>
        <w:t>一、项目情况及评价工作开展</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超限站运行经</w:t>
      </w:r>
      <w:r>
        <w:rPr>
          <w:rFonts w:hint="eastAsia" w:ascii="宋体" w:hAnsi="宋体" w:cs="宋体"/>
          <w:color w:val="333333"/>
          <w:kern w:val="0"/>
          <w:sz w:val="32"/>
          <w:szCs w:val="32"/>
        </w:rPr>
        <w:t>费是一项日常性检测管理工作经费。本项目属于持续性、常年性项目，按财政支出功能分类属于公路运输管理支出。</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我支队根据绩效管理要求和该项目以前年度实际运行情况设置了三级指标，并采取打分评价的形式，满分为</w:t>
      </w:r>
      <w:r>
        <w:rPr>
          <w:rFonts w:ascii="宋体" w:hAnsi="宋体" w:cs="宋体"/>
          <w:snapToGrid w:val="0"/>
          <w:sz w:val="32"/>
          <w:szCs w:val="32"/>
        </w:rPr>
        <w:t>100</w:t>
      </w:r>
      <w:r>
        <w:rPr>
          <w:rFonts w:hint="eastAsia" w:ascii="宋体" w:hAnsi="宋体" w:cs="宋体"/>
          <w:snapToGrid w:val="0"/>
          <w:sz w:val="32"/>
          <w:szCs w:val="32"/>
        </w:rPr>
        <w:t>分。一级指标权重统一设置为：产出指标</w:t>
      </w:r>
      <w:r>
        <w:rPr>
          <w:rFonts w:ascii="宋体" w:hAnsi="宋体" w:cs="宋体"/>
          <w:snapToGrid w:val="0"/>
          <w:sz w:val="32"/>
          <w:szCs w:val="32"/>
        </w:rPr>
        <w:t>50</w:t>
      </w:r>
      <w:r>
        <w:rPr>
          <w:rFonts w:hint="eastAsia" w:ascii="宋体" w:hAnsi="宋体" w:cs="宋体"/>
          <w:snapToGrid w:val="0"/>
          <w:sz w:val="32"/>
          <w:szCs w:val="32"/>
        </w:rPr>
        <w:t>分、效益指标</w:t>
      </w:r>
      <w:r>
        <w:rPr>
          <w:rFonts w:ascii="宋体" w:hAnsi="宋体" w:cs="宋体"/>
          <w:snapToGrid w:val="0"/>
          <w:sz w:val="32"/>
          <w:szCs w:val="32"/>
        </w:rPr>
        <w:t>30</w:t>
      </w:r>
      <w:r>
        <w:rPr>
          <w:rFonts w:hint="eastAsia" w:ascii="宋体" w:hAnsi="宋体" w:cs="宋体"/>
          <w:snapToGrid w:val="0"/>
          <w:sz w:val="32"/>
          <w:szCs w:val="32"/>
        </w:rPr>
        <w:t>分、满意度指标</w:t>
      </w:r>
      <w:r>
        <w:rPr>
          <w:rFonts w:ascii="宋体" w:hAnsi="宋体" w:cs="宋体"/>
          <w:snapToGrid w:val="0"/>
          <w:sz w:val="32"/>
          <w:szCs w:val="32"/>
        </w:rPr>
        <w:t>10</w:t>
      </w:r>
      <w:r>
        <w:rPr>
          <w:rFonts w:hint="eastAsia" w:ascii="宋体" w:hAnsi="宋体" w:cs="宋体"/>
          <w:snapToGrid w:val="0"/>
          <w:sz w:val="32"/>
          <w:szCs w:val="32"/>
        </w:rPr>
        <w:t>分、预算资金执行率</w:t>
      </w:r>
      <w:r>
        <w:rPr>
          <w:rFonts w:ascii="宋体" w:hAnsi="宋体" w:cs="宋体"/>
          <w:snapToGrid w:val="0"/>
          <w:sz w:val="32"/>
          <w:szCs w:val="32"/>
        </w:rPr>
        <w:t>10</w:t>
      </w:r>
      <w:r>
        <w:rPr>
          <w:rFonts w:hint="eastAsia" w:ascii="宋体" w:hAnsi="宋体" w:cs="宋体"/>
          <w:snapToGrid w:val="0"/>
          <w:sz w:val="32"/>
          <w:szCs w:val="32"/>
        </w:rPr>
        <w:t>分。产出完成指标设置</w:t>
      </w:r>
      <w:r>
        <w:rPr>
          <w:rFonts w:ascii="宋体" w:hAnsi="宋体" w:cs="宋体"/>
          <w:snapToGrid w:val="0"/>
          <w:sz w:val="32"/>
          <w:szCs w:val="32"/>
        </w:rPr>
        <w:t>4</w:t>
      </w:r>
      <w:r>
        <w:rPr>
          <w:rFonts w:hint="eastAsia" w:ascii="宋体" w:hAnsi="宋体" w:cs="宋体"/>
          <w:snapToGrid w:val="0"/>
          <w:sz w:val="32"/>
          <w:szCs w:val="32"/>
        </w:rPr>
        <w:t>类二级指标，共</w:t>
      </w:r>
      <w:r>
        <w:rPr>
          <w:rFonts w:ascii="宋体" w:hAnsi="宋体" w:cs="宋体"/>
          <w:snapToGrid w:val="0"/>
          <w:sz w:val="32"/>
          <w:szCs w:val="32"/>
        </w:rPr>
        <w:t>14</w:t>
      </w:r>
      <w:r>
        <w:rPr>
          <w:rFonts w:hint="eastAsia" w:ascii="宋体" w:hAnsi="宋体" w:cs="宋体"/>
          <w:snapToGrid w:val="0"/>
          <w:sz w:val="32"/>
          <w:szCs w:val="32"/>
        </w:rPr>
        <w:t>个三级指标；效益指标设置</w:t>
      </w:r>
      <w:r>
        <w:rPr>
          <w:rFonts w:ascii="宋体" w:hAnsi="宋体" w:cs="宋体"/>
          <w:snapToGrid w:val="0"/>
          <w:sz w:val="32"/>
          <w:szCs w:val="32"/>
        </w:rPr>
        <w:t>4</w:t>
      </w:r>
      <w:r>
        <w:rPr>
          <w:rFonts w:hint="eastAsia" w:ascii="宋体" w:hAnsi="宋体" w:cs="宋体"/>
          <w:snapToGrid w:val="0"/>
          <w:sz w:val="32"/>
          <w:szCs w:val="32"/>
        </w:rPr>
        <w:t>类二级指标，共</w:t>
      </w:r>
      <w:r>
        <w:rPr>
          <w:rFonts w:ascii="宋体" w:hAnsi="宋体" w:cs="宋体"/>
          <w:snapToGrid w:val="0"/>
          <w:sz w:val="32"/>
          <w:szCs w:val="32"/>
        </w:rPr>
        <w:t>4</w:t>
      </w:r>
      <w:r>
        <w:rPr>
          <w:rFonts w:hint="eastAsia" w:ascii="宋体" w:hAnsi="宋体" w:cs="宋体"/>
          <w:snapToGrid w:val="0"/>
          <w:sz w:val="32"/>
          <w:szCs w:val="32"/>
        </w:rPr>
        <w:t>个三级指标；满意度指标设置</w:t>
      </w:r>
      <w:r>
        <w:rPr>
          <w:rFonts w:ascii="宋体" w:hAnsi="宋体" w:cs="宋体"/>
          <w:snapToGrid w:val="0"/>
          <w:sz w:val="32"/>
          <w:szCs w:val="32"/>
        </w:rPr>
        <w:t>2</w:t>
      </w:r>
      <w:r>
        <w:rPr>
          <w:rFonts w:hint="eastAsia" w:ascii="宋体" w:hAnsi="宋体" w:cs="宋体"/>
          <w:snapToGrid w:val="0"/>
          <w:sz w:val="32"/>
          <w:szCs w:val="32"/>
        </w:rPr>
        <w:t>类二级指标，共</w:t>
      </w:r>
      <w:r>
        <w:rPr>
          <w:rFonts w:ascii="宋体" w:hAnsi="宋体" w:cs="宋体"/>
          <w:snapToGrid w:val="0"/>
          <w:sz w:val="32"/>
          <w:szCs w:val="32"/>
        </w:rPr>
        <w:t>2</w:t>
      </w:r>
      <w:r>
        <w:rPr>
          <w:rFonts w:hint="eastAsia" w:ascii="宋体" w:hAnsi="宋体" w:cs="宋体"/>
          <w:snapToGrid w:val="0"/>
          <w:sz w:val="32"/>
          <w:szCs w:val="32"/>
        </w:rPr>
        <w:t>个三级指标；项目依据各级指标逐项分析评价打分。</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二、评价结论及绩效分析</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（一）评价结论</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该项目支出通过我支队所辖五个超限运输检测站，检测所有进出攀枝花的运输车辆，坚决制止超限运输车辆，消除安全隐患，保护公路、公路桥梁及公路设施，营造了良好监管环境。</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一定程度上促进了道路运输行业发展和稳定。支出达到预期绩效目标。项目绩效评价得分</w:t>
      </w:r>
      <w:r>
        <w:rPr>
          <w:rFonts w:ascii="宋体" w:hAnsi="宋体" w:cs="宋体"/>
          <w:snapToGrid w:val="0"/>
          <w:sz w:val="32"/>
          <w:szCs w:val="32"/>
        </w:rPr>
        <w:t>96</w:t>
      </w:r>
      <w:r>
        <w:rPr>
          <w:rFonts w:hint="eastAsia" w:ascii="宋体" w:hAnsi="宋体" w:cs="宋体"/>
          <w:snapToGrid w:val="0"/>
          <w:sz w:val="32"/>
          <w:szCs w:val="32"/>
        </w:rPr>
        <w:t>分，扣分主要为两个满意度指标各扣</w:t>
      </w:r>
      <w:r>
        <w:rPr>
          <w:rFonts w:ascii="宋体" w:hAnsi="宋体" w:cs="宋体"/>
          <w:snapToGrid w:val="0"/>
          <w:sz w:val="32"/>
          <w:szCs w:val="32"/>
        </w:rPr>
        <w:t>2</w:t>
      </w:r>
      <w:r>
        <w:rPr>
          <w:rFonts w:hint="eastAsia" w:ascii="宋体" w:hAnsi="宋体" w:cs="宋体"/>
          <w:snapToGrid w:val="0"/>
          <w:sz w:val="32"/>
          <w:szCs w:val="32"/>
        </w:rPr>
        <w:t>分，资金执行方面扣</w:t>
      </w:r>
      <w:r>
        <w:rPr>
          <w:rFonts w:ascii="宋体" w:hAnsi="宋体" w:cs="宋体"/>
          <w:snapToGrid w:val="0"/>
          <w:sz w:val="32"/>
          <w:szCs w:val="32"/>
        </w:rPr>
        <w:t>2</w:t>
      </w:r>
      <w:r>
        <w:rPr>
          <w:rFonts w:hint="eastAsia" w:ascii="宋体" w:hAnsi="宋体" w:cs="宋体"/>
          <w:snapToGrid w:val="0"/>
          <w:sz w:val="32"/>
          <w:szCs w:val="32"/>
        </w:rPr>
        <w:t>分，因该项目内部之间有所调剂，并未完全按年初设立的指标使用。</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（二）绩效分析</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ascii="宋体" w:hAnsi="宋体" w:cs="宋体"/>
          <w:snapToGrid w:val="0"/>
          <w:sz w:val="32"/>
          <w:szCs w:val="32"/>
        </w:rPr>
        <w:t>1</w:t>
      </w:r>
      <w:r>
        <w:rPr>
          <w:rFonts w:hint="eastAsia" w:ascii="宋体" w:hAnsi="宋体" w:cs="宋体"/>
          <w:snapToGrid w:val="0"/>
          <w:sz w:val="32"/>
          <w:szCs w:val="32"/>
        </w:rPr>
        <w:t>、项目决策</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该项目根据《中华人民共和国公路法》、《公路安全保护条例》、《中华人民共和国道路运输条例》、《四川省公路路政管理条例》、《四川省道路运输条例》、《中华人民共和国道路交通安全法》等文件依据和政府、上级部署安排开展的对道路运输货车辆超限超载检测工作活动设置。</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ascii="宋体" w:hAnsi="宋体" w:cs="宋体"/>
          <w:snapToGrid w:val="0"/>
          <w:sz w:val="32"/>
          <w:szCs w:val="32"/>
        </w:rPr>
        <w:t>2</w:t>
      </w:r>
      <w:r>
        <w:rPr>
          <w:rFonts w:hint="eastAsia" w:ascii="宋体" w:hAnsi="宋体" w:cs="宋体"/>
          <w:snapToGrid w:val="0"/>
          <w:sz w:val="32"/>
          <w:szCs w:val="32"/>
        </w:rPr>
        <w:t>、项目管理</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业务运行费项目预算金额</w:t>
      </w:r>
      <w:r>
        <w:rPr>
          <w:rFonts w:ascii="宋体" w:hAnsi="宋体" w:cs="宋体"/>
          <w:snapToGrid w:val="0"/>
          <w:sz w:val="32"/>
          <w:szCs w:val="32"/>
        </w:rPr>
        <w:t>90</w:t>
      </w:r>
      <w:r>
        <w:rPr>
          <w:rFonts w:hint="eastAsia" w:ascii="宋体" w:hAnsi="宋体" w:cs="宋体"/>
          <w:snapToGrid w:val="0"/>
          <w:sz w:val="32"/>
          <w:szCs w:val="32"/>
        </w:rPr>
        <w:t>万元，具体分为</w:t>
      </w:r>
      <w:r>
        <w:rPr>
          <w:rFonts w:ascii="宋体" w:hAnsi="宋体" w:cs="宋体"/>
          <w:snapToGrid w:val="0"/>
          <w:sz w:val="32"/>
          <w:szCs w:val="32"/>
        </w:rPr>
        <w:t>5</w:t>
      </w:r>
      <w:r>
        <w:rPr>
          <w:rFonts w:hint="eastAsia" w:ascii="宋体" w:hAnsi="宋体" w:cs="宋体"/>
          <w:snapToGrid w:val="0"/>
          <w:sz w:val="32"/>
          <w:szCs w:val="32"/>
        </w:rPr>
        <w:t>个超限检测站日常公用经费</w:t>
      </w:r>
      <w:r>
        <w:rPr>
          <w:rFonts w:ascii="宋体" w:hAnsi="宋体" w:cs="宋体"/>
          <w:snapToGrid w:val="0"/>
          <w:sz w:val="32"/>
          <w:szCs w:val="32"/>
        </w:rPr>
        <w:t>60</w:t>
      </w:r>
      <w:r>
        <w:rPr>
          <w:rFonts w:hint="eastAsia" w:ascii="宋体" w:hAnsi="宋体" w:cs="宋体"/>
          <w:snapToGrid w:val="0"/>
          <w:sz w:val="32"/>
          <w:szCs w:val="32"/>
        </w:rPr>
        <w:t>万元</w:t>
      </w:r>
      <w:r>
        <w:rPr>
          <w:rFonts w:ascii="宋体" w:hAnsi="宋体" w:cs="宋体"/>
          <w:snapToGrid w:val="0"/>
          <w:sz w:val="32"/>
          <w:szCs w:val="32"/>
        </w:rPr>
        <w:t>,5</w:t>
      </w:r>
      <w:r>
        <w:rPr>
          <w:rFonts w:hint="eastAsia" w:ascii="宋体" w:hAnsi="宋体" w:cs="宋体"/>
          <w:snapToGrid w:val="0"/>
          <w:sz w:val="32"/>
          <w:szCs w:val="32"/>
        </w:rPr>
        <w:t>个超限站地磅年检、网元监控租用、系统维护等</w:t>
      </w:r>
      <w:r>
        <w:rPr>
          <w:rFonts w:ascii="宋体" w:hAnsi="宋体" w:cs="宋体"/>
          <w:snapToGrid w:val="0"/>
          <w:sz w:val="32"/>
          <w:szCs w:val="32"/>
        </w:rPr>
        <w:t>30</w:t>
      </w:r>
      <w:r>
        <w:rPr>
          <w:rFonts w:hint="eastAsia" w:ascii="宋体" w:hAnsi="宋体" w:cs="宋体"/>
          <w:snapToGrid w:val="0"/>
          <w:sz w:val="32"/>
          <w:szCs w:val="32"/>
        </w:rPr>
        <w:t>万元。项目完成进度</w:t>
      </w:r>
      <w:r>
        <w:rPr>
          <w:rFonts w:ascii="宋体" w:hAnsi="宋体" w:cs="宋体"/>
          <w:snapToGrid w:val="0"/>
          <w:sz w:val="32"/>
          <w:szCs w:val="32"/>
        </w:rPr>
        <w:t>100%</w:t>
      </w:r>
      <w:r>
        <w:rPr>
          <w:rFonts w:hint="eastAsia" w:ascii="宋体" w:hAnsi="宋体" w:cs="宋体"/>
          <w:snapToGrid w:val="0"/>
          <w:sz w:val="32"/>
          <w:szCs w:val="32"/>
        </w:rPr>
        <w:t>，资金支付进度</w:t>
      </w:r>
      <w:r>
        <w:rPr>
          <w:rFonts w:ascii="宋体" w:hAnsi="宋体" w:cs="宋体"/>
          <w:snapToGrid w:val="0"/>
          <w:sz w:val="32"/>
          <w:szCs w:val="32"/>
        </w:rPr>
        <w:t>100%</w:t>
      </w:r>
      <w:r>
        <w:rPr>
          <w:rFonts w:hint="eastAsia" w:ascii="宋体" w:hAnsi="宋体" w:cs="宋体"/>
          <w:snapToGrid w:val="0"/>
          <w:sz w:val="32"/>
          <w:szCs w:val="32"/>
        </w:rPr>
        <w:t>。</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ascii="宋体" w:hAnsi="宋体" w:cs="宋体"/>
          <w:snapToGrid w:val="0"/>
          <w:sz w:val="32"/>
          <w:szCs w:val="32"/>
        </w:rPr>
        <w:t>3</w:t>
      </w:r>
      <w:r>
        <w:rPr>
          <w:rFonts w:hint="eastAsia" w:ascii="宋体" w:hAnsi="宋体" w:cs="宋体"/>
          <w:snapToGrid w:val="0"/>
          <w:sz w:val="32"/>
          <w:szCs w:val="32"/>
        </w:rPr>
        <w:t>、项目绩效</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项目执行较好地完成绩效设定目标。运输市场持续健康稳定发展，货运源头超限运输治理工作顺利推进，保护公路路产、维护公路路权；五个公路超限检测站共投入执法人员</w:t>
      </w:r>
      <w:r>
        <w:rPr>
          <w:rFonts w:ascii="宋体" w:hAnsi="宋体" w:cs="宋体"/>
          <w:snapToGrid w:val="0"/>
          <w:sz w:val="32"/>
          <w:szCs w:val="32"/>
        </w:rPr>
        <w:t>1.61</w:t>
      </w:r>
      <w:r>
        <w:rPr>
          <w:rFonts w:hint="eastAsia" w:ascii="宋体" w:hAnsi="宋体" w:cs="宋体"/>
          <w:snapToGrid w:val="0"/>
          <w:sz w:val="32"/>
          <w:szCs w:val="32"/>
        </w:rPr>
        <w:t>万人次，检测载货车辆</w:t>
      </w:r>
      <w:r>
        <w:rPr>
          <w:rFonts w:ascii="宋体" w:hAnsi="宋体" w:cs="宋体"/>
          <w:snapToGrid w:val="0"/>
          <w:sz w:val="32"/>
          <w:szCs w:val="32"/>
        </w:rPr>
        <w:t>98.80</w:t>
      </w:r>
      <w:r>
        <w:rPr>
          <w:rFonts w:hint="eastAsia" w:ascii="宋体" w:hAnsi="宋体" w:cs="宋体"/>
          <w:snapToGrid w:val="0"/>
          <w:sz w:val="32"/>
          <w:szCs w:val="32"/>
        </w:rPr>
        <w:t>万台次，经检测载货汽车检测率控制在</w:t>
      </w:r>
      <w:r>
        <w:rPr>
          <w:rFonts w:ascii="宋体" w:hAnsi="宋体" w:cs="宋体"/>
          <w:snapToGrid w:val="0"/>
          <w:sz w:val="32"/>
          <w:szCs w:val="32"/>
        </w:rPr>
        <w:t>4.5</w:t>
      </w:r>
      <w:r>
        <w:rPr>
          <w:rFonts w:hint="eastAsia" w:ascii="宋体" w:hAnsi="宋体" w:cs="宋体"/>
          <w:snapToGrid w:val="0"/>
          <w:sz w:val="32"/>
          <w:szCs w:val="32"/>
        </w:rPr>
        <w:t>内，非法超限运输卸载率不低</w:t>
      </w:r>
      <w:r>
        <w:rPr>
          <w:rFonts w:ascii="宋体" w:hAnsi="宋体" w:cs="宋体"/>
          <w:snapToGrid w:val="0"/>
          <w:sz w:val="32"/>
          <w:szCs w:val="32"/>
        </w:rPr>
        <w:t>90%</w:t>
      </w:r>
      <w:r>
        <w:rPr>
          <w:rFonts w:hint="eastAsia" w:ascii="宋体" w:hAnsi="宋体" w:cs="宋体"/>
          <w:snapToGrid w:val="0"/>
          <w:sz w:val="32"/>
          <w:szCs w:val="32"/>
        </w:rPr>
        <w:t>；货运市场健康有序发展，环保工作稳步推进。重要节假日、重要时段及重点物资运输保障有力。</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jc w:val="left"/>
        <w:rPr>
          <w:rFonts w:ascii="宋体" w:cs="宋体"/>
          <w:snapToGrid w:val="0"/>
          <w:sz w:val="32"/>
          <w:szCs w:val="32"/>
        </w:rPr>
      </w:pPr>
      <w:r>
        <w:rPr>
          <w:rFonts w:hint="eastAsia" w:ascii="宋体" w:hAnsi="宋体" w:cs="宋体"/>
          <w:snapToGrid w:val="0"/>
          <w:sz w:val="32"/>
          <w:szCs w:val="32"/>
        </w:rPr>
        <w:t>（三）存在主要问题</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720" w:firstLineChars="225"/>
        <w:jc w:val="left"/>
        <w:rPr>
          <w:rFonts w:ascii="宋体" w:cs="宋体"/>
          <w:snapToGrid w:val="0"/>
          <w:sz w:val="32"/>
          <w:szCs w:val="32"/>
        </w:rPr>
      </w:pPr>
      <w:r>
        <w:rPr>
          <w:rFonts w:hint="eastAsia" w:ascii="宋体" w:hAnsi="宋体" w:cs="宋体"/>
          <w:snapToGrid w:val="0"/>
          <w:sz w:val="32"/>
          <w:szCs w:val="32"/>
        </w:rPr>
        <w:t>保障力度有待进一步加强，特别是随着对货运营运车辆检测数量大幅增加，超限站检测设备陈旧，急需更新改造，经费不足；项目执行总体较好，但是设立的具体三级指标和实际执行有偏差；平时的绩效监控手段落后。</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jc w:val="left"/>
        <w:rPr>
          <w:rFonts w:ascii="宋体" w:cs="宋体"/>
          <w:snapToGrid w:val="0"/>
          <w:sz w:val="32"/>
          <w:szCs w:val="32"/>
        </w:rPr>
      </w:pPr>
      <w:r>
        <w:rPr>
          <w:rFonts w:hint="eastAsia" w:ascii="宋体" w:hAnsi="宋体" w:cs="宋体"/>
          <w:snapToGrid w:val="0"/>
          <w:sz w:val="32"/>
          <w:szCs w:val="32"/>
        </w:rPr>
        <w:t>（四）相关措施建议</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ascii="宋体" w:hAnsi="宋体" w:cs="宋体"/>
          <w:snapToGrid w:val="0"/>
          <w:sz w:val="32"/>
          <w:szCs w:val="32"/>
        </w:rPr>
        <w:t xml:space="preserve"> </w:t>
      </w:r>
      <w:r>
        <w:rPr>
          <w:rFonts w:hint="eastAsia" w:ascii="宋体" w:hAnsi="宋体" w:cs="宋体"/>
          <w:snapToGrid w:val="0"/>
          <w:sz w:val="32"/>
          <w:szCs w:val="32"/>
        </w:rPr>
        <w:t>进一步加大超限站运行经费保障力度，进一步强化道路运输对全市经济增长贡献的支撑作用；</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加强预算编制的前瞻性，按照新《预算法》和新《政府会计准则》及其实施条例的相关规定，按政策规定及本部门的发展规划，结合上一年度预算执行情况和本年度预算收支变化因素，科学合理地编制本年度预算，不断优化项目绩效指标设置，最大程度的减少执行过程中的差异情况。</w:t>
      </w:r>
    </w:p>
    <w:p>
      <w:pPr>
        <w:widowControl/>
        <w:tabs>
          <w:tab w:val="left" w:pos="5293"/>
          <w:tab w:val="left" w:pos="6373"/>
          <w:tab w:val="left" w:pos="7453"/>
          <w:tab w:val="left" w:pos="8533"/>
          <w:tab w:val="left" w:pos="9613"/>
          <w:tab w:val="left" w:pos="10693"/>
          <w:tab w:val="left" w:pos="11773"/>
          <w:tab w:val="left" w:pos="12853"/>
          <w:tab w:val="left" w:pos="13933"/>
          <w:tab w:val="left" w:pos="15013"/>
          <w:tab w:val="left" w:pos="16093"/>
          <w:tab w:val="left" w:pos="17173"/>
          <w:tab w:val="left" w:pos="18253"/>
          <w:tab w:val="left" w:pos="19333"/>
          <w:tab w:val="left" w:pos="20413"/>
          <w:tab w:val="left" w:pos="21493"/>
          <w:tab w:val="left" w:pos="22573"/>
        </w:tabs>
        <w:ind w:firstLine="560"/>
        <w:jc w:val="left"/>
        <w:rPr>
          <w:rFonts w:ascii="宋体" w:cs="宋体"/>
          <w:snapToGrid w:val="0"/>
          <w:sz w:val="32"/>
          <w:szCs w:val="32"/>
        </w:rPr>
      </w:pPr>
      <w:r>
        <w:rPr>
          <w:rFonts w:hint="eastAsia" w:ascii="宋体" w:hAnsi="宋体" w:cs="宋体"/>
          <w:snapToGrid w:val="0"/>
          <w:sz w:val="32"/>
          <w:szCs w:val="32"/>
        </w:rPr>
        <w:t>建立并完善单位内控信息系统，通过技术手段有效开展绩效监控工作。</w:t>
      </w:r>
    </w:p>
    <w:p>
      <w:pPr>
        <w:spacing w:line="600" w:lineRule="exact"/>
        <w:jc w:val="center"/>
        <w:outlineLvl w:val="0"/>
        <w:rPr>
          <w:rFonts w:ascii="宋体" w:cs="宋体"/>
          <w:color w:val="000000"/>
          <w:sz w:val="32"/>
          <w:szCs w:val="32"/>
        </w:rPr>
      </w:pPr>
    </w:p>
    <w:p>
      <w:pPr>
        <w:spacing w:line="600" w:lineRule="exact"/>
        <w:jc w:val="center"/>
        <w:outlineLvl w:val="0"/>
        <w:rPr>
          <w:rFonts w:ascii="宋体" w:cs="宋体"/>
          <w:color w:val="000000"/>
          <w:sz w:val="32"/>
          <w:szCs w:val="32"/>
        </w:rPr>
      </w:pPr>
    </w:p>
    <w:p>
      <w:pPr>
        <w:spacing w:line="600" w:lineRule="exact"/>
        <w:jc w:val="center"/>
        <w:outlineLvl w:val="0"/>
        <w:rPr>
          <w:rFonts w:ascii="宋体" w:cs="宋体"/>
          <w:color w:val="000000"/>
          <w:sz w:val="32"/>
          <w:szCs w:val="32"/>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Style w:val="17"/>
          <w:rFonts w:ascii="黑体" w:hAnsi="黑体" w:eastAsia="黑体"/>
          <w:b w:val="0"/>
        </w:rPr>
      </w:pPr>
      <w:r>
        <w:rPr>
          <w:rFonts w:hint="eastAsia" w:ascii="黑体" w:hAnsi="黑体" w:eastAsia="黑体"/>
          <w:color w:val="000000"/>
          <w:sz w:val="44"/>
          <w:szCs w:val="44"/>
        </w:rPr>
        <w:t>第</w:t>
      </w:r>
      <w:r>
        <w:rPr>
          <w:rStyle w:val="17"/>
          <w:rFonts w:hint="eastAsia" w:ascii="黑体" w:hAnsi="黑体" w:eastAsia="黑体"/>
          <w:b w:val="0"/>
        </w:rPr>
        <w:t>五部分</w:t>
      </w:r>
      <w:r>
        <w:rPr>
          <w:rStyle w:val="17"/>
          <w:rFonts w:ascii="黑体" w:hAnsi="黑体" w:eastAsia="黑体"/>
          <w:b w:val="0"/>
        </w:rPr>
        <w:t xml:space="preserve"> </w:t>
      </w:r>
      <w:r>
        <w:rPr>
          <w:rStyle w:val="17"/>
          <w:rFonts w:hint="eastAsia" w:ascii="黑体" w:hAnsi="黑体" w:eastAsia="黑体"/>
          <w:b w:val="0"/>
        </w:rPr>
        <w:t>附表</w:t>
      </w:r>
      <w:bookmarkEnd w:id="61"/>
      <w:bookmarkEnd w:id="66"/>
      <w:bookmarkStart w:id="67" w:name="_Toc15396619"/>
    </w:p>
    <w:p>
      <w:pPr>
        <w:spacing w:line="600" w:lineRule="exact"/>
        <w:jc w:val="left"/>
        <w:outlineLvl w:val="0"/>
        <w:rPr>
          <w:rFonts w:ascii="宋体" w:cs="宋体"/>
          <w:color w:val="000000"/>
          <w:sz w:val="32"/>
          <w:szCs w:val="32"/>
        </w:rPr>
      </w:pPr>
      <w:r>
        <w:rPr>
          <w:rFonts w:hint="eastAsia" w:ascii="宋体" w:hAnsi="宋体" w:cs="宋体"/>
          <w:color w:val="000000"/>
          <w:sz w:val="32"/>
          <w:szCs w:val="32"/>
        </w:rPr>
        <w:t>一、收</w:t>
      </w:r>
      <w:r>
        <w:rPr>
          <w:rStyle w:val="18"/>
          <w:rFonts w:hint="eastAsia" w:ascii="宋体" w:hAnsi="宋体" w:cs="宋体"/>
          <w:b w:val="0"/>
          <w:bCs w:val="0"/>
        </w:rPr>
        <w:t>入支出决算总表</w:t>
      </w:r>
      <w:bookmarkEnd w:id="67"/>
    </w:p>
    <w:p>
      <w:pPr>
        <w:pStyle w:val="3"/>
        <w:rPr>
          <w:rFonts w:ascii="宋体" w:cs="宋体"/>
          <w:color w:val="000000"/>
        </w:rPr>
      </w:pPr>
      <w:bookmarkStart w:id="68" w:name="_Toc15396620"/>
      <w:r>
        <w:rPr>
          <w:rFonts w:hint="eastAsia" w:ascii="宋体" w:hAnsi="宋体" w:cs="宋体"/>
          <w:b w:val="0"/>
          <w:color w:val="000000"/>
        </w:rPr>
        <w:t>二、收</w:t>
      </w:r>
      <w:r>
        <w:rPr>
          <w:rStyle w:val="18"/>
          <w:rFonts w:hint="eastAsia" w:ascii="宋体" w:hAnsi="宋体" w:cs="宋体"/>
          <w:b w:val="0"/>
          <w:bCs w:val="0"/>
        </w:rPr>
        <w:t>入总表</w:t>
      </w:r>
      <w:bookmarkEnd w:id="68"/>
    </w:p>
    <w:p>
      <w:pPr>
        <w:pStyle w:val="3"/>
        <w:rPr>
          <w:rFonts w:ascii="宋体" w:cs="宋体"/>
          <w:color w:val="000000"/>
        </w:rPr>
      </w:pPr>
      <w:bookmarkStart w:id="69" w:name="_Toc15396621"/>
      <w:r>
        <w:rPr>
          <w:rStyle w:val="18"/>
          <w:rFonts w:hint="eastAsia" w:ascii="宋体" w:hAnsi="宋体" w:cs="宋体"/>
          <w:b w:val="0"/>
          <w:bCs w:val="0"/>
        </w:rPr>
        <w:t>三、</w:t>
      </w:r>
      <w:r>
        <w:rPr>
          <w:rFonts w:hint="eastAsia" w:ascii="宋体" w:hAnsi="宋体" w:cs="宋体"/>
          <w:b w:val="0"/>
          <w:color w:val="000000"/>
        </w:rPr>
        <w:t>支</w:t>
      </w:r>
      <w:r>
        <w:rPr>
          <w:rStyle w:val="18"/>
          <w:rFonts w:hint="eastAsia" w:ascii="宋体" w:hAnsi="宋体" w:cs="宋体"/>
          <w:b w:val="0"/>
          <w:bCs w:val="0"/>
        </w:rPr>
        <w:t>出总表</w:t>
      </w:r>
      <w:bookmarkEnd w:id="69"/>
    </w:p>
    <w:p>
      <w:pPr>
        <w:pStyle w:val="3"/>
        <w:rPr>
          <w:rFonts w:ascii="宋体" w:cs="宋体"/>
          <w:b w:val="0"/>
          <w:color w:val="000000"/>
        </w:rPr>
      </w:pPr>
      <w:bookmarkStart w:id="70" w:name="_Toc15396622"/>
      <w:r>
        <w:rPr>
          <w:rStyle w:val="18"/>
          <w:rFonts w:hint="eastAsia" w:ascii="宋体" w:hAnsi="宋体" w:cs="宋体"/>
          <w:b w:val="0"/>
          <w:bCs w:val="0"/>
        </w:rPr>
        <w:t>四、</w:t>
      </w:r>
      <w:r>
        <w:rPr>
          <w:rFonts w:hint="eastAsia" w:ascii="宋体" w:hAnsi="宋体" w:cs="宋体"/>
          <w:b w:val="0"/>
          <w:color w:val="000000"/>
        </w:rPr>
        <w:t>财</w:t>
      </w:r>
      <w:r>
        <w:rPr>
          <w:rStyle w:val="18"/>
          <w:rFonts w:hint="eastAsia" w:ascii="宋体" w:hAnsi="宋体" w:cs="宋体"/>
          <w:b w:val="0"/>
          <w:bCs w:val="0"/>
        </w:rPr>
        <w:t>政拨款收入支出决算总表</w:t>
      </w:r>
      <w:bookmarkEnd w:id="70"/>
    </w:p>
    <w:p>
      <w:pPr>
        <w:pStyle w:val="3"/>
        <w:rPr>
          <w:rFonts w:ascii="宋体" w:cs="宋体"/>
          <w:color w:val="000000"/>
        </w:rPr>
      </w:pPr>
      <w:bookmarkStart w:id="71" w:name="_Toc15396623"/>
      <w:r>
        <w:rPr>
          <w:rStyle w:val="18"/>
          <w:rFonts w:hint="eastAsia" w:ascii="宋体" w:hAnsi="宋体" w:cs="宋体"/>
          <w:b w:val="0"/>
          <w:bCs w:val="0"/>
        </w:rPr>
        <w:t>五、</w:t>
      </w:r>
      <w:r>
        <w:rPr>
          <w:rFonts w:hint="eastAsia" w:ascii="宋体" w:hAnsi="宋体" w:cs="宋体"/>
          <w:b w:val="0"/>
          <w:color w:val="000000"/>
        </w:rPr>
        <w:t>财</w:t>
      </w:r>
      <w:r>
        <w:rPr>
          <w:rStyle w:val="18"/>
          <w:rFonts w:hint="eastAsia" w:ascii="宋体" w:hAnsi="宋体" w:cs="宋体"/>
          <w:b w:val="0"/>
          <w:bCs w:val="0"/>
        </w:rPr>
        <w:t>政拨款支出决算明细表（政府经济分类科目）</w:t>
      </w:r>
      <w:bookmarkEnd w:id="71"/>
    </w:p>
    <w:p>
      <w:pPr>
        <w:pStyle w:val="3"/>
        <w:rPr>
          <w:rFonts w:ascii="宋体" w:cs="宋体"/>
          <w:color w:val="000000"/>
        </w:rPr>
      </w:pPr>
      <w:bookmarkStart w:id="72" w:name="_Toc15396624"/>
      <w:r>
        <w:rPr>
          <w:rStyle w:val="18"/>
          <w:rFonts w:hint="eastAsia" w:ascii="宋体" w:hAnsi="宋体" w:cs="宋体"/>
          <w:b w:val="0"/>
          <w:bCs w:val="0"/>
        </w:rPr>
        <w:t>六、</w:t>
      </w:r>
      <w:r>
        <w:rPr>
          <w:rFonts w:hint="eastAsia" w:ascii="宋体" w:hAnsi="宋体" w:cs="宋体"/>
          <w:b w:val="0"/>
          <w:color w:val="000000"/>
        </w:rPr>
        <w:t>一</w:t>
      </w:r>
      <w:r>
        <w:rPr>
          <w:rStyle w:val="18"/>
          <w:rFonts w:hint="eastAsia" w:ascii="宋体" w:hAnsi="宋体" w:cs="宋体"/>
          <w:b w:val="0"/>
          <w:bCs w:val="0"/>
        </w:rPr>
        <w:t>般公共预算财政拨款支出决算表</w:t>
      </w:r>
      <w:bookmarkEnd w:id="72"/>
    </w:p>
    <w:p>
      <w:pPr>
        <w:pStyle w:val="3"/>
        <w:rPr>
          <w:rFonts w:ascii="宋体" w:cs="宋体"/>
          <w:color w:val="000000"/>
        </w:rPr>
      </w:pPr>
      <w:bookmarkStart w:id="73" w:name="_Toc15396625"/>
      <w:r>
        <w:rPr>
          <w:rStyle w:val="18"/>
          <w:rFonts w:hint="eastAsia" w:ascii="宋体" w:hAnsi="宋体" w:cs="宋体"/>
          <w:b w:val="0"/>
          <w:bCs w:val="0"/>
        </w:rPr>
        <w:t>七、</w:t>
      </w:r>
      <w:r>
        <w:rPr>
          <w:rFonts w:hint="eastAsia" w:ascii="宋体" w:hAnsi="宋体" w:cs="宋体"/>
          <w:b w:val="0"/>
          <w:color w:val="000000"/>
        </w:rPr>
        <w:t>一</w:t>
      </w:r>
      <w:r>
        <w:rPr>
          <w:rStyle w:val="18"/>
          <w:rFonts w:hint="eastAsia" w:ascii="宋体" w:hAnsi="宋体" w:cs="宋体"/>
          <w:b w:val="0"/>
          <w:bCs w:val="0"/>
        </w:rPr>
        <w:t>般公共预算财政拨款支出决算明细表</w:t>
      </w:r>
      <w:bookmarkEnd w:id="73"/>
    </w:p>
    <w:p>
      <w:pPr>
        <w:pStyle w:val="3"/>
        <w:rPr>
          <w:rFonts w:ascii="宋体" w:cs="宋体"/>
          <w:color w:val="000000"/>
        </w:rPr>
      </w:pPr>
      <w:bookmarkStart w:id="74" w:name="_Toc15396626"/>
      <w:r>
        <w:rPr>
          <w:rStyle w:val="18"/>
          <w:rFonts w:hint="eastAsia" w:ascii="宋体" w:hAnsi="宋体" w:cs="宋体"/>
          <w:b w:val="0"/>
          <w:bCs w:val="0"/>
        </w:rPr>
        <w:t>八、</w:t>
      </w:r>
      <w:r>
        <w:rPr>
          <w:rFonts w:hint="eastAsia" w:ascii="宋体" w:hAnsi="宋体" w:cs="宋体"/>
          <w:b w:val="0"/>
          <w:color w:val="000000"/>
        </w:rPr>
        <w:t>一</w:t>
      </w:r>
      <w:r>
        <w:rPr>
          <w:rStyle w:val="18"/>
          <w:rFonts w:hint="eastAsia" w:ascii="宋体" w:hAnsi="宋体" w:cs="宋体"/>
          <w:b w:val="0"/>
          <w:bCs w:val="0"/>
        </w:rPr>
        <w:t>般公共预算财政拨款基本支出决算表</w:t>
      </w:r>
      <w:bookmarkEnd w:id="74"/>
    </w:p>
    <w:p>
      <w:pPr>
        <w:pStyle w:val="3"/>
        <w:rPr>
          <w:rFonts w:ascii="宋体" w:cs="宋体"/>
          <w:color w:val="000000"/>
        </w:rPr>
      </w:pPr>
      <w:bookmarkStart w:id="75" w:name="_Toc15396627"/>
      <w:r>
        <w:rPr>
          <w:rStyle w:val="18"/>
          <w:rFonts w:hint="eastAsia" w:ascii="宋体" w:hAnsi="宋体" w:cs="宋体"/>
          <w:b w:val="0"/>
          <w:bCs w:val="0"/>
        </w:rPr>
        <w:t>九、</w:t>
      </w:r>
      <w:r>
        <w:rPr>
          <w:rFonts w:hint="eastAsia" w:ascii="宋体" w:hAnsi="宋体" w:cs="宋体"/>
          <w:b w:val="0"/>
          <w:color w:val="000000"/>
        </w:rPr>
        <w:t>一</w:t>
      </w:r>
      <w:r>
        <w:rPr>
          <w:rStyle w:val="18"/>
          <w:rFonts w:hint="eastAsia" w:ascii="宋体" w:hAnsi="宋体" w:cs="宋体"/>
          <w:b w:val="0"/>
          <w:bCs w:val="0"/>
        </w:rPr>
        <w:t>般公共预算财政拨款项目支出决算表</w:t>
      </w:r>
      <w:bookmarkEnd w:id="75"/>
    </w:p>
    <w:p>
      <w:pPr>
        <w:pStyle w:val="3"/>
        <w:rPr>
          <w:rFonts w:ascii="宋体" w:cs="宋体"/>
          <w:color w:val="000000"/>
        </w:rPr>
      </w:pPr>
      <w:bookmarkStart w:id="76" w:name="_Toc15396628"/>
      <w:r>
        <w:rPr>
          <w:rStyle w:val="18"/>
          <w:rFonts w:hint="eastAsia" w:ascii="宋体" w:hAnsi="宋体" w:cs="宋体"/>
          <w:b w:val="0"/>
          <w:bCs w:val="0"/>
        </w:rPr>
        <w:t>十、</w:t>
      </w:r>
      <w:r>
        <w:rPr>
          <w:rFonts w:hint="eastAsia" w:ascii="宋体" w:hAnsi="宋体" w:cs="宋体"/>
          <w:b w:val="0"/>
          <w:color w:val="000000"/>
        </w:rPr>
        <w:t>一</w:t>
      </w:r>
      <w:r>
        <w:rPr>
          <w:rStyle w:val="18"/>
          <w:rFonts w:hint="eastAsia" w:ascii="宋体" w:hAnsi="宋体" w:cs="宋体"/>
          <w:b w:val="0"/>
          <w:bCs w:val="0"/>
        </w:rPr>
        <w:t>般公共预算财政拨款“三公”经费支出决算表</w:t>
      </w:r>
      <w:bookmarkEnd w:id="76"/>
    </w:p>
    <w:p>
      <w:pPr>
        <w:pStyle w:val="3"/>
        <w:rPr>
          <w:rFonts w:ascii="宋体" w:cs="宋体"/>
          <w:color w:val="000000"/>
        </w:rPr>
      </w:pPr>
      <w:bookmarkStart w:id="77" w:name="_Toc15396629"/>
      <w:r>
        <w:rPr>
          <w:rStyle w:val="18"/>
          <w:rFonts w:hint="eastAsia" w:ascii="宋体" w:hAnsi="宋体" w:cs="宋体"/>
          <w:b w:val="0"/>
          <w:bCs w:val="0"/>
        </w:rPr>
        <w:t>十一、</w:t>
      </w:r>
      <w:r>
        <w:rPr>
          <w:rFonts w:hint="eastAsia" w:ascii="宋体" w:hAnsi="宋体" w:cs="宋体"/>
          <w:b w:val="0"/>
          <w:color w:val="000000"/>
        </w:rPr>
        <w:t>政</w:t>
      </w:r>
      <w:r>
        <w:rPr>
          <w:rStyle w:val="18"/>
          <w:rFonts w:hint="eastAsia" w:ascii="宋体" w:hAnsi="宋体" w:cs="宋体"/>
          <w:b w:val="0"/>
          <w:bCs w:val="0"/>
        </w:rPr>
        <w:t>府性基金预算财政拨款收入支出决算表</w:t>
      </w:r>
      <w:bookmarkEnd w:id="77"/>
      <w:r>
        <w:rPr>
          <w:rStyle w:val="18"/>
          <w:rFonts w:hint="eastAsia" w:ascii="宋体" w:hAnsi="宋体" w:cs="宋体"/>
          <w:b w:val="0"/>
          <w:bCs w:val="0"/>
        </w:rPr>
        <w:t>（此表无数据）</w:t>
      </w:r>
    </w:p>
    <w:p>
      <w:pPr>
        <w:pStyle w:val="3"/>
        <w:rPr>
          <w:rFonts w:ascii="宋体" w:cs="宋体"/>
          <w:color w:val="000000"/>
        </w:rPr>
      </w:pPr>
      <w:bookmarkStart w:id="78" w:name="_Toc15396630"/>
      <w:r>
        <w:rPr>
          <w:rStyle w:val="18"/>
          <w:rFonts w:hint="eastAsia" w:ascii="宋体" w:hAnsi="宋体" w:cs="宋体"/>
          <w:b w:val="0"/>
          <w:bCs w:val="0"/>
        </w:rPr>
        <w:t>十二、</w:t>
      </w:r>
      <w:r>
        <w:rPr>
          <w:rFonts w:hint="eastAsia" w:ascii="宋体" w:hAnsi="宋体" w:cs="宋体"/>
          <w:b w:val="0"/>
          <w:color w:val="000000"/>
        </w:rPr>
        <w:t>政</w:t>
      </w:r>
      <w:r>
        <w:rPr>
          <w:rStyle w:val="18"/>
          <w:rFonts w:hint="eastAsia" w:ascii="宋体" w:hAnsi="宋体" w:cs="宋体"/>
          <w:b w:val="0"/>
          <w:bCs w:val="0"/>
        </w:rPr>
        <w:t>府性基金预算财政拨款“三公”经费支出决算表</w:t>
      </w:r>
      <w:bookmarkEnd w:id="78"/>
      <w:r>
        <w:rPr>
          <w:rStyle w:val="18"/>
          <w:rFonts w:hint="eastAsia" w:ascii="宋体" w:hAnsi="宋体" w:cs="宋体"/>
          <w:b w:val="0"/>
          <w:bCs w:val="0"/>
        </w:rPr>
        <w:t>（此表无数据）</w:t>
      </w:r>
    </w:p>
    <w:p>
      <w:pPr>
        <w:pStyle w:val="3"/>
        <w:rPr>
          <w:rFonts w:ascii="宋体" w:cs="宋体"/>
          <w:color w:val="000000"/>
        </w:rPr>
      </w:pPr>
      <w:bookmarkStart w:id="79" w:name="_Toc15396631"/>
      <w:r>
        <w:rPr>
          <w:rStyle w:val="18"/>
          <w:rFonts w:hint="eastAsia" w:ascii="宋体" w:hAnsi="宋体" w:cs="宋体"/>
          <w:b w:val="0"/>
          <w:bCs w:val="0"/>
        </w:rPr>
        <w:t>十三、</w:t>
      </w:r>
      <w:r>
        <w:rPr>
          <w:rFonts w:hint="eastAsia" w:ascii="宋体" w:hAnsi="宋体" w:cs="宋体"/>
          <w:b w:val="0"/>
          <w:color w:val="000000"/>
        </w:rPr>
        <w:t>国</w:t>
      </w:r>
      <w:r>
        <w:rPr>
          <w:rStyle w:val="18"/>
          <w:rFonts w:hint="eastAsia" w:ascii="宋体" w:hAnsi="宋体" w:cs="宋体"/>
          <w:b w:val="0"/>
          <w:bCs w:val="0"/>
        </w:rPr>
        <w:t>有资本经营预算支出决算表</w:t>
      </w:r>
      <w:bookmarkEnd w:id="79"/>
      <w:r>
        <w:rPr>
          <w:rStyle w:val="18"/>
          <w:rFonts w:hint="eastAsia" w:ascii="宋体" w:hAnsi="宋体" w:cs="宋体"/>
          <w:b w:val="0"/>
          <w:bCs w:val="0"/>
        </w:rPr>
        <w:t>（此表无数据）</w:t>
      </w:r>
    </w:p>
    <w:p>
      <w:pPr>
        <w:pStyle w:val="3"/>
        <w:rPr>
          <w:rFonts w:ascii="仿宋" w:hAnsi="仿宋" w:eastAsia="仿宋"/>
          <w:color w:val="000000"/>
        </w:rPr>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27</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53A70"/>
    <w:multiLevelType w:val="singleLevel"/>
    <w:tmpl w:val="AD353A70"/>
    <w:lvl w:ilvl="0" w:tentative="0">
      <w:start w:val="3"/>
      <w:numFmt w:val="chineseCounting"/>
      <w:suff w:val="nothing"/>
      <w:lvlText w:val="%1、"/>
      <w:lvlJc w:val="left"/>
      <w:rPr>
        <w:rFonts w:hint="eastAsia" w:cs="Times New Roman"/>
      </w:rPr>
    </w:lvl>
  </w:abstractNum>
  <w:abstractNum w:abstractNumId="1">
    <w:nsid w:val="B026C66B"/>
    <w:multiLevelType w:val="singleLevel"/>
    <w:tmpl w:val="B026C66B"/>
    <w:lvl w:ilvl="0" w:tentative="0">
      <w:start w:val="1"/>
      <w:numFmt w:val="decimal"/>
      <w:lvlText w:val="%1."/>
      <w:lvlJc w:val="left"/>
      <w:pPr>
        <w:tabs>
          <w:tab w:val="left" w:pos="312"/>
        </w:tabs>
      </w:pPr>
      <w:rPr>
        <w:rFonts w:cs="Times New Roman"/>
      </w:rPr>
    </w:lvl>
  </w:abstractNum>
  <w:abstractNum w:abstractNumId="2">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3">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4">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6">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num w:numId="1">
    <w:abstractNumId w:val="5"/>
  </w:num>
  <w:num w:numId="2">
    <w:abstractNumId w:val="2"/>
  </w:num>
  <w:num w:numId="3">
    <w:abstractNumId w:val="6"/>
  </w:num>
  <w:num w:numId="4">
    <w:abstractNumId w:val="4"/>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222C6"/>
    <w:rsid w:val="00025128"/>
    <w:rsid w:val="0002549F"/>
    <w:rsid w:val="000306A7"/>
    <w:rsid w:val="00035D79"/>
    <w:rsid w:val="00053BD9"/>
    <w:rsid w:val="0006293C"/>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22097"/>
    <w:rsid w:val="001234FC"/>
    <w:rsid w:val="00145330"/>
    <w:rsid w:val="0014729F"/>
    <w:rsid w:val="0015382F"/>
    <w:rsid w:val="00157BAB"/>
    <w:rsid w:val="001654D1"/>
    <w:rsid w:val="00177FB1"/>
    <w:rsid w:val="0018106D"/>
    <w:rsid w:val="001877A7"/>
    <w:rsid w:val="00190C57"/>
    <w:rsid w:val="00191536"/>
    <w:rsid w:val="00192FE1"/>
    <w:rsid w:val="00196687"/>
    <w:rsid w:val="001A408D"/>
    <w:rsid w:val="001C0962"/>
    <w:rsid w:val="001D2366"/>
    <w:rsid w:val="001D510B"/>
    <w:rsid w:val="001D7531"/>
    <w:rsid w:val="001E737D"/>
    <w:rsid w:val="001F0592"/>
    <w:rsid w:val="001F7506"/>
    <w:rsid w:val="002006CD"/>
    <w:rsid w:val="00202B36"/>
    <w:rsid w:val="00204B7A"/>
    <w:rsid w:val="0021101A"/>
    <w:rsid w:val="00220536"/>
    <w:rsid w:val="00235629"/>
    <w:rsid w:val="00260C38"/>
    <w:rsid w:val="002616C0"/>
    <w:rsid w:val="00262F89"/>
    <w:rsid w:val="002662AA"/>
    <w:rsid w:val="00280496"/>
    <w:rsid w:val="00295495"/>
    <w:rsid w:val="002B2613"/>
    <w:rsid w:val="002D5063"/>
    <w:rsid w:val="002D6D0C"/>
    <w:rsid w:val="002F1818"/>
    <w:rsid w:val="002F1D25"/>
    <w:rsid w:val="002F567B"/>
    <w:rsid w:val="003113B0"/>
    <w:rsid w:val="003216A9"/>
    <w:rsid w:val="0034511C"/>
    <w:rsid w:val="0037013F"/>
    <w:rsid w:val="00380C92"/>
    <w:rsid w:val="00381932"/>
    <w:rsid w:val="00384A2F"/>
    <w:rsid w:val="003A484F"/>
    <w:rsid w:val="003B0BE0"/>
    <w:rsid w:val="003B0C1B"/>
    <w:rsid w:val="003B688C"/>
    <w:rsid w:val="003C0291"/>
    <w:rsid w:val="003C39AE"/>
    <w:rsid w:val="003C7512"/>
    <w:rsid w:val="003C7B60"/>
    <w:rsid w:val="003D1FB2"/>
    <w:rsid w:val="003D66DA"/>
    <w:rsid w:val="003E1310"/>
    <w:rsid w:val="003E4071"/>
    <w:rsid w:val="003E6F55"/>
    <w:rsid w:val="00406254"/>
    <w:rsid w:val="00421A18"/>
    <w:rsid w:val="004223DE"/>
    <w:rsid w:val="00434489"/>
    <w:rsid w:val="00437085"/>
    <w:rsid w:val="00443880"/>
    <w:rsid w:val="004464F4"/>
    <w:rsid w:val="00471401"/>
    <w:rsid w:val="00473F31"/>
    <w:rsid w:val="0048263A"/>
    <w:rsid w:val="00487E5D"/>
    <w:rsid w:val="004A711F"/>
    <w:rsid w:val="004B199D"/>
    <w:rsid w:val="004B4690"/>
    <w:rsid w:val="004B7222"/>
    <w:rsid w:val="004C3EF7"/>
    <w:rsid w:val="004E0A2D"/>
    <w:rsid w:val="004E206B"/>
    <w:rsid w:val="004E6DF7"/>
    <w:rsid w:val="004F0FBD"/>
    <w:rsid w:val="004F629A"/>
    <w:rsid w:val="00505A47"/>
    <w:rsid w:val="00512FDA"/>
    <w:rsid w:val="00520DA0"/>
    <w:rsid w:val="00527C96"/>
    <w:rsid w:val="005664BB"/>
    <w:rsid w:val="0057481D"/>
    <w:rsid w:val="0058486E"/>
    <w:rsid w:val="00586745"/>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C3D33"/>
    <w:rsid w:val="006D0103"/>
    <w:rsid w:val="006F020C"/>
    <w:rsid w:val="007127B7"/>
    <w:rsid w:val="007416B6"/>
    <w:rsid w:val="0074585D"/>
    <w:rsid w:val="00746F48"/>
    <w:rsid w:val="0075404D"/>
    <w:rsid w:val="00754D25"/>
    <w:rsid w:val="0076182A"/>
    <w:rsid w:val="00762588"/>
    <w:rsid w:val="00767B7E"/>
    <w:rsid w:val="007770C3"/>
    <w:rsid w:val="00777D9B"/>
    <w:rsid w:val="00781E88"/>
    <w:rsid w:val="00784D24"/>
    <w:rsid w:val="00785FBA"/>
    <w:rsid w:val="00786E4A"/>
    <w:rsid w:val="007875EB"/>
    <w:rsid w:val="0079426B"/>
    <w:rsid w:val="007947EF"/>
    <w:rsid w:val="007B2D84"/>
    <w:rsid w:val="007C2989"/>
    <w:rsid w:val="007D312A"/>
    <w:rsid w:val="007D3F08"/>
    <w:rsid w:val="007D3F19"/>
    <w:rsid w:val="007E23B0"/>
    <w:rsid w:val="007F1991"/>
    <w:rsid w:val="007F2C2F"/>
    <w:rsid w:val="007F55FC"/>
    <w:rsid w:val="007F5665"/>
    <w:rsid w:val="00800112"/>
    <w:rsid w:val="00813C8C"/>
    <w:rsid w:val="008253BB"/>
    <w:rsid w:val="0083706E"/>
    <w:rsid w:val="00841365"/>
    <w:rsid w:val="008423A5"/>
    <w:rsid w:val="00850625"/>
    <w:rsid w:val="00853718"/>
    <w:rsid w:val="00855221"/>
    <w:rsid w:val="00860645"/>
    <w:rsid w:val="008664F1"/>
    <w:rsid w:val="00871F71"/>
    <w:rsid w:val="00885AF4"/>
    <w:rsid w:val="008939CD"/>
    <w:rsid w:val="008A2544"/>
    <w:rsid w:val="008B768C"/>
    <w:rsid w:val="008C4DB1"/>
    <w:rsid w:val="008C4EAF"/>
    <w:rsid w:val="008C5176"/>
    <w:rsid w:val="008C7395"/>
    <w:rsid w:val="008C7FD0"/>
    <w:rsid w:val="008E1DE7"/>
    <w:rsid w:val="008E707C"/>
    <w:rsid w:val="008F2DAC"/>
    <w:rsid w:val="00900B08"/>
    <w:rsid w:val="00902155"/>
    <w:rsid w:val="00902FA3"/>
    <w:rsid w:val="00923564"/>
    <w:rsid w:val="0092392E"/>
    <w:rsid w:val="009315F9"/>
    <w:rsid w:val="009327D7"/>
    <w:rsid w:val="00946945"/>
    <w:rsid w:val="00951248"/>
    <w:rsid w:val="0095152F"/>
    <w:rsid w:val="00954C49"/>
    <w:rsid w:val="00964DB3"/>
    <w:rsid w:val="0097099F"/>
    <w:rsid w:val="00971997"/>
    <w:rsid w:val="00971FFC"/>
    <w:rsid w:val="0098660A"/>
    <w:rsid w:val="009931C3"/>
    <w:rsid w:val="009A6C1E"/>
    <w:rsid w:val="009B2C43"/>
    <w:rsid w:val="009B4EAE"/>
    <w:rsid w:val="009B7573"/>
    <w:rsid w:val="009B7837"/>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142F"/>
    <w:rsid w:val="00A56DF2"/>
    <w:rsid w:val="00A67AB5"/>
    <w:rsid w:val="00A84C55"/>
    <w:rsid w:val="00A91760"/>
    <w:rsid w:val="00A93B00"/>
    <w:rsid w:val="00A93C21"/>
    <w:rsid w:val="00AC3C6A"/>
    <w:rsid w:val="00AD5620"/>
    <w:rsid w:val="00AD7C1B"/>
    <w:rsid w:val="00AE16BA"/>
    <w:rsid w:val="00AE1EBE"/>
    <w:rsid w:val="00AE389E"/>
    <w:rsid w:val="00B03C9D"/>
    <w:rsid w:val="00B060AE"/>
    <w:rsid w:val="00B10517"/>
    <w:rsid w:val="00B14E76"/>
    <w:rsid w:val="00B161B8"/>
    <w:rsid w:val="00B2048C"/>
    <w:rsid w:val="00B310B9"/>
    <w:rsid w:val="00B35F3F"/>
    <w:rsid w:val="00B36CBB"/>
    <w:rsid w:val="00B425E0"/>
    <w:rsid w:val="00B440AA"/>
    <w:rsid w:val="00B44B70"/>
    <w:rsid w:val="00B52299"/>
    <w:rsid w:val="00B53C56"/>
    <w:rsid w:val="00B77EA6"/>
    <w:rsid w:val="00B81598"/>
    <w:rsid w:val="00B841F1"/>
    <w:rsid w:val="00B90B51"/>
    <w:rsid w:val="00B92304"/>
    <w:rsid w:val="00B944D6"/>
    <w:rsid w:val="00B9791B"/>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44F6"/>
    <w:rsid w:val="00CE49DA"/>
    <w:rsid w:val="00CE7B61"/>
    <w:rsid w:val="00CF7FDF"/>
    <w:rsid w:val="00D00095"/>
    <w:rsid w:val="00D20620"/>
    <w:rsid w:val="00D26091"/>
    <w:rsid w:val="00D34E7C"/>
    <w:rsid w:val="00D35489"/>
    <w:rsid w:val="00D3702C"/>
    <w:rsid w:val="00D51276"/>
    <w:rsid w:val="00D6727C"/>
    <w:rsid w:val="00D7035F"/>
    <w:rsid w:val="00DA65AC"/>
    <w:rsid w:val="00DB1913"/>
    <w:rsid w:val="00DC410D"/>
    <w:rsid w:val="00DC5737"/>
    <w:rsid w:val="00DC68CA"/>
    <w:rsid w:val="00DC7CBA"/>
    <w:rsid w:val="00DD6382"/>
    <w:rsid w:val="00DD73B7"/>
    <w:rsid w:val="00DF28BC"/>
    <w:rsid w:val="00DF34B9"/>
    <w:rsid w:val="00E01053"/>
    <w:rsid w:val="00E07ACF"/>
    <w:rsid w:val="00E13BDF"/>
    <w:rsid w:val="00E331A1"/>
    <w:rsid w:val="00E33202"/>
    <w:rsid w:val="00E336A9"/>
    <w:rsid w:val="00E50624"/>
    <w:rsid w:val="00E568DF"/>
    <w:rsid w:val="00E64269"/>
    <w:rsid w:val="00E82267"/>
    <w:rsid w:val="00EA010F"/>
    <w:rsid w:val="00EA381A"/>
    <w:rsid w:val="00EB31BB"/>
    <w:rsid w:val="00EB3CDC"/>
    <w:rsid w:val="00ED1B63"/>
    <w:rsid w:val="00ED3C1F"/>
    <w:rsid w:val="00ED4085"/>
    <w:rsid w:val="00ED420E"/>
    <w:rsid w:val="00EE2F57"/>
    <w:rsid w:val="00EE5EC2"/>
    <w:rsid w:val="00EF4C34"/>
    <w:rsid w:val="00EF77C6"/>
    <w:rsid w:val="00F05438"/>
    <w:rsid w:val="00F1361C"/>
    <w:rsid w:val="00F160C7"/>
    <w:rsid w:val="00F34200"/>
    <w:rsid w:val="00F36D8F"/>
    <w:rsid w:val="00F417B1"/>
    <w:rsid w:val="00F602DF"/>
    <w:rsid w:val="00F81FD9"/>
    <w:rsid w:val="00F841AA"/>
    <w:rsid w:val="00FA23E8"/>
    <w:rsid w:val="00FD3CC1"/>
    <w:rsid w:val="00FF1B31"/>
    <w:rsid w:val="00FF1E02"/>
    <w:rsid w:val="00FF30B4"/>
    <w:rsid w:val="05323251"/>
    <w:rsid w:val="07731BF7"/>
    <w:rsid w:val="10C055FF"/>
    <w:rsid w:val="15B207E4"/>
    <w:rsid w:val="160516BB"/>
    <w:rsid w:val="16BB723D"/>
    <w:rsid w:val="16EE247C"/>
    <w:rsid w:val="240371BF"/>
    <w:rsid w:val="24603019"/>
    <w:rsid w:val="26F226BA"/>
    <w:rsid w:val="29FD04D3"/>
    <w:rsid w:val="2DC9099A"/>
    <w:rsid w:val="319F7F4E"/>
    <w:rsid w:val="36AB6B06"/>
    <w:rsid w:val="3D7F1C0F"/>
    <w:rsid w:val="44D5721F"/>
    <w:rsid w:val="46512E01"/>
    <w:rsid w:val="467C7BF5"/>
    <w:rsid w:val="490148AB"/>
    <w:rsid w:val="57A53A70"/>
    <w:rsid w:val="58AE587A"/>
    <w:rsid w:val="64BB36C4"/>
    <w:rsid w:val="69180696"/>
    <w:rsid w:val="6EFA7155"/>
    <w:rsid w:val="70CA4E58"/>
    <w:rsid w:val="779A11A9"/>
    <w:rsid w:val="7A8A43D6"/>
    <w:rsid w:val="AFD5475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9"/>
    <w:qFormat/>
    <w:uiPriority w:val="99"/>
    <w:pPr>
      <w:keepNext/>
      <w:keepLines/>
      <w:spacing w:before="260" w:after="260" w:line="416" w:lineRule="auto"/>
      <w:outlineLvl w:val="2"/>
    </w:pPr>
    <w:rPr>
      <w:b/>
      <w:bCs/>
      <w:sz w:val="32"/>
      <w:szCs w:val="32"/>
    </w:rPr>
  </w:style>
  <w:style w:type="character" w:default="1" w:styleId="14">
    <w:name w:val="Default Paragraph Font"/>
    <w:semiHidden/>
    <w:qFormat/>
    <w:uiPriority w:val="99"/>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仿宋_GB2312" w:eastAsia="仿宋_GB2312"/>
      <w:kern w:val="0"/>
      <w:sz w:val="24"/>
      <w:szCs w:val="20"/>
    </w:rPr>
  </w:style>
  <w:style w:type="paragraph" w:styleId="6">
    <w:name w:val="toc 3"/>
    <w:basedOn w:val="1"/>
    <w:next w:val="1"/>
    <w:qFormat/>
    <w:uiPriority w:val="99"/>
    <w:pPr>
      <w:tabs>
        <w:tab w:val="right" w:leader="dot" w:pos="8296"/>
      </w:tabs>
      <w:ind w:left="840" w:leftChars="400"/>
    </w:pPr>
  </w:style>
  <w:style w:type="paragraph" w:styleId="7">
    <w:name w:val="Balloon Text"/>
    <w:basedOn w:val="1"/>
    <w:link w:val="21"/>
    <w:semiHidden/>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kern w:val="0"/>
      <w:sz w:val="18"/>
      <w:szCs w:val="20"/>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kern w:val="0"/>
      <w:sz w:val="18"/>
      <w:szCs w:val="20"/>
    </w:rPr>
  </w:style>
  <w:style w:type="paragraph" w:styleId="10">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1">
    <w:name w:val="toc 2"/>
    <w:basedOn w:val="1"/>
    <w:next w:val="1"/>
    <w:qFormat/>
    <w:uiPriority w:val="99"/>
    <w:pPr>
      <w:tabs>
        <w:tab w:val="right" w:leader="dot" w:pos="8296"/>
      </w:tabs>
      <w:ind w:left="420" w:leftChars="200"/>
    </w:p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5">
    <w:name w:val="Strong"/>
    <w:basedOn w:val="14"/>
    <w:qFormat/>
    <w:uiPriority w:val="99"/>
    <w:rPr>
      <w:rFonts w:cs="Times New Roman"/>
      <w:b/>
    </w:rPr>
  </w:style>
  <w:style w:type="character" w:styleId="16">
    <w:name w:val="Hyperlink"/>
    <w:basedOn w:val="14"/>
    <w:qFormat/>
    <w:uiPriority w:val="99"/>
    <w:rPr>
      <w:rFonts w:cs="Times New Roman"/>
      <w:color w:val="0000FF"/>
      <w:u w:val="single"/>
    </w:rPr>
  </w:style>
  <w:style w:type="character" w:customStyle="1" w:styleId="17">
    <w:name w:val="Heading 1 Char"/>
    <w:basedOn w:val="14"/>
    <w:link w:val="2"/>
    <w:qFormat/>
    <w:locked/>
    <w:uiPriority w:val="99"/>
    <w:rPr>
      <w:rFonts w:ascii="Times New Roman" w:hAnsi="Times New Roman" w:cs="Times New Roman"/>
      <w:b/>
      <w:bCs/>
      <w:kern w:val="44"/>
      <w:sz w:val="44"/>
      <w:szCs w:val="44"/>
    </w:rPr>
  </w:style>
  <w:style w:type="character" w:customStyle="1" w:styleId="18">
    <w:name w:val="Heading 2 Char"/>
    <w:basedOn w:val="14"/>
    <w:link w:val="3"/>
    <w:qFormat/>
    <w:locked/>
    <w:uiPriority w:val="99"/>
    <w:rPr>
      <w:rFonts w:ascii="Cambria" w:hAnsi="Cambria" w:eastAsia="宋体" w:cs="Times New Roman"/>
      <w:b/>
      <w:bCs/>
      <w:kern w:val="2"/>
      <w:sz w:val="32"/>
      <w:szCs w:val="32"/>
    </w:rPr>
  </w:style>
  <w:style w:type="character" w:customStyle="1" w:styleId="19">
    <w:name w:val="Heading 3 Char"/>
    <w:basedOn w:val="14"/>
    <w:link w:val="4"/>
    <w:qFormat/>
    <w:locked/>
    <w:uiPriority w:val="99"/>
    <w:rPr>
      <w:rFonts w:ascii="Times New Roman" w:hAnsi="Times New Roman" w:cs="Times New Roman"/>
      <w:b/>
      <w:bCs/>
      <w:kern w:val="2"/>
      <w:sz w:val="32"/>
      <w:szCs w:val="32"/>
    </w:rPr>
  </w:style>
  <w:style w:type="character" w:customStyle="1" w:styleId="20">
    <w:name w:val="Body Text Char"/>
    <w:basedOn w:val="14"/>
    <w:link w:val="5"/>
    <w:semiHidden/>
    <w:qFormat/>
    <w:locked/>
    <w:uiPriority w:val="99"/>
    <w:rPr>
      <w:rFonts w:ascii="Times New Roman" w:hAnsi="Times New Roman" w:cs="Times New Roman"/>
      <w:sz w:val="24"/>
      <w:szCs w:val="24"/>
    </w:rPr>
  </w:style>
  <w:style w:type="character" w:customStyle="1" w:styleId="21">
    <w:name w:val="Balloon Text Char"/>
    <w:basedOn w:val="14"/>
    <w:link w:val="7"/>
    <w:semiHidden/>
    <w:qFormat/>
    <w:locked/>
    <w:uiPriority w:val="99"/>
    <w:rPr>
      <w:rFonts w:ascii="Times New Roman" w:hAnsi="Times New Roman" w:cs="Times New Roman"/>
      <w:kern w:val="2"/>
      <w:sz w:val="18"/>
      <w:szCs w:val="18"/>
    </w:rPr>
  </w:style>
  <w:style w:type="character" w:customStyle="1" w:styleId="22">
    <w:name w:val="Footer Char"/>
    <w:basedOn w:val="14"/>
    <w:link w:val="8"/>
    <w:semiHidden/>
    <w:qFormat/>
    <w:locked/>
    <w:uiPriority w:val="99"/>
    <w:rPr>
      <w:rFonts w:ascii="Times New Roman" w:hAnsi="Times New Roman" w:cs="Times New Roman"/>
      <w:sz w:val="18"/>
      <w:szCs w:val="18"/>
    </w:rPr>
  </w:style>
  <w:style w:type="character" w:customStyle="1" w:styleId="23">
    <w:name w:val="Header Char"/>
    <w:basedOn w:val="14"/>
    <w:link w:val="9"/>
    <w:semiHidden/>
    <w:qFormat/>
    <w:locked/>
    <w:uiPriority w:val="99"/>
    <w:rPr>
      <w:rFonts w:ascii="Times New Roman" w:hAnsi="Times New Roman" w:cs="Times New Roman"/>
      <w:sz w:val="18"/>
      <w:szCs w:val="18"/>
    </w:rPr>
  </w:style>
  <w:style w:type="character" w:customStyle="1" w:styleId="24">
    <w:name w:val="Header Char1"/>
    <w:link w:val="9"/>
    <w:qFormat/>
    <w:locked/>
    <w:uiPriority w:val="99"/>
    <w:rPr>
      <w:sz w:val="18"/>
    </w:rPr>
  </w:style>
  <w:style w:type="character" w:customStyle="1" w:styleId="25">
    <w:name w:val="Footer Char1"/>
    <w:link w:val="8"/>
    <w:qFormat/>
    <w:locked/>
    <w:uiPriority w:val="99"/>
    <w:rPr>
      <w:sz w:val="18"/>
    </w:rPr>
  </w:style>
  <w:style w:type="character" w:customStyle="1" w:styleId="26">
    <w:name w:val="Body Text Char1"/>
    <w:link w:val="5"/>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8">
    <w:name w:val="List Paragraph"/>
    <w:basedOn w:val="1"/>
    <w:qFormat/>
    <w:uiPriority w:val="99"/>
    <w:pPr>
      <w:ind w:firstLine="420" w:firstLineChars="200"/>
    </w:pPr>
  </w:style>
  <w:style w:type="paragraph" w:customStyle="1" w:styleId="29">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30">
    <w:name w:val="TOC 标题2"/>
    <w:basedOn w:val="2"/>
    <w:next w:val="1"/>
    <w:qFormat/>
    <w:uiPriority w:val="99"/>
    <w:pPr>
      <w:widowControl/>
      <w:spacing w:before="480" w:after="0" w:line="276" w:lineRule="auto"/>
      <w:jc w:val="left"/>
      <w:outlineLvl w:val="9"/>
    </w:pPr>
    <w:rPr>
      <w:rFonts w:ascii="Cambria" w:hAnsi="Cambria"/>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oleObject" Target="embeddings/oleObject2.bin"/><Relationship Id="rId7" Type="http://schemas.openxmlformats.org/officeDocument/2006/relationships/image" Target="media/image1.png"/><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oleObject" Target="embeddings/oleObject6.bin"/><Relationship Id="rId15" Type="http://schemas.openxmlformats.org/officeDocument/2006/relationships/image" Target="media/image5.png"/><Relationship Id="rId14" Type="http://schemas.openxmlformats.org/officeDocument/2006/relationships/oleObject" Target="embeddings/oleObject5.bin"/><Relationship Id="rId13" Type="http://schemas.openxmlformats.org/officeDocument/2006/relationships/image" Target="media/image4.png"/><Relationship Id="rId12" Type="http://schemas.openxmlformats.org/officeDocument/2006/relationships/oleObject" Target="embeddings/oleObject4.bin"/><Relationship Id="rId11" Type="http://schemas.openxmlformats.org/officeDocument/2006/relationships/image" Target="media/image3.png"/><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四川省财政厅</Company>
  <Pages>58</Pages>
  <Words>3984</Words>
  <Characters>22712</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2019-08-01T09:14:00Z</dcterms:created>
  <dc:creator>张彬茜</dc:creator>
  <cp:lastModifiedBy>李颉妍</cp:lastModifiedBy>
  <cp:lastPrinted>2019-08-01T08:48:00Z</cp:lastPrinted>
  <dcterms:modified xsi:type="dcterms:W3CDTF">2025-01-15T09:00:54Z</dcterms:modified>
  <dc:title>四川省***</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