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6FB03">
      <w:pPr>
        <w:tabs>
          <w:tab w:val="left" w:pos="8820"/>
        </w:tabs>
        <w:spacing w:line="240" w:lineRule="exact"/>
        <w:ind w:right="318" w:firstLine="640" w:firstLineChars="200"/>
        <w:jc w:val="right"/>
        <w:rPr>
          <w:rFonts w:eastAsia="仿宋_GB2312"/>
          <w:sz w:val="32"/>
          <w:szCs w:val="32"/>
        </w:rPr>
      </w:pPr>
    </w:p>
    <w:p w14:paraId="0B8A2DE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eastAsia="方正小标宋_GBK" w:cs="Times New Roman"/>
          <w:sz w:val="44"/>
          <w:szCs w:val="44"/>
          <w:lang w:bidi="ar-SA"/>
        </w:rPr>
      </w:pPr>
      <w:bookmarkStart w:id="0" w:name="_GoBack"/>
      <w:r>
        <w:rPr>
          <w:rFonts w:hint="default" w:ascii="Times New Roman" w:eastAsia="方正小标宋_GBK" w:cs="Times New Roman"/>
          <w:sz w:val="44"/>
          <w:szCs w:val="44"/>
          <w:lang w:bidi="ar-SA"/>
        </w:rPr>
        <w:t>攀枝花市生态环境局</w:t>
      </w:r>
    </w:p>
    <w:p w14:paraId="703382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eastAsia="方正小标宋_GBK" w:cs="Times New Roman"/>
          <w:sz w:val="44"/>
          <w:szCs w:val="44"/>
          <w:lang w:bidi="ar-SA"/>
        </w:rPr>
      </w:pPr>
      <w:r>
        <w:rPr>
          <w:rFonts w:hint="default" w:ascii="Times New Roman" w:eastAsia="方正小标宋_GBK" w:cs="Times New Roman"/>
          <w:sz w:val="44"/>
          <w:szCs w:val="44"/>
          <w:lang w:bidi="ar-SA"/>
        </w:rPr>
        <w:t>关于攀枝花宏大昌新材料科技有限公司</w:t>
      </w:r>
    </w:p>
    <w:p w14:paraId="653ACA0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eastAsia="方正小标宋_GBK" w:cs="Times New Roman"/>
          <w:sz w:val="44"/>
          <w:szCs w:val="44"/>
          <w:lang w:bidi="ar-SA"/>
        </w:rPr>
      </w:pPr>
      <w:r>
        <w:rPr>
          <w:rFonts w:hint="default" w:ascii="Times New Roman" w:eastAsia="方正小标宋_GBK" w:cs="Times New Roman"/>
          <w:sz w:val="44"/>
          <w:szCs w:val="44"/>
          <w:lang w:bidi="ar-SA"/>
        </w:rPr>
        <w:t>工业副产氢合成120吨/年钒钛宝石项目</w:t>
      </w:r>
    </w:p>
    <w:p w14:paraId="7E2C320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eastAsia="方正小标宋_GBK" w:cs="Times New Roman"/>
          <w:sz w:val="44"/>
          <w:szCs w:val="44"/>
          <w:lang w:bidi="ar-SA"/>
        </w:rPr>
      </w:pPr>
      <w:r>
        <w:rPr>
          <w:rFonts w:hint="default" w:ascii="Times New Roman" w:eastAsia="方正小标宋_GBK" w:cs="Times New Roman"/>
          <w:sz w:val="44"/>
          <w:szCs w:val="44"/>
          <w:lang w:bidi="ar-SA"/>
        </w:rPr>
        <w:t>环境影响报告表的批复</w:t>
      </w:r>
    </w:p>
    <w:bookmarkEnd w:id="0"/>
    <w:p w14:paraId="50831DA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eastAsia="仿宋_GB2312"/>
          <w:sz w:val="32"/>
          <w:szCs w:val="32"/>
        </w:rPr>
      </w:pPr>
    </w:p>
    <w:p w14:paraId="7641D72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eastAsia="仿宋_GB2312"/>
          <w:sz w:val="32"/>
          <w:szCs w:val="32"/>
        </w:rPr>
      </w:pPr>
      <w:r>
        <w:rPr>
          <w:rFonts w:hint="default" w:eastAsia="仿宋_GB2312"/>
          <w:sz w:val="32"/>
          <w:szCs w:val="32"/>
        </w:rPr>
        <w:t>攀枝花宏大昌新材料科技有限公司：</w:t>
      </w:r>
    </w:p>
    <w:p w14:paraId="7DB4F886">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eastAsia="仿宋_GB2312"/>
          <w:sz w:val="32"/>
          <w:szCs w:val="32"/>
        </w:rPr>
      </w:pPr>
      <w:r>
        <w:rPr>
          <w:rFonts w:hint="default" w:eastAsia="仿宋_GB2312"/>
          <w:sz w:val="32"/>
          <w:szCs w:val="32"/>
        </w:rPr>
        <w:t>你</w:t>
      </w:r>
      <w:r>
        <w:rPr>
          <w:rFonts w:eastAsia="仿宋_GB2312"/>
          <w:sz w:val="32"/>
          <w:szCs w:val="32"/>
        </w:rPr>
        <w:t>公司</w:t>
      </w:r>
      <w:r>
        <w:rPr>
          <w:rFonts w:hint="default" w:eastAsia="仿宋_GB2312"/>
          <w:sz w:val="32"/>
          <w:szCs w:val="32"/>
        </w:rPr>
        <w:t>《工业副产氢合成120吨</w:t>
      </w:r>
      <w:r>
        <w:rPr>
          <w:rFonts w:eastAsia="仿宋_GB2312"/>
          <w:sz w:val="32"/>
          <w:szCs w:val="32"/>
        </w:rPr>
        <w:t>/</w:t>
      </w:r>
      <w:r>
        <w:rPr>
          <w:rFonts w:hint="default" w:eastAsia="仿宋_GB2312"/>
          <w:sz w:val="32"/>
          <w:szCs w:val="32"/>
        </w:rPr>
        <w:t>年钒钛宝石项目环境影响报告表》（以下简称“报告表”）收悉，经研究，批复如下</w:t>
      </w:r>
      <w:r>
        <w:rPr>
          <w:rFonts w:eastAsia="仿宋_GB2312"/>
          <w:sz w:val="32"/>
          <w:szCs w:val="32"/>
        </w:rPr>
        <w:t>。</w:t>
      </w:r>
    </w:p>
    <w:p w14:paraId="50D4AA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rPr>
      </w:pPr>
      <w:r>
        <w:rPr>
          <w:rFonts w:eastAsia="仿宋_GB2312"/>
          <w:sz w:val="32"/>
          <w:szCs w:val="32"/>
        </w:rPr>
        <w:t>一、</w:t>
      </w:r>
      <w:r>
        <w:rPr>
          <w:rFonts w:hint="default" w:eastAsia="仿宋_GB2312"/>
          <w:sz w:val="32"/>
          <w:szCs w:val="32"/>
        </w:rPr>
        <w:t>项目位于攀枝花钒钛高新技术产业开发区，租用攀枝花钢企欣宇化工有限公司闲置库房</w:t>
      </w:r>
      <w:r>
        <w:rPr>
          <w:rFonts w:eastAsia="仿宋_GB2312"/>
          <w:sz w:val="32"/>
          <w:szCs w:val="32"/>
        </w:rPr>
        <w:t>，利用其氯碱生产副产氢气，以四川宏昌晶体有限公司提供的氧化铝粉、二氧化钛、三氧化二铬、氧化镁等为原料，</w:t>
      </w:r>
      <w:r>
        <w:rPr>
          <w:rFonts w:hint="default" w:eastAsia="仿宋_GB2312"/>
          <w:sz w:val="32"/>
          <w:szCs w:val="32"/>
        </w:rPr>
        <w:t>建设</w:t>
      </w:r>
      <w:r>
        <w:rPr>
          <w:rFonts w:eastAsia="仿宋_GB2312"/>
          <w:sz w:val="32"/>
          <w:szCs w:val="32"/>
        </w:rPr>
        <w:t>1</w:t>
      </w:r>
      <w:r>
        <w:rPr>
          <w:rFonts w:hint="default" w:eastAsia="仿宋_GB2312"/>
          <w:sz w:val="32"/>
          <w:szCs w:val="32"/>
        </w:rPr>
        <w:t>条焰熔法合成宝石生产线</w:t>
      </w:r>
      <w:r>
        <w:rPr>
          <w:rFonts w:eastAsia="仿宋_GB2312"/>
          <w:sz w:val="32"/>
          <w:szCs w:val="32"/>
        </w:rPr>
        <w:t>。主要建设内容包括：设主厂房1个，内置60台烧结机，配套相应公辅工程、环保工程等。</w:t>
      </w:r>
      <w:r>
        <w:rPr>
          <w:rFonts w:hint="default" w:eastAsia="仿宋_GB2312"/>
          <w:sz w:val="32"/>
          <w:szCs w:val="32"/>
        </w:rPr>
        <w:t>项目建成后</w:t>
      </w:r>
      <w:r>
        <w:rPr>
          <w:rFonts w:eastAsia="仿宋_GB2312"/>
          <w:sz w:val="32"/>
          <w:szCs w:val="32"/>
        </w:rPr>
        <w:t>，</w:t>
      </w:r>
      <w:r>
        <w:rPr>
          <w:rFonts w:hint="default" w:eastAsia="仿宋_GB2312"/>
          <w:sz w:val="32"/>
          <w:szCs w:val="32"/>
        </w:rPr>
        <w:t>年产</w:t>
      </w:r>
      <w:r>
        <w:rPr>
          <w:rFonts w:eastAsia="仿宋_GB2312"/>
          <w:sz w:val="32"/>
          <w:szCs w:val="32"/>
        </w:rPr>
        <w:t>钒钛宝石120t，其中刚玉类宝石80t、尖晶石类宝石40t</w:t>
      </w:r>
      <w:r>
        <w:rPr>
          <w:rFonts w:hint="default" w:eastAsia="仿宋_GB2312"/>
          <w:sz w:val="32"/>
          <w:szCs w:val="32"/>
        </w:rPr>
        <w:t>。项目总投资1</w:t>
      </w:r>
      <w:r>
        <w:rPr>
          <w:rFonts w:eastAsia="仿宋_GB2312"/>
          <w:sz w:val="32"/>
          <w:szCs w:val="32"/>
        </w:rPr>
        <w:t>5</w:t>
      </w:r>
      <w:r>
        <w:rPr>
          <w:rFonts w:hint="default" w:eastAsia="仿宋_GB2312"/>
          <w:sz w:val="32"/>
          <w:szCs w:val="32"/>
        </w:rPr>
        <w:t>00万元，其中环保投资4</w:t>
      </w:r>
      <w:r>
        <w:rPr>
          <w:rFonts w:eastAsia="仿宋_GB2312"/>
          <w:sz w:val="32"/>
          <w:szCs w:val="32"/>
        </w:rPr>
        <w:t>6</w:t>
      </w:r>
      <w:r>
        <w:rPr>
          <w:rFonts w:hint="default" w:eastAsia="仿宋_GB2312"/>
          <w:sz w:val="32"/>
          <w:szCs w:val="32"/>
        </w:rPr>
        <w:t>.5万元。</w:t>
      </w:r>
    </w:p>
    <w:p w14:paraId="08DB2A5B">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二、四川云环环保服务有限公司受你单位委托对该项目开展环境影响评价，编制项目环境影响报告表。“报告表”认为项目符合国家</w:t>
      </w:r>
      <w:r>
        <w:rPr>
          <w:rFonts w:eastAsia="仿宋_GB2312"/>
          <w:sz w:val="32"/>
          <w:szCs w:val="32"/>
        </w:rPr>
        <w:t>现行</w:t>
      </w:r>
      <w:r>
        <w:rPr>
          <w:rFonts w:hint="default" w:eastAsia="仿宋_GB2312"/>
          <w:sz w:val="32"/>
          <w:szCs w:val="32"/>
        </w:rPr>
        <w:t>产业政策，选址符合</w:t>
      </w:r>
      <w:r>
        <w:rPr>
          <w:rFonts w:eastAsia="仿宋_GB2312"/>
          <w:sz w:val="32"/>
          <w:szCs w:val="32"/>
        </w:rPr>
        <w:t>园区</w:t>
      </w:r>
      <w:r>
        <w:rPr>
          <w:rFonts w:hint="default" w:eastAsia="仿宋_GB2312"/>
          <w:sz w:val="32"/>
          <w:szCs w:val="32"/>
        </w:rPr>
        <w:t>规划</w:t>
      </w:r>
      <w:r>
        <w:rPr>
          <w:rFonts w:eastAsia="仿宋_GB2312"/>
          <w:sz w:val="32"/>
          <w:szCs w:val="32"/>
        </w:rPr>
        <w:t>和生态环境分区管控有关</w:t>
      </w:r>
      <w:r>
        <w:rPr>
          <w:rFonts w:hint="default" w:eastAsia="仿宋_GB2312"/>
          <w:sz w:val="32"/>
          <w:szCs w:val="32"/>
        </w:rPr>
        <w:t>要求，在严格落实“报告表”提出的环保对策及措施，严格执行“三同时”制度，确保项目污染物达标排放，认真落实环境风险防范措施的前提下，该项目的建设从生态环境角度可行，我局原则同意“报告表”的环境影响评价总体结论和拟采取的各项生态环境保护措施。你单位应严格按照“报告表”中所列项目的建设性质、规模、工艺、地点和拟采取的环境保护措施进行建设和运行，以确保对环境的不利影响能够得到缓解和控制。</w:t>
      </w:r>
    </w:p>
    <w:p w14:paraId="0D225B93">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三、项目建设应做好以下工作：</w:t>
      </w:r>
    </w:p>
    <w:p w14:paraId="62FF2624">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（一）严格落实施工期各项污染控制措施。强化施工期环境管理，合理安排施工时间，优化施工场地布设、施工方式，采取有效措施降低施工期扬尘、废水、噪声、废渣等对周围环境的影响。</w:t>
      </w:r>
    </w:p>
    <w:p w14:paraId="6B66B0F9">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eastAsia="仿宋_GB2312"/>
          <w:kern w:val="0"/>
          <w:sz w:val="32"/>
          <w:szCs w:val="32"/>
        </w:rPr>
      </w:pPr>
      <w:r>
        <w:rPr>
          <w:rFonts w:hint="default" w:eastAsia="仿宋_GB2312"/>
          <w:sz w:val="32"/>
          <w:szCs w:val="32"/>
        </w:rPr>
        <w:t>（二）</w:t>
      </w:r>
      <w:r>
        <w:rPr>
          <w:rFonts w:hint="default" w:eastAsia="仿宋_GB2312"/>
          <w:kern w:val="0"/>
          <w:sz w:val="32"/>
          <w:szCs w:val="32"/>
        </w:rPr>
        <w:t>严格落实运营期各项大气污染防治措施。灌装机配料及装料过程中产生的粉尘</w:t>
      </w:r>
      <w:r>
        <w:rPr>
          <w:rFonts w:eastAsia="仿宋_GB2312"/>
          <w:kern w:val="0"/>
          <w:sz w:val="32"/>
          <w:szCs w:val="32"/>
        </w:rPr>
        <w:t>，</w:t>
      </w:r>
      <w:r>
        <w:rPr>
          <w:rFonts w:hint="default" w:eastAsia="仿宋_GB2312"/>
          <w:kern w:val="0"/>
          <w:sz w:val="32"/>
          <w:szCs w:val="32"/>
        </w:rPr>
        <w:t>经</w:t>
      </w:r>
      <w:r>
        <w:rPr>
          <w:rFonts w:eastAsia="仿宋_GB2312"/>
          <w:kern w:val="0"/>
          <w:sz w:val="32"/>
          <w:szCs w:val="32"/>
        </w:rPr>
        <w:t>“</w:t>
      </w:r>
      <w:r>
        <w:rPr>
          <w:rFonts w:hint="default" w:eastAsia="仿宋_GB2312"/>
          <w:kern w:val="0"/>
          <w:sz w:val="32"/>
          <w:szCs w:val="32"/>
        </w:rPr>
        <w:t>集气罩收集+袋式除尘器</w:t>
      </w:r>
      <w:r>
        <w:rPr>
          <w:rFonts w:eastAsia="仿宋_GB2312"/>
          <w:kern w:val="0"/>
          <w:sz w:val="32"/>
          <w:szCs w:val="32"/>
        </w:rPr>
        <w:t>”</w:t>
      </w:r>
      <w:r>
        <w:rPr>
          <w:rFonts w:hint="default" w:eastAsia="仿宋_GB2312"/>
          <w:kern w:val="0"/>
          <w:sz w:val="32"/>
          <w:szCs w:val="32"/>
        </w:rPr>
        <w:t>处理</w:t>
      </w:r>
      <w:r>
        <w:rPr>
          <w:rFonts w:eastAsia="仿宋_GB2312"/>
          <w:kern w:val="0"/>
          <w:sz w:val="32"/>
          <w:szCs w:val="32"/>
        </w:rPr>
        <w:t>后</w:t>
      </w:r>
      <w:r>
        <w:rPr>
          <w:rFonts w:hint="default" w:eastAsia="仿宋_GB2312"/>
          <w:kern w:val="0"/>
          <w:sz w:val="32"/>
          <w:szCs w:val="32"/>
        </w:rPr>
        <w:t>，</w:t>
      </w:r>
      <w:r>
        <w:rPr>
          <w:rFonts w:eastAsia="仿宋_GB2312"/>
          <w:kern w:val="0"/>
          <w:sz w:val="32"/>
          <w:szCs w:val="32"/>
        </w:rPr>
        <w:t>通过</w:t>
      </w:r>
      <w:r>
        <w:rPr>
          <w:rFonts w:hint="default" w:eastAsia="仿宋_GB2312"/>
          <w:kern w:val="0"/>
          <w:sz w:val="32"/>
          <w:szCs w:val="32"/>
        </w:rPr>
        <w:t>15m高排气筒排放</w:t>
      </w:r>
      <w:r>
        <w:rPr>
          <w:rFonts w:eastAsia="仿宋_GB2312"/>
          <w:kern w:val="0"/>
          <w:sz w:val="32"/>
          <w:szCs w:val="32"/>
        </w:rPr>
        <w:t>。通过配料间二次封闭，烧</w:t>
      </w:r>
      <w:r>
        <w:rPr>
          <w:rFonts w:eastAsia="仿宋_GB2312"/>
          <w:spacing w:val="-6"/>
          <w:kern w:val="0"/>
          <w:sz w:val="32"/>
          <w:szCs w:val="32"/>
        </w:rPr>
        <w:t>结机底部封闭、及时清扫沉积颗粒物等措施，减少无组织排放。</w:t>
      </w:r>
    </w:p>
    <w:p w14:paraId="5FE399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_GB2312"/>
          <w:kern w:val="0"/>
          <w:sz w:val="32"/>
          <w:szCs w:val="32"/>
        </w:rPr>
      </w:pPr>
      <w:r>
        <w:rPr>
          <w:rFonts w:hint="default" w:eastAsia="仿宋_GB2312"/>
          <w:sz w:val="32"/>
          <w:szCs w:val="32"/>
        </w:rPr>
        <w:t>（三）</w:t>
      </w:r>
      <w:r>
        <w:rPr>
          <w:rFonts w:hint="default" w:eastAsia="仿宋_GB2312"/>
          <w:kern w:val="0"/>
          <w:sz w:val="32"/>
          <w:szCs w:val="32"/>
        </w:rPr>
        <w:t>严格落实运营期各项水污染防治措施。</w:t>
      </w:r>
      <w:r>
        <w:rPr>
          <w:rFonts w:eastAsia="仿宋_GB2312"/>
          <w:kern w:val="0"/>
          <w:sz w:val="32"/>
          <w:szCs w:val="32"/>
        </w:rPr>
        <w:t>项目区域实行</w:t>
      </w:r>
      <w:r>
        <w:rPr>
          <w:rFonts w:hint="default" w:eastAsia="仿宋_GB2312"/>
          <w:kern w:val="0"/>
          <w:sz w:val="32"/>
          <w:szCs w:val="32"/>
        </w:rPr>
        <w:t>雨污分流，初期雨水</w:t>
      </w:r>
      <w:r>
        <w:rPr>
          <w:rFonts w:eastAsia="仿宋_GB2312"/>
          <w:kern w:val="0"/>
          <w:sz w:val="32"/>
          <w:szCs w:val="32"/>
        </w:rPr>
        <w:t>依托已有雨水收集管网收集后，汇入欣宇化工海绵钛厂区污水处理站处理，</w:t>
      </w:r>
      <w:r>
        <w:rPr>
          <w:rFonts w:hint="default" w:eastAsia="仿宋_GB2312"/>
          <w:kern w:val="0"/>
          <w:sz w:val="32"/>
          <w:szCs w:val="32"/>
        </w:rPr>
        <w:t>生活污水</w:t>
      </w:r>
      <w:r>
        <w:rPr>
          <w:rFonts w:eastAsia="仿宋_GB2312"/>
          <w:kern w:val="0"/>
          <w:sz w:val="32"/>
          <w:szCs w:val="32"/>
        </w:rPr>
        <w:t>依托宇化工海绵钛厂区现有一体化污水处理装置处理后排入园区污水处理厂处理</w:t>
      </w:r>
      <w:r>
        <w:rPr>
          <w:rFonts w:hint="default" w:eastAsia="仿宋_GB2312"/>
          <w:kern w:val="0"/>
          <w:sz w:val="32"/>
          <w:szCs w:val="32"/>
        </w:rPr>
        <w:t>。</w:t>
      </w:r>
    </w:p>
    <w:p w14:paraId="5DB284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kern w:val="0"/>
          <w:sz w:val="32"/>
          <w:szCs w:val="32"/>
        </w:rPr>
      </w:pPr>
      <w:r>
        <w:rPr>
          <w:rFonts w:hint="default" w:eastAsia="仿宋_GB2312"/>
          <w:sz w:val="32"/>
          <w:szCs w:val="32"/>
        </w:rPr>
        <w:t>（四）</w:t>
      </w:r>
      <w:r>
        <w:rPr>
          <w:rFonts w:hint="default" w:eastAsia="仿宋_GB2312"/>
          <w:kern w:val="0"/>
          <w:sz w:val="32"/>
          <w:szCs w:val="32"/>
        </w:rPr>
        <w:t>严格落实运营期各项固体废弃物污染防治措施。</w:t>
      </w:r>
      <w:r>
        <w:rPr>
          <w:rFonts w:eastAsia="仿宋_GB2312"/>
          <w:kern w:val="0"/>
          <w:sz w:val="32"/>
          <w:szCs w:val="32"/>
        </w:rPr>
        <w:t>烧结机烧结腔体未收集晶体及粉料由四川省宏昌晶体有限公司回收处置，废耐火材料由厂家回收处置；厂房内清扫收集的粉尘、袋式除尘器收集粉尘由四川省宏昌晶体有限公司回收提纯后作为原料使用。</w:t>
      </w:r>
      <w:r>
        <w:rPr>
          <w:rFonts w:hint="default" w:eastAsia="仿宋_GB2312"/>
          <w:bCs/>
          <w:kern w:val="0"/>
          <w:sz w:val="32"/>
          <w:szCs w:val="32"/>
        </w:rPr>
        <w:t>废润滑油、废油桶</w:t>
      </w:r>
      <w:r>
        <w:rPr>
          <w:rFonts w:eastAsia="仿宋_GB2312"/>
          <w:bCs/>
          <w:kern w:val="0"/>
          <w:sz w:val="32"/>
          <w:szCs w:val="32"/>
        </w:rPr>
        <w:t>等危险废物</w:t>
      </w:r>
      <w:r>
        <w:rPr>
          <w:rFonts w:hint="default" w:eastAsia="仿宋_GB2312"/>
          <w:bCs/>
          <w:kern w:val="0"/>
          <w:sz w:val="32"/>
          <w:szCs w:val="32"/>
        </w:rPr>
        <w:t>分类收集</w:t>
      </w:r>
      <w:r>
        <w:rPr>
          <w:rFonts w:eastAsia="仿宋_GB2312"/>
          <w:bCs/>
          <w:kern w:val="0"/>
          <w:sz w:val="32"/>
          <w:szCs w:val="32"/>
        </w:rPr>
        <w:t>、分区</w:t>
      </w:r>
      <w:r>
        <w:rPr>
          <w:rFonts w:hint="default" w:eastAsia="仿宋_GB2312"/>
          <w:bCs/>
          <w:kern w:val="0"/>
          <w:sz w:val="32"/>
          <w:szCs w:val="32"/>
        </w:rPr>
        <w:t>暂存</w:t>
      </w:r>
      <w:r>
        <w:rPr>
          <w:rFonts w:eastAsia="仿宋_GB2312"/>
          <w:bCs/>
          <w:kern w:val="0"/>
          <w:sz w:val="32"/>
          <w:szCs w:val="32"/>
        </w:rPr>
        <w:t>后</w:t>
      </w:r>
      <w:r>
        <w:rPr>
          <w:rFonts w:hint="default" w:eastAsia="仿宋_GB2312"/>
          <w:bCs/>
          <w:kern w:val="0"/>
          <w:sz w:val="32"/>
          <w:szCs w:val="32"/>
        </w:rPr>
        <w:t>，定期交由资质单位处置</w:t>
      </w:r>
      <w:r>
        <w:rPr>
          <w:rFonts w:eastAsia="仿宋_GB2312"/>
          <w:bCs/>
          <w:kern w:val="0"/>
          <w:sz w:val="32"/>
          <w:szCs w:val="32"/>
        </w:rPr>
        <w:t>。</w:t>
      </w:r>
      <w:r>
        <w:rPr>
          <w:rFonts w:eastAsia="仿宋_GB2312"/>
          <w:kern w:val="0"/>
          <w:sz w:val="32"/>
          <w:szCs w:val="32"/>
        </w:rPr>
        <w:t>原料包装、生活垃圾</w:t>
      </w:r>
      <w:r>
        <w:rPr>
          <w:rFonts w:hint="default" w:eastAsia="仿宋_GB2312"/>
          <w:kern w:val="0"/>
          <w:sz w:val="32"/>
          <w:szCs w:val="32"/>
        </w:rPr>
        <w:t>经</w:t>
      </w:r>
      <w:r>
        <w:rPr>
          <w:rFonts w:eastAsia="仿宋_GB2312"/>
          <w:kern w:val="0"/>
          <w:sz w:val="32"/>
          <w:szCs w:val="32"/>
        </w:rPr>
        <w:t>收集后</w:t>
      </w:r>
      <w:r>
        <w:rPr>
          <w:rFonts w:hint="default" w:eastAsia="仿宋_GB2312"/>
          <w:kern w:val="0"/>
          <w:sz w:val="32"/>
          <w:szCs w:val="32"/>
        </w:rPr>
        <w:t>，由环卫部门统一清运处置</w:t>
      </w:r>
    </w:p>
    <w:p w14:paraId="68CF2FEE">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（五）严格落实各项噪声治理措施。</w:t>
      </w:r>
      <w:r>
        <w:rPr>
          <w:rFonts w:eastAsia="仿宋_GB2312"/>
          <w:sz w:val="32"/>
          <w:szCs w:val="32"/>
        </w:rPr>
        <w:t>通过选用低噪声设备、封闭设置、基础减振、加强维护、隔声</w:t>
      </w:r>
      <w:r>
        <w:rPr>
          <w:rFonts w:hint="default" w:eastAsia="仿宋_GB2312"/>
          <w:sz w:val="32"/>
          <w:szCs w:val="32"/>
        </w:rPr>
        <w:t>等措施</w:t>
      </w:r>
      <w:r>
        <w:rPr>
          <w:rFonts w:eastAsia="仿宋_GB2312"/>
          <w:sz w:val="32"/>
          <w:szCs w:val="32"/>
        </w:rPr>
        <w:t>，</w:t>
      </w:r>
      <w:r>
        <w:rPr>
          <w:rFonts w:hint="default" w:eastAsia="仿宋_GB2312"/>
          <w:sz w:val="32"/>
          <w:szCs w:val="32"/>
        </w:rPr>
        <w:t>确保</w:t>
      </w:r>
      <w:r>
        <w:rPr>
          <w:rFonts w:eastAsia="仿宋_GB2312"/>
          <w:sz w:val="32"/>
          <w:szCs w:val="32"/>
        </w:rPr>
        <w:t>厂界环境噪声</w:t>
      </w:r>
      <w:r>
        <w:rPr>
          <w:rFonts w:hint="default" w:eastAsia="仿宋_GB2312"/>
          <w:sz w:val="32"/>
          <w:szCs w:val="32"/>
        </w:rPr>
        <w:t>达标。</w:t>
      </w:r>
    </w:p>
    <w:p w14:paraId="36599598">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（六）高度重视环境风险防范工作。严格落实“报告表”提出的各项风险防范措施，强化环境风险管控，依法编制</w:t>
      </w:r>
      <w:r>
        <w:rPr>
          <w:rFonts w:eastAsia="仿宋_GB2312"/>
          <w:sz w:val="32"/>
          <w:szCs w:val="32"/>
        </w:rPr>
        <w:t>环境风险</w:t>
      </w:r>
      <w:r>
        <w:rPr>
          <w:rFonts w:hint="default" w:eastAsia="仿宋_GB2312"/>
          <w:sz w:val="32"/>
          <w:szCs w:val="32"/>
        </w:rPr>
        <w:t>应急预案，保证出现事故能得到及时、有效处理</w:t>
      </w:r>
      <w:r>
        <w:rPr>
          <w:rFonts w:eastAsia="仿宋_GB2312"/>
          <w:sz w:val="32"/>
          <w:szCs w:val="32"/>
        </w:rPr>
        <w:t>。</w:t>
      </w:r>
      <w:r>
        <w:rPr>
          <w:rFonts w:hint="default" w:eastAsia="仿宋_GB2312"/>
          <w:sz w:val="32"/>
          <w:szCs w:val="32"/>
        </w:rPr>
        <w:t>建立健全环境管理机制和环保规章制度，落实岗位环保责任制，加强污染治理设施的日常运行及维护管理，确保污染物稳定达标排放。</w:t>
      </w:r>
    </w:p>
    <w:p w14:paraId="3F7E4F87">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七）加强公众参与。项目在建设及运行管理中，应根据公众的反映，进一步加强与公众沟通，以适当、稳妥、有效的方式，切实做好宣传、解释、维稳工作，及时解决公众提出的合理环境诉求，避免因公众参与工作落实不到位、相关环保措施不落实，导致环境纠纷和社会稳定问题。</w:t>
      </w:r>
    </w:p>
    <w:p w14:paraId="3F5312BF">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（八）其它应注意的事项按国家相关法律法规和项目“报告表”提出的相关要求落实。</w:t>
      </w:r>
    </w:p>
    <w:p w14:paraId="41510B7D">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四、项目在实施中必须依法严格执行环保“三同时”制度和排污许可制度，</w:t>
      </w:r>
      <w:r>
        <w:rPr>
          <w:rFonts w:hint="default" w:eastAsia="仿宋_GB2312"/>
          <w:sz w:val="32"/>
          <w:szCs w:val="32"/>
        </w:rPr>
        <w:t>调试排污前取得排污许可证</w:t>
      </w:r>
      <w:r>
        <w:rPr>
          <w:rFonts w:eastAsia="仿宋_GB2312"/>
          <w:sz w:val="32"/>
          <w:szCs w:val="32"/>
        </w:rPr>
        <w:t>，</w:t>
      </w:r>
      <w:r>
        <w:rPr>
          <w:rFonts w:hint="default" w:eastAsia="仿宋_GB2312"/>
          <w:sz w:val="32"/>
          <w:szCs w:val="32"/>
        </w:rPr>
        <w:t>竣工</w:t>
      </w:r>
      <w:r>
        <w:rPr>
          <w:rFonts w:eastAsia="仿宋_GB2312"/>
          <w:sz w:val="32"/>
          <w:szCs w:val="32"/>
        </w:rPr>
        <w:t>投产</w:t>
      </w:r>
      <w:r>
        <w:rPr>
          <w:rFonts w:hint="default" w:eastAsia="仿宋_GB2312"/>
          <w:sz w:val="32"/>
          <w:szCs w:val="32"/>
        </w:rPr>
        <w:t>后按规定程序开展</w:t>
      </w:r>
      <w:r>
        <w:rPr>
          <w:rFonts w:eastAsia="仿宋_GB2312"/>
          <w:sz w:val="32"/>
          <w:szCs w:val="32"/>
        </w:rPr>
        <w:t>竣工</w:t>
      </w:r>
      <w:r>
        <w:rPr>
          <w:rFonts w:hint="default" w:eastAsia="仿宋_GB2312"/>
          <w:sz w:val="32"/>
          <w:szCs w:val="32"/>
        </w:rPr>
        <w:t>环境保护验收。</w:t>
      </w:r>
    </w:p>
    <w:p w14:paraId="5D11D51C">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eastAsia="仿宋_GB2312"/>
          <w:sz w:val="32"/>
          <w:szCs w:val="32"/>
        </w:rPr>
      </w:pPr>
      <w:r>
        <w:rPr>
          <w:rFonts w:hint="default" w:eastAsia="仿宋_GB2312"/>
          <w:sz w:val="32"/>
          <w:szCs w:val="32"/>
        </w:rPr>
        <w:t>五、项目环境影响评价文件经批准后，如工程的性质、规模、工艺、地点或者防治污染、防止生态破坏的措施发生重大变化的，建设单位应当重新报批环境影响评价文件，否则不得实施。自环评批复文件批复之日起，如工程超过5年方决定开工建设，环境影响评价文件应当报我局重新审核。</w:t>
      </w:r>
    </w:p>
    <w:p w14:paraId="6A8A1CD0">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sz w:val="32"/>
          <w:szCs w:val="32"/>
          <w:lang w:bidi="ar-SA"/>
        </w:rPr>
      </w:pPr>
      <w:r>
        <w:rPr>
          <w:rFonts w:hint="default" w:eastAsia="仿宋_GB2312"/>
          <w:sz w:val="32"/>
          <w:szCs w:val="32"/>
        </w:rPr>
        <w:t>六、请市生态环境保护综合行政执法支队和</w:t>
      </w:r>
      <w:r>
        <w:rPr>
          <w:rFonts w:hint="default" w:ascii="Times New Roman" w:hAnsi="Times New Roman" w:eastAsia="仿宋_GB2312" w:cs="Times New Roman"/>
          <w:sz w:val="32"/>
          <w:szCs w:val="32"/>
          <w:lang w:val="en-US" w:eastAsia="zh-CN" w:bidi="ar-SA"/>
        </w:rPr>
        <w:t>钒钛高新区生态环境和综合行政执法局</w:t>
      </w:r>
      <w:r>
        <w:rPr>
          <w:rFonts w:hint="default" w:eastAsia="仿宋_GB2312"/>
          <w:sz w:val="32"/>
          <w:szCs w:val="32"/>
        </w:rPr>
        <w:t>加强对该项目的</w:t>
      </w:r>
      <w:r>
        <w:rPr>
          <w:rFonts w:hint="default" w:ascii="Times New Roman" w:hAnsi="Times New Roman" w:eastAsia="仿宋_GB2312" w:cs="Times New Roman"/>
          <w:sz w:val="32"/>
          <w:szCs w:val="32"/>
          <w:lang w:bidi="ar-SA"/>
        </w:rPr>
        <w:t>“三同时”检查和日常监督管理。</w:t>
      </w:r>
    </w:p>
    <w:p w14:paraId="5A4DB0D6">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sz w:val="32"/>
          <w:szCs w:val="32"/>
          <w:lang w:bidi="ar-SA"/>
        </w:rPr>
      </w:pPr>
      <w:r>
        <w:rPr>
          <w:rFonts w:hint="default" w:ascii="Times New Roman" w:hAnsi="Times New Roman" w:eastAsia="仿宋_GB2312" w:cs="Times New Roman"/>
          <w:sz w:val="32"/>
          <w:szCs w:val="32"/>
          <w:lang w:bidi="ar-SA"/>
        </w:rPr>
        <w:t>你</w:t>
      </w:r>
      <w:r>
        <w:rPr>
          <w:rFonts w:ascii="Times New Roman" w:hAnsi="Times New Roman" w:eastAsia="仿宋_GB2312" w:cs="Times New Roman"/>
          <w:sz w:val="32"/>
          <w:szCs w:val="32"/>
          <w:lang w:bidi="ar-SA"/>
        </w:rPr>
        <w:t>公司</w:t>
      </w:r>
      <w:r>
        <w:rPr>
          <w:rFonts w:hint="default" w:ascii="Times New Roman" w:hAnsi="Times New Roman" w:eastAsia="仿宋_GB2312" w:cs="Times New Roman"/>
          <w:sz w:val="32"/>
          <w:szCs w:val="32"/>
          <w:lang w:bidi="ar-SA"/>
        </w:rPr>
        <w:t>应在收到本批复15个工作日内将批复后的报告表送达</w:t>
      </w:r>
      <w:r>
        <w:rPr>
          <w:rFonts w:hint="default" w:ascii="Times New Roman" w:hAnsi="Times New Roman" w:eastAsia="仿宋_GB2312" w:cs="Times New Roman"/>
          <w:sz w:val="32"/>
          <w:szCs w:val="32"/>
          <w:lang w:val="en-US" w:eastAsia="zh-CN" w:bidi="ar-SA"/>
        </w:rPr>
        <w:t>钒钛高新区生态环境和综合行政执法局</w:t>
      </w:r>
      <w:r>
        <w:rPr>
          <w:rFonts w:hint="default" w:ascii="Times New Roman" w:hAnsi="Times New Roman" w:eastAsia="仿宋_GB2312" w:cs="Times New Roman"/>
          <w:sz w:val="32"/>
          <w:szCs w:val="32"/>
          <w:lang w:bidi="ar-SA"/>
        </w:rPr>
        <w:t>备案，并接受各级生态环境主管部门的监管。</w:t>
      </w:r>
    </w:p>
    <w:p w14:paraId="24322351">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eastAsia="仿宋_GB2312"/>
          <w:sz w:val="32"/>
          <w:szCs w:val="32"/>
        </w:rPr>
      </w:pPr>
    </w:p>
    <w:p w14:paraId="17BB5EC6">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仿宋_GB2312"/>
          <w:sz w:val="32"/>
          <w:szCs w:val="32"/>
        </w:rPr>
      </w:pPr>
    </w:p>
    <w:p w14:paraId="56D59F3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eastAsia="仿宋_GB2312"/>
          <w:sz w:val="32"/>
          <w:szCs w:val="32"/>
        </w:rPr>
      </w:pPr>
      <w:r>
        <w:rPr>
          <w:rFonts w:hint="default" w:eastAsia="仿宋_GB2312"/>
          <w:sz w:val="32"/>
          <w:szCs w:val="32"/>
        </w:rPr>
        <w:t xml:space="preserve">                      </w:t>
      </w:r>
      <w:r>
        <w:rPr>
          <w:rFonts w:eastAsia="仿宋_GB2312"/>
          <w:sz w:val="32"/>
          <w:szCs w:val="32"/>
        </w:rPr>
        <w:t xml:space="preserve"> </w:t>
      </w:r>
      <w:r>
        <w:rPr>
          <w:rFonts w:hint="default" w:eastAsia="仿宋_GB2312"/>
          <w:sz w:val="32"/>
          <w:szCs w:val="32"/>
        </w:rPr>
        <w:t xml:space="preserve">      攀枝花市生态环境局 </w:t>
      </w:r>
    </w:p>
    <w:p w14:paraId="6687E9B3">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eastAsia="仿宋_GB2312"/>
          <w:color w:val="auto"/>
          <w:sz w:val="32"/>
          <w:szCs w:val="32"/>
        </w:rPr>
      </w:pPr>
      <w:r>
        <w:rPr>
          <w:rFonts w:hint="default" w:eastAsia="仿宋_GB2312"/>
          <w:sz w:val="32"/>
          <w:szCs w:val="32"/>
        </w:rPr>
        <w:t xml:space="preserve">                      </w:t>
      </w:r>
      <w:r>
        <w:rPr>
          <w:rFonts w:eastAsia="仿宋_GB2312"/>
          <w:sz w:val="32"/>
          <w:szCs w:val="32"/>
        </w:rPr>
        <w:t xml:space="preserve"> </w:t>
      </w:r>
      <w:r>
        <w:rPr>
          <w:rFonts w:hint="default" w:eastAsia="仿宋_GB2312"/>
          <w:sz w:val="32"/>
          <w:szCs w:val="32"/>
        </w:rPr>
        <w:t xml:space="preserve">     </w:t>
      </w:r>
      <w:r>
        <w:rPr>
          <w:rFonts w:hint="default" w:eastAsia="仿宋_GB2312"/>
          <w:color w:val="auto"/>
          <w:sz w:val="32"/>
          <w:szCs w:val="32"/>
        </w:rPr>
        <w:t xml:space="preserve">  202</w:t>
      </w:r>
      <w:r>
        <w:rPr>
          <w:rFonts w:eastAsia="仿宋_GB2312"/>
          <w:color w:val="auto"/>
          <w:sz w:val="32"/>
          <w:szCs w:val="32"/>
        </w:rPr>
        <w:t>5</w:t>
      </w:r>
      <w:r>
        <w:rPr>
          <w:rFonts w:hint="default" w:eastAsia="仿宋_GB2312"/>
          <w:color w:val="auto"/>
          <w:sz w:val="32"/>
          <w:szCs w:val="32"/>
        </w:rPr>
        <w:t>年</w:t>
      </w:r>
      <w:r>
        <w:rPr>
          <w:rFonts w:eastAsia="仿宋_GB2312"/>
          <w:color w:val="auto"/>
          <w:sz w:val="32"/>
          <w:szCs w:val="32"/>
        </w:rPr>
        <w:t>3</w:t>
      </w:r>
      <w:r>
        <w:rPr>
          <w:rFonts w:hint="default" w:eastAsia="仿宋_GB2312"/>
          <w:color w:val="auto"/>
          <w:sz w:val="32"/>
          <w:szCs w:val="32"/>
        </w:rPr>
        <w:t>月</w:t>
      </w:r>
      <w:r>
        <w:rPr>
          <w:rFonts w:eastAsia="仿宋_GB2312"/>
          <w:color w:val="auto"/>
          <w:sz w:val="32"/>
          <w:szCs w:val="32"/>
        </w:rPr>
        <w:t>24</w:t>
      </w:r>
      <w:r>
        <w:rPr>
          <w:rFonts w:hint="default" w:eastAsia="仿宋_GB2312"/>
          <w:color w:val="auto"/>
          <w:sz w:val="32"/>
          <w:szCs w:val="32"/>
        </w:rPr>
        <w:t>日</w:t>
      </w:r>
    </w:p>
    <w:p w14:paraId="32B74F5D">
      <w:pPr>
        <w:pStyle w:val="23"/>
        <w:rPr>
          <w:rFonts w:eastAsia="仿宋_GB2312"/>
          <w:snapToGrid w:val="0"/>
          <w:sz w:val="18"/>
          <w:szCs w:val="18"/>
        </w:rPr>
      </w:pPr>
    </w:p>
    <w:sectPr>
      <w:headerReference r:id="rId3" w:type="default"/>
      <w:footerReference r:id="rId4" w:type="default"/>
      <w:footerReference r:id="rId5" w:type="even"/>
      <w:pgSz w:w="11906" w:h="16838"/>
      <w:pgMar w:top="1440" w:right="1797" w:bottom="1440"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Lucida Sans">
    <w:altName w:val="Noto Naskh Arabic"/>
    <w:panose1 w:val="020B0602030504020204"/>
    <w:charset w:val="00"/>
    <w:family w:val="auto"/>
    <w:pitch w:val="default"/>
    <w:sig w:usb0="00000000" w:usb1="00000000" w:usb2="00000000" w:usb3="00000000" w:csb0="20000001" w:csb1="00000000"/>
  </w:font>
  <w:font w:name="Noto Naskh Arabic">
    <w:panose1 w:val="020B0502040504020204"/>
    <w:charset w:val="00"/>
    <w:family w:val="auto"/>
    <w:pitch w:val="default"/>
    <w:sig w:usb0="80002003" w:usb1="80002000" w:usb2="00000008" w:usb3="00000000" w:csb0="00000041" w:csb1="00080000"/>
  </w:font>
  <w:font w:name="Luxi Sans">
    <w:altName w:val="方正书宋_GBK"/>
    <w:panose1 w:val="00000000000000000000"/>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AC31A">
    <w:pPr>
      <w:pStyle w:val="14"/>
      <w:framePr w:w="1079" w:wrap="around" w:vAnchor="text" w:hAnchor="margin" w:xAlign="outside" w:y="1"/>
      <w:rPr>
        <w:rStyle w:val="20"/>
        <w:rFonts w:hint="eastAsia" w:ascii="宋体"/>
        <w:sz w:val="24"/>
        <w:szCs w:val="24"/>
      </w:rPr>
    </w:pPr>
    <w:r>
      <w:rPr>
        <w:rFonts w:hint="eastAsia" w:ascii="宋体"/>
        <w:sz w:val="28"/>
        <w:szCs w:val="28"/>
      </w:rPr>
      <w:t>—</w:t>
    </w:r>
    <w:r>
      <w:rPr>
        <w:rFonts w:hint="eastAsia" w:ascii="宋体"/>
        <w:sz w:val="28"/>
        <w:szCs w:val="28"/>
      </w:rPr>
      <w:t xml:space="preserve"> </w:t>
    </w:r>
    <w:r>
      <w:rPr>
        <w:rStyle w:val="20"/>
        <w:rFonts w:hint="eastAsia" w:ascii="宋体"/>
        <w:sz w:val="28"/>
        <w:szCs w:val="28"/>
      </w:rPr>
      <w:fldChar w:fldCharType="begin"/>
    </w:r>
    <w:r>
      <w:rPr>
        <w:rStyle w:val="20"/>
        <w:rFonts w:hint="eastAsia" w:ascii="宋体"/>
        <w:sz w:val="28"/>
        <w:szCs w:val="28"/>
      </w:rPr>
      <w:instrText xml:space="preserve">PAGE  </w:instrText>
    </w:r>
    <w:r>
      <w:rPr>
        <w:rFonts w:hint="eastAsia" w:ascii="宋体"/>
        <w:sz w:val="28"/>
        <w:szCs w:val="28"/>
      </w:rPr>
      <w:fldChar w:fldCharType="separate"/>
    </w:r>
    <w:r>
      <w:rPr>
        <w:rStyle w:val="20"/>
        <w:rFonts w:hint="eastAsia" w:ascii="宋体"/>
        <w:sz w:val="28"/>
        <w:szCs w:val="28"/>
        <w:lang w:val="en-US" w:eastAsia="zh-CN"/>
      </w:rPr>
      <w:t>5</w:t>
    </w:r>
    <w:r>
      <w:rPr>
        <w:rFonts w:hint="eastAsia" w:ascii="宋体"/>
        <w:sz w:val="28"/>
        <w:szCs w:val="28"/>
      </w:rPr>
      <w:fldChar w:fldCharType="end"/>
    </w:r>
    <w:r>
      <w:rPr>
        <w:rFonts w:hint="eastAsia" w:ascii="宋体"/>
        <w:sz w:val="28"/>
        <w:szCs w:val="28"/>
      </w:rPr>
      <w:t xml:space="preserve"> </w:t>
    </w:r>
    <w:r>
      <w:rPr>
        <w:rFonts w:hint="eastAsia" w:ascii="宋体"/>
        <w:sz w:val="28"/>
        <w:szCs w:val="28"/>
      </w:rPr>
      <w:t>—</w:t>
    </w:r>
    <w:r>
      <w:rPr>
        <w:rFonts w:hint="eastAsia" w:ascii="宋体"/>
        <w:sz w:val="24"/>
        <w:szCs w:val="24"/>
      </w:rPr>
      <w:t xml:space="preserve"> </w:t>
    </w:r>
  </w:p>
  <w:p w14:paraId="6CBCE06B">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A59C9">
    <w:pPr>
      <w:pStyle w:val="14"/>
      <w:framePr w:wrap="around" w:vAnchor="text" w:hAnchor="margin" w:xAlign="outside" w:y="1"/>
      <w:rPr>
        <w:rStyle w:val="20"/>
      </w:rPr>
    </w:pPr>
    <w:r>
      <w:rPr>
        <w:rStyle w:val="20"/>
      </w:rPr>
      <w:fldChar w:fldCharType="begin"/>
    </w:r>
    <w:r>
      <w:rPr>
        <w:rStyle w:val="20"/>
      </w:rPr>
      <w:instrText xml:space="preserve">PAGE  </w:instrText>
    </w:r>
    <w:r>
      <w:fldChar w:fldCharType="separate"/>
    </w:r>
    <w:r>
      <w:rPr>
        <w:vanish/>
      </w:rPr>
      <w:t xml:space="preserve"> </w:t>
    </w:r>
    <w:r>
      <w:fldChar w:fldCharType="end"/>
    </w:r>
  </w:p>
  <w:p w14:paraId="4E2A207B">
    <w:pPr>
      <w:pStyle w:val="1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DAFA9">
    <w:pPr>
      <w:pStyle w:val="1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wNDIzMDg0Njc4ZjI3MmQzYmJkMDlkM2NkMzAxOTkifQ=="/>
  </w:docVars>
  <w:rsids>
    <w:rsidRoot w:val="00000000"/>
    <w:rsid w:val="6E2370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rPr>
  </w:style>
  <w:style w:type="paragraph" w:styleId="4">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5">
    <w:name w:val="heading 3"/>
    <w:basedOn w:val="1"/>
    <w:next w:val="1"/>
    <w:qFormat/>
    <w:uiPriority w:val="0"/>
    <w:pPr>
      <w:keepNext/>
      <w:keepLines/>
      <w:widowControl w:val="0"/>
      <w:spacing w:before="260" w:after="260" w:line="415" w:lineRule="auto"/>
      <w:outlineLvl w:val="2"/>
    </w:pPr>
    <w:rPr>
      <w:b/>
      <w:sz w:val="32"/>
    </w:rPr>
  </w:style>
  <w:style w:type="character" w:default="1" w:styleId="19">
    <w:name w:val="Default Paragraph Font"/>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line="480" w:lineRule="auto"/>
    </w:pPr>
    <w:rPr>
      <w:rFonts w:ascii="Calibri" w:hAnsi="Calibri" w:cs="Calibri"/>
      <w:lang w:bidi="ar-SA"/>
    </w:rPr>
  </w:style>
  <w:style w:type="paragraph" w:styleId="6">
    <w:name w:val="Normal Indent"/>
    <w:basedOn w:val="1"/>
    <w:next w:val="1"/>
    <w:qFormat/>
    <w:uiPriority w:val="0"/>
    <w:pPr>
      <w:keepNext w:val="0"/>
      <w:keepLines w:val="0"/>
      <w:widowControl w:val="0"/>
      <w:suppressLineNumbers w:val="0"/>
      <w:spacing w:before="0" w:beforeAutospacing="0" w:after="0" w:afterAutospacing="0" w:line="324" w:lineRule="auto"/>
      <w:ind w:left="0" w:right="0" w:firstLine="200" w:firstLineChars="200"/>
      <w:jc w:val="both"/>
    </w:pPr>
    <w:rPr>
      <w:rFonts w:ascii="Calibri" w:hAnsi="Calibri" w:eastAsia="宋体" w:cs="Times New Roman"/>
      <w:kern w:val="2"/>
      <w:sz w:val="24"/>
      <w:szCs w:val="20"/>
      <w:lang w:val="en-US" w:eastAsia="zh-CN" w:bidi="ar-SA"/>
    </w:rPr>
  </w:style>
  <w:style w:type="paragraph" w:styleId="7">
    <w:name w:val="Document Map"/>
    <w:basedOn w:val="1"/>
    <w:qFormat/>
    <w:uiPriority w:val="0"/>
    <w:pPr>
      <w:shd w:val="clear" w:color="auto" w:fill="000080"/>
    </w:pPr>
  </w:style>
  <w:style w:type="paragraph" w:styleId="8">
    <w:name w:val="annotation text"/>
    <w:basedOn w:val="1"/>
    <w:qFormat/>
    <w:uiPriority w:val="0"/>
    <w:pPr>
      <w:jc w:val="left"/>
    </w:pPr>
  </w:style>
  <w:style w:type="paragraph" w:styleId="9">
    <w:name w:val="Salutation"/>
    <w:basedOn w:val="1"/>
    <w:next w:val="1"/>
    <w:uiPriority w:val="0"/>
  </w:style>
  <w:style w:type="paragraph" w:styleId="10">
    <w:name w:val="Body Text"/>
    <w:basedOn w:val="1"/>
    <w:qFormat/>
    <w:uiPriority w:val="0"/>
    <w:pPr>
      <w:autoSpaceDE w:val="0"/>
      <w:autoSpaceDN w:val="0"/>
      <w:adjustRightInd w:val="0"/>
      <w:spacing w:line="360" w:lineRule="atLeast"/>
      <w:jc w:val="left"/>
      <w:textAlignment w:val="baseline"/>
    </w:pPr>
    <w:rPr>
      <w:rFonts w:ascii="宋体"/>
      <w:color w:val="000000"/>
      <w:sz w:val="24"/>
    </w:rPr>
  </w:style>
  <w:style w:type="paragraph" w:styleId="11">
    <w:name w:val="Plain Text"/>
    <w:basedOn w:val="1"/>
    <w:qFormat/>
    <w:uiPriority w:val="0"/>
    <w:rPr>
      <w:rFonts w:ascii="宋体"/>
    </w:rPr>
  </w:style>
  <w:style w:type="paragraph" w:styleId="12">
    <w:name w:val="Date"/>
    <w:basedOn w:val="1"/>
    <w:next w:val="1"/>
    <w:qFormat/>
    <w:uiPriority w:val="0"/>
    <w:pPr>
      <w:ind w:left="2500" w:leftChars="2500"/>
    </w:pPr>
  </w:style>
  <w:style w:type="paragraph" w:styleId="13">
    <w:name w:val="Balloon Text"/>
    <w:basedOn w:val="1"/>
    <w:qFormat/>
    <w:uiPriority w:val="0"/>
    <w:rPr>
      <w:rFonts w:ascii="Times New Roman" w:hAnsi="Times New Roman"/>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toc 2"/>
    <w:basedOn w:val="1"/>
    <w:next w:val="1"/>
    <w:qFormat/>
    <w:uiPriority w:val="0"/>
    <w:pPr>
      <w:tabs>
        <w:tab w:val="right" w:leader="dot" w:pos="8296"/>
      </w:tabs>
      <w:ind w:left="200" w:leftChars="200"/>
    </w:pPr>
  </w:style>
  <w:style w:type="paragraph" w:styleId="17">
    <w:name w:val="Normal (Web)"/>
    <w:basedOn w:val="1"/>
    <w:qFormat/>
    <w:uiPriority w:val="0"/>
    <w:pPr>
      <w:spacing w:before="100" w:beforeAutospacing="1" w:after="100" w:afterAutospacing="1"/>
      <w:ind w:left="0" w:right="0"/>
      <w:jc w:val="left"/>
    </w:pPr>
    <w:rPr>
      <w:kern w:val="0"/>
      <w:sz w:val="24"/>
      <w:lang w:val="en-US" w:eastAsia="zh-CN"/>
    </w:rPr>
  </w:style>
  <w:style w:type="character" w:styleId="20">
    <w:name w:val="page number"/>
    <w:basedOn w:val="19"/>
    <w:qFormat/>
    <w:uiPriority w:val="0"/>
  </w:style>
  <w:style w:type="character" w:customStyle="1" w:styleId="21">
    <w:name w:val="批注文字 Char"/>
    <w:basedOn w:val="19"/>
    <w:qFormat/>
    <w:uiPriority w:val="0"/>
    <w:rPr>
      <w:rFonts w:ascii="Calibri" w:hAnsi="Calibri" w:eastAsia="宋体" w:cs="Times New Roman"/>
      <w:szCs w:val="24"/>
      <w:lang w:bidi="ar-SA"/>
    </w:rPr>
  </w:style>
  <w:style w:type="character" w:customStyle="1" w:styleId="22">
    <w:name w:val="【正文】 Char Char"/>
    <w:qFormat/>
    <w:uiPriority w:val="0"/>
    <w:rPr>
      <w:rFonts w:ascii="Times New Roman" w:hAnsi="Times New Roman" w:eastAsia="宋体" w:cs="宋体"/>
      <w:color w:val="000000"/>
      <w:kern w:val="2"/>
      <w:sz w:val="24"/>
      <w:lang w:bidi="ar-SA"/>
    </w:rPr>
  </w:style>
  <w:style w:type="paragraph" w:customStyle="1" w:styleId="2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a:gradFill/>
      </a:bgFillStyleLst>
    </a:fmtScheme>
  </a:themeElements>
  <a:objectDefaults>
    <a:spDef>
      <a:spPr>
        <a:solidFill>
          <a:srgbClr val="FFFFFF"/>
        </a:solidFill>
        <a:ln w="9525" cap="flat" cmpd="sng">
          <a:solidFill>
            <a:srgbClr val="000000"/>
          </a:solidFill>
          <a:prstDash val="solid"/>
          <a:miter/>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9525" cap="flat" cmpd="sng">
          <a:solidFill>
            <a:srgbClr val="000000"/>
          </a:solidFill>
          <a:prstDash val="solid"/>
          <a:miter/>
        </a:ln>
      </a:spPr>
      <a:bodyPr/>
      <a:lstStyle/>
      <a:style>
        <a:lnRef idx="1">
          <a:schemeClr val="accent4">
            <a:shade val="50000"/>
          </a:schemeClr>
        </a:lnRef>
        <a:fillRef idx="0">
          <a:schemeClr val="accent4"/>
        </a:fillRef>
        <a:effectRef idx="0">
          <a:schemeClr val="accent4"/>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xmlns="http://www.yozosoft.com.cn/officeDocument/2016/customData">
    <docPr xmlns="http://www.yozosoft.com.cn/officeDocument/2016/customData" revisions="3 0 5 0 0 0 1 0 0 0 3000 0 1 1 1 1"/>
    <sectPr xmlns="http://www.yozosoft.com.cn/officeDocument/2016/customData"/>
  </customProps>
</customData>
</file>

<file path=customXml/itemProps1.xml><?xml version="1.0" encoding="utf-8"?>
<ds:datastoreItem xmlns:ds="http://schemas.openxmlformats.org/officeDocument/2006/customXml" ds:itemID="{5999E4AB-54A8-4C0A-A24A-7EC68EB24D18}">
  <ds:schemaRefs/>
</ds:datastoreItem>
</file>

<file path=docProps/app.xml><?xml version="1.0" encoding="utf-8"?>
<Properties xmlns="http://schemas.openxmlformats.org/officeDocument/2006/extended-properties" xmlns:vt="http://schemas.openxmlformats.org/officeDocument/2006/docPropsVTypes">
  <Template>Normal.eit</Template>
  <Pages>4</Pages>
  <Words>0</Words>
  <Characters>3210</Characters>
  <Lines>0</Lines>
  <Paragraphs>50</Paragraphs>
  <TotalTime>14097800</TotalTime>
  <ScaleCrop>false</ScaleCrop>
  <LinksUpToDate>false</LinksUpToDate>
  <CharactersWithSpaces>4281</CharactersWithSpaces>
  <Application>WPS Office_12.8.2.18605_F1E327BC-269C-435d-A152-05C5408002CA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2021-11-11T17:51:00Z</dcterms:created>
  <dc:creator>Administrator</dc:creator>
  <cp:lastModifiedBy>user</cp:lastModifiedBy>
  <dcterms:modified xsi:type="dcterms:W3CDTF">2025-03-26T10:51:12Z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E44ABCC72C25241BA06BE367E6B61BB3_43</vt:lpwstr>
  </property>
</Properties>
</file>