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76A9E9">
      <w:pPr>
        <w:rPr>
          <w:rFonts w:ascii="Times New Roman" w:hAnsi="Times New Roman"/>
        </w:rPr>
      </w:pPr>
      <w:bookmarkStart w:id="0" w:name="_Toc15377193"/>
      <w:bookmarkStart w:id="1" w:name="_Toc15378441"/>
      <w:bookmarkStart w:id="2" w:name="_Toc15396475"/>
      <w:bookmarkStart w:id="3" w:name="_Toc15377425"/>
      <w:bookmarkStart w:id="4" w:name="_Toc15396597"/>
      <w:bookmarkStart w:id="5" w:name="_Toc15306267"/>
    </w:p>
    <w:p w14:paraId="1808DFA6">
      <w:pPr>
        <w:pStyle w:val="2"/>
        <w:jc w:val="center"/>
        <w:rPr>
          <w:rFonts w:hint="eastAsia" w:ascii="Times New Roman" w:hAnsi="Times New Roman" w:eastAsia="方正小标宋简体" w:cs="Times New Roman"/>
          <w:color w:val="auto"/>
          <w:kern w:val="2"/>
          <w:sz w:val="44"/>
          <w:szCs w:val="44"/>
          <w:highlight w:val="none"/>
          <w:lang w:val="en-US" w:eastAsia="zh-CN" w:bidi="ar-SA"/>
        </w:rPr>
      </w:pPr>
    </w:p>
    <w:p w14:paraId="25DF17DC">
      <w:pPr>
        <w:pStyle w:val="2"/>
        <w:jc w:val="center"/>
        <w:rPr>
          <w:rFonts w:hint="eastAsia" w:ascii="Times New Roman" w:hAnsi="Times New Roman" w:eastAsia="方正小标宋简体" w:cs="Times New Roman"/>
          <w:color w:val="auto"/>
          <w:kern w:val="2"/>
          <w:sz w:val="44"/>
          <w:szCs w:val="44"/>
          <w:highlight w:val="none"/>
          <w:lang w:val="en-US" w:eastAsia="zh-CN" w:bidi="ar-SA"/>
        </w:rPr>
      </w:pPr>
    </w:p>
    <w:p w14:paraId="343594BB">
      <w:pPr>
        <w:pStyle w:val="2"/>
        <w:jc w:val="center"/>
        <w:rPr>
          <w:rFonts w:hint="eastAsia" w:ascii="Times New Roman" w:hAnsi="Times New Roman" w:eastAsia="方正小标宋简体" w:cs="Times New Roman"/>
          <w:color w:val="auto"/>
          <w:kern w:val="2"/>
          <w:sz w:val="44"/>
          <w:szCs w:val="44"/>
          <w:highlight w:val="none"/>
          <w:lang w:val="en-US" w:eastAsia="zh-CN" w:bidi="ar-SA"/>
        </w:rPr>
      </w:pPr>
    </w:p>
    <w:p w14:paraId="00E2A207">
      <w:pPr>
        <w:pStyle w:val="2"/>
        <w:jc w:val="center"/>
        <w:rPr>
          <w:rFonts w:hint="eastAsia" w:ascii="Times New Roman" w:hAnsi="Times New Roman" w:eastAsia="方正小标宋简体" w:cs="Times New Roman"/>
          <w:color w:val="auto"/>
          <w:kern w:val="2"/>
          <w:sz w:val="44"/>
          <w:szCs w:val="44"/>
          <w:highlight w:val="none"/>
          <w:lang w:val="en-US" w:eastAsia="zh-CN" w:bidi="ar-SA"/>
        </w:rPr>
      </w:pPr>
    </w:p>
    <w:bookmarkEnd w:id="0"/>
    <w:bookmarkEnd w:id="1"/>
    <w:bookmarkEnd w:id="2"/>
    <w:bookmarkEnd w:id="3"/>
    <w:bookmarkEnd w:id="4"/>
    <w:p w14:paraId="533F6B63">
      <w:pPr>
        <w:pStyle w:val="2"/>
        <w:jc w:val="center"/>
        <w:rPr>
          <w:rFonts w:hint="eastAsia" w:ascii="Times New Roman" w:hAnsi="Times New Roman" w:eastAsia="方正小标宋简体" w:cs="Times New Roman"/>
          <w:color w:val="auto"/>
          <w:kern w:val="2"/>
          <w:sz w:val="44"/>
          <w:szCs w:val="44"/>
          <w:highlight w:val="none"/>
          <w:lang w:val="en-US" w:eastAsia="zh-CN" w:bidi="ar-SA"/>
        </w:rPr>
      </w:pPr>
      <w:bookmarkStart w:id="6" w:name="_Toc15378442"/>
      <w:bookmarkStart w:id="7" w:name="_Toc15396598"/>
      <w:bookmarkStart w:id="8" w:name="_Toc15396476"/>
      <w:bookmarkStart w:id="9" w:name="_Toc15377194"/>
      <w:bookmarkStart w:id="10" w:name="_Toc15377426"/>
      <w:r>
        <w:rPr>
          <w:rFonts w:hint="eastAsia" w:ascii="Times New Roman" w:hAnsi="Times New Roman" w:eastAsia="方正小标宋简体" w:cs="Times New Roman"/>
          <w:color w:val="auto"/>
          <w:kern w:val="2"/>
          <w:sz w:val="44"/>
          <w:szCs w:val="44"/>
          <w:highlight w:val="none"/>
          <w:lang w:val="en-US" w:eastAsia="zh-CN" w:bidi="ar-SA"/>
        </w:rPr>
        <w:t>2024年度四川省</w:t>
      </w:r>
      <w:bookmarkEnd w:id="5"/>
      <w:bookmarkStart w:id="11" w:name="_Toc15306268"/>
      <w:r>
        <w:rPr>
          <w:rFonts w:hint="eastAsia" w:ascii="Times New Roman" w:eastAsia="方正小标宋简体" w:cs="Times New Roman"/>
          <w:color w:val="auto"/>
          <w:kern w:val="2"/>
          <w:sz w:val="44"/>
          <w:szCs w:val="44"/>
          <w:highlight w:val="none"/>
          <w:lang w:val="en-US" w:eastAsia="zh-CN" w:bidi="ar-SA"/>
        </w:rPr>
        <w:t>攀枝花市人民政府驻北京联络处</w:t>
      </w:r>
      <w:r>
        <w:rPr>
          <w:rFonts w:hint="eastAsia" w:ascii="Times New Roman" w:hAnsi="Times New Roman" w:eastAsia="方正小标宋简体" w:cs="Times New Roman"/>
          <w:color w:val="auto"/>
          <w:kern w:val="2"/>
          <w:sz w:val="44"/>
          <w:szCs w:val="44"/>
          <w:highlight w:val="none"/>
          <w:lang w:val="en-US" w:eastAsia="zh-CN" w:bidi="ar-SA"/>
        </w:rPr>
        <w:t>部门决算</w:t>
      </w:r>
      <w:bookmarkEnd w:id="6"/>
      <w:bookmarkEnd w:id="7"/>
      <w:bookmarkEnd w:id="8"/>
      <w:bookmarkEnd w:id="9"/>
      <w:bookmarkEnd w:id="10"/>
      <w:bookmarkEnd w:id="11"/>
    </w:p>
    <w:p w14:paraId="4A47B08D">
      <w:pPr>
        <w:widowControl/>
        <w:jc w:val="center"/>
        <w:rPr>
          <w:rFonts w:ascii="Times New Roman" w:hAnsi="Times New Roman" w:eastAsia="黑体"/>
          <w:color w:val="auto"/>
          <w:sz w:val="48"/>
          <w:szCs w:val="48"/>
          <w:highlight w:val="none"/>
        </w:rPr>
      </w:pPr>
      <w:r>
        <w:rPr>
          <w:rFonts w:ascii="Times New Roman" w:hAnsi="Times New Roman" w:eastAsia="方正小标宋简体"/>
          <w:color w:val="auto"/>
          <w:sz w:val="36"/>
          <w:szCs w:val="36"/>
          <w:highlight w:val="none"/>
        </w:rPr>
        <w:br w:type="page"/>
      </w:r>
      <w:r>
        <w:rPr>
          <w:rFonts w:hint="eastAsia" w:ascii="Times New Roman" w:hAnsi="Times New Roman" w:eastAsia="黑体"/>
          <w:color w:val="auto"/>
          <w:sz w:val="48"/>
          <w:szCs w:val="48"/>
          <w:highlight w:val="none"/>
        </w:rPr>
        <w:t>目录</w:t>
      </w:r>
    </w:p>
    <w:p w14:paraId="4A22904B">
      <w:pPr>
        <w:widowControl/>
        <w:jc w:val="center"/>
        <w:rPr>
          <w:rFonts w:ascii="Times New Roman" w:hAnsi="Times New Roman" w:eastAsia="黑体" w:cstheme="minorBidi"/>
          <w:color w:val="auto"/>
          <w:sz w:val="28"/>
          <w:szCs w:val="28"/>
          <w:highlight w:val="none"/>
        </w:rPr>
      </w:pPr>
    </w:p>
    <w:p w14:paraId="7AFC3233">
      <w:pPr>
        <w:pStyle w:val="12"/>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公开时间：20</w:t>
      </w:r>
      <w:r>
        <w:rPr>
          <w:rFonts w:hint="eastAsia" w:ascii="Times New Roman" w:hAnsi="Times New Roman" w:eastAsia="仿宋_GB2312" w:cs="仿宋_GB2312"/>
          <w:color w:val="auto"/>
          <w:sz w:val="32"/>
          <w:szCs w:val="32"/>
          <w:highlight w:val="none"/>
          <w:lang w:val="en-US" w:eastAsia="zh-CN"/>
        </w:rPr>
        <w:t>25</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9</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10</w:t>
      </w:r>
      <w:bookmarkStart w:id="70" w:name="_GoBack"/>
      <w:bookmarkEnd w:id="70"/>
      <w:r>
        <w:rPr>
          <w:rFonts w:hint="eastAsia" w:ascii="Times New Roman" w:hAnsi="Times New Roman" w:eastAsia="仿宋_GB2312" w:cs="仿宋_GB2312"/>
          <w:color w:val="auto"/>
          <w:sz w:val="32"/>
          <w:szCs w:val="32"/>
          <w:highlight w:val="none"/>
        </w:rPr>
        <w:t>日</w:t>
      </w:r>
    </w:p>
    <w:p w14:paraId="0D485497">
      <w:pPr>
        <w:rPr>
          <w:rFonts w:ascii="Times New Roman" w:hAnsi="Times New Roman"/>
          <w:color w:val="auto"/>
          <w:highlight w:val="none"/>
        </w:rPr>
      </w:pPr>
    </w:p>
    <w:p w14:paraId="42A92C76">
      <w:pPr>
        <w:pStyle w:val="12"/>
        <w:keepNext w:val="0"/>
        <w:keepLines w:val="0"/>
        <w:pageBreakBefore w:val="0"/>
        <w:kinsoku/>
        <w:wordWrap/>
        <w:overflowPunct/>
        <w:topLinePunct w:val="0"/>
        <w:autoSpaceDE/>
        <w:autoSpaceDN/>
        <w:bidi w:val="0"/>
        <w:adjustRightInd w:val="0"/>
        <w:snapToGrid w:val="0"/>
        <w:spacing w:before="0" w:line="560" w:lineRule="exact"/>
        <w:jc w:val="distribute"/>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第一部分 部门概况</w:t>
      </w:r>
      <w:r>
        <w:rPr>
          <w:rFonts w:hint="eastAsia"/>
          <w:color w:val="auto"/>
          <w:sz w:val="24"/>
          <w:highlight w:val="none"/>
          <w:lang w:eastAsia="zh-CN"/>
        </w:rPr>
        <w:t>…………………………………………………………</w:t>
      </w:r>
      <w:r>
        <w:rPr>
          <w:rFonts w:hint="eastAsia"/>
          <w:color w:val="auto"/>
          <w:sz w:val="24"/>
          <w:highlight w:val="none"/>
          <w:lang w:val="en-US" w:eastAsia="zh-CN"/>
        </w:rPr>
        <w:t>4</w:t>
      </w:r>
    </w:p>
    <w:p w14:paraId="16678A19">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w:t>
      </w:r>
      <w:r>
        <w:rPr>
          <w:rFonts w:hint="eastAsia" w:ascii="Times New Roman" w:hAnsi="Times New Roman" w:eastAsia="仿宋_GB2312" w:cs="仿宋_GB2312"/>
          <w:color w:val="auto"/>
          <w:sz w:val="32"/>
          <w:szCs w:val="32"/>
          <w:highlight w:val="none"/>
          <w:lang w:eastAsia="zh-CN"/>
        </w:rPr>
        <w:t>部门职责</w:t>
      </w:r>
      <w:r>
        <w:rPr>
          <w:rFonts w:hint="eastAsia"/>
          <w:color w:val="auto"/>
          <w:sz w:val="24"/>
          <w:highlight w:val="none"/>
          <w:lang w:eastAsia="zh-CN"/>
        </w:rPr>
        <w:t>……………………………………………………………</w:t>
      </w:r>
      <w:r>
        <w:rPr>
          <w:rFonts w:hint="eastAsia"/>
          <w:color w:val="auto"/>
          <w:sz w:val="24"/>
          <w:highlight w:val="none"/>
          <w:lang w:val="en-US" w:eastAsia="zh-CN"/>
        </w:rPr>
        <w:t>4</w:t>
      </w:r>
    </w:p>
    <w:p w14:paraId="311EC1AA">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二、机构设置</w:t>
      </w:r>
      <w:r>
        <w:rPr>
          <w:rFonts w:hint="eastAsia"/>
          <w:color w:val="auto"/>
          <w:sz w:val="24"/>
          <w:highlight w:val="none"/>
          <w:lang w:eastAsia="zh-CN"/>
        </w:rPr>
        <w:t>……………………………………………………………</w:t>
      </w:r>
      <w:r>
        <w:rPr>
          <w:rFonts w:hint="eastAsia"/>
          <w:color w:val="auto"/>
          <w:sz w:val="24"/>
          <w:highlight w:val="none"/>
          <w:lang w:val="en-US" w:eastAsia="zh-CN"/>
        </w:rPr>
        <w:t>4</w:t>
      </w:r>
    </w:p>
    <w:p w14:paraId="56ACF1BB">
      <w:pPr>
        <w:pStyle w:val="12"/>
        <w:keepNext w:val="0"/>
        <w:keepLines w:val="0"/>
        <w:pageBreakBefore w:val="0"/>
        <w:kinsoku/>
        <w:wordWrap/>
        <w:overflowPunct/>
        <w:topLinePunct w:val="0"/>
        <w:autoSpaceDE/>
        <w:autoSpaceDN/>
        <w:bidi w:val="0"/>
        <w:adjustRightInd w:val="0"/>
        <w:snapToGrid w:val="0"/>
        <w:spacing w:before="0" w:line="560" w:lineRule="exact"/>
        <w:jc w:val="distribute"/>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第二部分</w:t>
      </w:r>
      <w:r>
        <w:rPr>
          <w:rFonts w:hint="eastAsia" w:ascii="Times New Roman" w:hAnsi="Times New Roman" w:eastAsia="黑体" w:cs="黑体"/>
          <w:color w:val="auto"/>
          <w:sz w:val="32"/>
          <w:szCs w:val="32"/>
          <w:highlight w:val="none"/>
          <w:lang w:val="en-US" w:eastAsia="zh-CN"/>
        </w:rPr>
        <w:t xml:space="preserve"> 2024年度</w:t>
      </w:r>
      <w:r>
        <w:rPr>
          <w:rFonts w:hint="eastAsia" w:ascii="Times New Roman" w:hAnsi="Times New Roman" w:eastAsia="黑体" w:cs="黑体"/>
          <w:color w:val="auto"/>
          <w:sz w:val="32"/>
          <w:szCs w:val="32"/>
          <w:highlight w:val="none"/>
        </w:rPr>
        <w:t>部门决算情况说明</w:t>
      </w:r>
      <w:r>
        <w:rPr>
          <w:rFonts w:hint="eastAsia"/>
          <w:color w:val="auto"/>
          <w:sz w:val="24"/>
          <w:highlight w:val="none"/>
          <w:lang w:eastAsia="zh-CN"/>
        </w:rPr>
        <w:t>……………………………</w:t>
      </w:r>
      <w:r>
        <w:rPr>
          <w:rFonts w:hint="eastAsia"/>
          <w:color w:val="auto"/>
          <w:sz w:val="24"/>
          <w:highlight w:val="none"/>
          <w:lang w:val="en-US" w:eastAsia="zh-CN"/>
        </w:rPr>
        <w:t>6</w:t>
      </w:r>
    </w:p>
    <w:p w14:paraId="130D2B0A">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一、收入支出决算总体情况说明</w:t>
      </w:r>
      <w:r>
        <w:rPr>
          <w:rFonts w:hint="eastAsia"/>
          <w:color w:val="auto"/>
          <w:sz w:val="24"/>
          <w:highlight w:val="none"/>
          <w:lang w:eastAsia="zh-CN"/>
        </w:rPr>
        <w:t>…………………………………</w:t>
      </w:r>
      <w:r>
        <w:rPr>
          <w:rFonts w:hint="eastAsia"/>
          <w:color w:val="auto"/>
          <w:sz w:val="24"/>
          <w:highlight w:val="none"/>
          <w:lang w:val="en-US" w:eastAsia="zh-CN"/>
        </w:rPr>
        <w:t>6</w:t>
      </w:r>
    </w:p>
    <w:p w14:paraId="47074FAF">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二、收入决算情况说明</w:t>
      </w:r>
      <w:r>
        <w:rPr>
          <w:rFonts w:hint="eastAsia"/>
          <w:color w:val="auto"/>
          <w:sz w:val="24"/>
          <w:highlight w:val="none"/>
          <w:lang w:eastAsia="zh-CN"/>
        </w:rPr>
        <w:t>………………………………………………</w:t>
      </w:r>
      <w:r>
        <w:rPr>
          <w:rFonts w:hint="eastAsia"/>
          <w:color w:val="auto"/>
          <w:sz w:val="24"/>
          <w:highlight w:val="none"/>
          <w:lang w:val="en-US" w:eastAsia="zh-CN"/>
        </w:rPr>
        <w:t>6</w:t>
      </w:r>
    </w:p>
    <w:p w14:paraId="15746E58">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三、支出决算情况说明</w:t>
      </w:r>
      <w:r>
        <w:rPr>
          <w:rFonts w:hint="eastAsia"/>
          <w:color w:val="auto"/>
          <w:sz w:val="24"/>
          <w:highlight w:val="none"/>
          <w:lang w:eastAsia="zh-CN"/>
        </w:rPr>
        <w:t>………………………………………………</w:t>
      </w:r>
      <w:r>
        <w:rPr>
          <w:rFonts w:hint="eastAsia"/>
          <w:color w:val="auto"/>
          <w:sz w:val="24"/>
          <w:highlight w:val="none"/>
          <w:lang w:val="en-US" w:eastAsia="zh-CN"/>
        </w:rPr>
        <w:t>7</w:t>
      </w:r>
    </w:p>
    <w:p w14:paraId="364EE533">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四、财政拨款收入支出决算总体情况说明</w:t>
      </w:r>
      <w:r>
        <w:rPr>
          <w:rFonts w:hint="eastAsia"/>
          <w:color w:val="auto"/>
          <w:sz w:val="24"/>
          <w:highlight w:val="none"/>
          <w:lang w:eastAsia="zh-CN"/>
        </w:rPr>
        <w:t>…………………</w:t>
      </w:r>
      <w:r>
        <w:rPr>
          <w:rFonts w:hint="eastAsia"/>
          <w:color w:val="auto"/>
          <w:sz w:val="24"/>
          <w:highlight w:val="none"/>
          <w:lang w:val="en-US" w:eastAsia="zh-CN"/>
        </w:rPr>
        <w:t>7</w:t>
      </w:r>
    </w:p>
    <w:p w14:paraId="11133ACF">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五、一般公共预算财政拨款支出决算情况说明</w:t>
      </w:r>
      <w:r>
        <w:rPr>
          <w:rFonts w:hint="eastAsia"/>
          <w:color w:val="auto"/>
          <w:sz w:val="24"/>
          <w:highlight w:val="none"/>
          <w:lang w:eastAsia="zh-CN"/>
        </w:rPr>
        <w:t>…………</w:t>
      </w:r>
      <w:r>
        <w:rPr>
          <w:rFonts w:hint="eastAsia"/>
          <w:color w:val="auto"/>
          <w:sz w:val="24"/>
          <w:highlight w:val="none"/>
          <w:lang w:val="en-US" w:eastAsia="zh-CN"/>
        </w:rPr>
        <w:t>8</w:t>
      </w:r>
    </w:p>
    <w:p w14:paraId="0318A621">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六、一般公共预算财政拨款基本支出决算情况说明</w:t>
      </w:r>
      <w:r>
        <w:rPr>
          <w:rFonts w:hint="eastAsia"/>
          <w:color w:val="auto"/>
          <w:sz w:val="24"/>
          <w:highlight w:val="none"/>
          <w:lang w:eastAsia="zh-CN"/>
        </w:rPr>
        <w:t>……</w:t>
      </w:r>
      <w:r>
        <w:rPr>
          <w:rFonts w:hint="eastAsia"/>
          <w:color w:val="auto"/>
          <w:sz w:val="24"/>
          <w:highlight w:val="none"/>
          <w:lang w:val="en-US" w:eastAsia="zh-CN"/>
        </w:rPr>
        <w:t>10</w:t>
      </w:r>
    </w:p>
    <w:p w14:paraId="2042BC5F">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七、财政拨款</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三公”经费支出决算情况说明</w:t>
      </w:r>
      <w:r>
        <w:rPr>
          <w:rFonts w:hint="eastAsia"/>
          <w:color w:val="auto"/>
          <w:sz w:val="24"/>
          <w:highlight w:val="none"/>
          <w:lang w:eastAsia="zh-CN"/>
        </w:rPr>
        <w:t>…………</w:t>
      </w:r>
      <w:r>
        <w:rPr>
          <w:rFonts w:hint="eastAsia"/>
          <w:color w:val="auto"/>
          <w:sz w:val="24"/>
          <w:highlight w:val="none"/>
          <w:lang w:val="en-US" w:eastAsia="zh-CN"/>
        </w:rPr>
        <w:t>11</w:t>
      </w:r>
    </w:p>
    <w:p w14:paraId="381298D6">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八、政府性基金预算支出决算情况说明</w:t>
      </w:r>
      <w:r>
        <w:rPr>
          <w:rFonts w:hint="eastAsia"/>
          <w:color w:val="auto"/>
          <w:sz w:val="24"/>
          <w:highlight w:val="none"/>
          <w:lang w:eastAsia="zh-CN"/>
        </w:rPr>
        <w:t>……………………</w:t>
      </w:r>
      <w:r>
        <w:rPr>
          <w:rFonts w:hint="eastAsia"/>
          <w:color w:val="auto"/>
          <w:sz w:val="24"/>
          <w:highlight w:val="none"/>
          <w:lang w:val="en-US" w:eastAsia="zh-CN"/>
        </w:rPr>
        <w:t>12</w:t>
      </w:r>
    </w:p>
    <w:p w14:paraId="71870267">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九、</w:t>
      </w:r>
      <w:r>
        <w:rPr>
          <w:rFonts w:hint="eastAsia" w:ascii="Times New Roman" w:hAnsi="Times New Roman" w:eastAsia="仿宋_GB2312" w:cs="仿宋_GB2312"/>
          <w:color w:val="auto"/>
          <w:sz w:val="32"/>
          <w:szCs w:val="32"/>
          <w:highlight w:val="none"/>
          <w:lang w:eastAsia="zh-CN"/>
        </w:rPr>
        <w:t>国</w:t>
      </w:r>
      <w:r>
        <w:rPr>
          <w:rFonts w:hint="eastAsia" w:ascii="Times New Roman" w:hAnsi="Times New Roman" w:eastAsia="仿宋_GB2312" w:cs="仿宋_GB2312"/>
          <w:color w:val="auto"/>
          <w:sz w:val="32"/>
          <w:szCs w:val="32"/>
          <w:highlight w:val="none"/>
        </w:rPr>
        <w:t>有资本经营预算支出决算情况说明</w:t>
      </w:r>
      <w:r>
        <w:rPr>
          <w:rFonts w:hint="eastAsia"/>
          <w:color w:val="auto"/>
          <w:sz w:val="24"/>
          <w:highlight w:val="none"/>
          <w:lang w:eastAsia="zh-CN"/>
        </w:rPr>
        <w:t>…………………</w:t>
      </w:r>
      <w:r>
        <w:rPr>
          <w:rFonts w:hint="eastAsia"/>
          <w:color w:val="auto"/>
          <w:sz w:val="24"/>
          <w:highlight w:val="none"/>
          <w:lang w:val="en-US" w:eastAsia="zh-CN"/>
        </w:rPr>
        <w:t>12</w:t>
      </w:r>
    </w:p>
    <w:p w14:paraId="3EDDBFF2">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eastAsia="zh-CN"/>
        </w:rPr>
        <w:t>十</w:t>
      </w:r>
      <w:r>
        <w:rPr>
          <w:rFonts w:hint="eastAsia" w:ascii="Times New Roman" w:hAnsi="Times New Roman" w:eastAsia="仿宋_GB2312" w:cs="仿宋_GB2312"/>
          <w:color w:val="auto"/>
          <w:sz w:val="32"/>
          <w:szCs w:val="32"/>
          <w:highlight w:val="none"/>
        </w:rPr>
        <w:t>、其他重要事项的情况说明</w:t>
      </w:r>
      <w:r>
        <w:rPr>
          <w:rFonts w:hint="eastAsia"/>
          <w:color w:val="auto"/>
          <w:sz w:val="24"/>
          <w:highlight w:val="none"/>
          <w:lang w:eastAsia="zh-CN"/>
        </w:rPr>
        <w:t>……………………………………</w:t>
      </w:r>
      <w:r>
        <w:rPr>
          <w:rFonts w:hint="eastAsia"/>
          <w:color w:val="auto"/>
          <w:sz w:val="24"/>
          <w:highlight w:val="none"/>
          <w:lang w:val="en-US" w:eastAsia="zh-CN"/>
        </w:rPr>
        <w:t>12</w:t>
      </w:r>
    </w:p>
    <w:p w14:paraId="5BF01D53">
      <w:pPr>
        <w:pStyle w:val="12"/>
        <w:keepNext w:val="0"/>
        <w:keepLines w:val="0"/>
        <w:pageBreakBefore w:val="0"/>
        <w:kinsoku/>
        <w:wordWrap/>
        <w:overflowPunct/>
        <w:topLinePunct w:val="0"/>
        <w:autoSpaceDE/>
        <w:autoSpaceDN/>
        <w:bidi w:val="0"/>
        <w:adjustRightInd w:val="0"/>
        <w:snapToGrid w:val="0"/>
        <w:spacing w:before="0" w:line="560" w:lineRule="exact"/>
        <w:jc w:val="distribute"/>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第三部分 名词解释</w:t>
      </w:r>
      <w:r>
        <w:rPr>
          <w:rFonts w:hint="eastAsia"/>
          <w:color w:val="auto"/>
          <w:sz w:val="24"/>
          <w:highlight w:val="none"/>
          <w:lang w:eastAsia="zh-CN"/>
        </w:rPr>
        <w:t>…………………………………………………………</w:t>
      </w:r>
      <w:r>
        <w:rPr>
          <w:rFonts w:hint="eastAsia"/>
          <w:color w:val="auto"/>
          <w:sz w:val="24"/>
          <w:highlight w:val="none"/>
          <w:lang w:val="en-US" w:eastAsia="zh-CN"/>
        </w:rPr>
        <w:t>14</w:t>
      </w:r>
    </w:p>
    <w:p w14:paraId="37CE2F59">
      <w:pPr>
        <w:pStyle w:val="12"/>
        <w:keepNext w:val="0"/>
        <w:keepLines w:val="0"/>
        <w:pageBreakBefore w:val="0"/>
        <w:kinsoku/>
        <w:wordWrap/>
        <w:overflowPunct/>
        <w:topLinePunct w:val="0"/>
        <w:autoSpaceDE/>
        <w:autoSpaceDN/>
        <w:bidi w:val="0"/>
        <w:adjustRightInd w:val="0"/>
        <w:snapToGrid w:val="0"/>
        <w:spacing w:before="0" w:line="560" w:lineRule="exact"/>
        <w:jc w:val="distribute"/>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第四部分 附件</w:t>
      </w:r>
      <w:r>
        <w:rPr>
          <w:rFonts w:hint="eastAsia"/>
          <w:color w:val="auto"/>
          <w:sz w:val="24"/>
          <w:highlight w:val="none"/>
          <w:lang w:eastAsia="zh-CN"/>
        </w:rPr>
        <w:t>………………………………………………………………</w:t>
      </w:r>
      <w:r>
        <w:rPr>
          <w:rFonts w:hint="eastAsia"/>
          <w:color w:val="auto"/>
          <w:sz w:val="24"/>
          <w:highlight w:val="none"/>
          <w:lang w:val="en-US" w:eastAsia="zh-CN"/>
        </w:rPr>
        <w:t>17</w:t>
      </w:r>
    </w:p>
    <w:p w14:paraId="1A9A2FB3">
      <w:pPr>
        <w:pStyle w:val="12"/>
        <w:keepNext w:val="0"/>
        <w:keepLines w:val="0"/>
        <w:pageBreakBefore w:val="0"/>
        <w:kinsoku/>
        <w:wordWrap/>
        <w:overflowPunct/>
        <w:topLinePunct w:val="0"/>
        <w:autoSpaceDE/>
        <w:autoSpaceDN/>
        <w:bidi w:val="0"/>
        <w:adjustRightInd w:val="0"/>
        <w:snapToGrid w:val="0"/>
        <w:spacing w:before="0" w:line="560" w:lineRule="exact"/>
        <w:jc w:val="distribute"/>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第五部分 附表</w:t>
      </w:r>
      <w:r>
        <w:rPr>
          <w:rFonts w:hint="eastAsia"/>
          <w:color w:val="auto"/>
          <w:sz w:val="24"/>
          <w:highlight w:val="none"/>
          <w:lang w:eastAsia="zh-CN"/>
        </w:rPr>
        <w:t>………………………………………………………………</w:t>
      </w:r>
      <w:r>
        <w:rPr>
          <w:rFonts w:hint="eastAsia"/>
          <w:color w:val="auto"/>
          <w:sz w:val="24"/>
          <w:highlight w:val="none"/>
          <w:lang w:val="en-US" w:eastAsia="zh-CN"/>
        </w:rPr>
        <w:t>22</w:t>
      </w:r>
    </w:p>
    <w:p w14:paraId="73554BFE">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一、收入支出决算总表</w:t>
      </w:r>
      <w:r>
        <w:rPr>
          <w:rFonts w:hint="eastAsia"/>
          <w:color w:val="auto"/>
          <w:sz w:val="24"/>
          <w:highlight w:val="none"/>
          <w:lang w:eastAsia="zh-CN"/>
        </w:rPr>
        <w:t>……………………………………………</w:t>
      </w:r>
      <w:r>
        <w:rPr>
          <w:rFonts w:hint="eastAsia"/>
          <w:color w:val="auto"/>
          <w:sz w:val="24"/>
          <w:highlight w:val="none"/>
          <w:lang w:val="en-US" w:eastAsia="zh-CN"/>
        </w:rPr>
        <w:t>22</w:t>
      </w:r>
    </w:p>
    <w:p w14:paraId="03E4504C">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二、收入决算表</w:t>
      </w:r>
      <w:r>
        <w:rPr>
          <w:rFonts w:hint="eastAsia"/>
          <w:color w:val="auto"/>
          <w:sz w:val="24"/>
          <w:highlight w:val="none"/>
          <w:lang w:eastAsia="zh-CN"/>
        </w:rPr>
        <w:t>…………………………………………………………</w:t>
      </w:r>
      <w:r>
        <w:rPr>
          <w:rFonts w:hint="eastAsia"/>
          <w:color w:val="auto"/>
          <w:sz w:val="24"/>
          <w:highlight w:val="none"/>
          <w:lang w:val="en-US" w:eastAsia="zh-CN"/>
        </w:rPr>
        <w:t>22</w:t>
      </w:r>
    </w:p>
    <w:p w14:paraId="4F22F98F">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三、支出决算表</w:t>
      </w:r>
      <w:r>
        <w:rPr>
          <w:rFonts w:hint="eastAsia"/>
          <w:color w:val="auto"/>
          <w:sz w:val="24"/>
          <w:highlight w:val="none"/>
          <w:lang w:eastAsia="zh-CN"/>
        </w:rPr>
        <w:t>…………………………………………………………</w:t>
      </w:r>
      <w:r>
        <w:rPr>
          <w:rFonts w:hint="eastAsia"/>
          <w:color w:val="auto"/>
          <w:sz w:val="24"/>
          <w:highlight w:val="none"/>
          <w:lang w:val="en-US" w:eastAsia="zh-CN"/>
        </w:rPr>
        <w:t>22</w:t>
      </w:r>
    </w:p>
    <w:p w14:paraId="3DD22820">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四、财政拨款收入支出决算总表</w:t>
      </w:r>
      <w:r>
        <w:rPr>
          <w:rFonts w:hint="eastAsia"/>
          <w:color w:val="auto"/>
          <w:sz w:val="24"/>
          <w:highlight w:val="none"/>
          <w:lang w:eastAsia="zh-CN"/>
        </w:rPr>
        <w:t>………………………………</w:t>
      </w:r>
      <w:r>
        <w:rPr>
          <w:rFonts w:hint="eastAsia"/>
          <w:color w:val="auto"/>
          <w:sz w:val="24"/>
          <w:highlight w:val="none"/>
          <w:lang w:val="en-US" w:eastAsia="zh-CN"/>
        </w:rPr>
        <w:t>22</w:t>
      </w:r>
    </w:p>
    <w:p w14:paraId="5ECB72ED">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五、财政拨款支出决算明细表</w:t>
      </w:r>
      <w:r>
        <w:rPr>
          <w:rFonts w:hint="eastAsia"/>
          <w:color w:val="auto"/>
          <w:sz w:val="24"/>
          <w:highlight w:val="none"/>
          <w:lang w:eastAsia="zh-CN"/>
        </w:rPr>
        <w:t>……………………………………</w:t>
      </w:r>
      <w:r>
        <w:rPr>
          <w:rFonts w:hint="eastAsia"/>
          <w:color w:val="auto"/>
          <w:sz w:val="24"/>
          <w:highlight w:val="none"/>
          <w:lang w:val="en-US" w:eastAsia="zh-CN"/>
        </w:rPr>
        <w:t>22</w:t>
      </w:r>
    </w:p>
    <w:p w14:paraId="17729DC9">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六、一般公共预算财政拨款支出决算表</w:t>
      </w:r>
      <w:r>
        <w:rPr>
          <w:rFonts w:hint="eastAsia"/>
          <w:color w:val="auto"/>
          <w:sz w:val="24"/>
          <w:highlight w:val="none"/>
          <w:lang w:eastAsia="zh-CN"/>
        </w:rPr>
        <w:t>……………………</w:t>
      </w:r>
      <w:r>
        <w:rPr>
          <w:rFonts w:hint="eastAsia"/>
          <w:color w:val="auto"/>
          <w:sz w:val="24"/>
          <w:highlight w:val="none"/>
          <w:lang w:val="en-US" w:eastAsia="zh-CN"/>
        </w:rPr>
        <w:t>22</w:t>
      </w:r>
    </w:p>
    <w:p w14:paraId="0DE08CD6">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七、一般公共预算财政拨款支出决算明细表</w:t>
      </w:r>
      <w:r>
        <w:rPr>
          <w:rFonts w:hint="eastAsia"/>
          <w:color w:val="auto"/>
          <w:sz w:val="24"/>
          <w:highlight w:val="none"/>
          <w:lang w:eastAsia="zh-CN"/>
        </w:rPr>
        <w:t>………………</w:t>
      </w:r>
      <w:r>
        <w:rPr>
          <w:rFonts w:hint="eastAsia"/>
          <w:color w:val="auto"/>
          <w:sz w:val="24"/>
          <w:highlight w:val="none"/>
          <w:lang w:val="en-US" w:eastAsia="zh-CN"/>
        </w:rPr>
        <w:t>22</w:t>
      </w:r>
    </w:p>
    <w:p w14:paraId="7994B805">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八、一般公共预算财政拨款基本支出决算</w:t>
      </w:r>
      <w:r>
        <w:rPr>
          <w:rFonts w:hint="eastAsia" w:ascii="Times New Roman" w:hAnsi="Times New Roman" w:eastAsia="仿宋_GB2312" w:cs="仿宋_GB2312"/>
          <w:color w:val="auto"/>
          <w:sz w:val="32"/>
          <w:szCs w:val="32"/>
          <w:highlight w:val="none"/>
          <w:lang w:eastAsia="zh-CN"/>
        </w:rPr>
        <w:t>明细</w:t>
      </w:r>
      <w:r>
        <w:rPr>
          <w:rFonts w:hint="eastAsia" w:ascii="Times New Roman" w:hAnsi="Times New Roman" w:eastAsia="仿宋_GB2312" w:cs="仿宋_GB2312"/>
          <w:color w:val="auto"/>
          <w:sz w:val="32"/>
          <w:szCs w:val="32"/>
          <w:highlight w:val="none"/>
        </w:rPr>
        <w:t>表</w:t>
      </w:r>
      <w:r>
        <w:rPr>
          <w:rFonts w:hint="eastAsia"/>
          <w:color w:val="auto"/>
          <w:sz w:val="24"/>
          <w:highlight w:val="none"/>
          <w:lang w:eastAsia="zh-CN"/>
        </w:rPr>
        <w:t>………</w:t>
      </w:r>
      <w:r>
        <w:rPr>
          <w:rFonts w:hint="eastAsia"/>
          <w:color w:val="auto"/>
          <w:sz w:val="24"/>
          <w:highlight w:val="none"/>
          <w:lang w:val="en-US" w:eastAsia="zh-CN"/>
        </w:rPr>
        <w:t>22</w:t>
      </w:r>
    </w:p>
    <w:p w14:paraId="4A601791">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九、一般公共预算财政拨款项目支出决算表</w:t>
      </w:r>
      <w:r>
        <w:rPr>
          <w:rFonts w:hint="eastAsia"/>
          <w:color w:val="auto"/>
          <w:sz w:val="24"/>
          <w:highlight w:val="none"/>
          <w:lang w:eastAsia="zh-CN"/>
        </w:rPr>
        <w:t>………………</w:t>
      </w:r>
      <w:r>
        <w:rPr>
          <w:rFonts w:hint="eastAsia"/>
          <w:color w:val="auto"/>
          <w:sz w:val="24"/>
          <w:highlight w:val="none"/>
          <w:lang w:val="en-US" w:eastAsia="zh-CN"/>
        </w:rPr>
        <w:t>22</w:t>
      </w:r>
    </w:p>
    <w:p w14:paraId="2924A94C">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十、政府性基金预算财政拨款收入支出决算表</w:t>
      </w:r>
      <w:r>
        <w:rPr>
          <w:rFonts w:hint="eastAsia"/>
          <w:color w:val="auto"/>
          <w:sz w:val="24"/>
          <w:highlight w:val="none"/>
          <w:lang w:eastAsia="zh-CN"/>
        </w:rPr>
        <w:t>…………</w:t>
      </w:r>
      <w:r>
        <w:rPr>
          <w:rFonts w:hint="eastAsia"/>
          <w:color w:val="auto"/>
          <w:sz w:val="24"/>
          <w:highlight w:val="none"/>
          <w:lang w:val="en-US" w:eastAsia="zh-CN"/>
        </w:rPr>
        <w:t>22</w:t>
      </w:r>
    </w:p>
    <w:p w14:paraId="50183DD0">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十一、国有资本经营预算财政拨款收入支出决算表</w:t>
      </w:r>
      <w:r>
        <w:rPr>
          <w:rFonts w:hint="eastAsia"/>
          <w:color w:val="auto"/>
          <w:sz w:val="24"/>
          <w:highlight w:val="none"/>
          <w:lang w:eastAsia="zh-CN"/>
        </w:rPr>
        <w:t>……</w:t>
      </w:r>
      <w:r>
        <w:rPr>
          <w:rFonts w:hint="eastAsia"/>
          <w:color w:val="auto"/>
          <w:sz w:val="24"/>
          <w:highlight w:val="none"/>
          <w:lang w:val="en-US" w:eastAsia="zh-CN"/>
        </w:rPr>
        <w:t>22</w:t>
      </w:r>
    </w:p>
    <w:p w14:paraId="4CFE81F2">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十二、</w:t>
      </w:r>
      <w:r>
        <w:rPr>
          <w:rFonts w:hint="eastAsia" w:ascii="Times New Roman" w:hAnsi="Times New Roman" w:eastAsia="仿宋_GB2312" w:cs="仿宋_GB2312"/>
          <w:color w:val="auto"/>
          <w:sz w:val="32"/>
          <w:szCs w:val="32"/>
          <w:highlight w:val="none"/>
          <w:lang w:val="en-US" w:eastAsia="zh-CN"/>
        </w:rPr>
        <w:t>国有资本经营预算财政拨款支出决算表</w:t>
      </w:r>
      <w:r>
        <w:rPr>
          <w:rFonts w:hint="eastAsia"/>
          <w:color w:val="auto"/>
          <w:sz w:val="24"/>
          <w:highlight w:val="none"/>
          <w:lang w:eastAsia="zh-CN"/>
        </w:rPr>
        <w:t>…………</w:t>
      </w:r>
      <w:r>
        <w:rPr>
          <w:rFonts w:hint="eastAsia"/>
          <w:color w:val="auto"/>
          <w:sz w:val="24"/>
          <w:highlight w:val="none"/>
          <w:lang w:val="en-US" w:eastAsia="zh-CN"/>
        </w:rPr>
        <w:t>22</w:t>
      </w:r>
    </w:p>
    <w:p w14:paraId="3C4C077B">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十三、财政拨款“三公”经费支出决算表</w:t>
      </w:r>
      <w:r>
        <w:rPr>
          <w:rFonts w:hint="eastAsia"/>
          <w:color w:val="auto"/>
          <w:sz w:val="24"/>
          <w:highlight w:val="none"/>
          <w:lang w:eastAsia="zh-CN"/>
        </w:rPr>
        <w:t>…………………</w:t>
      </w:r>
      <w:r>
        <w:rPr>
          <w:rFonts w:hint="eastAsia"/>
          <w:color w:val="auto"/>
          <w:sz w:val="24"/>
          <w:highlight w:val="none"/>
          <w:lang w:val="en-US" w:eastAsia="zh-CN"/>
        </w:rPr>
        <w:t>22</w:t>
      </w:r>
    </w:p>
    <w:p w14:paraId="1752840D">
      <w:pPr>
        <w:keepNext w:val="0"/>
        <w:keepLines w:val="0"/>
        <w:pageBreakBefore w:val="0"/>
        <w:widowControl/>
        <w:kinsoku/>
        <w:wordWrap/>
        <w:overflowPunct/>
        <w:topLinePunct w:val="0"/>
        <w:autoSpaceDE/>
        <w:autoSpaceDN/>
        <w:bidi w:val="0"/>
        <w:spacing w:line="560" w:lineRule="exact"/>
        <w:jc w:val="left"/>
        <w:textAlignment w:val="auto"/>
        <w:rPr>
          <w:rFonts w:hint="eastAsia" w:ascii="Times New Roman" w:hAnsi="Times New Roman" w:eastAsia="仿宋_GB2312" w:cs="仿宋_GB2312"/>
          <w:bCs/>
          <w:color w:val="auto"/>
          <w:kern w:val="44"/>
          <w:sz w:val="32"/>
          <w:szCs w:val="32"/>
          <w:highlight w:val="none"/>
        </w:rPr>
      </w:pPr>
      <w:bookmarkStart w:id="12" w:name="_Toc15396599"/>
      <w:bookmarkStart w:id="13" w:name="_Toc15377196"/>
      <w:r>
        <w:rPr>
          <w:rFonts w:hint="eastAsia" w:ascii="Times New Roman" w:hAnsi="Times New Roman" w:eastAsia="仿宋_GB2312" w:cs="仿宋_GB2312"/>
          <w:b/>
          <w:color w:val="auto"/>
          <w:sz w:val="32"/>
          <w:szCs w:val="32"/>
          <w:highlight w:val="none"/>
        </w:rPr>
        <w:br w:type="page"/>
      </w:r>
    </w:p>
    <w:p w14:paraId="60072BA7">
      <w:pPr>
        <w:pStyle w:val="3"/>
        <w:jc w:val="center"/>
        <w:rPr>
          <w:rStyle w:val="28"/>
          <w:rFonts w:hint="eastAsia" w:ascii="Times New Roman" w:hAnsi="Times New Roman" w:eastAsia="方正小标宋简体" w:cs="方正小标宋简体"/>
          <w:b/>
          <w:bCs w:val="0"/>
          <w:color w:val="auto"/>
          <w:highlight w:val="none"/>
        </w:rPr>
      </w:pPr>
      <w:r>
        <w:rPr>
          <w:rFonts w:hint="eastAsia" w:ascii="Times New Roman" w:hAnsi="Times New Roman" w:eastAsia="方正小标宋简体" w:cs="方正小标宋简体"/>
          <w:b w:val="0"/>
          <w:color w:val="auto"/>
          <w:highlight w:val="none"/>
        </w:rPr>
        <w:t>第一部分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Style w:val="28"/>
          <w:rFonts w:hint="eastAsia" w:ascii="Times New Roman" w:hAnsi="Times New Roman" w:eastAsia="方正小标宋简体" w:cs="方正小标宋简体"/>
          <w:b w:val="0"/>
          <w:bCs w:val="0"/>
          <w:color w:val="auto"/>
          <w:highlight w:val="none"/>
        </w:rPr>
        <w:t>部门概况</w:t>
      </w:r>
      <w:bookmarkEnd w:id="12"/>
      <w:bookmarkEnd w:id="13"/>
    </w:p>
    <w:p w14:paraId="61144C3D">
      <w:pPr>
        <w:widowControl/>
        <w:jc w:val="left"/>
        <w:rPr>
          <w:rFonts w:ascii="Times New Roman" w:hAnsi="Times New Roman" w:eastAsia="黑体"/>
          <w:color w:val="auto"/>
          <w:sz w:val="32"/>
          <w:szCs w:val="32"/>
          <w:highlight w:val="none"/>
        </w:rPr>
      </w:pPr>
    </w:p>
    <w:p w14:paraId="2D8603C3">
      <w:pPr>
        <w:pStyle w:val="4"/>
        <w:rPr>
          <w:rFonts w:hint="eastAsia" w:ascii="Times New Roman" w:hAnsi="Times New Roman" w:eastAsia="黑体"/>
          <w:b w:val="0"/>
          <w:color w:val="auto"/>
          <w:highlight w:val="none"/>
          <w:lang w:eastAsia="zh-CN"/>
        </w:rPr>
      </w:pPr>
      <w:bookmarkStart w:id="14" w:name="_Toc15396600"/>
      <w:bookmarkStart w:id="15" w:name="_Toc15377197"/>
      <w:r>
        <w:rPr>
          <w:rFonts w:hint="eastAsia" w:ascii="Times New Roman" w:hAnsi="Times New Roman" w:eastAsia="黑体"/>
          <w:b w:val="0"/>
          <w:color w:val="auto"/>
          <w:highlight w:val="none"/>
        </w:rPr>
        <w:t>一、</w:t>
      </w:r>
      <w:bookmarkEnd w:id="14"/>
      <w:bookmarkEnd w:id="15"/>
      <w:r>
        <w:rPr>
          <w:rFonts w:hint="eastAsia" w:ascii="Times New Roman" w:hAnsi="Times New Roman" w:eastAsia="黑体"/>
          <w:b w:val="0"/>
          <w:color w:val="auto"/>
          <w:highlight w:val="none"/>
          <w:lang w:eastAsia="zh-CN"/>
        </w:rPr>
        <w:t>部门职责</w:t>
      </w:r>
    </w:p>
    <w:p w14:paraId="79777E32">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根据《攀枝花市人民政府办公室　关于印发攀枝花市人民政府驻北京联络处主要职责内设机构和人员编制规定的通知》（攀办发﹝2011﹞46号），攀枝花市人民政府驻北京联络处主要职责为：</w:t>
      </w:r>
    </w:p>
    <w:p w14:paraId="1B2C3BD1">
      <w:pPr>
        <w:ind w:firstLine="640" w:firstLineChars="200"/>
        <w:rPr>
          <w:rFonts w:hint="eastAsia"/>
          <w:lang w:eastAsia="zh-CN"/>
        </w:rPr>
      </w:pPr>
      <w:r>
        <w:rPr>
          <w:rFonts w:hint="eastAsia" w:ascii="仿宋_GB2312" w:hAnsi="仿宋_GB2312" w:eastAsia="仿宋_GB2312" w:cs="仿宋_GB2312"/>
          <w:color w:val="auto"/>
          <w:sz w:val="32"/>
          <w:szCs w:val="32"/>
          <w:highlight w:val="none"/>
        </w:rPr>
        <w:t>1.负责与中央国家机关和相关驻京机构的联络。2.开展宣传、联络、协调、信息收集与传递工作，为市委、市政府决策提供参考。3.开展招商引资和区域间经济、技术、人才、文化交流与合作。4.承担有关接待工作，为市级</w:t>
      </w:r>
      <w:r>
        <w:rPr>
          <w:rFonts w:hint="eastAsia" w:ascii="仿宋_GB2312" w:hAnsi="仿宋_GB2312" w:eastAsia="仿宋_GB2312" w:cs="仿宋_GB2312"/>
          <w:color w:val="auto"/>
          <w:sz w:val="32"/>
          <w:szCs w:val="32"/>
          <w:highlight w:val="none"/>
          <w:lang w:eastAsia="zh-CN"/>
        </w:rPr>
        <w:t>单位</w:t>
      </w:r>
      <w:r>
        <w:rPr>
          <w:rFonts w:hint="eastAsia" w:ascii="仿宋_GB2312" w:hAnsi="仿宋_GB2312" w:eastAsia="仿宋_GB2312" w:cs="仿宋_GB2312"/>
          <w:color w:val="auto"/>
          <w:sz w:val="32"/>
          <w:szCs w:val="32"/>
          <w:highlight w:val="none"/>
        </w:rPr>
        <w:t>、县（区）、企事业单位以及基层组织、社会组织和人民群众在京活动提供服务。5.协助做好我市在京流动党员教育管理服务工作，配合做好维护首都稳定的有关工作。6.负责对联络处的国有资产进行监督管理。7.承办市委、市政府和主管</w:t>
      </w:r>
      <w:r>
        <w:rPr>
          <w:rFonts w:hint="eastAsia" w:ascii="仿宋_GB2312" w:hAnsi="仿宋_GB2312" w:eastAsia="仿宋_GB2312" w:cs="仿宋_GB2312"/>
          <w:color w:val="auto"/>
          <w:sz w:val="32"/>
          <w:szCs w:val="32"/>
          <w:highlight w:val="none"/>
          <w:lang w:eastAsia="zh-CN"/>
        </w:rPr>
        <w:t>单位</w:t>
      </w:r>
      <w:r>
        <w:rPr>
          <w:rFonts w:hint="eastAsia" w:ascii="仿宋_GB2312" w:hAnsi="仿宋_GB2312" w:eastAsia="仿宋_GB2312" w:cs="仿宋_GB2312"/>
          <w:color w:val="auto"/>
          <w:sz w:val="32"/>
          <w:szCs w:val="32"/>
          <w:highlight w:val="none"/>
        </w:rPr>
        <w:t>交办的其它工作。</w:t>
      </w:r>
    </w:p>
    <w:p w14:paraId="69CF8412">
      <w:pPr>
        <w:pStyle w:val="4"/>
        <w:rPr>
          <w:rStyle w:val="29"/>
          <w:rFonts w:ascii="Times New Roman" w:hAnsi="Times New Roman"/>
          <w:b w:val="0"/>
          <w:bCs w:val="0"/>
          <w:color w:val="auto"/>
          <w:highlight w:val="none"/>
        </w:rPr>
      </w:pPr>
      <w:bookmarkStart w:id="16" w:name="_Toc15377200"/>
      <w:bookmarkStart w:id="17" w:name="_Toc15396601"/>
      <w:r>
        <w:rPr>
          <w:rFonts w:hint="eastAsia" w:ascii="Times New Roman" w:hAnsi="Times New Roman" w:eastAsia="黑体"/>
          <w:b w:val="0"/>
          <w:color w:val="auto"/>
          <w:highlight w:val="none"/>
        </w:rPr>
        <w:t>二、机</w:t>
      </w:r>
      <w:r>
        <w:rPr>
          <w:rStyle w:val="29"/>
          <w:rFonts w:hint="eastAsia" w:ascii="Times New Roman" w:hAnsi="Times New Roman" w:eastAsia="黑体"/>
          <w:b w:val="0"/>
          <w:bCs w:val="0"/>
          <w:color w:val="auto"/>
          <w:highlight w:val="none"/>
        </w:rPr>
        <w:t>构设置</w:t>
      </w:r>
      <w:bookmarkEnd w:id="16"/>
      <w:bookmarkEnd w:id="17"/>
    </w:p>
    <w:p w14:paraId="5EAF30AB">
      <w:pPr>
        <w:ind w:firstLine="800" w:firstLineChars="250"/>
        <w:rPr>
          <w:rFonts w:hint="eastAsia" w:ascii="Times New Roman" w:hAnsi="Times New Roman"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四川省攀枝花市人民政府驻北京联络处</w:t>
      </w:r>
      <w:r>
        <w:rPr>
          <w:rFonts w:hint="eastAsia" w:ascii="Times New Roman" w:hAnsi="Times New Roman" w:eastAsia="仿宋_GB2312" w:cs="仿宋_GB2312"/>
          <w:color w:val="auto"/>
          <w:sz w:val="32"/>
          <w:szCs w:val="32"/>
          <w:highlight w:val="none"/>
        </w:rPr>
        <w:t>攀枝花市人民政府驻北京联络处下属二级单位1个，其中全额拨款事业单位1个，财务不独立。</w:t>
      </w:r>
    </w:p>
    <w:p w14:paraId="52C6BDDD">
      <w:pPr>
        <w:widowControl/>
        <w:jc w:val="left"/>
        <w:rPr>
          <w:rFonts w:ascii="Times New Roman" w:hAnsi="Times New Roman" w:eastAsia="仿宋"/>
          <w:color w:val="auto"/>
          <w:kern w:val="0"/>
          <w:sz w:val="32"/>
          <w:szCs w:val="32"/>
          <w:highlight w:val="none"/>
        </w:rPr>
      </w:pPr>
      <w:r>
        <w:rPr>
          <w:rFonts w:ascii="Times New Roman" w:hAnsi="Times New Roman" w:eastAsia="仿宋"/>
          <w:color w:val="auto"/>
          <w:sz w:val="32"/>
          <w:szCs w:val="32"/>
          <w:highlight w:val="none"/>
        </w:rPr>
        <w:br w:type="page"/>
      </w:r>
    </w:p>
    <w:p w14:paraId="311F2770">
      <w:pPr>
        <w:pStyle w:val="3"/>
        <w:jc w:val="center"/>
        <w:rPr>
          <w:rFonts w:hint="eastAsia" w:ascii="Times New Roman" w:hAnsi="Times New Roman" w:eastAsia="方正小标宋简体" w:cs="方正小标宋简体"/>
          <w:b w:val="0"/>
          <w:color w:val="auto"/>
          <w:highlight w:val="none"/>
        </w:rPr>
      </w:pPr>
      <w:bookmarkStart w:id="18" w:name="_Toc15377204"/>
      <w:bookmarkStart w:id="19" w:name="_Toc15396602"/>
      <w:r>
        <w:rPr>
          <w:rFonts w:hint="eastAsia" w:ascii="Times New Roman" w:hAnsi="Times New Roman" w:eastAsia="方正小标宋简体" w:cs="方正小标宋简体"/>
          <w:b w:val="0"/>
          <w:color w:val="auto"/>
          <w:highlight w:val="none"/>
        </w:rPr>
        <w:t>第二部分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Fonts w:hint="eastAsia" w:ascii="Times New Roman" w:hAnsi="Times New Roman" w:eastAsia="方正小标宋简体" w:cs="方正小标宋简体"/>
          <w:b w:val="0"/>
          <w:color w:val="auto"/>
          <w:highlight w:val="none"/>
          <w:lang w:val="en-US" w:eastAsia="zh-CN"/>
        </w:rPr>
        <w:t>2024年度</w:t>
      </w:r>
      <w:r>
        <w:rPr>
          <w:rFonts w:hint="eastAsia" w:ascii="Times New Roman" w:hAnsi="Times New Roman" w:eastAsia="方正小标宋简体" w:cs="方正小标宋简体"/>
          <w:b w:val="0"/>
          <w:color w:val="auto"/>
          <w:highlight w:val="none"/>
        </w:rPr>
        <w:t>部门决算情况说明</w:t>
      </w:r>
      <w:bookmarkEnd w:id="18"/>
      <w:bookmarkEnd w:id="19"/>
    </w:p>
    <w:p w14:paraId="3602A036">
      <w:pPr>
        <w:rPr>
          <w:rFonts w:ascii="Times New Roman" w:hAnsi="Times New Roman"/>
          <w:color w:val="auto"/>
          <w:highlight w:val="none"/>
        </w:rPr>
      </w:pPr>
    </w:p>
    <w:p w14:paraId="007D938C">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29"/>
          <w:rFonts w:hint="eastAsia" w:ascii="Times New Roman" w:hAnsi="Times New Roman" w:eastAsia="黑体"/>
          <w:b w:val="0"/>
          <w:color w:val="auto"/>
          <w:highlight w:val="none"/>
        </w:rPr>
      </w:pPr>
      <w:bookmarkStart w:id="20" w:name="_Toc15396603"/>
      <w:bookmarkStart w:id="21" w:name="_Toc15377205"/>
      <w:r>
        <w:rPr>
          <w:rFonts w:hint="eastAsia" w:ascii="Times New Roman" w:hAnsi="Times New Roman" w:eastAsia="黑体"/>
          <w:color w:val="auto"/>
          <w:sz w:val="32"/>
          <w:szCs w:val="32"/>
          <w:highlight w:val="none"/>
          <w:lang w:eastAsia="zh-CN"/>
        </w:rPr>
        <w:t>一、</w:t>
      </w:r>
      <w:r>
        <w:rPr>
          <w:rFonts w:hint="eastAsia" w:ascii="Times New Roman" w:hAnsi="Times New Roman" w:eastAsia="黑体"/>
          <w:color w:val="auto"/>
          <w:sz w:val="32"/>
          <w:szCs w:val="32"/>
          <w:highlight w:val="none"/>
        </w:rPr>
        <w:t>收</w:t>
      </w:r>
      <w:r>
        <w:rPr>
          <w:rStyle w:val="29"/>
          <w:rFonts w:hint="eastAsia" w:ascii="Times New Roman" w:hAnsi="Times New Roman" w:eastAsia="黑体"/>
          <w:b w:val="0"/>
          <w:color w:val="auto"/>
          <w:highlight w:val="none"/>
        </w:rPr>
        <w:t>入支出决算总体情况说明</w:t>
      </w:r>
      <w:bookmarkEnd w:id="20"/>
      <w:bookmarkEnd w:id="21"/>
    </w:p>
    <w:p w14:paraId="6EBEB23B">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Times New Roman" w:hAnsi="Times New Roman" w:eastAsia="仿宋_GB2312" w:cs="仿宋_GB2312"/>
          <w:color w:val="auto"/>
          <w:sz w:val="32"/>
          <w:szCs w:val="32"/>
          <w:highlight w:val="none"/>
          <w:lang w:eastAsia="zh-CN"/>
        </w:rPr>
      </w:pPr>
      <w:bookmarkStart w:id="22" w:name="_Toc15396604"/>
      <w:bookmarkStart w:id="23" w:name="_Toc15377206"/>
      <w:r>
        <w:rPr>
          <w:rFonts w:hint="eastAsia" w:ascii="Times New Roman" w:hAnsi="Times New Roman" w:eastAsia="仿宋_GB2312" w:cs="仿宋_GB2312"/>
          <w:color w:val="auto"/>
          <w:sz w:val="32"/>
          <w:szCs w:val="32"/>
          <w:highlight w:val="none"/>
          <w:lang w:eastAsia="zh-CN"/>
        </w:rPr>
        <w:t>2024年度收入、支出总计均为237.41万元。与202</w:t>
      </w:r>
      <w:r>
        <w:rPr>
          <w:rFonts w:hint="eastAsia" w:ascii="Times New Roman" w:hAnsi="Times New Roman" w:eastAsia="仿宋_GB2312" w:cs="仿宋_GB2312"/>
          <w:color w:val="auto"/>
          <w:sz w:val="32"/>
          <w:szCs w:val="32"/>
          <w:highlight w:val="none"/>
          <w:lang w:val="en-US" w:eastAsia="zh-CN"/>
        </w:rPr>
        <w:t>3</w:t>
      </w:r>
      <w:r>
        <w:rPr>
          <w:rFonts w:hint="eastAsia" w:ascii="Times New Roman" w:hAnsi="Times New Roman" w:eastAsia="仿宋_GB2312" w:cs="仿宋_GB2312"/>
          <w:color w:val="auto"/>
          <w:sz w:val="32"/>
          <w:szCs w:val="32"/>
          <w:highlight w:val="none"/>
          <w:lang w:eastAsia="zh-CN"/>
        </w:rPr>
        <w:t>年度相比，收入、支出总计各减少</w:t>
      </w:r>
      <w:r>
        <w:rPr>
          <w:rFonts w:hint="eastAsia" w:ascii="Times New Roman" w:hAnsi="Times New Roman" w:eastAsia="仿宋_GB2312" w:cs="仿宋_GB2312"/>
          <w:color w:val="auto"/>
          <w:sz w:val="32"/>
          <w:szCs w:val="32"/>
          <w:highlight w:val="none"/>
          <w:lang w:val="en-US" w:eastAsia="zh-CN"/>
        </w:rPr>
        <w:t>31.88</w:t>
      </w:r>
      <w:r>
        <w:rPr>
          <w:rFonts w:hint="eastAsia" w:ascii="Times New Roman" w:hAnsi="Times New Roman" w:eastAsia="仿宋_GB2312" w:cs="仿宋_GB2312"/>
          <w:color w:val="auto"/>
          <w:sz w:val="32"/>
          <w:szCs w:val="32"/>
          <w:highlight w:val="none"/>
          <w:lang w:eastAsia="zh-CN"/>
        </w:rPr>
        <w:t>万元，下降</w:t>
      </w:r>
      <w:r>
        <w:rPr>
          <w:rFonts w:hint="eastAsia" w:ascii="Times New Roman" w:hAnsi="Times New Roman" w:eastAsia="仿宋_GB2312" w:cs="仿宋_GB2312"/>
          <w:color w:val="auto"/>
          <w:sz w:val="32"/>
          <w:szCs w:val="32"/>
          <w:highlight w:val="none"/>
          <w:lang w:val="en-US" w:eastAsia="zh-CN"/>
        </w:rPr>
        <w:t>11.84</w:t>
      </w:r>
      <w:r>
        <w:rPr>
          <w:rFonts w:hint="eastAsia" w:ascii="Times New Roman" w:hAnsi="Times New Roman" w:eastAsia="仿宋_GB2312" w:cs="仿宋_GB2312"/>
          <w:color w:val="auto"/>
          <w:sz w:val="32"/>
          <w:szCs w:val="32"/>
          <w:highlight w:val="none"/>
          <w:lang w:eastAsia="zh-CN"/>
        </w:rPr>
        <w:t>%。主要变动原因是</w:t>
      </w:r>
      <w:r>
        <w:rPr>
          <w:rFonts w:hint="eastAsia" w:ascii="Times New Roman" w:hAnsi="Times New Roman" w:eastAsia="仿宋_GB2312" w:cs="仿宋_GB2312"/>
          <w:color w:val="auto"/>
          <w:sz w:val="32"/>
          <w:szCs w:val="32"/>
          <w:highlight w:val="none"/>
          <w:lang w:val="en-US" w:eastAsia="zh-CN"/>
        </w:rPr>
        <w:t>2024年</w:t>
      </w:r>
      <w:r>
        <w:rPr>
          <w:rFonts w:hint="eastAsia" w:ascii="Times New Roman" w:hAnsi="Times New Roman" w:eastAsia="仿宋_GB2312" w:cs="仿宋_GB2312"/>
          <w:color w:val="auto"/>
          <w:sz w:val="32"/>
          <w:szCs w:val="32"/>
          <w:highlight w:val="none"/>
          <w:lang w:eastAsia="zh-CN"/>
        </w:rPr>
        <w:t>有人员调出。</w:t>
      </w:r>
    </w:p>
    <w:p w14:paraId="0DC262A5">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20" w:firstLineChars="200"/>
        <w:textAlignment w:val="auto"/>
        <w:outlineLvl w:val="1"/>
        <w:rPr>
          <w:rFonts w:hint="eastAsia" w:ascii="Times New Roman" w:hAnsi="Times New Roman" w:eastAsia="黑体"/>
          <w:color w:val="auto"/>
          <w:sz w:val="32"/>
          <w:szCs w:val="32"/>
          <w:highlight w:val="none"/>
          <w:lang w:eastAsia="zh-CN"/>
        </w:rPr>
      </w:pPr>
      <w:r>
        <w:drawing>
          <wp:anchor distT="0" distB="0" distL="114300" distR="114300" simplePos="0" relativeHeight="251659264" behindDoc="0" locked="0" layoutInCell="1" allowOverlap="1">
            <wp:simplePos x="0" y="0"/>
            <wp:positionH relativeFrom="column">
              <wp:posOffset>100965</wp:posOffset>
            </wp:positionH>
            <wp:positionV relativeFrom="paragraph">
              <wp:posOffset>299720</wp:posOffset>
            </wp:positionV>
            <wp:extent cx="4827905" cy="2498725"/>
            <wp:effectExtent l="4445" t="4445" r="6350" b="11430"/>
            <wp:wrapTopAndBottom/>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hint="eastAsia" w:ascii="Times New Roman" w:hAnsi="Times New Roman" w:eastAsia="黑体"/>
          <w:color w:val="auto"/>
          <w:sz w:val="32"/>
          <w:szCs w:val="32"/>
          <w:highlight w:val="none"/>
          <w:lang w:eastAsia="zh-CN"/>
        </w:rPr>
        <w:t>二、收入决算情况说明</w:t>
      </w:r>
      <w:bookmarkEnd w:id="22"/>
      <w:bookmarkEnd w:id="23"/>
    </w:p>
    <w:p w14:paraId="6A42CD93">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b/>
          <w:bCs/>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2024年度本年收入合计</w:t>
      </w:r>
      <w:r>
        <w:rPr>
          <w:rFonts w:hint="eastAsia" w:ascii="仿宋_GB2312" w:hAnsi="仿宋_GB2312" w:eastAsia="仿宋_GB2312" w:cs="仿宋_GB2312"/>
          <w:sz w:val="32"/>
          <w:szCs w:val="32"/>
        </w:rPr>
        <w:t>237.41万元，其中：一般公共预算财政拨款收入237.41</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100</w:t>
      </w:r>
      <w:r>
        <w:rPr>
          <w:rFonts w:hint="eastAsia" w:ascii="仿宋_GB2312" w:hAnsi="仿宋_GB2312" w:eastAsia="仿宋_GB2312" w:cs="仿宋_GB2312"/>
          <w:color w:val="auto"/>
          <w:sz w:val="32"/>
          <w:szCs w:val="32"/>
          <w:highlight w:val="none"/>
          <w:lang w:eastAsia="zh-CN"/>
        </w:rPr>
        <w:t>。</w:t>
      </w:r>
    </w:p>
    <w:p w14:paraId="3A9664A6">
      <w:pPr>
        <w:ind w:firstLine="525" w:firstLineChars="250"/>
        <w:rPr>
          <w:rFonts w:hint="eastAsia" w:ascii="Times New Roman" w:hAnsi="Times New Roman" w:eastAsia="仿宋_GB2312" w:cs="仿宋_GB2312"/>
          <w:color w:val="auto"/>
          <w:sz w:val="32"/>
          <w:szCs w:val="32"/>
          <w:highlight w:val="none"/>
          <w:lang w:eastAsia="zh-CN"/>
        </w:rPr>
      </w:pPr>
      <w:r>
        <w:drawing>
          <wp:inline distT="0" distB="0" distL="114300" distR="114300">
            <wp:extent cx="4474210" cy="2108835"/>
            <wp:effectExtent l="4445" t="5080" r="17145" b="19685"/>
            <wp:docPr id="5" name="图表 4" descr="7b0a202020202263686172745265734964223a20223230343736383835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3295D37">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29"/>
          <w:rFonts w:hint="eastAsia" w:ascii="Times New Roman" w:hAnsi="Times New Roman" w:eastAsia="黑体"/>
          <w:b w:val="0"/>
          <w:color w:val="auto"/>
          <w:highlight w:val="none"/>
        </w:rPr>
      </w:pPr>
      <w:bookmarkStart w:id="24" w:name="_Toc15377207"/>
      <w:bookmarkStart w:id="25" w:name="_Toc15396605"/>
      <w:r>
        <w:rPr>
          <w:rFonts w:hint="eastAsia" w:ascii="Times New Roman" w:hAnsi="Times New Roman" w:eastAsia="黑体"/>
          <w:color w:val="auto"/>
          <w:sz w:val="32"/>
          <w:szCs w:val="32"/>
          <w:highlight w:val="none"/>
          <w:lang w:eastAsia="zh-CN"/>
        </w:rPr>
        <w:t>三、</w:t>
      </w:r>
      <w:r>
        <w:rPr>
          <w:rFonts w:hint="eastAsia" w:ascii="Times New Roman" w:hAnsi="Times New Roman" w:eastAsia="黑体"/>
          <w:color w:val="auto"/>
          <w:sz w:val="32"/>
          <w:szCs w:val="32"/>
          <w:highlight w:val="none"/>
        </w:rPr>
        <w:t>支</w:t>
      </w:r>
      <w:r>
        <w:rPr>
          <w:rStyle w:val="29"/>
          <w:rFonts w:hint="eastAsia" w:ascii="Times New Roman" w:hAnsi="Times New Roman" w:eastAsia="黑体"/>
          <w:b w:val="0"/>
          <w:color w:val="auto"/>
          <w:highlight w:val="none"/>
        </w:rPr>
        <w:t>出决算情况说明</w:t>
      </w:r>
      <w:bookmarkEnd w:id="24"/>
      <w:bookmarkEnd w:id="25"/>
    </w:p>
    <w:p w14:paraId="0880FB93">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2024年度本年支出合计</w:t>
      </w:r>
      <w:r>
        <w:rPr>
          <w:rFonts w:hint="eastAsia" w:ascii="仿宋_GB2312" w:hAnsi="仿宋_GB2312" w:eastAsia="仿宋_GB2312" w:cs="仿宋_GB2312"/>
          <w:sz w:val="32"/>
          <w:szCs w:val="32"/>
        </w:rPr>
        <w:t>237.41</w:t>
      </w:r>
      <w:r>
        <w:rPr>
          <w:rFonts w:hint="eastAsia" w:ascii="仿宋_GB2312" w:hAnsi="仿宋_GB2312" w:eastAsia="仿宋_GB2312" w:cs="仿宋_GB2312"/>
          <w:color w:val="auto"/>
          <w:sz w:val="32"/>
          <w:szCs w:val="32"/>
          <w:highlight w:val="none"/>
          <w:lang w:eastAsia="zh-CN"/>
        </w:rPr>
        <w:t>万元，其中：基本支出</w:t>
      </w:r>
      <w:r>
        <w:rPr>
          <w:rFonts w:hint="eastAsia" w:ascii="仿宋_GB2312" w:hAnsi="仿宋_GB2312" w:eastAsia="仿宋_GB2312" w:cs="仿宋_GB2312"/>
          <w:sz w:val="32"/>
          <w:szCs w:val="32"/>
        </w:rPr>
        <w:t>198.09</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83.43</w:t>
      </w:r>
      <w:r>
        <w:rPr>
          <w:rFonts w:hint="eastAsia" w:ascii="仿宋_GB2312" w:hAnsi="仿宋_GB2312" w:eastAsia="仿宋_GB2312" w:cs="仿宋_GB2312"/>
          <w:color w:val="auto"/>
          <w:sz w:val="32"/>
          <w:szCs w:val="32"/>
          <w:highlight w:val="none"/>
          <w:lang w:eastAsia="zh-CN"/>
        </w:rPr>
        <w:t>%；项目支出</w:t>
      </w:r>
      <w:r>
        <w:rPr>
          <w:rFonts w:hint="eastAsia" w:ascii="仿宋_GB2312" w:hAnsi="仿宋_GB2312" w:eastAsia="仿宋_GB2312" w:cs="仿宋_GB2312"/>
          <w:sz w:val="32"/>
          <w:szCs w:val="32"/>
        </w:rPr>
        <w:t>39.32</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16.56</w:t>
      </w:r>
      <w:r>
        <w:rPr>
          <w:rFonts w:hint="eastAsia" w:ascii="仿宋_GB2312" w:hAnsi="仿宋_GB2312" w:eastAsia="仿宋_GB2312" w:cs="仿宋_GB2312"/>
          <w:color w:val="auto"/>
          <w:sz w:val="32"/>
          <w:szCs w:val="32"/>
          <w:highlight w:val="none"/>
          <w:lang w:eastAsia="zh-CN"/>
        </w:rPr>
        <w:t>%。</w:t>
      </w:r>
    </w:p>
    <w:p w14:paraId="7CD28DC0">
      <w:pPr>
        <w:ind w:firstLine="525" w:firstLineChars="250"/>
        <w:rPr>
          <w:rFonts w:hint="eastAsia" w:ascii="Times New Roman" w:hAnsi="Times New Roman" w:eastAsia="仿宋_GB2312" w:cs="仿宋_GB2312"/>
          <w:color w:val="auto"/>
          <w:sz w:val="32"/>
          <w:szCs w:val="32"/>
          <w:highlight w:val="none"/>
          <w:lang w:eastAsia="zh-CN"/>
        </w:rPr>
      </w:pPr>
      <w:r>
        <w:drawing>
          <wp:inline distT="0" distB="0" distL="114300" distR="114300">
            <wp:extent cx="4820285" cy="2828925"/>
            <wp:effectExtent l="4445" t="5080" r="13970" b="444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8734E4B">
      <w:pPr>
        <w:ind w:firstLine="800" w:firstLineChars="250"/>
        <w:rPr>
          <w:rFonts w:hint="eastAsia" w:ascii="Times New Roman" w:hAnsi="Times New Roman" w:eastAsia="仿宋_GB2312" w:cs="仿宋_GB2312"/>
          <w:color w:val="auto"/>
          <w:sz w:val="32"/>
          <w:szCs w:val="32"/>
          <w:highlight w:val="none"/>
          <w:lang w:eastAsia="zh-CN"/>
        </w:rPr>
      </w:pPr>
    </w:p>
    <w:p w14:paraId="2A8F45C2">
      <w:pPr>
        <w:spacing w:line="600" w:lineRule="exact"/>
        <w:ind w:firstLine="640" w:firstLineChars="200"/>
        <w:outlineLvl w:val="1"/>
        <w:rPr>
          <w:rStyle w:val="29"/>
          <w:rFonts w:ascii="Times New Roman" w:hAnsi="Times New Roman" w:eastAsia="黑体"/>
          <w:b w:val="0"/>
          <w:color w:val="auto"/>
          <w:highlight w:val="none"/>
        </w:rPr>
      </w:pPr>
      <w:bookmarkStart w:id="26" w:name="_Toc15377208"/>
      <w:bookmarkStart w:id="27" w:name="_Toc15396606"/>
      <w:r>
        <w:rPr>
          <w:rFonts w:hint="eastAsia" w:ascii="Times New Roman" w:hAnsi="Times New Roman" w:eastAsia="黑体"/>
          <w:color w:val="auto"/>
          <w:sz w:val="32"/>
          <w:szCs w:val="32"/>
          <w:highlight w:val="none"/>
        </w:rPr>
        <w:t>四、财</w:t>
      </w:r>
      <w:r>
        <w:rPr>
          <w:rStyle w:val="29"/>
          <w:rFonts w:hint="eastAsia" w:ascii="Times New Roman" w:hAnsi="Times New Roman" w:eastAsia="黑体"/>
          <w:b w:val="0"/>
          <w:color w:val="auto"/>
          <w:highlight w:val="none"/>
        </w:rPr>
        <w:t>政拨款收入支出决算总体情况说明</w:t>
      </w:r>
      <w:bookmarkEnd w:id="26"/>
      <w:bookmarkEnd w:id="27"/>
    </w:p>
    <w:p w14:paraId="45FEA83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2024年度财政拨款收入、支出总计均为</w:t>
      </w:r>
      <w:r>
        <w:rPr>
          <w:rFonts w:hint="eastAsia" w:ascii="仿宋_GB2312" w:hAnsi="仿宋_GB2312" w:eastAsia="仿宋_GB2312" w:cs="仿宋_GB2312"/>
          <w:sz w:val="32"/>
          <w:szCs w:val="32"/>
        </w:rPr>
        <w:t>237.41</w:t>
      </w:r>
      <w:r>
        <w:rPr>
          <w:rFonts w:hint="eastAsia" w:ascii="Times New Roman" w:hAnsi="Times New Roman" w:eastAsia="仿宋_GB2312" w:cs="仿宋_GB2312"/>
          <w:color w:val="auto"/>
          <w:kern w:val="2"/>
          <w:sz w:val="32"/>
          <w:szCs w:val="32"/>
          <w:highlight w:val="none"/>
          <w:lang w:val="en-US" w:eastAsia="zh-CN" w:bidi="ar-SA"/>
        </w:rPr>
        <w:t>万元。与2023年度相比，财政拨款收入总计、支出总计各</w:t>
      </w:r>
      <w:r>
        <w:rPr>
          <w:rFonts w:hint="eastAsia" w:ascii="Times New Roman" w:hAnsi="Times New Roman" w:eastAsia="仿宋_GB2312" w:cs="仿宋_GB2312"/>
          <w:color w:val="auto"/>
          <w:sz w:val="32"/>
          <w:szCs w:val="32"/>
          <w:highlight w:val="none"/>
          <w:lang w:eastAsia="zh-CN"/>
        </w:rPr>
        <w:t>减少</w:t>
      </w:r>
      <w:r>
        <w:rPr>
          <w:rFonts w:hint="eastAsia" w:ascii="Times New Roman" w:hAnsi="Times New Roman" w:eastAsia="仿宋_GB2312" w:cs="仿宋_GB2312"/>
          <w:color w:val="auto"/>
          <w:sz w:val="32"/>
          <w:szCs w:val="32"/>
          <w:highlight w:val="none"/>
          <w:lang w:val="en-US" w:eastAsia="zh-CN"/>
        </w:rPr>
        <w:t>31.88</w:t>
      </w:r>
      <w:r>
        <w:rPr>
          <w:rFonts w:hint="eastAsia" w:ascii="Times New Roman" w:hAnsi="Times New Roman" w:eastAsia="仿宋_GB2312" w:cs="仿宋_GB2312"/>
          <w:color w:val="auto"/>
          <w:sz w:val="32"/>
          <w:szCs w:val="32"/>
          <w:highlight w:val="none"/>
          <w:lang w:eastAsia="zh-CN"/>
        </w:rPr>
        <w:t>万元，下降</w:t>
      </w:r>
      <w:r>
        <w:rPr>
          <w:rFonts w:hint="eastAsia" w:ascii="Times New Roman" w:hAnsi="Times New Roman" w:eastAsia="仿宋_GB2312" w:cs="仿宋_GB2312"/>
          <w:color w:val="auto"/>
          <w:sz w:val="32"/>
          <w:szCs w:val="32"/>
          <w:highlight w:val="none"/>
          <w:lang w:val="en-US" w:eastAsia="zh-CN"/>
        </w:rPr>
        <w:t>11.84</w:t>
      </w:r>
      <w:r>
        <w:rPr>
          <w:rFonts w:hint="eastAsia" w:ascii="Times New Roman" w:hAnsi="Times New Roman" w:eastAsia="仿宋_GB2312" w:cs="仿宋_GB2312"/>
          <w:color w:val="auto"/>
          <w:sz w:val="32"/>
          <w:szCs w:val="32"/>
          <w:highlight w:val="none"/>
          <w:lang w:eastAsia="zh-CN"/>
        </w:rPr>
        <w:t>%。主要变动原因是</w:t>
      </w:r>
      <w:r>
        <w:rPr>
          <w:rFonts w:hint="eastAsia" w:ascii="Times New Roman" w:hAnsi="Times New Roman" w:eastAsia="仿宋_GB2312" w:cs="仿宋_GB2312"/>
          <w:color w:val="auto"/>
          <w:sz w:val="32"/>
          <w:szCs w:val="32"/>
          <w:highlight w:val="none"/>
          <w:lang w:val="en-US" w:eastAsia="zh-CN"/>
        </w:rPr>
        <w:t>2024年</w:t>
      </w:r>
      <w:r>
        <w:rPr>
          <w:rFonts w:hint="eastAsia" w:ascii="Times New Roman" w:hAnsi="Times New Roman" w:eastAsia="仿宋_GB2312" w:cs="仿宋_GB2312"/>
          <w:color w:val="auto"/>
          <w:sz w:val="32"/>
          <w:szCs w:val="32"/>
          <w:highlight w:val="none"/>
          <w:lang w:eastAsia="zh-CN"/>
        </w:rPr>
        <w:t>有人员调出。</w:t>
      </w:r>
    </w:p>
    <w:p w14:paraId="5752C3D8">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drawing>
          <wp:anchor distT="0" distB="0" distL="114300" distR="114300" simplePos="0" relativeHeight="251660288" behindDoc="0" locked="0" layoutInCell="1" allowOverlap="1">
            <wp:simplePos x="0" y="0"/>
            <wp:positionH relativeFrom="column">
              <wp:posOffset>361950</wp:posOffset>
            </wp:positionH>
            <wp:positionV relativeFrom="paragraph">
              <wp:posOffset>111125</wp:posOffset>
            </wp:positionV>
            <wp:extent cx="4653915" cy="2270125"/>
            <wp:effectExtent l="4445" t="4445" r="8890" b="11430"/>
            <wp:wrapTopAndBottom/>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6B4B365B">
      <w:pPr>
        <w:spacing w:line="600" w:lineRule="exact"/>
        <w:ind w:firstLine="640" w:firstLineChars="200"/>
        <w:outlineLvl w:val="1"/>
        <w:rPr>
          <w:rStyle w:val="29"/>
          <w:rFonts w:ascii="Times New Roman" w:hAnsi="Times New Roman" w:eastAsia="黑体"/>
          <w:b w:val="0"/>
          <w:color w:val="auto"/>
          <w:highlight w:val="none"/>
        </w:rPr>
      </w:pPr>
      <w:bookmarkStart w:id="28" w:name="_Toc15396607"/>
      <w:bookmarkStart w:id="29" w:name="_Toc15377209"/>
      <w:r>
        <w:rPr>
          <w:rFonts w:hint="eastAsia" w:ascii="Times New Roman" w:hAnsi="Times New Roman" w:eastAsia="黑体"/>
          <w:color w:val="auto"/>
          <w:sz w:val="32"/>
          <w:szCs w:val="32"/>
          <w:highlight w:val="none"/>
        </w:rPr>
        <w:t>五、</w:t>
      </w:r>
      <w:r>
        <w:rPr>
          <w:rFonts w:hint="eastAsia" w:ascii="Times New Roman" w:hAnsi="Times New Roman" w:eastAsia="黑体"/>
          <w:b/>
          <w:color w:val="auto"/>
          <w:sz w:val="32"/>
          <w:szCs w:val="32"/>
          <w:highlight w:val="none"/>
        </w:rPr>
        <w:t>一</w:t>
      </w:r>
      <w:r>
        <w:rPr>
          <w:rStyle w:val="29"/>
          <w:rFonts w:hint="eastAsia" w:ascii="Times New Roman" w:hAnsi="Times New Roman" w:eastAsia="黑体"/>
          <w:b w:val="0"/>
          <w:color w:val="auto"/>
          <w:highlight w:val="none"/>
        </w:rPr>
        <w:t>般公共预算财政拨款支出决算情况说明</w:t>
      </w:r>
      <w:bookmarkEnd w:id="28"/>
      <w:bookmarkEnd w:id="29"/>
    </w:p>
    <w:p w14:paraId="4749CED6">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0" w:name="_Toc15377210"/>
      <w:r>
        <w:rPr>
          <w:rFonts w:hint="eastAsia" w:ascii="Times New Roman" w:hAnsi="Times New Roman" w:eastAsia="楷体_GB2312" w:cs="楷体_GB2312"/>
          <w:b/>
          <w:color w:val="auto"/>
          <w:sz w:val="32"/>
          <w:szCs w:val="32"/>
          <w:highlight w:val="none"/>
        </w:rPr>
        <w:t>（一）一般公共预算财政拨款支出决算总体情况</w:t>
      </w:r>
      <w:bookmarkEnd w:id="30"/>
    </w:p>
    <w:p w14:paraId="0BCCD39F">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Times New Roman" w:hAnsi="Times New Roman"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237.41</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100</w:t>
      </w:r>
      <w:r>
        <w:rPr>
          <w:rFonts w:hint="eastAsia" w:ascii="仿宋_GB2312" w:hAnsi="仿宋_GB2312" w:eastAsia="仿宋_GB2312" w:cs="仿宋_GB2312"/>
          <w:color w:val="auto"/>
          <w:kern w:val="2"/>
          <w:sz w:val="32"/>
          <w:szCs w:val="32"/>
          <w:highlight w:val="none"/>
          <w:lang w:val="en-US" w:eastAsia="zh-CN" w:bidi="ar-SA"/>
        </w:rPr>
        <w:t>%。与2023年度相比，一般公共预算财政拨款支出</w:t>
      </w:r>
      <w:r>
        <w:rPr>
          <w:rFonts w:hint="eastAsia" w:ascii="Times New Roman" w:hAnsi="Times New Roman" w:eastAsia="仿宋_GB2312" w:cs="仿宋_GB2312"/>
          <w:color w:val="auto"/>
          <w:sz w:val="32"/>
          <w:szCs w:val="32"/>
          <w:highlight w:val="none"/>
          <w:lang w:val="en-US" w:eastAsia="zh-CN"/>
        </w:rPr>
        <w:t>减少31.88万元，下降11.84%。主要变动原因是2024年有人员调出。</w:t>
      </w:r>
    </w:p>
    <w:p w14:paraId="72D02ABB">
      <w:pPr>
        <w:spacing w:line="600" w:lineRule="exact"/>
        <w:ind w:firstLine="640"/>
        <w:rPr>
          <w:rFonts w:hint="eastAsia" w:ascii="Times New Roman" w:hAnsi="Times New Roman" w:eastAsia="楷体_GB2312" w:cs="楷体_GB2312"/>
          <w:b/>
          <w:color w:val="auto"/>
          <w:sz w:val="32"/>
          <w:szCs w:val="32"/>
          <w:highlight w:val="none"/>
        </w:rPr>
      </w:pPr>
      <w:r>
        <w:drawing>
          <wp:anchor distT="0" distB="0" distL="114300" distR="114300" simplePos="0" relativeHeight="251661312" behindDoc="0" locked="0" layoutInCell="1" allowOverlap="1">
            <wp:simplePos x="0" y="0"/>
            <wp:positionH relativeFrom="column">
              <wp:posOffset>305435</wp:posOffset>
            </wp:positionH>
            <wp:positionV relativeFrom="paragraph">
              <wp:posOffset>151765</wp:posOffset>
            </wp:positionV>
            <wp:extent cx="4829810" cy="2828925"/>
            <wp:effectExtent l="4445" t="4445" r="23495" b="5080"/>
            <wp:wrapTopAndBottom/>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0234E989">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1" w:name="_Toc15377211"/>
      <w:r>
        <w:rPr>
          <w:rFonts w:hint="eastAsia" w:ascii="Times New Roman" w:hAnsi="Times New Roman" w:eastAsia="楷体_GB2312" w:cs="楷体_GB2312"/>
          <w:b/>
          <w:color w:val="auto"/>
          <w:sz w:val="32"/>
          <w:szCs w:val="32"/>
          <w:highlight w:val="none"/>
        </w:rPr>
        <w:t>（二）一般公共预算财政拨款支出决算结构情况</w:t>
      </w:r>
      <w:bookmarkEnd w:id="31"/>
    </w:p>
    <w:p w14:paraId="3F524454">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237.41</w:t>
      </w:r>
      <w:r>
        <w:rPr>
          <w:rFonts w:hint="eastAsia" w:ascii="仿宋_GB2312" w:hAnsi="仿宋_GB2312" w:eastAsia="仿宋_GB2312" w:cs="仿宋_GB2312"/>
          <w:color w:val="auto"/>
          <w:kern w:val="2"/>
          <w:sz w:val="32"/>
          <w:szCs w:val="32"/>
          <w:highlight w:val="none"/>
          <w:lang w:val="en-US" w:eastAsia="zh-CN" w:bidi="ar-SA"/>
        </w:rPr>
        <w:t>万元</w:t>
      </w:r>
      <w:r>
        <w:rPr>
          <w:rFonts w:hint="eastAsia" w:ascii="Times New Roman" w:hAnsi="Times New Roman" w:eastAsia="仿宋_GB2312" w:cs="仿宋_GB2312"/>
          <w:color w:val="auto"/>
          <w:kern w:val="2"/>
          <w:sz w:val="32"/>
          <w:szCs w:val="32"/>
          <w:highlight w:val="none"/>
          <w:lang w:val="en-US" w:eastAsia="zh-CN" w:bidi="ar-SA"/>
        </w:rPr>
        <w:t>，主要用于以下方面</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一般公共服务支出</w:t>
      </w:r>
      <w:r>
        <w:rPr>
          <w:rFonts w:hint="eastAsia" w:eastAsia="仿宋_GB2312" w:cs="仿宋_GB2312"/>
          <w:color w:val="auto"/>
          <w:kern w:val="2"/>
          <w:sz w:val="32"/>
          <w:szCs w:val="32"/>
          <w:highlight w:val="none"/>
          <w:lang w:val="en-US" w:eastAsia="zh-CN" w:bidi="ar-SA"/>
        </w:rPr>
        <w:t>196.15</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82.62</w:t>
      </w:r>
      <w:r>
        <w:rPr>
          <w:rFonts w:hint="eastAsia" w:ascii="Times New Roman" w:hAnsi="Times New Roman" w:eastAsia="仿宋_GB2312" w:cs="仿宋_GB2312"/>
          <w:color w:val="auto"/>
          <w:kern w:val="2"/>
          <w:sz w:val="32"/>
          <w:szCs w:val="32"/>
          <w:highlight w:val="none"/>
          <w:lang w:val="en-US" w:eastAsia="zh-CN" w:bidi="ar-SA"/>
        </w:rPr>
        <w:t>%；；社会保障和就业支出</w:t>
      </w:r>
      <w:r>
        <w:rPr>
          <w:rFonts w:hint="eastAsia" w:eastAsia="仿宋_GB2312" w:cs="仿宋_GB2312"/>
          <w:color w:val="auto"/>
          <w:kern w:val="2"/>
          <w:sz w:val="32"/>
          <w:szCs w:val="32"/>
          <w:highlight w:val="none"/>
          <w:lang w:val="en-US" w:eastAsia="zh-CN" w:bidi="ar-SA"/>
        </w:rPr>
        <w:t>21.04</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8.86</w:t>
      </w:r>
      <w:r>
        <w:rPr>
          <w:rFonts w:hint="eastAsia" w:ascii="Times New Roman" w:hAnsi="Times New Roman" w:eastAsia="仿宋_GB2312" w:cs="仿宋_GB2312"/>
          <w:color w:val="auto"/>
          <w:kern w:val="2"/>
          <w:sz w:val="32"/>
          <w:szCs w:val="32"/>
          <w:highlight w:val="none"/>
          <w:lang w:val="en-US" w:eastAsia="zh-CN" w:bidi="ar-SA"/>
        </w:rPr>
        <w:t>%；卫生健康支出</w:t>
      </w:r>
      <w:r>
        <w:rPr>
          <w:rFonts w:hint="eastAsia" w:eastAsia="仿宋_GB2312" w:cs="仿宋_GB2312"/>
          <w:color w:val="auto"/>
          <w:kern w:val="2"/>
          <w:sz w:val="32"/>
          <w:szCs w:val="32"/>
          <w:highlight w:val="none"/>
          <w:lang w:val="en-US" w:eastAsia="zh-CN" w:bidi="ar-SA"/>
        </w:rPr>
        <w:t>8.31</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3.5</w:t>
      </w:r>
      <w:r>
        <w:rPr>
          <w:rFonts w:hint="eastAsia" w:ascii="Times New Roman" w:hAnsi="Times New Roman" w:eastAsia="仿宋_GB2312" w:cs="仿宋_GB2312"/>
          <w:color w:val="auto"/>
          <w:kern w:val="2"/>
          <w:sz w:val="32"/>
          <w:szCs w:val="32"/>
          <w:highlight w:val="none"/>
          <w:lang w:val="en-US" w:eastAsia="zh-CN" w:bidi="ar-SA"/>
        </w:rPr>
        <w:t>%；住房保障支出</w:t>
      </w:r>
      <w:r>
        <w:rPr>
          <w:rFonts w:hint="eastAsia" w:eastAsia="仿宋_GB2312" w:cs="仿宋_GB2312"/>
          <w:color w:val="auto"/>
          <w:kern w:val="2"/>
          <w:sz w:val="32"/>
          <w:szCs w:val="32"/>
          <w:highlight w:val="none"/>
          <w:lang w:val="en-US" w:eastAsia="zh-CN" w:bidi="ar-SA"/>
        </w:rPr>
        <w:t>11.92</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5.02</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0F001ED3">
      <w:pPr>
        <w:pStyle w:val="2"/>
        <w:rPr>
          <w:rFonts w:hint="eastAsia"/>
          <w:lang w:val="en-US" w:eastAsia="zh-CN"/>
        </w:rPr>
      </w:pPr>
      <w:r>
        <w:drawing>
          <wp:inline distT="0" distB="0" distL="114300" distR="114300">
            <wp:extent cx="4824095" cy="2828925"/>
            <wp:effectExtent l="4445" t="5080" r="10160" b="4445"/>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8108BD7">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2" w:name="_Toc15377212"/>
      <w:r>
        <w:rPr>
          <w:rFonts w:hint="eastAsia" w:ascii="Times New Roman" w:hAnsi="Times New Roman" w:eastAsia="楷体_GB2312" w:cs="楷体_GB2312"/>
          <w:b/>
          <w:color w:val="auto"/>
          <w:sz w:val="32"/>
          <w:szCs w:val="32"/>
          <w:highlight w:val="none"/>
        </w:rPr>
        <w:t>（三）一般公共预算财政拨款支出决算具体情况</w:t>
      </w:r>
      <w:bookmarkEnd w:id="32"/>
    </w:p>
    <w:p w14:paraId="667CBC3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bookmarkStart w:id="33" w:name="_Toc15378460"/>
      <w:bookmarkStart w:id="34" w:name="_Toc15377213"/>
      <w:bookmarkStart w:id="35" w:name="_Toc15377444"/>
      <w:r>
        <w:rPr>
          <w:rFonts w:hint="eastAsia" w:ascii="Times New Roman" w:hAnsi="Times New Roman" w:eastAsia="仿宋_GB2312" w:cs="仿宋_GB2312"/>
          <w:color w:val="auto"/>
          <w:kern w:val="2"/>
          <w:sz w:val="32"/>
          <w:szCs w:val="32"/>
          <w:highlight w:val="none"/>
          <w:lang w:val="en-US" w:eastAsia="zh-CN" w:bidi="ar-SA"/>
        </w:rPr>
        <w:t>2024年度一般公共预算财政拨款支出决算数为237.41万元，完成预算100%。其中：</w:t>
      </w:r>
      <w:bookmarkEnd w:id="33"/>
      <w:bookmarkEnd w:id="34"/>
      <w:bookmarkEnd w:id="35"/>
    </w:p>
    <w:p w14:paraId="3A8FB50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1.一般公共服务（类）政府办公厅（室）及相关机构事务（款）行政运行（项）:支出决算为136.18万元，完成预算100%。</w:t>
      </w:r>
    </w:p>
    <w:p w14:paraId="1D06A078">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2.一般公共服务（类）政府办公厅（室）及相关机构事务（款）一般行政管理事务（项）: 支出决算为39.32万元，完成预算100%。</w:t>
      </w:r>
    </w:p>
    <w:p w14:paraId="7CCA4A1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3.一般公共服务（类）政府办公厅（室）及相关机构事务（款）事业运行（项）: 支出决算为21.04万元，完成预算100%。</w:t>
      </w:r>
    </w:p>
    <w:p w14:paraId="0E21D57B">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4.社会保障和就业（类）行政事业单位离退休（款）行政单位离退休（项）：支出决算为6.06万元，完成预算100%。</w:t>
      </w:r>
    </w:p>
    <w:p w14:paraId="34528DD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5.社会保障和就业（类）行政事业单位离退休（款）机关事业单位基本养老保险缴费支出（项）：支出决算为14.98万元，完成预算100%。</w:t>
      </w:r>
    </w:p>
    <w:p w14:paraId="36780F0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6.卫生健康支出（类）行政事业单位医疗（款）行政单位医疗（项）：支出决算为6.45万元，完成预算100%。</w:t>
      </w:r>
    </w:p>
    <w:p w14:paraId="709A486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7.卫生健康支出（类）行政事业单位医疗（款）事业单位医疗（项）：支出决算为1.19万元，完成预算100%。</w:t>
      </w:r>
    </w:p>
    <w:p w14:paraId="312D531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8.卫生健康支出（类）行政事业单位医疗（款）公务员医疗补助（项）：支出决算为0.55万元，完成预算100%。</w:t>
      </w:r>
    </w:p>
    <w:p w14:paraId="7504506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9.卫生健康支出（类）其他卫生健康支出（款）其他卫生健康支出（项）：支出决算为0.11万元，完成预算100%。</w:t>
      </w:r>
    </w:p>
    <w:p w14:paraId="7B11B6B9">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10.住房保障支出（类）住房改革支出（款）住房公积金（项）:支出决算为11.92万元，完成预算100%。</w:t>
      </w:r>
    </w:p>
    <w:p w14:paraId="1BAC2229">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0302C149">
      <w:pPr>
        <w:tabs>
          <w:tab w:val="right" w:pos="8306"/>
        </w:tabs>
        <w:spacing w:line="600" w:lineRule="exact"/>
        <w:ind w:firstLine="640"/>
        <w:outlineLvl w:val="1"/>
        <w:rPr>
          <w:rStyle w:val="29"/>
          <w:rFonts w:ascii="Times New Roman" w:hAnsi="Times New Roman"/>
          <w:color w:val="auto"/>
          <w:highlight w:val="none"/>
        </w:rPr>
      </w:pPr>
      <w:bookmarkStart w:id="36" w:name="_Toc15396608"/>
      <w:bookmarkStart w:id="37" w:name="_Toc15377214"/>
      <w:r>
        <w:rPr>
          <w:rFonts w:hint="eastAsia" w:ascii="Times New Roman" w:hAnsi="Times New Roman" w:eastAsia="黑体"/>
          <w:color w:val="auto"/>
          <w:sz w:val="32"/>
          <w:szCs w:val="32"/>
          <w:highlight w:val="none"/>
        </w:rPr>
        <w:t>六</w:t>
      </w:r>
      <w:r>
        <w:rPr>
          <w:rFonts w:hint="eastAsia" w:ascii="Times New Roman" w:hAnsi="Times New Roman" w:eastAsia="黑体"/>
          <w:b/>
          <w:color w:val="auto"/>
          <w:sz w:val="32"/>
          <w:szCs w:val="32"/>
          <w:highlight w:val="none"/>
        </w:rPr>
        <w:t>、一</w:t>
      </w:r>
      <w:r>
        <w:rPr>
          <w:rStyle w:val="29"/>
          <w:rFonts w:hint="eastAsia" w:ascii="Times New Roman" w:hAnsi="Times New Roman" w:eastAsia="黑体"/>
          <w:b w:val="0"/>
          <w:color w:val="auto"/>
          <w:highlight w:val="none"/>
        </w:rPr>
        <w:t>般公共预算财政拨款基本支出决算情况说明</w:t>
      </w:r>
      <w:bookmarkEnd w:id="36"/>
      <w:bookmarkEnd w:id="37"/>
      <w:r>
        <w:rPr>
          <w:rStyle w:val="29"/>
          <w:rFonts w:ascii="Times New Roman" w:hAnsi="Times New Roman" w:eastAsia="黑体"/>
          <w:b w:val="0"/>
          <w:color w:val="auto"/>
          <w:highlight w:val="none"/>
        </w:rPr>
        <w:tab/>
      </w:r>
    </w:p>
    <w:p w14:paraId="132F5EE8">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2024年度一般公共预算财政拨款基本支出198.09万元，其中：</w:t>
      </w:r>
    </w:p>
    <w:p w14:paraId="4F57553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人员经费143.55万元，主要包括：基本工资、津贴补贴、奖金、绩效工资、机关事业单位基本养老保险缴费、职业年金缴费、其他社会保障缴费、其他工资福利支出、退休费、生活补助、医疗费补助、奖励金、住房公积金、其他对个人和家庭的补助支出等。</w:t>
      </w:r>
      <w:r>
        <w:rPr>
          <w:rFonts w:hint="eastAsia" w:ascii="Times New Roman" w:hAnsi="Times New Roman" w:eastAsia="仿宋_GB2312" w:cs="仿宋_GB2312"/>
          <w:color w:val="auto"/>
          <w:kern w:val="2"/>
          <w:sz w:val="32"/>
          <w:szCs w:val="32"/>
          <w:highlight w:val="none"/>
          <w:lang w:val="en-US" w:eastAsia="zh-CN" w:bidi="ar-SA"/>
        </w:rPr>
        <w:br w:type="textWrapping"/>
      </w:r>
      <w:r>
        <w:rPr>
          <w:rFonts w:hint="eastAsia" w:ascii="Times New Roman" w:hAnsi="Times New Roman" w:eastAsia="仿宋_GB2312" w:cs="仿宋_GB2312"/>
          <w:color w:val="auto"/>
          <w:kern w:val="2"/>
          <w:sz w:val="32"/>
          <w:szCs w:val="32"/>
          <w:highlight w:val="none"/>
          <w:lang w:val="en-US" w:eastAsia="zh-CN" w:bidi="ar-SA"/>
        </w:rPr>
        <w:t>　　公用经费54.54万元，主要包括：办公费、印刷费、水费、电费、邮电费、物业管理费、差旅费维修（护）费、租赁费、劳务费、委托业务费、工会经费、福利费、公务用车运行维护费、其他交通费、税金及附加费用、其他商品和服务支出等。</w:t>
      </w:r>
    </w:p>
    <w:p w14:paraId="5F247898">
      <w:pPr>
        <w:pStyle w:val="2"/>
        <w:rPr>
          <w:rFonts w:hint="eastAsia"/>
          <w:lang w:val="en-US" w:eastAsia="zh-CN"/>
        </w:rPr>
      </w:pPr>
    </w:p>
    <w:p w14:paraId="39224403">
      <w:pPr>
        <w:spacing w:line="600" w:lineRule="exact"/>
        <w:ind w:firstLine="640"/>
        <w:outlineLvl w:val="1"/>
        <w:rPr>
          <w:rStyle w:val="29"/>
          <w:rFonts w:ascii="Times New Roman" w:hAnsi="Times New Roman" w:eastAsia="黑体"/>
          <w:b w:val="0"/>
          <w:color w:val="auto"/>
          <w:highlight w:val="none"/>
        </w:rPr>
      </w:pPr>
      <w:bookmarkStart w:id="38" w:name="_Toc15396609"/>
      <w:bookmarkStart w:id="39" w:name="_Toc15377215"/>
      <w:r>
        <w:rPr>
          <w:rFonts w:hint="eastAsia" w:ascii="Times New Roman" w:hAnsi="Times New Roman" w:eastAsia="黑体"/>
          <w:color w:val="auto"/>
          <w:sz w:val="32"/>
          <w:szCs w:val="32"/>
          <w:highlight w:val="none"/>
        </w:rPr>
        <w:t>七、</w:t>
      </w:r>
      <w:r>
        <w:rPr>
          <w:rStyle w:val="29"/>
          <w:rFonts w:hint="eastAsia" w:ascii="Times New Roman" w:hAnsi="Times New Roman" w:eastAsia="黑体"/>
          <w:b w:val="0"/>
          <w:color w:val="auto"/>
          <w:highlight w:val="none"/>
        </w:rPr>
        <w:t>财政拨款</w:t>
      </w:r>
      <w:r>
        <w:rPr>
          <w:rStyle w:val="29"/>
          <w:rFonts w:hint="eastAsia" w:ascii="Times New Roman" w:hAnsi="Times New Roman" w:eastAsia="黑体"/>
          <w:color w:val="auto"/>
          <w:highlight w:val="none"/>
        </w:rPr>
        <w:t>“</w:t>
      </w:r>
      <w:r>
        <w:rPr>
          <w:rStyle w:val="29"/>
          <w:rFonts w:hint="eastAsia" w:ascii="Times New Roman" w:hAnsi="Times New Roman" w:eastAsia="黑体"/>
          <w:b w:val="0"/>
          <w:color w:val="auto"/>
          <w:highlight w:val="none"/>
        </w:rPr>
        <w:t>三公”经费支出决算情况说明</w:t>
      </w:r>
      <w:bookmarkEnd w:id="38"/>
      <w:bookmarkEnd w:id="39"/>
    </w:p>
    <w:p w14:paraId="2E427C40">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0" w:name="_Toc15377216"/>
      <w:bookmarkStart w:id="41" w:name="_Toc15396610"/>
      <w:bookmarkStart w:id="42" w:name="_Toc15377218"/>
      <w:r>
        <w:rPr>
          <w:rFonts w:hint="eastAsia" w:ascii="Times New Roman" w:hAnsi="Times New Roman" w:eastAsia="楷体_GB2312" w:cs="楷体_GB2312"/>
          <w:b/>
          <w:color w:val="auto"/>
          <w:sz w:val="32"/>
          <w:szCs w:val="32"/>
          <w:highlight w:val="none"/>
        </w:rPr>
        <w:t>（一）“三公”经费财政拨款支出决算总体情况说明</w:t>
      </w:r>
      <w:bookmarkEnd w:id="40"/>
    </w:p>
    <w:p w14:paraId="4136678C">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2024年度“三公”经费财政拨款支出决算为4.54万元，完成预算100%，较上年度减少0.13万元，下降2.78%。</w:t>
      </w:r>
    </w:p>
    <w:p w14:paraId="1B1CB618">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3" w:name="_Toc15377217"/>
      <w:r>
        <w:rPr>
          <w:rFonts w:hint="eastAsia" w:ascii="Times New Roman" w:hAnsi="Times New Roman" w:eastAsia="楷体_GB2312" w:cs="楷体_GB2312"/>
          <w:b/>
          <w:color w:val="auto"/>
          <w:sz w:val="32"/>
          <w:szCs w:val="32"/>
          <w:highlight w:val="none"/>
        </w:rPr>
        <w:t>（二）“三公”经费财政拨款支出决算具体情况说明</w:t>
      </w:r>
      <w:bookmarkEnd w:id="43"/>
    </w:p>
    <w:p w14:paraId="49A95CC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2024年度“三公”经费财政拨款支出决算中，因公出国（境）费支出决算0万元，占0%；公务用车购置及运行维护费支出决算4.54万元，占100%；公务接待费支出决算0万元，占0%。具体情况如下：</w:t>
      </w:r>
    </w:p>
    <w:p w14:paraId="61329077">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drawing>
          <wp:anchor distT="0" distB="0" distL="114300" distR="114300" simplePos="0" relativeHeight="251662336" behindDoc="0" locked="0" layoutInCell="1" allowOverlap="1">
            <wp:simplePos x="0" y="0"/>
            <wp:positionH relativeFrom="column">
              <wp:posOffset>212725</wp:posOffset>
            </wp:positionH>
            <wp:positionV relativeFrom="paragraph">
              <wp:posOffset>132080</wp:posOffset>
            </wp:positionV>
            <wp:extent cx="4818380" cy="2743200"/>
            <wp:effectExtent l="4445" t="4445" r="15875" b="14605"/>
            <wp:wrapTopAndBottom/>
            <wp:docPr id="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13D72052">
      <w:pPr>
        <w:numPr>
          <w:ilvl w:val="0"/>
          <w:numId w:val="1"/>
        </w:num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因公出国（境）经费支出</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万元。</w:t>
      </w:r>
    </w:p>
    <w:p w14:paraId="4862E4B0">
      <w:pPr>
        <w:numPr>
          <w:ilvl w:val="0"/>
          <w:numId w:val="0"/>
        </w:numPr>
        <w:spacing w:line="600" w:lineRule="exact"/>
        <w:ind w:firstLine="643"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2.公务用车购置及运行维护费支出</w:t>
      </w:r>
      <w:r>
        <w:rPr>
          <w:rFonts w:hint="eastAsia" w:ascii="仿宋_GB2312" w:hAnsi="仿宋_GB2312" w:eastAsia="仿宋_GB2312" w:cs="仿宋_GB2312"/>
          <w:b/>
          <w:bCs/>
          <w:color w:val="auto"/>
          <w:kern w:val="2"/>
          <w:sz w:val="32"/>
          <w:szCs w:val="32"/>
          <w:highlight w:val="none"/>
          <w:lang w:val="en-US" w:eastAsia="zh-CN" w:bidi="ar-SA"/>
        </w:rPr>
        <w:t>4.54万</w:t>
      </w:r>
      <w:r>
        <w:rPr>
          <w:rFonts w:hint="eastAsia" w:ascii="Times New Roman" w:hAnsi="Times New Roman" w:eastAsia="仿宋_GB2312" w:cs="仿宋_GB2312"/>
          <w:b/>
          <w:bCs/>
          <w:color w:val="auto"/>
          <w:kern w:val="2"/>
          <w:sz w:val="32"/>
          <w:szCs w:val="32"/>
          <w:highlight w:val="none"/>
          <w:lang w:val="en-US" w:eastAsia="zh-CN" w:bidi="ar-SA"/>
        </w:rPr>
        <w:t>元</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完成预算</w:t>
      </w:r>
      <w:r>
        <w:rPr>
          <w:rFonts w:hint="eastAsia" w:eastAsia="仿宋_GB2312" w:cs="仿宋_GB2312"/>
          <w:b/>
          <w:bCs/>
          <w:color w:val="auto"/>
          <w:kern w:val="2"/>
          <w:sz w:val="32"/>
          <w:szCs w:val="32"/>
          <w:highlight w:val="none"/>
          <w:lang w:val="en-US" w:eastAsia="zh-CN" w:bidi="ar-SA"/>
        </w:rPr>
        <w:t>100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公务用车购置及运行维护费支出决算比2023年度减少0.13万元，下降2.78%。主要原因是根据要求减少公用经费支出。</w:t>
      </w:r>
    </w:p>
    <w:p w14:paraId="6568BDBB">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其中：公务用车购置支出0万元。截至2024年12月31日，单位共有公务用车4辆，其中：轿车2辆、商务车2辆。</w:t>
      </w:r>
    </w:p>
    <w:p w14:paraId="5EEEC2F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公务用车运行维护费支出4.54万元。主要用于对外联络、招商引资、信访维稳等所需的公务用车燃料费、维修费、过路过桥费、保险费等支出。</w:t>
      </w:r>
    </w:p>
    <w:p w14:paraId="4826D8DB">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3.公务接待费支出</w:t>
      </w:r>
      <w:r>
        <w:rPr>
          <w:rFonts w:hint="eastAsia" w:ascii="仿宋_GB2312" w:hAnsi="仿宋_GB2312" w:eastAsia="仿宋_GB2312" w:cs="仿宋_GB2312"/>
          <w:b/>
          <w:bCs/>
          <w:color w:val="auto"/>
          <w:kern w:val="2"/>
          <w:sz w:val="32"/>
          <w:szCs w:val="32"/>
          <w:highlight w:val="none"/>
          <w:lang w:val="en-US" w:eastAsia="zh-CN" w:bidi="ar-SA"/>
        </w:rPr>
        <w:t>0万</w:t>
      </w:r>
      <w:r>
        <w:rPr>
          <w:rFonts w:hint="eastAsia" w:ascii="Times New Roman" w:hAnsi="Times New Roman" w:eastAsia="仿宋_GB2312" w:cs="仿宋_GB2312"/>
          <w:b/>
          <w:bCs/>
          <w:color w:val="auto"/>
          <w:kern w:val="2"/>
          <w:sz w:val="32"/>
          <w:szCs w:val="32"/>
          <w:highlight w:val="none"/>
          <w:lang w:val="en-US" w:eastAsia="zh-CN" w:bidi="ar-SA"/>
        </w:rPr>
        <w:t>元。</w:t>
      </w:r>
    </w:p>
    <w:p w14:paraId="08B6114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10656F36">
      <w:pPr>
        <w:spacing w:line="600" w:lineRule="exact"/>
        <w:ind w:firstLine="640"/>
        <w:outlineLvl w:val="1"/>
        <w:rPr>
          <w:rStyle w:val="29"/>
          <w:rFonts w:ascii="Times New Roman" w:hAnsi="Times New Roman" w:eastAsia="黑体"/>
          <w:color w:val="auto"/>
          <w:highlight w:val="none"/>
        </w:rPr>
      </w:pPr>
      <w:r>
        <w:rPr>
          <w:rFonts w:hint="eastAsia" w:ascii="Times New Roman" w:hAnsi="Times New Roman" w:eastAsia="黑体"/>
          <w:color w:val="auto"/>
          <w:sz w:val="32"/>
          <w:szCs w:val="32"/>
          <w:highlight w:val="none"/>
        </w:rPr>
        <w:t>八、</w:t>
      </w:r>
      <w:r>
        <w:rPr>
          <w:rStyle w:val="29"/>
          <w:rFonts w:hint="eastAsia" w:ascii="Times New Roman" w:hAnsi="Times New Roman" w:eastAsia="黑体"/>
          <w:b w:val="0"/>
          <w:color w:val="auto"/>
          <w:highlight w:val="none"/>
        </w:rPr>
        <w:t>政府性基金预算支出决算情况说明</w:t>
      </w:r>
      <w:bookmarkEnd w:id="41"/>
      <w:bookmarkEnd w:id="42"/>
    </w:p>
    <w:p w14:paraId="0775F58D">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2024年度政府性基金预算财政拨款支出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w:t>
      </w:r>
    </w:p>
    <w:p w14:paraId="6147E3E0">
      <w:pPr>
        <w:pStyle w:val="2"/>
        <w:rPr>
          <w:rFonts w:hint="eastAsia"/>
          <w:lang w:val="en-US" w:eastAsia="zh-CN"/>
        </w:rPr>
      </w:pPr>
    </w:p>
    <w:p w14:paraId="6E7D6ADF">
      <w:pPr>
        <w:numPr>
          <w:ilvl w:val="0"/>
          <w:numId w:val="0"/>
        </w:numPr>
        <w:spacing w:line="600" w:lineRule="exact"/>
        <w:ind w:left="630" w:leftChars="0"/>
        <w:outlineLvl w:val="1"/>
        <w:rPr>
          <w:rStyle w:val="29"/>
          <w:rFonts w:ascii="Times New Roman" w:hAnsi="Times New Roman" w:eastAsia="黑体"/>
          <w:b w:val="0"/>
          <w:color w:val="auto"/>
          <w:highlight w:val="none"/>
        </w:rPr>
      </w:pPr>
      <w:bookmarkStart w:id="44" w:name="_Toc15377219"/>
      <w:bookmarkStart w:id="45" w:name="_Toc15396611"/>
      <w:r>
        <w:rPr>
          <w:rStyle w:val="29"/>
          <w:rFonts w:hint="eastAsia" w:ascii="Times New Roman" w:hAnsi="Times New Roman" w:eastAsia="黑体"/>
          <w:b w:val="0"/>
          <w:color w:val="auto"/>
          <w:highlight w:val="none"/>
          <w:lang w:eastAsia="zh-CN"/>
        </w:rPr>
        <w:t>九、</w:t>
      </w:r>
      <w:r>
        <w:rPr>
          <w:rStyle w:val="29"/>
          <w:rFonts w:hint="eastAsia" w:ascii="Times New Roman" w:hAnsi="Times New Roman" w:eastAsia="黑体"/>
          <w:b w:val="0"/>
          <w:color w:val="auto"/>
          <w:highlight w:val="none"/>
        </w:rPr>
        <w:t>国有资本经营预算支出决算情况说明</w:t>
      </w:r>
      <w:bookmarkEnd w:id="44"/>
      <w:bookmarkEnd w:id="45"/>
    </w:p>
    <w:p w14:paraId="6F2BFA08">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2024年度国有资本经营预算财政拨款支出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w:t>
      </w:r>
    </w:p>
    <w:p w14:paraId="0723E488">
      <w:pPr>
        <w:pStyle w:val="2"/>
        <w:rPr>
          <w:rFonts w:hint="eastAsia"/>
          <w:lang w:val="en-US" w:eastAsia="zh-CN"/>
        </w:rPr>
      </w:pPr>
    </w:p>
    <w:p w14:paraId="3BADE78C">
      <w:pPr>
        <w:numPr>
          <w:ilvl w:val="0"/>
          <w:numId w:val="0"/>
        </w:numPr>
        <w:spacing w:line="600" w:lineRule="exact"/>
        <w:ind w:left="630" w:leftChars="0"/>
        <w:outlineLvl w:val="1"/>
        <w:rPr>
          <w:rStyle w:val="29"/>
          <w:rFonts w:hint="eastAsia" w:ascii="Times New Roman" w:hAnsi="Times New Roman" w:eastAsia="黑体"/>
          <w:b w:val="0"/>
          <w:color w:val="auto"/>
          <w:highlight w:val="none"/>
        </w:rPr>
      </w:pPr>
      <w:bookmarkStart w:id="46" w:name="_Toc15396612"/>
      <w:bookmarkStart w:id="47" w:name="_Toc15377221"/>
      <w:r>
        <w:rPr>
          <w:rStyle w:val="29"/>
          <w:rFonts w:hint="eastAsia" w:ascii="Times New Roman" w:hAnsi="Times New Roman" w:eastAsia="黑体"/>
          <w:b w:val="0"/>
          <w:color w:val="auto"/>
          <w:highlight w:val="none"/>
          <w:lang w:eastAsia="zh-CN"/>
        </w:rPr>
        <w:t>十、</w:t>
      </w:r>
      <w:r>
        <w:rPr>
          <w:rStyle w:val="29"/>
          <w:rFonts w:hint="eastAsia" w:ascii="Times New Roman" w:hAnsi="Times New Roman" w:eastAsia="黑体"/>
          <w:b w:val="0"/>
          <w:color w:val="auto"/>
          <w:highlight w:val="none"/>
        </w:rPr>
        <w:t>其他重要事项的情况说明</w:t>
      </w:r>
      <w:bookmarkEnd w:id="46"/>
      <w:bookmarkEnd w:id="47"/>
    </w:p>
    <w:p w14:paraId="0F3582EF">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8" w:name="_Toc15377222"/>
      <w:r>
        <w:rPr>
          <w:rFonts w:hint="eastAsia" w:ascii="Times New Roman" w:hAnsi="Times New Roman" w:eastAsia="楷体_GB2312" w:cs="楷体_GB2312"/>
          <w:b/>
          <w:color w:val="auto"/>
          <w:sz w:val="32"/>
          <w:szCs w:val="32"/>
          <w:highlight w:val="none"/>
        </w:rPr>
        <w:t>（一）机关运行经费支出情况</w:t>
      </w:r>
      <w:bookmarkEnd w:id="48"/>
    </w:p>
    <w:p w14:paraId="1AA768A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sz w:val="32"/>
          <w:szCs w:val="32"/>
        </w:rPr>
        <w:t>四川省攀枝花市人民政府驻北京联络处</w:t>
      </w:r>
      <w:r>
        <w:rPr>
          <w:rFonts w:hint="eastAsia" w:ascii="仿宋_GB2312" w:hAnsi="仿宋_GB2312" w:eastAsia="仿宋_GB2312" w:cs="仿宋_GB2312"/>
          <w:color w:val="auto"/>
          <w:kern w:val="2"/>
          <w:sz w:val="32"/>
          <w:szCs w:val="32"/>
          <w:highlight w:val="none"/>
          <w:lang w:val="en-US" w:eastAsia="zh-CN" w:bidi="ar-SA"/>
        </w:rPr>
        <w:t>机关运行经费支出</w:t>
      </w:r>
      <w:r>
        <w:rPr>
          <w:rFonts w:hint="eastAsia" w:ascii="仿宋_GB2312" w:hAnsi="仿宋_GB2312" w:eastAsia="仿宋_GB2312" w:cs="仿宋_GB2312"/>
          <w:sz w:val="32"/>
          <w:szCs w:val="32"/>
        </w:rPr>
        <w:t>54.54</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元，比2023年度比2023年度增加28.95万元，增长</w:t>
      </w:r>
      <w:r>
        <w:rPr>
          <w:rFonts w:hint="eastAsia" w:eastAsia="仿宋_GB2312" w:cs="仿宋_GB2312"/>
          <w:color w:val="auto"/>
          <w:kern w:val="2"/>
          <w:sz w:val="32"/>
          <w:szCs w:val="32"/>
          <w:highlight w:val="none"/>
          <w:lang w:val="en-US" w:eastAsia="zh-CN" w:bidi="ar-SA"/>
        </w:rPr>
        <w:t>113.13</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eastAsia="仿宋_GB2312" w:cs="仿宋_GB2312"/>
          <w:color w:val="auto"/>
          <w:kern w:val="2"/>
          <w:sz w:val="32"/>
          <w:szCs w:val="32"/>
          <w:highlight w:val="none"/>
          <w:lang w:val="en-US" w:eastAsia="zh-CN" w:bidi="ar-SA"/>
        </w:rPr>
        <w:t>调整经费使用科目。</w:t>
      </w:r>
    </w:p>
    <w:p w14:paraId="4AA741A8">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50C17342">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9" w:name="_Toc15377223"/>
      <w:r>
        <w:rPr>
          <w:rFonts w:hint="eastAsia" w:ascii="Times New Roman" w:hAnsi="Times New Roman" w:eastAsia="楷体_GB2312" w:cs="楷体_GB2312"/>
          <w:b/>
          <w:color w:val="auto"/>
          <w:sz w:val="32"/>
          <w:szCs w:val="32"/>
          <w:highlight w:val="none"/>
        </w:rPr>
        <w:t>（二）政府采购支出情况</w:t>
      </w:r>
      <w:bookmarkEnd w:id="49"/>
    </w:p>
    <w:p w14:paraId="755B6B93">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sz w:val="32"/>
          <w:szCs w:val="32"/>
        </w:rPr>
        <w:t>四川省攀枝花市人民政府驻北京联络处</w:t>
      </w:r>
      <w:r>
        <w:rPr>
          <w:rFonts w:hint="eastAsia" w:ascii="仿宋_GB2312" w:hAnsi="仿宋_GB2312" w:eastAsia="仿宋_GB2312" w:cs="仿宋_GB2312"/>
          <w:color w:val="auto"/>
          <w:kern w:val="2"/>
          <w:sz w:val="32"/>
          <w:szCs w:val="32"/>
          <w:highlight w:val="none"/>
          <w:lang w:val="en-US" w:eastAsia="zh-CN" w:bidi="ar-SA"/>
        </w:rPr>
        <w:t>政府采购支出总额</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w:t>
      </w:r>
    </w:p>
    <w:p w14:paraId="19422EE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17D6C81E">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50" w:name="_Toc15377224"/>
      <w:r>
        <w:rPr>
          <w:rFonts w:hint="eastAsia" w:ascii="Times New Roman" w:hAnsi="Times New Roman" w:eastAsia="楷体_GB2312" w:cs="楷体_GB2312"/>
          <w:b/>
          <w:color w:val="auto"/>
          <w:sz w:val="32"/>
          <w:szCs w:val="32"/>
          <w:highlight w:val="none"/>
        </w:rPr>
        <w:t>（三）国有资产占有使用情况</w:t>
      </w:r>
      <w:bookmarkEnd w:id="50"/>
    </w:p>
    <w:p w14:paraId="46F8AD2B">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截至2024年12月31日，</w:t>
      </w:r>
      <w:r>
        <w:rPr>
          <w:rFonts w:hint="eastAsia" w:ascii="仿宋_GB2312" w:hAnsi="仿宋_GB2312" w:eastAsia="仿宋_GB2312" w:cs="仿宋_GB2312"/>
          <w:sz w:val="32"/>
          <w:szCs w:val="32"/>
        </w:rPr>
        <w:t>四川省攀枝花市人民政府驻北京联络处</w:t>
      </w:r>
      <w:r>
        <w:rPr>
          <w:rFonts w:hint="eastAsia" w:ascii="仿宋_GB2312" w:hAnsi="仿宋_GB2312" w:eastAsia="仿宋_GB2312" w:cs="仿宋_GB2312"/>
          <w:color w:val="auto"/>
          <w:kern w:val="2"/>
          <w:sz w:val="32"/>
          <w:szCs w:val="32"/>
          <w:highlight w:val="none"/>
          <w:lang w:val="en-US" w:eastAsia="zh-CN" w:bidi="ar-SA"/>
        </w:rPr>
        <w:t>共有车辆</w:t>
      </w:r>
      <w:r>
        <w:rPr>
          <w:rFonts w:hint="eastAsia" w:ascii="仿宋_GB2312" w:hAnsi="仿宋_GB2312" w:eastAsia="仿宋_GB2312" w:cs="仿宋_GB2312"/>
          <w:sz w:val="32"/>
          <w:szCs w:val="32"/>
        </w:rPr>
        <w:t>4</w:t>
      </w:r>
      <w:r>
        <w:rPr>
          <w:rFonts w:hint="eastAsia" w:ascii="仿宋_GB2312" w:hAnsi="仿宋_GB2312" w:eastAsia="仿宋_GB2312" w:cs="仿宋_GB2312"/>
          <w:color w:val="auto"/>
          <w:kern w:val="2"/>
          <w:sz w:val="32"/>
          <w:szCs w:val="32"/>
          <w:highlight w:val="none"/>
          <w:lang w:val="en-US" w:eastAsia="zh-CN" w:bidi="ar-SA"/>
        </w:rPr>
        <w:t>辆，其中：主要负责人用车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辆、机要通信用车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辆、应急保障用车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辆、其他用车</w:t>
      </w:r>
      <w:r>
        <w:rPr>
          <w:rFonts w:hint="eastAsia" w:ascii="仿宋_GB2312" w:hAnsi="仿宋_GB2312" w:eastAsia="仿宋_GB2312" w:cs="仿宋_GB2312"/>
          <w:sz w:val="32"/>
          <w:szCs w:val="32"/>
        </w:rPr>
        <w:t>4</w:t>
      </w:r>
      <w:r>
        <w:rPr>
          <w:rFonts w:hint="eastAsia" w:ascii="仿宋_GB2312" w:hAnsi="仿宋_GB2312" w:eastAsia="仿宋_GB2312" w:cs="仿宋_GB2312"/>
          <w:color w:val="auto"/>
          <w:kern w:val="2"/>
          <w:sz w:val="32"/>
          <w:szCs w:val="32"/>
          <w:highlight w:val="none"/>
          <w:lang w:val="en-US" w:eastAsia="zh-CN" w:bidi="ar-SA"/>
        </w:rPr>
        <w:t>辆，</w:t>
      </w:r>
      <w:r>
        <w:rPr>
          <w:rFonts w:hint="eastAsia" w:ascii="Times New Roman" w:hAnsi="Times New Roman" w:eastAsia="仿宋_GB2312" w:cs="仿宋_GB2312"/>
          <w:color w:val="auto"/>
          <w:kern w:val="2"/>
          <w:sz w:val="32"/>
          <w:szCs w:val="32"/>
          <w:highlight w:val="none"/>
          <w:lang w:val="en-US" w:eastAsia="zh-CN" w:bidi="ar-SA"/>
        </w:rPr>
        <w:t>保障联络处正常业务开展和运行。</w:t>
      </w:r>
      <w:r>
        <w:rPr>
          <w:rFonts w:hint="eastAsia" w:ascii="仿宋_GB2312" w:hAnsi="仿宋_GB2312" w:eastAsia="仿宋_GB2312" w:cs="仿宋_GB2312"/>
          <w:color w:val="auto"/>
          <w:kern w:val="2"/>
          <w:sz w:val="32"/>
          <w:szCs w:val="32"/>
          <w:highlight w:val="none"/>
          <w:lang w:val="en-US" w:eastAsia="zh-CN" w:bidi="ar-SA"/>
        </w:rPr>
        <w:t>单价100万元（含）以上设备（不含车辆）</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台（套）</w:t>
      </w:r>
      <w:r>
        <w:rPr>
          <w:rFonts w:hint="eastAsia" w:ascii="Times New Roman" w:hAnsi="Times New Roman" w:eastAsia="仿宋_GB2312" w:cs="仿宋_GB2312"/>
          <w:color w:val="auto"/>
          <w:kern w:val="2"/>
          <w:sz w:val="32"/>
          <w:szCs w:val="32"/>
          <w:highlight w:val="none"/>
          <w:lang w:val="en-US" w:eastAsia="zh-CN" w:bidi="ar-SA"/>
        </w:rPr>
        <w:t>。</w:t>
      </w:r>
    </w:p>
    <w:p w14:paraId="1E4E39B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13EA9B9D">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（四）预算绩效管理情况</w:t>
      </w:r>
    </w:p>
    <w:p w14:paraId="6518C3B1">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根据预算绩效管理要求，</w:t>
      </w:r>
      <w:r>
        <w:rPr>
          <w:rFonts w:hint="eastAsia" w:eastAsia="仿宋_GB2312" w:cs="仿宋_GB2312"/>
          <w:color w:val="auto"/>
          <w:kern w:val="2"/>
          <w:sz w:val="32"/>
          <w:szCs w:val="32"/>
          <w:highlight w:val="none"/>
          <w:lang w:val="en-US" w:eastAsia="zh-CN" w:bidi="ar-SA"/>
        </w:rPr>
        <w:t>攀枝花市人民政府驻北京联络处</w:t>
      </w:r>
      <w:r>
        <w:rPr>
          <w:rFonts w:hint="eastAsia" w:ascii="Times New Roman" w:hAnsi="Times New Roman" w:eastAsia="仿宋_GB2312" w:cs="仿宋_GB2312"/>
          <w:color w:val="auto"/>
          <w:kern w:val="2"/>
          <w:sz w:val="32"/>
          <w:szCs w:val="32"/>
          <w:highlight w:val="none"/>
          <w:lang w:val="en-US" w:eastAsia="zh-CN" w:bidi="ar-SA"/>
        </w:rPr>
        <w:t>在2024年度预算编制阶段，组织对房屋租赁费、招商引资及信访维稳费</w:t>
      </w:r>
      <w:r>
        <w:rPr>
          <w:rFonts w:hint="eastAsia" w:eastAsia="仿宋_GB2312" w:cs="仿宋_GB2312"/>
          <w:color w:val="auto"/>
          <w:kern w:val="2"/>
          <w:sz w:val="32"/>
          <w:szCs w:val="32"/>
          <w:highlight w:val="none"/>
          <w:lang w:val="en-US" w:eastAsia="zh-CN" w:bidi="ar-SA"/>
        </w:rPr>
        <w:t>、干部异地体检</w:t>
      </w:r>
      <w:r>
        <w:rPr>
          <w:rFonts w:hint="eastAsia" w:ascii="Times New Roman" w:hAnsi="Times New Roman" w:eastAsia="仿宋_GB2312" w:cs="仿宋_GB2312"/>
          <w:color w:val="auto"/>
          <w:kern w:val="2"/>
          <w:sz w:val="32"/>
          <w:szCs w:val="32"/>
          <w:highlight w:val="none"/>
          <w:lang w:val="en-US" w:eastAsia="zh-CN" w:bidi="ar-SA"/>
        </w:rPr>
        <w:t>等</w:t>
      </w: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个项目开展了预算事前绩效评估，对</w:t>
      </w: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个项目编制了绩效目标，预算执行过程中，选取</w:t>
      </w:r>
      <w:r>
        <w:rPr>
          <w:rFonts w:hint="eastAsia" w:eastAsia="仿宋_GB2312" w:cs="仿宋_GB2312"/>
          <w:color w:val="auto"/>
          <w:kern w:val="2"/>
          <w:sz w:val="32"/>
          <w:szCs w:val="32"/>
          <w:highlight w:val="none"/>
          <w:lang w:val="en-US" w:eastAsia="zh-CN" w:bidi="ar-SA"/>
        </w:rPr>
        <w:t>含人员经费和日常公用经费在内的43</w:t>
      </w:r>
      <w:r>
        <w:rPr>
          <w:rFonts w:hint="eastAsia" w:ascii="Times New Roman" w:hAnsi="Times New Roman" w:eastAsia="仿宋_GB2312" w:cs="仿宋_GB2312"/>
          <w:color w:val="auto"/>
          <w:kern w:val="2"/>
          <w:sz w:val="32"/>
          <w:szCs w:val="32"/>
          <w:highlight w:val="none"/>
          <w:lang w:val="en-US" w:eastAsia="zh-CN" w:bidi="ar-SA"/>
        </w:rPr>
        <w:t>个</w:t>
      </w:r>
      <w:r>
        <w:rPr>
          <w:rFonts w:hint="eastAsia" w:eastAsia="仿宋_GB2312" w:cs="仿宋_GB2312"/>
          <w:color w:val="auto"/>
          <w:kern w:val="2"/>
          <w:sz w:val="32"/>
          <w:szCs w:val="32"/>
          <w:highlight w:val="none"/>
          <w:lang w:val="en-US" w:eastAsia="zh-CN" w:bidi="ar-SA"/>
        </w:rPr>
        <w:t>整体</w:t>
      </w:r>
      <w:r>
        <w:rPr>
          <w:rFonts w:hint="eastAsia" w:ascii="Times New Roman" w:hAnsi="Times New Roman" w:eastAsia="仿宋_GB2312" w:cs="仿宋_GB2312"/>
          <w:color w:val="auto"/>
          <w:kern w:val="2"/>
          <w:sz w:val="32"/>
          <w:szCs w:val="32"/>
          <w:highlight w:val="none"/>
          <w:lang w:val="en-US" w:eastAsia="zh-CN" w:bidi="ar-SA"/>
        </w:rPr>
        <w:t>项目开展绩效监控。</w:t>
      </w:r>
    </w:p>
    <w:p w14:paraId="5EE91FA6">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组织对2024年度一般公共预算全面开展绩效自评，形成</w:t>
      </w:r>
      <w:r>
        <w:rPr>
          <w:rFonts w:hint="eastAsia" w:eastAsia="仿宋_GB2312" w:cs="仿宋_GB2312"/>
          <w:color w:val="auto"/>
          <w:kern w:val="2"/>
          <w:sz w:val="32"/>
          <w:szCs w:val="32"/>
          <w:highlight w:val="none"/>
          <w:lang w:val="en-US" w:eastAsia="zh-CN" w:bidi="ar-SA"/>
        </w:rPr>
        <w:t>市政府驻北京联络处单位</w:t>
      </w:r>
      <w:r>
        <w:rPr>
          <w:rFonts w:hint="eastAsia" w:ascii="Times New Roman" w:hAnsi="Times New Roman" w:eastAsia="仿宋_GB2312" w:cs="仿宋_GB2312"/>
          <w:color w:val="auto"/>
          <w:kern w:val="2"/>
          <w:sz w:val="32"/>
          <w:szCs w:val="32"/>
          <w:highlight w:val="none"/>
          <w:lang w:val="en-US" w:eastAsia="zh-CN" w:bidi="ar-SA"/>
        </w:rPr>
        <w:t>整体（含</w:t>
      </w:r>
      <w:r>
        <w:rPr>
          <w:rFonts w:hint="eastAsia" w:eastAsia="仿宋_GB2312" w:cs="仿宋_GB2312"/>
          <w:color w:val="auto"/>
          <w:kern w:val="2"/>
          <w:sz w:val="32"/>
          <w:szCs w:val="32"/>
          <w:highlight w:val="none"/>
          <w:lang w:val="en-US" w:eastAsia="zh-CN" w:bidi="ar-SA"/>
        </w:rPr>
        <w:t>单位</w:t>
      </w:r>
      <w:r>
        <w:rPr>
          <w:rFonts w:hint="eastAsia" w:ascii="Times New Roman" w:hAnsi="Times New Roman" w:eastAsia="仿宋_GB2312" w:cs="仿宋_GB2312"/>
          <w:color w:val="auto"/>
          <w:kern w:val="2"/>
          <w:sz w:val="32"/>
          <w:szCs w:val="32"/>
          <w:highlight w:val="none"/>
          <w:lang w:val="en-US" w:eastAsia="zh-CN" w:bidi="ar-SA"/>
        </w:rPr>
        <w:t>预算项目）绩效自评报告，其中，</w:t>
      </w:r>
      <w:r>
        <w:rPr>
          <w:rFonts w:hint="eastAsia" w:eastAsia="仿宋_GB2312" w:cs="仿宋_GB2312"/>
          <w:color w:val="auto"/>
          <w:kern w:val="2"/>
          <w:sz w:val="32"/>
          <w:szCs w:val="32"/>
          <w:highlight w:val="none"/>
          <w:lang w:val="en-US" w:eastAsia="zh-CN" w:bidi="ar-SA"/>
        </w:rPr>
        <w:t>市政府驻北京联络处单位</w:t>
      </w:r>
      <w:r>
        <w:rPr>
          <w:rFonts w:hint="eastAsia" w:ascii="Times New Roman" w:hAnsi="Times New Roman" w:eastAsia="仿宋_GB2312" w:cs="仿宋_GB2312"/>
          <w:color w:val="auto"/>
          <w:kern w:val="2"/>
          <w:sz w:val="32"/>
          <w:szCs w:val="32"/>
          <w:highlight w:val="none"/>
          <w:lang w:val="en-US" w:eastAsia="zh-CN" w:bidi="ar-SA"/>
        </w:rPr>
        <w:t>整体（含</w:t>
      </w:r>
      <w:r>
        <w:rPr>
          <w:rFonts w:hint="eastAsia" w:eastAsia="仿宋_GB2312" w:cs="仿宋_GB2312"/>
          <w:color w:val="auto"/>
          <w:kern w:val="2"/>
          <w:sz w:val="32"/>
          <w:szCs w:val="32"/>
          <w:highlight w:val="none"/>
          <w:lang w:val="en-US" w:eastAsia="zh-CN" w:bidi="ar-SA"/>
        </w:rPr>
        <w:t>单位</w:t>
      </w:r>
      <w:r>
        <w:rPr>
          <w:rFonts w:hint="eastAsia" w:ascii="Times New Roman" w:hAnsi="Times New Roman" w:eastAsia="仿宋_GB2312" w:cs="仿宋_GB2312"/>
          <w:color w:val="auto"/>
          <w:kern w:val="2"/>
          <w:sz w:val="32"/>
          <w:szCs w:val="32"/>
          <w:highlight w:val="none"/>
          <w:lang w:val="en-US" w:eastAsia="zh-CN" w:bidi="ar-SA"/>
        </w:rPr>
        <w:t>预算项目）绩效自评得分为</w:t>
      </w:r>
      <w:r>
        <w:rPr>
          <w:rFonts w:hint="eastAsia" w:eastAsia="仿宋_GB2312" w:cs="仿宋_GB2312"/>
          <w:color w:val="auto"/>
          <w:kern w:val="2"/>
          <w:sz w:val="32"/>
          <w:szCs w:val="32"/>
          <w:highlight w:val="none"/>
          <w:lang w:val="en-US" w:eastAsia="zh-CN" w:bidi="ar-SA"/>
        </w:rPr>
        <w:t>96</w:t>
      </w:r>
      <w:r>
        <w:rPr>
          <w:rFonts w:hint="eastAsia" w:ascii="Times New Roman" w:hAnsi="Times New Roman" w:eastAsia="仿宋_GB2312" w:cs="仿宋_GB2312"/>
          <w:color w:val="auto"/>
          <w:kern w:val="2"/>
          <w:sz w:val="32"/>
          <w:szCs w:val="32"/>
          <w:highlight w:val="none"/>
          <w:lang w:val="en-US" w:eastAsia="zh-CN" w:bidi="ar-SA"/>
        </w:rPr>
        <w:t>分，绩效自评综述</w:t>
      </w:r>
      <w:r>
        <w:rPr>
          <w:rFonts w:hint="eastAsia" w:eastAsia="仿宋_GB2312" w:cs="仿宋_GB2312"/>
          <w:color w:val="auto"/>
          <w:kern w:val="2"/>
          <w:sz w:val="32"/>
          <w:szCs w:val="32"/>
          <w:highlight w:val="none"/>
          <w:lang w:val="en-US" w:eastAsia="zh-CN" w:bidi="ar-SA"/>
        </w:rPr>
        <w:t>客观全面</w:t>
      </w:r>
      <w:r>
        <w:rPr>
          <w:rFonts w:hint="eastAsia" w:ascii="Times New Roman" w:hAnsi="Times New Roman" w:eastAsia="仿宋_GB2312" w:cs="仿宋_GB2312"/>
          <w:color w:val="auto"/>
          <w:kern w:val="2"/>
          <w:sz w:val="32"/>
          <w:szCs w:val="32"/>
          <w:highlight w:val="none"/>
          <w:lang w:val="en-US" w:eastAsia="zh-CN" w:bidi="ar-SA"/>
        </w:rPr>
        <w:t>。绩效自评报告详见附件。</w:t>
      </w:r>
    </w:p>
    <w:p w14:paraId="26B66D8E">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1F095318">
      <w:pPr>
        <w:numPr>
          <w:ilvl w:val="0"/>
          <w:numId w:val="0"/>
        </w:numPr>
        <w:spacing w:line="600" w:lineRule="exact"/>
        <w:jc w:val="center"/>
        <w:outlineLvl w:val="0"/>
        <w:rPr>
          <w:rFonts w:hint="eastAsia" w:ascii="Times New Roman" w:hAnsi="Times New Roman" w:eastAsia="黑体"/>
          <w:color w:val="auto"/>
          <w:sz w:val="44"/>
          <w:szCs w:val="44"/>
          <w:highlight w:val="none"/>
        </w:rPr>
      </w:pPr>
      <w:bookmarkStart w:id="51" w:name="_Toc15377225"/>
      <w:bookmarkStart w:id="52" w:name="_Toc15396613"/>
      <w:r>
        <w:rPr>
          <w:rFonts w:hint="eastAsia" w:ascii="Times New Roman" w:hAnsi="Times New Roman" w:eastAsia="黑体"/>
          <w:color w:val="auto"/>
          <w:sz w:val="44"/>
          <w:szCs w:val="44"/>
          <w:highlight w:val="none"/>
        </w:rPr>
        <w:t>第</w:t>
      </w:r>
      <w:r>
        <w:rPr>
          <w:rFonts w:hint="eastAsia" w:eastAsia="黑体"/>
          <w:color w:val="auto"/>
          <w:sz w:val="44"/>
          <w:szCs w:val="44"/>
          <w:highlight w:val="none"/>
          <w:lang w:eastAsia="zh-CN"/>
        </w:rPr>
        <w:t>三</w:t>
      </w:r>
      <w:r>
        <w:rPr>
          <w:rFonts w:hint="eastAsia" w:ascii="Times New Roman" w:hAnsi="Times New Roman" w:eastAsia="黑体"/>
          <w:color w:val="auto"/>
          <w:sz w:val="44"/>
          <w:szCs w:val="44"/>
          <w:highlight w:val="none"/>
        </w:rPr>
        <w:t>部分</w:t>
      </w:r>
      <w:r>
        <w:rPr>
          <w:rFonts w:hint="eastAsia" w:ascii="Times New Roman" w:hAnsi="Times New Roman" w:eastAsia="黑体"/>
          <w:color w:val="auto"/>
          <w:sz w:val="44"/>
          <w:szCs w:val="44"/>
          <w:highlight w:val="none"/>
          <w:lang w:val="en-US" w:eastAsia="zh-CN"/>
        </w:rPr>
        <w:t xml:space="preserve"> </w:t>
      </w:r>
      <w:r>
        <w:rPr>
          <w:rFonts w:hint="eastAsia"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名词解释</w:t>
      </w:r>
      <w:bookmarkEnd w:id="51"/>
      <w:bookmarkEnd w:id="52"/>
    </w:p>
    <w:p w14:paraId="5589FDC3">
      <w:pPr>
        <w:spacing w:line="600" w:lineRule="exact"/>
        <w:jc w:val="left"/>
        <w:rPr>
          <w:rFonts w:ascii="Times New Roman" w:hAnsi="Times New Roman"/>
          <w:b/>
          <w:color w:val="auto"/>
          <w:sz w:val="44"/>
          <w:szCs w:val="44"/>
          <w:highlight w:val="none"/>
        </w:rPr>
      </w:pPr>
    </w:p>
    <w:p w14:paraId="4F10E625">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1.财政拨款收入：指单位从同级财政部门取得的财政预算资金。</w:t>
      </w:r>
    </w:p>
    <w:p w14:paraId="1BEFF95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2.事业收入：指事业单位开展专业业务活动及辅助活动取得的收入。</w:t>
      </w:r>
    </w:p>
    <w:p w14:paraId="6E92B0F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3.经营收入：指事业单位在专业业务活动及其辅助活动之外开展非独立核算经营活动取得的收入。</w:t>
      </w:r>
    </w:p>
    <w:p w14:paraId="2BB089D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4.其他收入：指单位取得的除上述收入以外的各项收入。</w:t>
      </w:r>
    </w:p>
    <w:p w14:paraId="2CD82C4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 xml:space="preserve">5.使用非财政拨款结余（含专用结余）：指事业单位使用以前年度积累的非财政拨款结余弥补当年收支差额的金额。 </w:t>
      </w:r>
    </w:p>
    <w:p w14:paraId="2C6838D9">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 xml:space="preserve">6.年初结转和结余：指以前年度尚未完成、结转到本年按有关规定继续使用的资金。 </w:t>
      </w:r>
    </w:p>
    <w:p w14:paraId="1D7CD94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7.结余分配：指事业单位按照会计制度规定缴纳的所得税、提取的专用结余以及转入非财政拨款结余的金额等。</w:t>
      </w:r>
    </w:p>
    <w:p w14:paraId="6730D99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8.年末结转和结余：指单位按有关规定结转到下年或以后年度继续使用的资金。</w:t>
      </w:r>
    </w:p>
    <w:p w14:paraId="1F275CB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9.一般公共服务（类）政府办公厅（室）及相关机构事务（款）行政运行（项）：指行政单位的基本支出。</w:t>
      </w:r>
    </w:p>
    <w:p w14:paraId="0FE1C89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10.一般公共服务（类）政府办公厅（室）及相关机构事务（款）一般行政管理事务（项）:指行政单位未单独设置项级科目的其他项目支出。</w:t>
      </w:r>
    </w:p>
    <w:p w14:paraId="095686B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11.一般公共服务（类）政府办公厅（室）及相关机构事务（款）事业运行（项）:指事业单位基本支出。</w:t>
      </w:r>
    </w:p>
    <w:p w14:paraId="1C9C6C5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12.社会保障和就业（类）行政事业单位离退休（款）行政单位离退休（项）: 指行政事业单位开支的离退休支出。</w:t>
      </w:r>
    </w:p>
    <w:p w14:paraId="2F6BEBC5">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13.社会保障和就业（类）行政事业单位离退休（款）机关事业单位基本养老保险缴费支出（项）:指机关事业单位实施养老保险制度由单位缴纳的基本养老保险费支出。</w:t>
      </w:r>
    </w:p>
    <w:p w14:paraId="2737931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14.卫生健康支出（类）行政事业单位医疗（款）行政单位医疗（项）：指本单位行政机关按规定缴纳的基本医疗保险支出。</w:t>
      </w:r>
    </w:p>
    <w:p w14:paraId="64DAD16B">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15.卫生健康支出（类）行政事业单位医疗（款）事业单位医疗（项）：指本单位下属事业单位按规定缴纳的基本医疗保险支出。</w:t>
      </w:r>
    </w:p>
    <w:p w14:paraId="6F574CED">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16.卫生健康支出（类）行政事业单位医疗（款）公务员医疗补助（项）：指本单位行政机关缴纳的公务员医疗补助支出。</w:t>
      </w:r>
    </w:p>
    <w:p w14:paraId="0088F54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 xml:space="preserve">17.卫生健康支出（类）其他卫生健康支出（款）其他卫生健康支出（项）：指在职及退休市管干部异地体检费支出。  </w:t>
      </w:r>
    </w:p>
    <w:p w14:paraId="28569DA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w:t>
      </w:r>
      <w:r>
        <w:rPr>
          <w:rFonts w:hint="eastAsia" w:eastAsia="仿宋_GB2312" w:cs="仿宋_GB2312"/>
          <w:color w:val="auto"/>
          <w:kern w:val="2"/>
          <w:sz w:val="32"/>
          <w:szCs w:val="32"/>
          <w:highlight w:val="none"/>
          <w:lang w:val="en-US" w:eastAsia="zh-CN" w:bidi="ar-SA"/>
        </w:rPr>
        <w:t>8</w:t>
      </w:r>
      <w:r>
        <w:rPr>
          <w:rFonts w:hint="eastAsia" w:ascii="Times New Roman" w:hAnsi="Times New Roman" w:eastAsia="仿宋_GB2312" w:cs="仿宋_GB2312"/>
          <w:color w:val="auto"/>
          <w:kern w:val="2"/>
          <w:sz w:val="32"/>
          <w:szCs w:val="32"/>
          <w:highlight w:val="none"/>
          <w:lang w:val="en-US" w:eastAsia="zh-CN" w:bidi="ar-SA"/>
        </w:rPr>
        <w:t>.住房保障支出（类）住房改革支出（款）住房公积金（项）:指行政事业单位按相关规定及比例为职工缴纳的住房公积金。</w:t>
      </w:r>
    </w:p>
    <w:p w14:paraId="714DDC05">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19</w:t>
      </w:r>
      <w:r>
        <w:rPr>
          <w:rFonts w:hint="eastAsia" w:ascii="Times New Roman" w:hAnsi="Times New Roman" w:eastAsia="仿宋_GB2312" w:cs="仿宋_GB2312"/>
          <w:color w:val="auto"/>
          <w:kern w:val="2"/>
          <w:sz w:val="32"/>
          <w:szCs w:val="32"/>
          <w:highlight w:val="none"/>
          <w:lang w:val="en-US" w:eastAsia="zh-CN" w:bidi="ar-SA"/>
        </w:rPr>
        <w:t>.基本支出：指为保障机构正常运转、完成日常工作任务而发生的人员支出和公用支出。</w:t>
      </w:r>
    </w:p>
    <w:p w14:paraId="5DB8D88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 xml:space="preserve">.项目支出：指在基本支出之外为完成特定行政任务和事业发展目标所发生的支出。 </w:t>
      </w:r>
    </w:p>
    <w:p w14:paraId="0DFA0EB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w:t>
      </w:r>
      <w:r>
        <w:rPr>
          <w:rFonts w:hint="eastAsia"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en-US" w:eastAsia="zh-CN" w:bidi="ar-SA"/>
        </w:rPr>
        <w:t>.经营支出：指事业单位在专业业务活动及其辅助活动之外开展非独立核算经营活动发生的支出。</w:t>
      </w:r>
    </w:p>
    <w:p w14:paraId="7FE33315">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22</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三公</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经费：指</w:t>
      </w:r>
      <w:r>
        <w:rPr>
          <w:rFonts w:hint="eastAsia" w:eastAsia="仿宋_GB2312" w:cs="仿宋_GB2312"/>
          <w:color w:val="auto"/>
          <w:kern w:val="2"/>
          <w:sz w:val="32"/>
          <w:szCs w:val="32"/>
          <w:highlight w:val="none"/>
          <w:lang w:val="en-US" w:eastAsia="zh-CN" w:bidi="ar-SA"/>
        </w:rPr>
        <w:t>单位</w:t>
      </w:r>
      <w:r>
        <w:rPr>
          <w:rFonts w:hint="eastAsia" w:ascii="Times New Roman" w:hAnsi="Times New Roman" w:eastAsia="仿宋_GB2312" w:cs="仿宋_GB2312"/>
          <w:color w:val="auto"/>
          <w:kern w:val="2"/>
          <w:sz w:val="32"/>
          <w:szCs w:val="32"/>
          <w:highlight w:val="none"/>
          <w:lang w:val="en-US" w:eastAsia="zh-CN" w:bidi="ar-SA"/>
        </w:rPr>
        <w:t>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4AB0113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23</w:t>
      </w:r>
      <w:r>
        <w:rPr>
          <w:rFonts w:hint="eastAsia" w:ascii="Times New Roman" w:hAnsi="Times New Roman" w:eastAsia="仿宋_GB2312" w:cs="仿宋_GB2312"/>
          <w:color w:val="auto"/>
          <w:kern w:val="2"/>
          <w:sz w:val="32"/>
          <w:szCs w:val="32"/>
          <w:highlight w:val="none"/>
          <w:lang w:val="en-US" w:eastAsia="zh-CN" w:bidi="ar-SA"/>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760F09B8">
      <w:pPr>
        <w:spacing w:line="600" w:lineRule="exact"/>
        <w:jc w:val="center"/>
        <w:rPr>
          <w:rStyle w:val="28"/>
          <w:rFonts w:hint="eastAsia" w:ascii="Times New Roman" w:hAnsi="Times New Roman" w:eastAsia="黑体"/>
          <w:b w:val="0"/>
          <w:color w:val="auto"/>
          <w:highlight w:val="none"/>
          <w:lang w:eastAsia="zh-CN"/>
        </w:rPr>
      </w:pPr>
      <w:bookmarkStart w:id="53" w:name="_Toc15377226"/>
      <w:r>
        <w:rPr>
          <w:rFonts w:hint="eastAsia" w:ascii="Times New Roman" w:hAnsi="Times New Roman" w:eastAsia="仿宋_GB2312" w:cs="仿宋_GB2312"/>
          <w:color w:val="auto"/>
          <w:kern w:val="2"/>
          <w:sz w:val="32"/>
          <w:szCs w:val="32"/>
          <w:highlight w:val="none"/>
          <w:lang w:val="en-US" w:eastAsia="zh-CN" w:bidi="ar-SA"/>
        </w:rPr>
        <w:br w:type="page"/>
      </w:r>
      <w:bookmarkStart w:id="54" w:name="_Toc15396614"/>
      <w:r>
        <w:rPr>
          <w:rFonts w:hint="eastAsia" w:ascii="Times New Roman" w:hAnsi="Times New Roman" w:eastAsia="黑体"/>
          <w:color w:val="auto"/>
          <w:sz w:val="44"/>
          <w:szCs w:val="44"/>
          <w:highlight w:val="none"/>
        </w:rPr>
        <w:t>第四部分</w:t>
      </w:r>
      <w:r>
        <w:rPr>
          <w:rFonts w:hint="eastAsia" w:ascii="Times New Roman" w:hAnsi="Times New Roman"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 xml:space="preserve"> 附件</w:t>
      </w:r>
      <w:bookmarkEnd w:id="54"/>
    </w:p>
    <w:p w14:paraId="0C7DB02F">
      <w:pPr>
        <w:keepNext w:val="0"/>
        <w:keepLines w:val="0"/>
        <w:pageBreakBefore w:val="0"/>
        <w:kinsoku/>
        <w:wordWrap/>
        <w:overflowPunct/>
        <w:topLinePunct w:val="0"/>
        <w:autoSpaceDE/>
        <w:autoSpaceDN/>
        <w:bidi w:val="0"/>
        <w:spacing w:line="572" w:lineRule="exact"/>
        <w:jc w:val="left"/>
        <w:textAlignment w:val="auto"/>
        <w:outlineLvl w:val="0"/>
        <w:rPr>
          <w:rFonts w:hint="eastAsia" w:ascii="Times New Roman" w:hAnsi="Times New Roman" w:eastAsia="黑体" w:cs="黑体"/>
          <w:color w:val="FF0000"/>
          <w:sz w:val="32"/>
          <w:szCs w:val="32"/>
          <w:highlight w:val="none"/>
        </w:rPr>
      </w:pPr>
    </w:p>
    <w:p w14:paraId="3C2A7CF1">
      <w:pPr>
        <w:keepNext w:val="0"/>
        <w:keepLines w:val="0"/>
        <w:pageBreakBefore w:val="0"/>
        <w:kinsoku/>
        <w:wordWrap/>
        <w:overflowPunct/>
        <w:topLinePunct w:val="0"/>
        <w:autoSpaceDE/>
        <w:autoSpaceDN/>
        <w:bidi w:val="0"/>
        <w:spacing w:line="572" w:lineRule="exact"/>
        <w:jc w:val="left"/>
        <w:textAlignment w:val="auto"/>
        <w:outlineLvl w:val="0"/>
        <w:rPr>
          <w:rFonts w:hint="eastAsia" w:ascii="Times New Roman" w:hAnsi="Times New Roman" w:eastAsia="黑体" w:cs="方正小标宋简体"/>
          <w:color w:val="auto"/>
          <w:sz w:val="44"/>
          <w:szCs w:val="44"/>
          <w:highlight w:val="none"/>
          <w:lang w:val="en-US" w:eastAsia="zh-CN"/>
        </w:rPr>
      </w:pPr>
      <w:r>
        <w:rPr>
          <w:rFonts w:hint="eastAsia" w:ascii="Times New Roman" w:hAnsi="Times New Roman" w:eastAsia="黑体" w:cs="黑体"/>
          <w:color w:val="auto"/>
          <w:sz w:val="32"/>
          <w:szCs w:val="32"/>
          <w:highlight w:val="none"/>
        </w:rPr>
        <w:t>附件</w:t>
      </w:r>
      <w:r>
        <w:rPr>
          <w:rFonts w:hint="eastAsia" w:ascii="Times New Roman" w:hAnsi="Times New Roman" w:eastAsia="黑体" w:cs="黑体"/>
          <w:color w:val="auto"/>
          <w:sz w:val="32"/>
          <w:szCs w:val="32"/>
          <w:highlight w:val="none"/>
          <w:lang w:val="en-US" w:eastAsia="zh-CN"/>
        </w:rPr>
        <w:t>1</w:t>
      </w:r>
    </w:p>
    <w:p w14:paraId="19F50B07">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方正小标宋简体" w:cs="Times New Roman"/>
          <w:b w:val="0"/>
          <w:bCs/>
          <w:sz w:val="44"/>
          <w:szCs w:val="44"/>
          <w:highlight w:val="none"/>
          <w:shd w:val="clear" w:color="auto" w:fill="FFFFFF"/>
        </w:rPr>
      </w:pPr>
    </w:p>
    <w:p w14:paraId="42241C5E">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仿宋_GB2312" w:cs="Times New Roman"/>
          <w:sz w:val="32"/>
          <w:szCs w:val="32"/>
          <w:highlight w:val="none"/>
          <w:shd w:val="clear" w:color="auto" w:fill="FFFFFF"/>
        </w:rPr>
      </w:pPr>
      <w:r>
        <w:rPr>
          <w:rFonts w:hint="eastAsia" w:eastAsia="方正小标宋简体" w:cs="Times New Roman"/>
          <w:b w:val="0"/>
          <w:bCs/>
          <w:sz w:val="44"/>
          <w:szCs w:val="44"/>
          <w:highlight w:val="none"/>
          <w:shd w:val="clear" w:color="auto" w:fill="FFFFFF"/>
          <w:lang w:eastAsia="zh-CN"/>
        </w:rPr>
        <w:t>攀枝花市人民政府驻北京联络处</w:t>
      </w:r>
      <w:r>
        <w:rPr>
          <w:rFonts w:hint="eastAsia" w:eastAsia="方正小标宋简体" w:cs="Times New Roman"/>
          <w:b w:val="0"/>
          <w:bCs/>
          <w:sz w:val="44"/>
          <w:szCs w:val="44"/>
          <w:highlight w:val="none"/>
          <w:shd w:val="clear" w:color="auto" w:fill="FFFFFF"/>
          <w:lang w:val="en-US" w:eastAsia="zh-CN"/>
        </w:rPr>
        <w:t>2024年度</w:t>
      </w:r>
      <w:r>
        <w:rPr>
          <w:rFonts w:hint="default" w:ascii="Times New Roman" w:hAnsi="Times New Roman" w:eastAsia="方正小标宋简体" w:cs="Times New Roman"/>
          <w:b w:val="0"/>
          <w:bCs/>
          <w:sz w:val="44"/>
          <w:szCs w:val="44"/>
          <w:highlight w:val="none"/>
          <w:shd w:val="clear" w:color="auto" w:fill="FFFFFF"/>
        </w:rPr>
        <w:t>部门</w:t>
      </w:r>
      <w:r>
        <w:rPr>
          <w:rFonts w:hint="default" w:ascii="Times New Roman" w:hAnsi="Times New Roman" w:eastAsia="方正小标宋简体" w:cs="Times New Roman"/>
          <w:b w:val="0"/>
          <w:bCs/>
          <w:sz w:val="44"/>
          <w:szCs w:val="44"/>
          <w:highlight w:val="none"/>
          <w:shd w:val="clear" w:color="auto" w:fill="FFFFFF"/>
          <w:lang w:eastAsia="zh-CN"/>
        </w:rPr>
        <w:t>预算</w:t>
      </w:r>
      <w:r>
        <w:rPr>
          <w:rFonts w:hint="default" w:ascii="Times New Roman" w:hAnsi="Times New Roman" w:eastAsia="方正小标宋简体" w:cs="Times New Roman"/>
          <w:b w:val="0"/>
          <w:bCs/>
          <w:sz w:val="44"/>
          <w:szCs w:val="44"/>
          <w:highlight w:val="none"/>
          <w:shd w:val="clear" w:color="auto" w:fill="FFFFFF"/>
        </w:rPr>
        <w:t>绩效</w:t>
      </w:r>
      <w:r>
        <w:rPr>
          <w:rFonts w:hint="eastAsia" w:ascii="Times New Roman" w:hAnsi="Times New Roman" w:eastAsia="方正小标宋简体" w:cs="Times New Roman"/>
          <w:b w:val="0"/>
          <w:bCs/>
          <w:sz w:val="44"/>
          <w:szCs w:val="44"/>
          <w:highlight w:val="none"/>
          <w:shd w:val="clear" w:color="auto" w:fill="FFFFFF"/>
          <w:lang w:eastAsia="zh-CN"/>
        </w:rPr>
        <w:t>评价</w:t>
      </w:r>
      <w:r>
        <w:rPr>
          <w:rFonts w:hint="default" w:ascii="Times New Roman" w:hAnsi="Times New Roman" w:eastAsia="方正小标宋简体" w:cs="Times New Roman"/>
          <w:b w:val="0"/>
          <w:bCs/>
          <w:sz w:val="44"/>
          <w:szCs w:val="44"/>
          <w:highlight w:val="none"/>
          <w:shd w:val="clear" w:color="auto" w:fill="FFFFFF"/>
        </w:rPr>
        <w:t>报告</w:t>
      </w:r>
    </w:p>
    <w:p w14:paraId="770F8947">
      <w:pPr>
        <w:keepNext w:val="0"/>
        <w:keepLines w:val="0"/>
        <w:pageBreakBefore w:val="0"/>
        <w:widowControl/>
        <w:kinsoku/>
        <w:wordWrap/>
        <w:overflowPunct/>
        <w:topLinePunct w:val="0"/>
        <w:autoSpaceDE/>
        <w:autoSpaceDN/>
        <w:bidi w:val="0"/>
        <w:adjustRightInd w:val="0"/>
        <w:snapToGrid w:val="0"/>
        <w:spacing w:line="578" w:lineRule="exact"/>
        <w:ind w:firstLine="480" w:firstLineChars="200"/>
        <w:contextualSpacing/>
        <w:jc w:val="left"/>
        <w:textAlignment w:val="auto"/>
        <w:outlineLvl w:val="9"/>
        <w:rPr>
          <w:rFonts w:hint="default" w:ascii="Times New Roman" w:hAnsi="Times New Roman" w:eastAsia="黑体" w:cs="Times New Roman"/>
          <w:color w:val="000000"/>
          <w:kern w:val="0"/>
          <w:sz w:val="24"/>
          <w:szCs w:val="32"/>
          <w:highlight w:val="none"/>
          <w:shd w:val="clear" w:color="auto" w:fill="FFFFFF"/>
        </w:rPr>
      </w:pPr>
    </w:p>
    <w:p w14:paraId="02C11326">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000000"/>
          <w:kern w:val="0"/>
          <w:sz w:val="32"/>
          <w:szCs w:val="32"/>
          <w:highlight w:val="none"/>
          <w:shd w:val="clear" w:color="auto" w:fill="FFFFFF"/>
          <w:lang w:val="zh-CN"/>
        </w:rPr>
      </w:pPr>
      <w:r>
        <w:rPr>
          <w:rFonts w:hint="eastAsia" w:ascii="Times New Roman" w:hAnsi="Times New Roman" w:eastAsia="黑体" w:cs="Times New Roman"/>
          <w:color w:val="000000"/>
          <w:kern w:val="0"/>
          <w:sz w:val="32"/>
          <w:szCs w:val="32"/>
          <w:highlight w:val="none"/>
          <w:shd w:val="clear" w:color="auto" w:fill="FFFFFF"/>
          <w:lang w:val="zh-CN"/>
        </w:rPr>
        <w:t>一、</w:t>
      </w:r>
      <w:r>
        <w:rPr>
          <w:rFonts w:hint="default" w:ascii="Times New Roman" w:hAnsi="Times New Roman" w:eastAsia="黑体" w:cs="Times New Roman"/>
          <w:color w:val="000000"/>
          <w:kern w:val="0"/>
          <w:sz w:val="32"/>
          <w:szCs w:val="32"/>
          <w:highlight w:val="none"/>
          <w:shd w:val="clear" w:color="auto" w:fill="FFFFFF"/>
          <w:lang w:val="zh-CN"/>
        </w:rPr>
        <w:t>部门（单位）基本情况</w:t>
      </w:r>
    </w:p>
    <w:p w14:paraId="46969598">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楷体_GB2312" w:cs="楷体_GB2312"/>
          <w:b/>
          <w:color w:val="auto"/>
          <w:sz w:val="32"/>
          <w:szCs w:val="32"/>
          <w:highlight w:val="none"/>
          <w:lang w:val="zh-CN"/>
        </w:rPr>
        <w:t>（一）</w:t>
      </w:r>
      <w:r>
        <w:rPr>
          <w:rFonts w:hint="default" w:ascii="Times New Roman" w:hAnsi="Times New Roman" w:eastAsia="楷体_GB2312" w:cs="楷体_GB2312"/>
          <w:b/>
          <w:color w:val="auto"/>
          <w:sz w:val="32"/>
          <w:szCs w:val="32"/>
          <w:highlight w:val="none"/>
          <w:lang w:val="zh-CN"/>
        </w:rPr>
        <w:t>机构组成。</w:t>
      </w:r>
      <w:r>
        <w:rPr>
          <w:rFonts w:hint="eastAsia" w:ascii="Times New Roman" w:hAnsi="Times New Roman" w:eastAsia="仿宋_GB2312" w:cs="仿宋_GB2312"/>
          <w:color w:val="auto"/>
          <w:kern w:val="2"/>
          <w:sz w:val="32"/>
          <w:szCs w:val="32"/>
          <w:highlight w:val="none"/>
          <w:lang w:val="en-US" w:eastAsia="zh-CN" w:bidi="ar-SA"/>
        </w:rPr>
        <w:t>攀枝花市人民政府驻北京联络处内设综合科及联络科两个科室，下属财务不独立公益一类事业单位1个。</w:t>
      </w:r>
    </w:p>
    <w:p w14:paraId="6C132580">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both"/>
        <w:textAlignment w:val="auto"/>
        <w:outlineLvl w:val="9"/>
        <w:rPr>
          <w:rFonts w:hint="default" w:ascii="Times New Roman" w:hAnsi="Times New Roman" w:eastAsia="楷体_GB2312" w:cs="Times New Roman"/>
          <w:b/>
          <w:bCs/>
          <w:color w:val="000000"/>
          <w:kern w:val="0"/>
          <w:szCs w:val="32"/>
          <w:highlight w:val="none"/>
          <w:shd w:val="clear" w:color="auto" w:fill="FFFFFF"/>
          <w:lang w:val="zh-CN"/>
        </w:rPr>
      </w:pPr>
      <w:r>
        <w:rPr>
          <w:rFonts w:hint="default" w:ascii="Times New Roman" w:hAnsi="Times New Roman" w:eastAsia="楷体_GB2312" w:cs="楷体_GB2312"/>
          <w:b/>
          <w:color w:val="auto"/>
          <w:sz w:val="32"/>
          <w:szCs w:val="32"/>
          <w:highlight w:val="none"/>
          <w:lang w:val="zh-CN"/>
        </w:rPr>
        <w:t>（二）机构职能</w:t>
      </w:r>
      <w:r>
        <w:rPr>
          <w:rFonts w:hint="eastAsia" w:ascii="Times New Roman" w:hAnsi="Times New Roman" w:eastAsia="楷体_GB2312" w:cs="楷体_GB2312"/>
          <w:b/>
          <w:color w:val="auto"/>
          <w:sz w:val="32"/>
          <w:szCs w:val="32"/>
          <w:highlight w:val="none"/>
          <w:lang w:val="zh-CN"/>
        </w:rPr>
        <w:t>。</w:t>
      </w:r>
      <w:r>
        <w:rPr>
          <w:rFonts w:hint="eastAsia" w:ascii="Times New Roman" w:hAnsi="Times New Roman" w:eastAsia="仿宋_GB2312" w:cs="仿宋_GB2312"/>
          <w:color w:val="auto"/>
          <w:kern w:val="2"/>
          <w:sz w:val="32"/>
          <w:szCs w:val="32"/>
          <w:highlight w:val="none"/>
          <w:lang w:val="en-US" w:eastAsia="zh-CN" w:bidi="ar-SA"/>
        </w:rPr>
        <w:t>根据《攀枝花市人民政府办公室　关于印发攀枝花市人民政府驻北京联络处主要职责内设机构和人员编制规定的通知》（攀办发﹝2011﹞46号），攀枝花市人民政府驻北京联络处主要职责为：1、负责与中央国家机关和相关驻京机构的联络。2、开展宣传、联络、协调、信息收集与传递工作，为市委、市政府决策提供参考。3、开展招商引资和区域间经济、技术、人才、文化交流与合作。4、承担有关接待工作，为市级</w:t>
      </w:r>
      <w:r>
        <w:rPr>
          <w:rFonts w:hint="eastAsia" w:eastAsia="仿宋_GB2312" w:cs="仿宋_GB2312"/>
          <w:color w:val="auto"/>
          <w:kern w:val="2"/>
          <w:sz w:val="32"/>
          <w:szCs w:val="32"/>
          <w:highlight w:val="none"/>
          <w:lang w:val="en-US" w:eastAsia="zh-CN" w:bidi="ar-SA"/>
        </w:rPr>
        <w:t>单位</w:t>
      </w:r>
      <w:r>
        <w:rPr>
          <w:rFonts w:hint="eastAsia" w:ascii="Times New Roman" w:hAnsi="Times New Roman" w:eastAsia="仿宋_GB2312" w:cs="仿宋_GB2312"/>
          <w:color w:val="auto"/>
          <w:kern w:val="2"/>
          <w:sz w:val="32"/>
          <w:szCs w:val="32"/>
          <w:highlight w:val="none"/>
          <w:lang w:val="en-US" w:eastAsia="zh-CN" w:bidi="ar-SA"/>
        </w:rPr>
        <w:t>、县（区）、企事业单位以及基层组织、社会组织和人民群众在京活动提供服务。5、协助做好我市在京流动党员教育管理服务工作，配合做好维护首都稳定的有关工作。6、负责对联络处的国有资产进行监督管理。7、承办市委、市政府和主管</w:t>
      </w:r>
      <w:r>
        <w:rPr>
          <w:rFonts w:hint="eastAsia" w:eastAsia="仿宋_GB2312" w:cs="仿宋_GB2312"/>
          <w:color w:val="auto"/>
          <w:kern w:val="2"/>
          <w:sz w:val="32"/>
          <w:szCs w:val="32"/>
          <w:highlight w:val="none"/>
          <w:lang w:val="en-US" w:eastAsia="zh-CN" w:bidi="ar-SA"/>
        </w:rPr>
        <w:t>单位</w:t>
      </w:r>
      <w:r>
        <w:rPr>
          <w:rFonts w:hint="eastAsia" w:ascii="Times New Roman" w:hAnsi="Times New Roman" w:eastAsia="仿宋_GB2312" w:cs="仿宋_GB2312"/>
          <w:color w:val="auto"/>
          <w:kern w:val="2"/>
          <w:sz w:val="32"/>
          <w:szCs w:val="32"/>
          <w:highlight w:val="none"/>
          <w:lang w:val="en-US" w:eastAsia="zh-CN" w:bidi="ar-SA"/>
        </w:rPr>
        <w:t>交办的其它工作。</w:t>
      </w:r>
    </w:p>
    <w:p w14:paraId="53C5F94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cs="Times New Roman"/>
          <w:szCs w:val="32"/>
        </w:rPr>
      </w:pP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三</w:t>
      </w:r>
      <w:r>
        <w:rPr>
          <w:rFonts w:hint="default" w:ascii="Times New Roman" w:hAnsi="Times New Roman" w:eastAsia="楷体_GB2312" w:cs="Times New Roman"/>
          <w:b/>
          <w:bCs/>
          <w:color w:val="000000"/>
          <w:kern w:val="0"/>
          <w:sz w:val="32"/>
          <w:szCs w:val="32"/>
          <w:highlight w:val="none"/>
          <w:shd w:val="clear" w:color="auto" w:fill="FFFFFF"/>
          <w:lang w:val="zh-CN"/>
        </w:rPr>
        <w:t>）人员概况</w:t>
      </w:r>
      <w:r>
        <w:rPr>
          <w:rFonts w:hint="eastAsia" w:ascii="Times New Roman" w:hAnsi="Times New Roman" w:eastAsia="楷体_GB2312" w:cs="Times New Roman"/>
          <w:b/>
          <w:bCs/>
          <w:color w:val="000000"/>
          <w:kern w:val="0"/>
          <w:sz w:val="32"/>
          <w:szCs w:val="32"/>
          <w:highlight w:val="none"/>
          <w:shd w:val="clear" w:color="auto" w:fill="FFFFFF"/>
          <w:lang w:val="zh-CN"/>
        </w:rPr>
        <w:t>。</w:t>
      </w:r>
      <w:r>
        <w:rPr>
          <w:rFonts w:hint="default" w:ascii="Times New Roman" w:hAnsi="Times New Roman" w:eastAsia="仿宋_GB2312" w:cs="Times New Roman"/>
          <w:sz w:val="32"/>
          <w:szCs w:val="32"/>
          <w:lang w:val="en-US" w:eastAsia="zh-CN"/>
        </w:rPr>
        <w:t>截至2024年末，市政府驻北京联络处及下属单位编制情况为：行政编制4人，工勤编制2人，事业编制2人。年末实有人数情况为：行政人员3人，86号文工勤编制人员1人，事业人员1人。</w:t>
      </w:r>
    </w:p>
    <w:p w14:paraId="0B4F29EB">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000000"/>
          <w:kern w:val="0"/>
          <w:sz w:val="32"/>
          <w:szCs w:val="32"/>
          <w:highlight w:val="none"/>
          <w:shd w:val="clear" w:color="auto" w:fill="FFFFFF"/>
          <w:lang w:val="zh-CN" w:eastAsia="zh-CN"/>
        </w:rPr>
      </w:pPr>
      <w:r>
        <w:rPr>
          <w:rFonts w:hint="default" w:ascii="Times New Roman" w:hAnsi="Times New Roman" w:eastAsia="黑体" w:cs="Times New Roman"/>
          <w:color w:val="000000"/>
          <w:kern w:val="0"/>
          <w:sz w:val="32"/>
          <w:szCs w:val="32"/>
          <w:highlight w:val="none"/>
          <w:shd w:val="clear" w:color="auto" w:fill="FFFFFF"/>
          <w:lang w:val="zh-CN" w:eastAsia="zh-CN"/>
        </w:rPr>
        <w:t>二、部门资金收支情况</w:t>
      </w:r>
    </w:p>
    <w:p w14:paraId="676519C3">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eastAsia" w:ascii="Times New Roman" w:hAnsi="Times New Roman" w:eastAsia="仿宋_GB2312" w:cs="仿宋_GB2312"/>
          <w:color w:val="auto"/>
          <w:kern w:val="2"/>
          <w:sz w:val="32"/>
          <w:szCs w:val="32"/>
          <w:highlight w:val="none"/>
          <w:lang w:val="en-US" w:eastAsia="zh-CN" w:bidi="ar-SA"/>
        </w:rPr>
      </w:pPr>
      <w:r>
        <w:rPr>
          <w:rFonts w:hint="default" w:ascii="Times New Roman" w:hAnsi="Times New Roman" w:eastAsia="楷体_GB2312" w:cs="Times New Roman"/>
          <w:b/>
          <w:bCs/>
          <w:color w:val="000000"/>
          <w:kern w:val="0"/>
          <w:sz w:val="32"/>
          <w:szCs w:val="32"/>
          <w:highlight w:val="none"/>
          <w:shd w:val="clear" w:color="auto" w:fill="FFFFFF"/>
          <w:lang w:val="zh-CN"/>
        </w:rPr>
        <w:t>（一）</w:t>
      </w:r>
      <w:r>
        <w:rPr>
          <w:rFonts w:hint="eastAsia" w:ascii="Times New Roman" w:hAnsi="Times New Roman" w:eastAsia="楷体_GB2312" w:cs="Times New Roman"/>
          <w:b/>
          <w:bCs/>
          <w:color w:val="000000"/>
          <w:kern w:val="0"/>
          <w:sz w:val="32"/>
          <w:szCs w:val="32"/>
          <w:highlight w:val="none"/>
          <w:shd w:val="clear" w:color="auto" w:fill="FFFFFF"/>
          <w:lang w:val="zh-CN"/>
        </w:rPr>
        <w:t>收入情况</w:t>
      </w: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仿宋_GB2312" w:cs="仿宋_GB2312"/>
          <w:color w:val="auto"/>
          <w:kern w:val="2"/>
          <w:sz w:val="32"/>
          <w:szCs w:val="32"/>
          <w:highlight w:val="none"/>
          <w:lang w:val="en-US" w:eastAsia="zh-CN" w:bidi="ar-SA"/>
        </w:rPr>
        <w:t>市政府驻北京联络处2024年年初预算收入255.42万元、决算报表收入237.41万元。</w:t>
      </w:r>
    </w:p>
    <w:p w14:paraId="7B59D833">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both"/>
        <w:textAlignment w:val="auto"/>
        <w:outlineLvl w:val="9"/>
        <w:rPr>
          <w:rFonts w:hint="eastAsia" w:ascii="Times New Roman" w:hAnsi="Times New Roman" w:eastAsia="仿宋_GB2312" w:cs="仿宋_GB2312"/>
          <w:color w:val="auto"/>
          <w:kern w:val="2"/>
          <w:sz w:val="32"/>
          <w:szCs w:val="32"/>
          <w:highlight w:val="none"/>
          <w:lang w:val="en-US" w:eastAsia="zh-CN" w:bidi="ar-SA"/>
        </w:rPr>
      </w:pP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二</w:t>
      </w: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支出情况</w:t>
      </w: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仿宋_GB2312" w:cs="仿宋_GB2312"/>
          <w:color w:val="auto"/>
          <w:kern w:val="2"/>
          <w:sz w:val="32"/>
          <w:szCs w:val="32"/>
          <w:highlight w:val="none"/>
          <w:lang w:val="en-US" w:eastAsia="zh-CN" w:bidi="ar-SA"/>
        </w:rPr>
        <w:t>市政府驻北京联络处2024年年初预算支出为255.42万元、决算报表支出237.41万元，主要包括联络处人员支出，含职工基本工资、津贴补贴、绩效工资等工资性支出等；保证养老保险、医疗保险、失业保险、住房公积金等按期足额上缴；保障联络处日常工作正常开展，保障业务工作圆满完成；支付房屋租赁费，让联络处人员有固定生活居住场所；为攀枝花在京宣传推介、招商引资、招才引智、服务联络、协助做好首都社会稳定等工作提供保障，展示攀枝花发展成果，打造攀枝花在京形象展示的“样板间”。</w:t>
      </w:r>
    </w:p>
    <w:p w14:paraId="06106860">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eastAsia" w:ascii="Times New Roman" w:hAnsi="Times New Roman" w:eastAsia="仿宋_GB2312" w:cs="仿宋_GB2312"/>
          <w:b w:val="0"/>
          <w:bCs w:val="0"/>
          <w:color w:val="auto"/>
          <w:kern w:val="2"/>
          <w:sz w:val="32"/>
          <w:szCs w:val="32"/>
          <w:highlight w:val="none"/>
          <w:shd w:val="clear" w:color="auto" w:fill="FFFFFF"/>
          <w:lang w:val="en-US" w:eastAsia="zh-CN" w:bidi="ar-SA"/>
        </w:rPr>
      </w:pP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三</w:t>
      </w:r>
      <w:r>
        <w:rPr>
          <w:rFonts w:hint="default" w:ascii="Times New Roman" w:hAnsi="Times New Roman" w:eastAsia="楷体_GB2312" w:cs="Times New Roman"/>
          <w:b/>
          <w:bCs/>
          <w:color w:val="000000"/>
          <w:kern w:val="0"/>
          <w:sz w:val="32"/>
          <w:szCs w:val="32"/>
          <w:highlight w:val="none"/>
          <w:shd w:val="clear" w:color="auto" w:fill="FFFFFF"/>
          <w:lang w:val="zh-CN"/>
        </w:rPr>
        <w:t>）结余分配和结转结余情况</w:t>
      </w:r>
      <w:r>
        <w:rPr>
          <w:rFonts w:hint="eastAsia" w:ascii="Times New Roman" w:hAnsi="Times New Roman" w:eastAsia="楷体_GB2312" w:cs="Times New Roman"/>
          <w:b/>
          <w:bCs/>
          <w:color w:val="000000"/>
          <w:kern w:val="0"/>
          <w:sz w:val="32"/>
          <w:szCs w:val="32"/>
          <w:highlight w:val="none"/>
          <w:shd w:val="clear" w:color="auto" w:fill="FFFFFF"/>
          <w:lang w:val="zh-CN" w:eastAsia="zh-CN"/>
        </w:rPr>
        <w:t>。</w:t>
      </w:r>
      <w:r>
        <w:rPr>
          <w:rFonts w:hint="eastAsia" w:ascii="Times New Roman" w:hAnsi="Times New Roman" w:eastAsia="仿宋_GB2312" w:cs="仿宋_GB2312"/>
          <w:color w:val="auto"/>
          <w:kern w:val="2"/>
          <w:sz w:val="32"/>
          <w:szCs w:val="32"/>
          <w:highlight w:val="none"/>
          <w:lang w:val="en-US" w:eastAsia="zh-CN" w:bidi="ar-SA"/>
        </w:rPr>
        <w:t>市政府驻北京联络处2024年决算报表无结转结余。</w:t>
      </w:r>
    </w:p>
    <w:p w14:paraId="018FA08D">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000000"/>
          <w:kern w:val="0"/>
          <w:sz w:val="32"/>
          <w:szCs w:val="32"/>
          <w:highlight w:val="none"/>
          <w:shd w:val="clear" w:color="auto" w:fill="FFFFFF"/>
          <w:lang w:val="zh-CN" w:eastAsia="zh-CN"/>
        </w:rPr>
      </w:pPr>
      <w:r>
        <w:rPr>
          <w:rFonts w:hint="default" w:ascii="Times New Roman" w:hAnsi="Times New Roman" w:eastAsia="黑体" w:cs="Times New Roman"/>
          <w:color w:val="000000"/>
          <w:kern w:val="0"/>
          <w:sz w:val="32"/>
          <w:szCs w:val="32"/>
          <w:highlight w:val="none"/>
          <w:shd w:val="clear" w:color="auto" w:fill="FFFFFF"/>
          <w:lang w:val="zh-CN" w:eastAsia="zh-CN"/>
        </w:rPr>
        <w:t>三、部门预算绩效分析</w:t>
      </w:r>
    </w:p>
    <w:p w14:paraId="4A9328A8">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default" w:ascii="Times New Roman" w:hAnsi="Times New Roman" w:eastAsia="仿宋_GB2312" w:cs="仿宋_GB2312"/>
          <w:color w:val="auto"/>
          <w:kern w:val="2"/>
          <w:sz w:val="32"/>
          <w:szCs w:val="32"/>
          <w:highlight w:val="none"/>
          <w:lang w:val="zh-CN" w:eastAsia="zh-CN" w:bidi="ar-SA"/>
        </w:rPr>
      </w:pPr>
      <w:r>
        <w:rPr>
          <w:rFonts w:hint="default" w:ascii="Times New Roman" w:hAnsi="Times New Roman" w:eastAsia="楷体_GB2312" w:cs="Times New Roman"/>
          <w:b/>
          <w:bCs/>
          <w:color w:val="000000"/>
          <w:kern w:val="0"/>
          <w:sz w:val="32"/>
          <w:szCs w:val="32"/>
          <w:highlight w:val="none"/>
          <w:shd w:val="clear" w:color="auto" w:fill="FFFFFF"/>
          <w:lang w:val="zh-CN"/>
        </w:rPr>
        <w:t>（一）</w:t>
      </w:r>
      <w:r>
        <w:rPr>
          <w:rFonts w:hint="eastAsia" w:ascii="Times New Roman" w:hAnsi="Times New Roman" w:eastAsia="楷体_GB2312" w:cs="Times New Roman"/>
          <w:b/>
          <w:bCs/>
          <w:color w:val="000000"/>
          <w:kern w:val="0"/>
          <w:sz w:val="32"/>
          <w:szCs w:val="32"/>
          <w:highlight w:val="none"/>
          <w:shd w:val="clear" w:color="auto" w:fill="FFFFFF"/>
          <w:lang w:val="zh-CN"/>
        </w:rPr>
        <w:t>部门预算</w:t>
      </w:r>
      <w:r>
        <w:rPr>
          <w:rFonts w:hint="default" w:ascii="Times New Roman" w:hAnsi="Times New Roman" w:eastAsia="楷体_GB2312" w:cs="Times New Roman"/>
          <w:b/>
          <w:bCs/>
          <w:color w:val="000000"/>
          <w:kern w:val="0"/>
          <w:sz w:val="32"/>
          <w:szCs w:val="32"/>
          <w:highlight w:val="none"/>
          <w:shd w:val="clear" w:color="auto" w:fill="FFFFFF"/>
          <w:lang w:val="zh-CN"/>
        </w:rPr>
        <w:t>总体绩效分析。</w:t>
      </w:r>
    </w:p>
    <w:p w14:paraId="0F3C69F4">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zh-CN" w:eastAsia="zh-CN" w:bidi="ar-SA"/>
        </w:rPr>
        <w:t>履职效能。一是强化了联络处对外联络平台，为攀枝花在京宣传推介、对外联络等提供了服务，为我市争取更多的支持和帮助；二是为攀枝花在京招商引资，招才引智，助力攀枝花经济高质量发展；三是协助处理好信访维稳相关事宜，保证了“三个不发生”底线，维护了首都稳定。</w:t>
      </w:r>
    </w:p>
    <w:p w14:paraId="02B85869">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2.</w:t>
      </w:r>
      <w:r>
        <w:rPr>
          <w:rFonts w:hint="default" w:ascii="Times New Roman" w:hAnsi="Times New Roman" w:eastAsia="仿宋_GB2312" w:cs="仿宋_GB2312"/>
          <w:color w:val="auto"/>
          <w:kern w:val="2"/>
          <w:sz w:val="32"/>
          <w:szCs w:val="32"/>
          <w:highlight w:val="none"/>
          <w:lang w:val="zh-CN" w:eastAsia="zh-CN" w:bidi="ar-SA"/>
        </w:rPr>
        <w:t>预算管理</w:t>
      </w:r>
      <w:r>
        <w:rPr>
          <w:rFonts w:hint="eastAsia" w:ascii="Times New Roman" w:hAnsi="Times New Roman" w:eastAsia="仿宋_GB2312" w:cs="仿宋_GB2312"/>
          <w:color w:val="auto"/>
          <w:kern w:val="2"/>
          <w:sz w:val="32"/>
          <w:szCs w:val="32"/>
          <w:highlight w:val="none"/>
          <w:lang w:val="zh-CN" w:eastAsia="zh-CN" w:bidi="ar-SA"/>
        </w:rPr>
        <w:t>。</w:t>
      </w:r>
      <w:r>
        <w:rPr>
          <w:rFonts w:hint="eastAsia" w:eastAsia="仿宋_GB2312" w:cs="仿宋_GB2312"/>
          <w:color w:val="auto"/>
          <w:kern w:val="2"/>
          <w:sz w:val="32"/>
          <w:szCs w:val="32"/>
          <w:highlight w:val="none"/>
          <w:lang w:val="zh-CN" w:eastAsia="zh-CN" w:bidi="ar-SA"/>
        </w:rPr>
        <w:t>市政府驻北京联络处</w:t>
      </w:r>
      <w:r>
        <w:rPr>
          <w:rFonts w:hint="eastAsia" w:ascii="Times New Roman" w:hAnsi="Times New Roman" w:eastAsia="仿宋_GB2312" w:cs="仿宋_GB2312"/>
          <w:color w:val="auto"/>
          <w:kern w:val="2"/>
          <w:sz w:val="32"/>
          <w:szCs w:val="32"/>
          <w:highlight w:val="none"/>
          <w:lang w:val="zh-CN" w:eastAsia="zh-CN" w:bidi="ar-SA"/>
        </w:rPr>
        <w:t>预算编制质量</w:t>
      </w:r>
      <w:r>
        <w:rPr>
          <w:rFonts w:hint="eastAsia" w:eastAsia="仿宋_GB2312" w:cs="仿宋_GB2312"/>
          <w:color w:val="auto"/>
          <w:kern w:val="2"/>
          <w:sz w:val="32"/>
          <w:szCs w:val="32"/>
          <w:highlight w:val="none"/>
          <w:lang w:val="zh-CN" w:eastAsia="zh-CN" w:bidi="ar-SA"/>
        </w:rPr>
        <w:t>较高</w:t>
      </w:r>
      <w:r>
        <w:rPr>
          <w:rFonts w:hint="eastAsia" w:ascii="Times New Roman" w:hAnsi="Times New Roman" w:eastAsia="仿宋_GB2312" w:cs="仿宋_GB2312"/>
          <w:color w:val="auto"/>
          <w:kern w:val="2"/>
          <w:sz w:val="32"/>
          <w:szCs w:val="32"/>
          <w:highlight w:val="none"/>
          <w:lang w:val="zh-CN" w:eastAsia="zh-CN" w:bidi="ar-SA"/>
        </w:rPr>
        <w:t>、单位收入统筹、支出执行进度</w:t>
      </w:r>
      <w:r>
        <w:rPr>
          <w:rFonts w:hint="eastAsia" w:eastAsia="仿宋_GB2312" w:cs="仿宋_GB2312"/>
          <w:color w:val="auto"/>
          <w:kern w:val="2"/>
          <w:sz w:val="32"/>
          <w:szCs w:val="32"/>
          <w:highlight w:val="none"/>
          <w:lang w:val="zh-CN" w:eastAsia="zh-CN" w:bidi="ar-SA"/>
        </w:rPr>
        <w:t>基本完成</w:t>
      </w:r>
      <w:r>
        <w:rPr>
          <w:rFonts w:hint="eastAsia" w:ascii="Times New Roman" w:hAnsi="Times New Roman" w:eastAsia="仿宋_GB2312" w:cs="仿宋_GB2312"/>
          <w:color w:val="auto"/>
          <w:kern w:val="2"/>
          <w:sz w:val="32"/>
          <w:szCs w:val="32"/>
          <w:highlight w:val="none"/>
          <w:lang w:val="zh-CN" w:eastAsia="zh-CN" w:bidi="ar-SA"/>
        </w:rPr>
        <w:t>、预算年终</w:t>
      </w:r>
      <w:r>
        <w:rPr>
          <w:rFonts w:hint="eastAsia" w:eastAsia="仿宋_GB2312" w:cs="仿宋_GB2312"/>
          <w:color w:val="auto"/>
          <w:kern w:val="2"/>
          <w:sz w:val="32"/>
          <w:szCs w:val="32"/>
          <w:highlight w:val="none"/>
          <w:lang w:val="zh-CN" w:eastAsia="zh-CN" w:bidi="ar-SA"/>
        </w:rPr>
        <w:t>无</w:t>
      </w:r>
      <w:r>
        <w:rPr>
          <w:rFonts w:hint="eastAsia" w:ascii="Times New Roman" w:hAnsi="Times New Roman" w:eastAsia="仿宋_GB2312" w:cs="仿宋_GB2312"/>
          <w:color w:val="auto"/>
          <w:kern w:val="2"/>
          <w:sz w:val="32"/>
          <w:szCs w:val="32"/>
          <w:highlight w:val="none"/>
          <w:lang w:val="zh-CN" w:eastAsia="zh-CN" w:bidi="ar-SA"/>
        </w:rPr>
        <w:t>结余、严控一般性支出。</w:t>
      </w:r>
    </w:p>
    <w:p w14:paraId="4767978D">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3.</w:t>
      </w:r>
      <w:r>
        <w:rPr>
          <w:rFonts w:hint="default" w:ascii="Times New Roman" w:hAnsi="Times New Roman" w:eastAsia="仿宋_GB2312" w:cs="仿宋_GB2312"/>
          <w:color w:val="auto"/>
          <w:kern w:val="2"/>
          <w:sz w:val="32"/>
          <w:szCs w:val="32"/>
          <w:highlight w:val="none"/>
          <w:lang w:val="zh-CN" w:eastAsia="zh-CN" w:bidi="ar-SA"/>
        </w:rPr>
        <w:t>财务管理</w:t>
      </w:r>
      <w:r>
        <w:rPr>
          <w:rFonts w:hint="eastAsia" w:ascii="Times New Roman" w:hAnsi="Times New Roman" w:eastAsia="仿宋_GB2312" w:cs="仿宋_GB2312"/>
          <w:color w:val="auto"/>
          <w:kern w:val="2"/>
          <w:sz w:val="32"/>
          <w:szCs w:val="32"/>
          <w:highlight w:val="none"/>
          <w:lang w:val="zh-CN" w:eastAsia="zh-CN" w:bidi="ar-SA"/>
        </w:rPr>
        <w:t>。人员类、运转类、特定目标类预算目标均基本完成，严格内部管理和支出控制，及时处置调整，基本按预计执行进度执行，无资金结余和违规记录。</w:t>
      </w:r>
    </w:p>
    <w:p w14:paraId="2AA21D1B">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4.</w:t>
      </w:r>
      <w:r>
        <w:rPr>
          <w:rFonts w:hint="default" w:ascii="Times New Roman" w:hAnsi="Times New Roman" w:eastAsia="仿宋_GB2312" w:cs="仿宋_GB2312"/>
          <w:color w:val="auto"/>
          <w:kern w:val="2"/>
          <w:sz w:val="32"/>
          <w:szCs w:val="32"/>
          <w:highlight w:val="none"/>
          <w:lang w:val="zh-CN" w:eastAsia="zh-CN" w:bidi="ar-SA"/>
        </w:rPr>
        <w:t>资产管理</w:t>
      </w:r>
      <w:r>
        <w:rPr>
          <w:rFonts w:hint="eastAsia" w:ascii="Times New Roman" w:hAnsi="Times New Roman" w:eastAsia="仿宋_GB2312" w:cs="仿宋_GB2312"/>
          <w:color w:val="auto"/>
          <w:kern w:val="2"/>
          <w:sz w:val="32"/>
          <w:szCs w:val="32"/>
          <w:highlight w:val="none"/>
          <w:lang w:val="zh-CN" w:eastAsia="zh-CN" w:bidi="ar-SA"/>
        </w:rPr>
        <w:t>。市政府驻北京联络处因年中调出1人，人均资产变化率较2023年增加、资产利用率较高、没有闲置或低效状态资产。</w:t>
      </w:r>
    </w:p>
    <w:p w14:paraId="1FE2E8AA">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5.</w:t>
      </w:r>
      <w:r>
        <w:rPr>
          <w:rFonts w:hint="default" w:ascii="Times New Roman" w:hAnsi="Times New Roman" w:eastAsia="仿宋_GB2312" w:cs="仿宋_GB2312"/>
          <w:color w:val="auto"/>
          <w:kern w:val="2"/>
          <w:sz w:val="32"/>
          <w:szCs w:val="32"/>
          <w:highlight w:val="none"/>
          <w:lang w:val="zh-CN" w:eastAsia="zh-CN" w:bidi="ar-SA"/>
        </w:rPr>
        <w:t>采购管理</w:t>
      </w:r>
      <w:r>
        <w:rPr>
          <w:rFonts w:hint="eastAsia" w:ascii="Times New Roman" w:hAnsi="Times New Roman" w:eastAsia="仿宋_GB2312" w:cs="仿宋_GB2312"/>
          <w:color w:val="auto"/>
          <w:kern w:val="2"/>
          <w:sz w:val="32"/>
          <w:szCs w:val="32"/>
          <w:highlight w:val="none"/>
          <w:lang w:val="zh-CN" w:eastAsia="zh-CN" w:bidi="ar-SA"/>
        </w:rPr>
        <w:t>。市政府驻北京联络处2024年度无采购计划和支出。</w:t>
      </w:r>
    </w:p>
    <w:p w14:paraId="17748A3F">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3" w:firstLineChars="200"/>
        <w:contextualSpacing/>
        <w:jc w:val="both"/>
        <w:textAlignment w:val="auto"/>
        <w:outlineLvl w:val="9"/>
        <w:rPr>
          <w:rFonts w:hint="default" w:ascii="Times New Roman" w:hAnsi="Times New Roman" w:eastAsia="仿宋_GB2312" w:cs="仿宋_GB2312"/>
          <w:color w:val="auto"/>
          <w:kern w:val="2"/>
          <w:sz w:val="32"/>
          <w:szCs w:val="32"/>
          <w:highlight w:val="none"/>
          <w:lang w:val="en-US" w:eastAsia="zh-CN" w:bidi="ar-SA"/>
        </w:rPr>
      </w:pPr>
      <w:r>
        <w:rPr>
          <w:rFonts w:hint="default" w:ascii="Times New Roman" w:hAnsi="Times New Roman" w:eastAsia="楷体_GB2312" w:cs="Times New Roman"/>
          <w:b/>
          <w:bCs/>
          <w:color w:val="000000"/>
          <w:kern w:val="0"/>
          <w:sz w:val="32"/>
          <w:szCs w:val="32"/>
          <w:highlight w:val="none"/>
          <w:shd w:val="clear" w:color="auto" w:fill="FFFFFF"/>
          <w:lang w:val="zh-CN"/>
        </w:rPr>
        <w:t>（二）部门预算项目绩效分析。</w:t>
      </w:r>
    </w:p>
    <w:p w14:paraId="75DDEB99">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default" w:ascii="Times New Roman" w:hAnsi="Times New Roman" w:eastAsia="仿宋_GB2312" w:cs="仿宋_GB2312"/>
          <w:color w:val="auto"/>
          <w:kern w:val="2"/>
          <w:sz w:val="32"/>
          <w:szCs w:val="32"/>
          <w:highlight w:val="none"/>
          <w:lang w:val="en-US" w:eastAsia="zh-CN" w:bidi="ar-SA"/>
        </w:rPr>
      </w:pPr>
      <w:r>
        <w:rPr>
          <w:rFonts w:hint="default" w:ascii="Times New Roman" w:hAnsi="Times New Roman" w:eastAsia="仿宋_GB2312" w:cs="仿宋_GB2312"/>
          <w:color w:val="auto"/>
          <w:kern w:val="2"/>
          <w:sz w:val="32"/>
          <w:szCs w:val="32"/>
          <w:highlight w:val="none"/>
          <w:lang w:val="en-US" w:eastAsia="zh-CN" w:bidi="ar-SA"/>
        </w:rPr>
        <w:t>常年项目绩效分析。该类项目总数2个，涉及预算总金额39.32万元，1—12月预算执行总体进度为100%，其中：预算结余率大于10%的项目共计0个。</w:t>
      </w:r>
    </w:p>
    <w:p w14:paraId="29280B39">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default" w:ascii="Times New Roman" w:hAnsi="Times New Roman" w:eastAsia="仿宋_GB2312" w:cs="仿宋_GB2312"/>
          <w:color w:val="auto"/>
          <w:kern w:val="2"/>
          <w:sz w:val="32"/>
          <w:szCs w:val="32"/>
          <w:highlight w:val="none"/>
          <w:lang w:val="en-US" w:eastAsia="zh-CN" w:bidi="ar-SA"/>
        </w:rPr>
      </w:pPr>
      <w:r>
        <w:rPr>
          <w:rFonts w:hint="default" w:ascii="Times New Roman" w:hAnsi="Times New Roman" w:eastAsia="仿宋_GB2312" w:cs="仿宋_GB2312"/>
          <w:color w:val="auto"/>
          <w:kern w:val="2"/>
          <w:sz w:val="32"/>
          <w:szCs w:val="32"/>
          <w:highlight w:val="none"/>
          <w:lang w:val="en-US" w:eastAsia="zh-CN" w:bidi="ar-SA"/>
        </w:rPr>
        <w:t>阶段（含一次性）项目绩效分析。该类项目总数0个，涉及预算总金额0万元，1—12月预算执行总体进度为0 %，其中：预算结余率大于10%的项目共计0个。</w:t>
      </w:r>
    </w:p>
    <w:p w14:paraId="497FD935">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zh-CN" w:eastAsia="zh-CN" w:bidi="ar-SA"/>
        </w:rPr>
        <w:t>项目决策。2024年度，联络处根据相关规定和要求对项目预算目标进行科学设置，通过集体决策，在市财政相关科室的指导下完成了项目入库，全面完成了年度</w:t>
      </w:r>
      <w:r>
        <w:rPr>
          <w:rFonts w:hint="eastAsia" w:eastAsia="仿宋_GB2312" w:cs="仿宋_GB2312"/>
          <w:color w:val="auto"/>
          <w:kern w:val="2"/>
          <w:sz w:val="32"/>
          <w:szCs w:val="32"/>
          <w:highlight w:val="none"/>
          <w:lang w:val="zh-CN" w:eastAsia="zh-CN" w:bidi="ar-SA"/>
        </w:rPr>
        <w:t>单位</w:t>
      </w:r>
      <w:r>
        <w:rPr>
          <w:rFonts w:hint="eastAsia" w:ascii="Times New Roman" w:hAnsi="Times New Roman" w:eastAsia="仿宋_GB2312" w:cs="仿宋_GB2312"/>
          <w:color w:val="auto"/>
          <w:kern w:val="2"/>
          <w:sz w:val="32"/>
          <w:szCs w:val="32"/>
          <w:highlight w:val="none"/>
          <w:lang w:val="zh-CN" w:eastAsia="zh-CN" w:bidi="ar-SA"/>
        </w:rPr>
        <w:t>预决算的编制、上报和信息公开。</w:t>
      </w:r>
    </w:p>
    <w:p w14:paraId="5E653521">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2.项目执行</w:t>
      </w:r>
      <w:r>
        <w:rPr>
          <w:rFonts w:hint="eastAsia" w:ascii="Times New Roman" w:hAnsi="Times New Roman" w:eastAsia="仿宋_GB2312" w:cs="仿宋_GB2312"/>
          <w:color w:val="auto"/>
          <w:kern w:val="2"/>
          <w:sz w:val="32"/>
          <w:szCs w:val="32"/>
          <w:highlight w:val="none"/>
          <w:lang w:val="zh-CN" w:eastAsia="zh-CN" w:bidi="ar-SA"/>
        </w:rPr>
        <w:t>。在市财政相关科室的专业指导下，市政府驻北京联络处在年度</w:t>
      </w:r>
      <w:r>
        <w:rPr>
          <w:rFonts w:hint="eastAsia" w:eastAsia="仿宋_GB2312" w:cs="仿宋_GB2312"/>
          <w:color w:val="auto"/>
          <w:kern w:val="2"/>
          <w:sz w:val="32"/>
          <w:szCs w:val="32"/>
          <w:highlight w:val="none"/>
          <w:lang w:val="zh-CN" w:eastAsia="zh-CN" w:bidi="ar-SA"/>
        </w:rPr>
        <w:t>单位</w:t>
      </w:r>
      <w:r>
        <w:rPr>
          <w:rFonts w:hint="eastAsia" w:ascii="Times New Roman" w:hAnsi="Times New Roman" w:eastAsia="仿宋_GB2312" w:cs="仿宋_GB2312"/>
          <w:color w:val="auto"/>
          <w:kern w:val="2"/>
          <w:sz w:val="32"/>
          <w:szCs w:val="32"/>
          <w:highlight w:val="none"/>
          <w:lang w:val="zh-CN" w:eastAsia="zh-CN" w:bidi="ar-SA"/>
        </w:rPr>
        <w:t>预算绩效目标执行过程中严格按规定完成了资金的申报和使用，能够做到事前评估报备使用财政资金，健全资金的管理及内部控制，确保了资金的安全，基础数据信息和会计信息资料真实、完整、准确。</w:t>
      </w:r>
    </w:p>
    <w:p w14:paraId="4101D9CC">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zh-CN" w:eastAsia="zh-CN" w:bidi="ar-SA"/>
        </w:rPr>
        <w:t>目标实现。市政府驻北京联络处严格按照市财政局要求统一制定、申报并使用财政资金，加强经费的审批和日常监管，控制各项经费支出，</w:t>
      </w:r>
      <w:r>
        <w:rPr>
          <w:rFonts w:hint="eastAsia" w:eastAsia="仿宋_GB2312" w:cs="仿宋_GB2312"/>
          <w:color w:val="auto"/>
          <w:kern w:val="2"/>
          <w:sz w:val="32"/>
          <w:szCs w:val="32"/>
          <w:highlight w:val="none"/>
          <w:lang w:val="zh-CN" w:eastAsia="zh-CN" w:bidi="ar-SA"/>
        </w:rPr>
        <w:t>单位</w:t>
      </w:r>
      <w:r>
        <w:rPr>
          <w:rFonts w:hint="eastAsia" w:ascii="Times New Roman" w:hAnsi="Times New Roman" w:eastAsia="仿宋_GB2312" w:cs="仿宋_GB2312"/>
          <w:color w:val="auto"/>
          <w:kern w:val="2"/>
          <w:sz w:val="32"/>
          <w:szCs w:val="32"/>
          <w:highlight w:val="none"/>
          <w:lang w:val="zh-CN" w:eastAsia="zh-CN" w:bidi="ar-SA"/>
        </w:rPr>
        <w:t>年度项目经费实际支出数与调整后预算安排数的比率为100%。全面实现了各项年初目标。</w:t>
      </w:r>
    </w:p>
    <w:p w14:paraId="67AFD94E">
      <w:pPr>
        <w:keepNext w:val="0"/>
        <w:keepLines w:val="0"/>
        <w:pageBreakBefore w:val="0"/>
        <w:widowControl w:val="0"/>
        <w:kinsoku/>
        <w:wordWrap/>
        <w:overflowPunct/>
        <w:topLinePunct w:val="0"/>
        <w:autoSpaceDE/>
        <w:autoSpaceDN/>
        <w:bidi w:val="0"/>
        <w:snapToGrid w:val="0"/>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市政府驻北京联络处2024年度一般公共预算绩效目标完成率为100%，没有政府性基金预算、国有资本经营预算安排的常年项目、阶段项目以及债券资金、政府购买服务等情况。</w:t>
      </w:r>
    </w:p>
    <w:p w14:paraId="109C59F0">
      <w:pPr>
        <w:keepNext w:val="0"/>
        <w:keepLines w:val="0"/>
        <w:pageBreakBefore w:val="0"/>
        <w:widowControl w:val="0"/>
        <w:kinsoku/>
        <w:wordWrap/>
        <w:overflowPunct/>
        <w:topLinePunct w:val="0"/>
        <w:autoSpaceDE/>
        <w:autoSpaceDN/>
        <w:bidi w:val="0"/>
        <w:snapToGrid w:val="0"/>
        <w:spacing w:line="600" w:lineRule="exact"/>
        <w:ind w:firstLine="643" w:firstLineChars="200"/>
        <w:textAlignment w:val="auto"/>
        <w:rPr>
          <w:rFonts w:hint="default" w:ascii="Times New Roman" w:hAnsi="Times New Roman" w:eastAsia="仿宋_GB2312" w:cs="Times New Roman"/>
          <w:sz w:val="32"/>
          <w:szCs w:val="32"/>
          <w:highlight w:val="none"/>
          <w:u w:val="none"/>
          <w:lang w:bidi="ar"/>
        </w:rPr>
      </w:pPr>
      <w:r>
        <w:rPr>
          <w:rFonts w:hint="default" w:ascii="Times New Roman" w:hAnsi="Times New Roman" w:eastAsia="楷体_GB2312" w:cs="Times New Roman"/>
          <w:b/>
          <w:bCs/>
          <w:color w:val="000000"/>
          <w:kern w:val="0"/>
          <w:sz w:val="32"/>
          <w:szCs w:val="32"/>
          <w:highlight w:val="none"/>
          <w:shd w:val="clear" w:color="auto" w:fill="FFFFFF"/>
          <w:lang w:val="zh-CN" w:eastAsia="zh-CN"/>
        </w:rPr>
        <w:t>（</w:t>
      </w:r>
      <w:r>
        <w:rPr>
          <w:rFonts w:hint="eastAsia" w:eastAsia="楷体_GB2312" w:cs="Times New Roman"/>
          <w:b/>
          <w:bCs/>
          <w:color w:val="000000"/>
          <w:kern w:val="0"/>
          <w:sz w:val="32"/>
          <w:szCs w:val="32"/>
          <w:highlight w:val="none"/>
          <w:shd w:val="clear" w:color="auto" w:fill="FFFFFF"/>
          <w:lang w:val="en-US" w:eastAsia="zh-CN"/>
        </w:rPr>
        <w:t>三</w:t>
      </w:r>
      <w:r>
        <w:rPr>
          <w:rFonts w:hint="default" w:ascii="Times New Roman" w:hAnsi="Times New Roman" w:eastAsia="楷体_GB2312" w:cs="Times New Roman"/>
          <w:b/>
          <w:bCs/>
          <w:color w:val="000000"/>
          <w:kern w:val="0"/>
          <w:sz w:val="32"/>
          <w:szCs w:val="32"/>
          <w:highlight w:val="none"/>
          <w:shd w:val="clear" w:color="auto" w:fill="FFFFFF"/>
          <w:lang w:val="zh-CN" w:eastAsia="zh-CN"/>
        </w:rPr>
        <w:t>）绩效结果应用情况</w:t>
      </w:r>
      <w:r>
        <w:rPr>
          <w:rFonts w:hint="eastAsia" w:ascii="Times New Roman" w:hAnsi="Times New Roman" w:eastAsia="楷体_GB2312" w:cs="Times New Roman"/>
          <w:b/>
          <w:bCs/>
          <w:color w:val="000000"/>
          <w:kern w:val="0"/>
          <w:sz w:val="32"/>
          <w:szCs w:val="32"/>
          <w:highlight w:val="none"/>
          <w:shd w:val="clear" w:color="auto" w:fill="FFFFFF"/>
          <w:lang w:val="zh-CN" w:eastAsia="zh-CN"/>
        </w:rPr>
        <w:t>。</w:t>
      </w:r>
      <w:r>
        <w:rPr>
          <w:rFonts w:hint="eastAsia" w:ascii="Times New Roman" w:hAnsi="Times New Roman" w:eastAsia="仿宋_GB2312" w:cs="Times New Roman"/>
          <w:sz w:val="32"/>
          <w:szCs w:val="32"/>
          <w:highlight w:val="none"/>
          <w:u w:val="none"/>
          <w:lang w:val="zh-CN" w:eastAsia="zh-CN" w:bidi="ar"/>
        </w:rPr>
        <w:t>联络处严格按照市财政局相关科室要求对预决算及绩效信息进行公开，但因没有公共外网，故联络处没有自行公开</w:t>
      </w:r>
      <w:r>
        <w:rPr>
          <w:rFonts w:hint="eastAsia" w:eastAsia="仿宋_GB2312" w:cs="Times New Roman"/>
          <w:sz w:val="32"/>
          <w:szCs w:val="32"/>
          <w:highlight w:val="none"/>
          <w:u w:val="none"/>
          <w:lang w:val="zh-CN" w:eastAsia="zh-CN" w:bidi="ar"/>
        </w:rPr>
        <w:t>单位</w:t>
      </w:r>
      <w:r>
        <w:rPr>
          <w:rFonts w:hint="eastAsia" w:ascii="Times New Roman" w:hAnsi="Times New Roman" w:eastAsia="仿宋_GB2312" w:cs="Times New Roman"/>
          <w:sz w:val="32"/>
          <w:szCs w:val="32"/>
          <w:highlight w:val="none"/>
          <w:u w:val="none"/>
          <w:lang w:val="zh-CN" w:eastAsia="zh-CN" w:bidi="ar"/>
        </w:rPr>
        <w:t>绩效目标和</w:t>
      </w:r>
      <w:r>
        <w:rPr>
          <w:rFonts w:hint="eastAsia" w:eastAsia="仿宋_GB2312" w:cs="Times New Roman"/>
          <w:sz w:val="32"/>
          <w:szCs w:val="32"/>
          <w:highlight w:val="none"/>
          <w:u w:val="none"/>
          <w:lang w:val="zh-CN" w:eastAsia="zh-CN" w:bidi="ar"/>
        </w:rPr>
        <w:t>单位</w:t>
      </w:r>
      <w:r>
        <w:rPr>
          <w:rFonts w:hint="eastAsia" w:ascii="Times New Roman" w:hAnsi="Times New Roman" w:eastAsia="仿宋_GB2312" w:cs="Times New Roman"/>
          <w:sz w:val="32"/>
          <w:szCs w:val="32"/>
          <w:highlight w:val="none"/>
          <w:u w:val="none"/>
          <w:lang w:val="zh-CN" w:eastAsia="zh-CN" w:bidi="ar"/>
        </w:rPr>
        <w:t>绩效评估报告，应用反馈较好。</w:t>
      </w:r>
    </w:p>
    <w:p w14:paraId="5D33FDF2">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000000"/>
          <w:kern w:val="0"/>
          <w:sz w:val="32"/>
          <w:szCs w:val="32"/>
          <w:highlight w:val="none"/>
          <w:shd w:val="clear" w:color="auto" w:fill="FFFFFF"/>
          <w:lang w:val="zh-CN"/>
        </w:rPr>
      </w:pPr>
      <w:r>
        <w:rPr>
          <w:rFonts w:hint="default" w:ascii="Times New Roman" w:hAnsi="Times New Roman" w:eastAsia="黑体" w:cs="Times New Roman"/>
          <w:color w:val="000000"/>
          <w:kern w:val="0"/>
          <w:sz w:val="32"/>
          <w:szCs w:val="32"/>
          <w:highlight w:val="none"/>
          <w:shd w:val="clear" w:color="auto" w:fill="FFFFFF"/>
          <w:lang w:val="zh-CN" w:eastAsia="zh-CN"/>
        </w:rPr>
        <w:t>四、</w:t>
      </w:r>
      <w:r>
        <w:rPr>
          <w:rFonts w:hint="default" w:ascii="Times New Roman" w:hAnsi="Times New Roman" w:eastAsia="黑体" w:cs="Times New Roman"/>
          <w:color w:val="000000"/>
          <w:kern w:val="0"/>
          <w:sz w:val="32"/>
          <w:szCs w:val="32"/>
          <w:highlight w:val="none"/>
          <w:shd w:val="clear" w:color="auto" w:fill="FFFFFF"/>
          <w:lang w:val="zh-CN"/>
        </w:rPr>
        <w:t>评价结论及建议</w:t>
      </w:r>
    </w:p>
    <w:p w14:paraId="68FF9F47">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default" w:ascii="Times New Roman" w:hAnsi="Times New Roman" w:eastAsia="仿宋_GB2312" w:cs="Times New Roman"/>
          <w:sz w:val="32"/>
          <w:szCs w:val="32"/>
          <w:u w:val="none"/>
          <w:lang w:val="en-US" w:eastAsia="zh-CN" w:bidi="ar"/>
        </w:rPr>
      </w:pPr>
      <w:r>
        <w:rPr>
          <w:rFonts w:hint="default" w:ascii="Times New Roman" w:hAnsi="Times New Roman" w:eastAsia="楷体_GB2312" w:cs="Times New Roman"/>
          <w:b/>
          <w:bCs/>
          <w:color w:val="000000"/>
          <w:kern w:val="0"/>
          <w:sz w:val="32"/>
          <w:szCs w:val="32"/>
          <w:highlight w:val="none"/>
          <w:shd w:val="clear" w:color="auto" w:fill="FFFFFF"/>
          <w:lang w:val="zh-CN"/>
        </w:rPr>
        <w:t>（一）评价结论。</w:t>
      </w:r>
      <w:r>
        <w:rPr>
          <w:rFonts w:hint="eastAsia" w:ascii="Times New Roman" w:hAnsi="Times New Roman" w:eastAsia="仿宋_GB2312" w:cs="Times New Roman"/>
          <w:sz w:val="32"/>
          <w:szCs w:val="32"/>
          <w:u w:val="none"/>
          <w:lang w:val="en-US" w:eastAsia="zh-CN" w:bidi="ar"/>
        </w:rPr>
        <w:t>一是基础管理责任实，领导高度重视，组织安排专人负责预算绩效管理工作，其他人员积极配合，将责任压实，工作做细；二是绩效评估管理严，联络处严格按照市财政局要求在规定时间内完成年度绩效目标；三是绩效监控管理工作细，按要求编报绩效目标开展事中绩效运行监控和每月</w:t>
      </w:r>
      <w:r>
        <w:rPr>
          <w:rFonts w:hint="eastAsia" w:eastAsia="仿宋_GB2312" w:cs="Times New Roman"/>
          <w:sz w:val="32"/>
          <w:szCs w:val="32"/>
          <w:u w:val="none"/>
          <w:lang w:val="en-US" w:eastAsia="zh-CN" w:bidi="ar"/>
        </w:rPr>
        <w:t>单位</w:t>
      </w:r>
      <w:r>
        <w:rPr>
          <w:rFonts w:hint="eastAsia" w:ascii="Times New Roman" w:hAnsi="Times New Roman" w:eastAsia="仿宋_GB2312" w:cs="Times New Roman"/>
          <w:sz w:val="32"/>
          <w:szCs w:val="32"/>
          <w:u w:val="none"/>
          <w:lang w:val="en-US" w:eastAsia="zh-CN" w:bidi="ar"/>
        </w:rPr>
        <w:t>项目监控；四是</w:t>
      </w:r>
      <w:r>
        <w:rPr>
          <w:rFonts w:hint="eastAsia" w:eastAsia="仿宋_GB2312" w:cs="Times New Roman"/>
          <w:sz w:val="32"/>
          <w:szCs w:val="32"/>
          <w:u w:val="none"/>
          <w:lang w:val="en-US" w:eastAsia="zh-CN" w:bidi="ar"/>
        </w:rPr>
        <w:t>单位</w:t>
      </w:r>
      <w:r>
        <w:rPr>
          <w:rFonts w:hint="eastAsia" w:ascii="Times New Roman" w:hAnsi="Times New Roman" w:eastAsia="仿宋_GB2312" w:cs="Times New Roman"/>
          <w:sz w:val="32"/>
          <w:szCs w:val="32"/>
          <w:u w:val="none"/>
          <w:lang w:val="en-US" w:eastAsia="zh-CN" w:bidi="ar"/>
        </w:rPr>
        <w:t>整体支出评价准，根据细化项自评分为96分。</w:t>
      </w:r>
    </w:p>
    <w:p w14:paraId="1F83EF0B">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eastAsia" w:ascii="Times New Roman" w:hAnsi="Times New Roman" w:eastAsia="仿宋_GB2312" w:cs="Times New Roman"/>
          <w:sz w:val="32"/>
          <w:szCs w:val="32"/>
          <w:u w:val="none"/>
          <w:lang w:val="en-US" w:eastAsia="zh-CN" w:bidi="ar"/>
        </w:rPr>
      </w:pPr>
      <w:r>
        <w:rPr>
          <w:rFonts w:hint="default" w:ascii="Times New Roman" w:hAnsi="Times New Roman" w:eastAsia="楷体_GB2312" w:cs="Times New Roman"/>
          <w:b/>
          <w:bCs/>
          <w:color w:val="000000"/>
          <w:kern w:val="0"/>
          <w:sz w:val="32"/>
          <w:szCs w:val="32"/>
          <w:highlight w:val="none"/>
          <w:shd w:val="clear" w:color="auto" w:fill="FFFFFF"/>
          <w:lang w:val="zh-CN"/>
        </w:rPr>
        <w:t>（二）存在问题。</w:t>
      </w:r>
      <w:r>
        <w:rPr>
          <w:rFonts w:hint="eastAsia" w:ascii="Times New Roman" w:hAnsi="Times New Roman" w:eastAsia="仿宋_GB2312" w:cs="Times New Roman"/>
          <w:sz w:val="32"/>
          <w:szCs w:val="32"/>
          <w:u w:val="none"/>
          <w:lang w:val="en-US" w:eastAsia="zh-CN" w:bidi="ar"/>
        </w:rPr>
        <w:t>执行过程中因实际工作情况原因，出现经费紧张出现先垫付后归垫的情况。</w:t>
      </w:r>
    </w:p>
    <w:p w14:paraId="30CAB1FC">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eastAsia" w:ascii="Times New Roman" w:hAnsi="Times New Roman" w:eastAsia="仿宋_GB2312" w:cs="Times New Roman"/>
          <w:sz w:val="32"/>
          <w:szCs w:val="32"/>
          <w:u w:val="none"/>
          <w:lang w:val="en-US" w:eastAsia="zh-CN" w:bidi="ar"/>
        </w:rPr>
      </w:pPr>
      <w:r>
        <w:rPr>
          <w:rFonts w:hint="default" w:ascii="Times New Roman" w:hAnsi="Times New Roman" w:eastAsia="楷体_GB2312" w:cs="Times New Roman"/>
          <w:b/>
          <w:bCs/>
          <w:color w:val="000000"/>
          <w:kern w:val="0"/>
          <w:sz w:val="32"/>
          <w:szCs w:val="32"/>
          <w:highlight w:val="none"/>
          <w:shd w:val="clear" w:color="auto" w:fill="FFFFFF"/>
          <w:lang w:val="zh-CN" w:eastAsia="zh-CN"/>
        </w:rPr>
        <w:t>（三）改进建议。</w:t>
      </w:r>
      <w:bookmarkStart w:id="55" w:name="_Hlk110546638"/>
      <w:r>
        <w:rPr>
          <w:rFonts w:hint="eastAsia" w:ascii="Times New Roman" w:hAnsi="Times New Roman" w:eastAsia="仿宋_GB2312" w:cs="Times New Roman"/>
          <w:sz w:val="32"/>
          <w:szCs w:val="32"/>
          <w:u w:val="none"/>
          <w:lang w:val="en-US" w:eastAsia="zh-CN" w:bidi="ar"/>
        </w:rPr>
        <w:t>联络处将继续坚持民主集中制，严格执行“三重一大”决策制度，强化相关人员的业务学习，提升能力本领，进一步压实责任，科学编制和使用预算项目，及时与市财政局等相关</w:t>
      </w:r>
      <w:r>
        <w:rPr>
          <w:rFonts w:hint="eastAsia" w:eastAsia="仿宋_GB2312" w:cs="Times New Roman"/>
          <w:sz w:val="32"/>
          <w:szCs w:val="32"/>
          <w:u w:val="none"/>
          <w:lang w:val="en-US" w:eastAsia="zh-CN" w:bidi="ar"/>
        </w:rPr>
        <w:t>单位</w:t>
      </w:r>
      <w:r>
        <w:rPr>
          <w:rFonts w:hint="eastAsia" w:ascii="Times New Roman" w:hAnsi="Times New Roman" w:eastAsia="仿宋_GB2312" w:cs="Times New Roman"/>
          <w:sz w:val="32"/>
          <w:szCs w:val="32"/>
          <w:u w:val="none"/>
          <w:lang w:val="en-US" w:eastAsia="zh-CN" w:bidi="ar"/>
        </w:rPr>
        <w:t>的沟通和汇报，加强事前绩效评估力度，严格科学预算执行，抓细抓好财政资金的绩效管理，达到预期目标。</w:t>
      </w:r>
    </w:p>
    <w:p w14:paraId="63B33F04">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ascii="Times New Roman" w:hAnsi="Times New Roman" w:eastAsia="仿宋_GB2312" w:cs="Times New Roman"/>
          <w:sz w:val="32"/>
          <w:szCs w:val="32"/>
          <w:u w:val="none"/>
          <w:lang w:val="en" w:eastAsia="zh-CN" w:bidi="ar"/>
        </w:rPr>
      </w:pPr>
    </w:p>
    <w:bookmarkEnd w:id="55"/>
    <w:p w14:paraId="241BDBB5">
      <w:pPr>
        <w:pStyle w:val="7"/>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Times New Roman" w:hAnsi="Times New Roman" w:eastAsia="仿宋_GB2312" w:cs="Times New Roman"/>
          <w:kern w:val="2"/>
          <w:sz w:val="32"/>
          <w:szCs w:val="32"/>
          <w:u w:val="none"/>
          <w:lang w:val="zh-CN" w:eastAsia="zh-CN" w:bidi="ar"/>
        </w:rPr>
      </w:pPr>
    </w:p>
    <w:p w14:paraId="767B43A8">
      <w:pPr>
        <w:pStyle w:val="7"/>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Times New Roman" w:hAnsi="Times New Roman" w:eastAsia="仿宋_GB2312" w:cs="Times New Roman"/>
          <w:kern w:val="2"/>
          <w:sz w:val="32"/>
          <w:szCs w:val="32"/>
          <w:u w:val="none"/>
          <w:lang w:val="zh-CN" w:eastAsia="zh-CN" w:bidi="ar"/>
        </w:rPr>
      </w:pPr>
      <w:r>
        <w:rPr>
          <w:rFonts w:hint="eastAsia" w:ascii="Times New Roman" w:hAnsi="Times New Roman" w:eastAsia="仿宋_GB2312" w:cs="Times New Roman"/>
          <w:kern w:val="2"/>
          <w:sz w:val="32"/>
          <w:szCs w:val="32"/>
          <w:u w:val="none"/>
          <w:lang w:val="zh-CN" w:eastAsia="zh-CN" w:bidi="ar"/>
        </w:rPr>
        <w:t>附表：</w:t>
      </w:r>
      <w:r>
        <w:rPr>
          <w:rFonts w:hint="eastAsia" w:ascii="Times New Roman" w:hAnsi="Times New Roman" w:eastAsia="仿宋_GB2312" w:cs="Times New Roman"/>
          <w:kern w:val="2"/>
          <w:sz w:val="32"/>
          <w:szCs w:val="32"/>
          <w:u w:val="none"/>
          <w:lang w:val="en-US" w:eastAsia="zh-CN" w:bidi="ar"/>
        </w:rPr>
        <w:fldChar w:fldCharType="begin"/>
      </w:r>
      <w:r>
        <w:rPr>
          <w:rFonts w:hint="eastAsia" w:ascii="Times New Roman" w:hAnsi="Times New Roman" w:eastAsia="仿宋_GB2312" w:cs="Times New Roman"/>
          <w:kern w:val="2"/>
          <w:sz w:val="32"/>
          <w:szCs w:val="32"/>
          <w:u w:val="none"/>
          <w:lang w:val="en-US" w:eastAsia="zh-CN" w:bidi="ar"/>
        </w:rPr>
        <w:instrText xml:space="preserve"> HYPERLINK "部门预算项目支出绩效自评表.xlsx" </w:instrText>
      </w:r>
      <w:r>
        <w:rPr>
          <w:rFonts w:hint="eastAsia" w:ascii="Times New Roman" w:hAnsi="Times New Roman" w:eastAsia="仿宋_GB2312" w:cs="Times New Roman"/>
          <w:kern w:val="2"/>
          <w:sz w:val="32"/>
          <w:szCs w:val="32"/>
          <w:u w:val="none"/>
          <w:lang w:val="en-US" w:eastAsia="zh-CN" w:bidi="ar"/>
        </w:rPr>
        <w:fldChar w:fldCharType="separate"/>
      </w:r>
      <w:r>
        <w:rPr>
          <w:rStyle w:val="18"/>
          <w:rFonts w:hint="eastAsia" w:ascii="Times New Roman" w:hAnsi="Times New Roman" w:eastAsia="仿宋_GB2312" w:cs="Times New Roman"/>
          <w:kern w:val="2"/>
          <w:sz w:val="32"/>
          <w:szCs w:val="32"/>
          <w:lang w:val="en-US" w:eastAsia="zh-CN" w:bidi="ar"/>
        </w:rPr>
        <w:t>部门预算项目支出绩效自评表（2024年度）</w:t>
      </w:r>
      <w:r>
        <w:rPr>
          <w:rFonts w:hint="eastAsia" w:ascii="Times New Roman" w:hAnsi="Times New Roman" w:eastAsia="仿宋_GB2312" w:cs="Times New Roman"/>
          <w:kern w:val="2"/>
          <w:sz w:val="32"/>
          <w:szCs w:val="32"/>
          <w:u w:val="none"/>
          <w:lang w:val="en-US" w:eastAsia="zh-CN" w:bidi="ar"/>
        </w:rPr>
        <w:fldChar w:fldCharType="end"/>
      </w:r>
    </w:p>
    <w:p w14:paraId="23812DA7">
      <w:pPr>
        <w:pStyle w:val="7"/>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490EC28A">
      <w:pPr>
        <w:pStyle w:val="2"/>
        <w:rPr>
          <w:rFonts w:hint="eastAsia" w:ascii="Times New Roman" w:hAnsi="Times New Roman" w:cs="宋体"/>
          <w:color w:val="FF0000"/>
          <w:kern w:val="0"/>
          <w:sz w:val="32"/>
          <w:szCs w:val="32"/>
          <w:highlight w:val="yellow"/>
          <w:shd w:val="clear" w:color="auto" w:fill="FFFFFF"/>
          <w:lang w:val="zh-CN"/>
        </w:rPr>
      </w:pPr>
    </w:p>
    <w:p w14:paraId="7868DCE3">
      <w:pPr>
        <w:rPr>
          <w:rFonts w:hint="eastAsia" w:ascii="Times New Roman" w:hAnsi="Times New Roman" w:eastAsia="黑体" w:cs="黑体"/>
          <w:color w:val="auto"/>
          <w:kern w:val="0"/>
          <w:sz w:val="32"/>
          <w:szCs w:val="32"/>
          <w:highlight w:val="none"/>
          <w:shd w:val="clear" w:color="auto" w:fill="FFFFFF"/>
          <w:lang w:val="zh-CN"/>
        </w:rPr>
      </w:pPr>
      <w:r>
        <w:rPr>
          <w:rFonts w:hint="eastAsia" w:ascii="Times New Roman" w:hAnsi="Times New Roman" w:eastAsia="黑体" w:cs="黑体"/>
          <w:color w:val="auto"/>
          <w:kern w:val="0"/>
          <w:sz w:val="32"/>
          <w:szCs w:val="32"/>
          <w:highlight w:val="none"/>
          <w:shd w:val="clear" w:color="auto" w:fill="FFFFFF"/>
          <w:lang w:val="zh-CN"/>
        </w:rPr>
        <w:br w:type="page"/>
      </w:r>
    </w:p>
    <w:p w14:paraId="122AFFF2">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bookmarkStart w:id="56" w:name="_Toc15396618"/>
    </w:p>
    <w:p w14:paraId="11976017">
      <w:pPr>
        <w:widowControl/>
        <w:jc w:val="center"/>
        <w:rPr>
          <w:rFonts w:hint="eastAsia" w:ascii="Times New Roman" w:hAnsi="Times New Roman" w:eastAsia="仿宋"/>
          <w:b w:val="0"/>
          <w:color w:val="auto"/>
          <w:highlight w:val="none"/>
        </w:rPr>
      </w:pPr>
      <w:r>
        <w:rPr>
          <w:rFonts w:hint="eastAsia" w:ascii="Times New Roman" w:hAnsi="Times New Roman" w:eastAsia="黑体"/>
          <w:color w:val="auto"/>
          <w:sz w:val="44"/>
          <w:szCs w:val="44"/>
          <w:highlight w:val="none"/>
        </w:rPr>
        <w:t>第</w:t>
      </w:r>
      <w:r>
        <w:rPr>
          <w:rStyle w:val="28"/>
          <w:rFonts w:hint="eastAsia" w:ascii="Times New Roman" w:hAnsi="Times New Roman" w:eastAsia="黑体"/>
          <w:b w:val="0"/>
          <w:color w:val="auto"/>
          <w:highlight w:val="none"/>
        </w:rPr>
        <w:t>五部分 附表</w:t>
      </w:r>
      <w:bookmarkEnd w:id="53"/>
      <w:bookmarkEnd w:id="56"/>
      <w:bookmarkStart w:id="57" w:name="_Toc15396619"/>
    </w:p>
    <w:p w14:paraId="2D50056A">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p>
    <w:p w14:paraId="64B829B8">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一、收入支出决算总表</w:t>
      </w:r>
      <w:bookmarkEnd w:id="57"/>
    </w:p>
    <w:p w14:paraId="0B66FAC2">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8" w:name="_Toc15396620"/>
      <w:r>
        <w:rPr>
          <w:rFonts w:hint="eastAsia" w:ascii="Times New Roman" w:hAnsi="Times New Roman" w:eastAsia="仿宋_GB2312" w:cs="仿宋_GB2312"/>
          <w:color w:val="auto"/>
          <w:sz w:val="32"/>
          <w:szCs w:val="32"/>
          <w:highlight w:val="none"/>
        </w:rPr>
        <w:t>二、收入决算表</w:t>
      </w:r>
      <w:bookmarkEnd w:id="58"/>
    </w:p>
    <w:p w14:paraId="617C3CB5">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9" w:name="_Toc15396621"/>
      <w:r>
        <w:rPr>
          <w:rFonts w:hint="eastAsia" w:ascii="Times New Roman" w:hAnsi="Times New Roman" w:eastAsia="仿宋_GB2312" w:cs="仿宋_GB2312"/>
          <w:color w:val="auto"/>
          <w:sz w:val="32"/>
          <w:szCs w:val="32"/>
          <w:highlight w:val="none"/>
        </w:rPr>
        <w:t>三、支出决算表</w:t>
      </w:r>
      <w:bookmarkEnd w:id="59"/>
    </w:p>
    <w:p w14:paraId="4411A072">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0" w:name="_Toc15396622"/>
      <w:r>
        <w:rPr>
          <w:rFonts w:hint="eastAsia" w:ascii="Times New Roman" w:hAnsi="Times New Roman" w:eastAsia="仿宋_GB2312" w:cs="仿宋_GB2312"/>
          <w:color w:val="auto"/>
          <w:sz w:val="32"/>
          <w:szCs w:val="32"/>
          <w:highlight w:val="none"/>
        </w:rPr>
        <w:t>四、财政拨款收入支出决算总表</w:t>
      </w:r>
      <w:bookmarkEnd w:id="60"/>
    </w:p>
    <w:p w14:paraId="77F0BAF3">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1" w:name="_Toc15396623"/>
      <w:r>
        <w:rPr>
          <w:rFonts w:hint="eastAsia" w:ascii="Times New Roman" w:hAnsi="Times New Roman" w:eastAsia="仿宋_GB2312" w:cs="仿宋_GB2312"/>
          <w:color w:val="auto"/>
          <w:sz w:val="32"/>
          <w:szCs w:val="32"/>
          <w:highlight w:val="none"/>
        </w:rPr>
        <w:t>五、财政拨款支出决算明细表</w:t>
      </w:r>
      <w:bookmarkEnd w:id="61"/>
      <w:bookmarkStart w:id="62" w:name="_Toc15396624"/>
    </w:p>
    <w:p w14:paraId="36948013">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六、一般公共预算财政拨款支出决算表</w:t>
      </w:r>
      <w:bookmarkEnd w:id="62"/>
    </w:p>
    <w:p w14:paraId="2A83D3F9">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3" w:name="_Toc15396625"/>
      <w:r>
        <w:rPr>
          <w:rFonts w:hint="eastAsia" w:ascii="Times New Roman" w:hAnsi="Times New Roman" w:eastAsia="仿宋_GB2312" w:cs="仿宋_GB2312"/>
          <w:color w:val="auto"/>
          <w:sz w:val="32"/>
          <w:szCs w:val="32"/>
          <w:highlight w:val="none"/>
        </w:rPr>
        <w:t>七、一般公共预算财政拨款支出决算明细表</w:t>
      </w:r>
      <w:bookmarkEnd w:id="63"/>
    </w:p>
    <w:p w14:paraId="1EE2FC69">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4" w:name="_Toc15396626"/>
      <w:r>
        <w:rPr>
          <w:rFonts w:hint="eastAsia" w:ascii="Times New Roman" w:hAnsi="Times New Roman" w:eastAsia="仿宋_GB2312" w:cs="仿宋_GB2312"/>
          <w:color w:val="auto"/>
          <w:sz w:val="32"/>
          <w:szCs w:val="32"/>
          <w:highlight w:val="none"/>
        </w:rPr>
        <w:t>八、一般公共预算财政拨款基本支出决算表</w:t>
      </w:r>
      <w:bookmarkEnd w:id="64"/>
    </w:p>
    <w:p w14:paraId="6B898B77">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5" w:name="_Toc15396627"/>
      <w:r>
        <w:rPr>
          <w:rFonts w:hint="eastAsia" w:ascii="Times New Roman" w:hAnsi="Times New Roman" w:eastAsia="仿宋_GB2312" w:cs="仿宋_GB2312"/>
          <w:color w:val="auto"/>
          <w:sz w:val="32"/>
          <w:szCs w:val="32"/>
          <w:highlight w:val="none"/>
        </w:rPr>
        <w:t>九、一般公共预算财政拨款项目支出决算表</w:t>
      </w:r>
      <w:bookmarkEnd w:id="65"/>
    </w:p>
    <w:p w14:paraId="61C54F26">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6" w:name="_Toc15396628"/>
      <w:r>
        <w:rPr>
          <w:rFonts w:hint="eastAsia" w:ascii="Times New Roman" w:hAnsi="Times New Roman" w:eastAsia="仿宋_GB2312" w:cs="仿宋_GB2312"/>
          <w:color w:val="auto"/>
          <w:sz w:val="32"/>
          <w:szCs w:val="32"/>
          <w:highlight w:val="none"/>
        </w:rPr>
        <w:t>十、</w:t>
      </w:r>
      <w:bookmarkEnd w:id="66"/>
      <w:r>
        <w:rPr>
          <w:rFonts w:hint="eastAsia" w:ascii="Times New Roman" w:hAnsi="Times New Roman" w:eastAsia="仿宋_GB2312" w:cs="仿宋_GB2312"/>
          <w:color w:val="auto"/>
          <w:sz w:val="32"/>
          <w:szCs w:val="32"/>
          <w:highlight w:val="none"/>
        </w:rPr>
        <w:t>政府性基金预算财政拨款收入支出决算表</w:t>
      </w:r>
    </w:p>
    <w:p w14:paraId="74030C0A">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7" w:name="_Toc15396629"/>
      <w:r>
        <w:rPr>
          <w:rFonts w:hint="eastAsia" w:ascii="Times New Roman" w:hAnsi="Times New Roman" w:eastAsia="仿宋_GB2312" w:cs="仿宋_GB2312"/>
          <w:color w:val="auto"/>
          <w:sz w:val="32"/>
          <w:szCs w:val="32"/>
          <w:highlight w:val="none"/>
        </w:rPr>
        <w:t>十一、</w:t>
      </w:r>
      <w:bookmarkEnd w:id="67"/>
      <w:r>
        <w:rPr>
          <w:rFonts w:hint="eastAsia" w:ascii="Times New Roman" w:hAnsi="Times New Roman" w:eastAsia="仿宋_GB2312" w:cs="仿宋_GB2312"/>
          <w:color w:val="auto"/>
          <w:sz w:val="32"/>
          <w:szCs w:val="32"/>
          <w:highlight w:val="none"/>
        </w:rPr>
        <w:t>国有资本经营预算</w:t>
      </w:r>
      <w:r>
        <w:rPr>
          <w:rFonts w:hint="eastAsia" w:ascii="Times New Roman" w:hAnsi="Times New Roman" w:eastAsia="仿宋_GB2312" w:cs="仿宋_GB2312"/>
          <w:color w:val="auto"/>
          <w:sz w:val="32"/>
          <w:szCs w:val="32"/>
          <w:highlight w:val="none"/>
          <w:lang w:eastAsia="zh-CN"/>
        </w:rPr>
        <w:t>财政拨款收入</w:t>
      </w:r>
      <w:r>
        <w:rPr>
          <w:rFonts w:hint="eastAsia" w:ascii="Times New Roman" w:hAnsi="Times New Roman" w:eastAsia="仿宋_GB2312" w:cs="仿宋_GB2312"/>
          <w:color w:val="auto"/>
          <w:sz w:val="32"/>
          <w:szCs w:val="32"/>
          <w:highlight w:val="none"/>
        </w:rPr>
        <w:t>支出决算表</w:t>
      </w:r>
    </w:p>
    <w:p w14:paraId="20DA28A8">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8" w:name="_Toc15396630"/>
      <w:r>
        <w:rPr>
          <w:rFonts w:hint="eastAsia" w:ascii="Times New Roman" w:hAnsi="Times New Roman" w:eastAsia="仿宋_GB2312" w:cs="仿宋_GB2312"/>
          <w:color w:val="auto"/>
          <w:sz w:val="32"/>
          <w:szCs w:val="32"/>
          <w:highlight w:val="none"/>
        </w:rPr>
        <w:t>十二、</w:t>
      </w:r>
      <w:bookmarkEnd w:id="68"/>
      <w:r>
        <w:rPr>
          <w:rFonts w:hint="eastAsia" w:ascii="Times New Roman" w:hAnsi="Times New Roman" w:eastAsia="仿宋_GB2312" w:cs="仿宋_GB2312"/>
          <w:color w:val="auto"/>
          <w:sz w:val="32"/>
          <w:szCs w:val="32"/>
          <w:highlight w:val="none"/>
          <w:lang w:eastAsia="zh-CN"/>
        </w:rPr>
        <w:t>国有资本经营预算财政拨款支出决算表</w:t>
      </w:r>
    </w:p>
    <w:p w14:paraId="434D892C">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lang w:eastAsia="zh-CN"/>
        </w:rPr>
      </w:pPr>
      <w:bookmarkStart w:id="69" w:name="_Toc15396631"/>
      <w:r>
        <w:rPr>
          <w:rFonts w:hint="eastAsia" w:ascii="Times New Roman" w:hAnsi="Times New Roman" w:eastAsia="仿宋_GB2312" w:cs="仿宋_GB2312"/>
          <w:color w:val="auto"/>
          <w:sz w:val="32"/>
          <w:szCs w:val="32"/>
          <w:highlight w:val="none"/>
        </w:rPr>
        <w:t>十三、</w:t>
      </w:r>
      <w:bookmarkEnd w:id="69"/>
      <w:r>
        <w:rPr>
          <w:rFonts w:hint="eastAsia" w:ascii="Times New Roman" w:hAnsi="Times New Roman" w:eastAsia="仿宋_GB2312" w:cs="仿宋_GB2312"/>
          <w:color w:val="auto"/>
          <w:sz w:val="32"/>
          <w:szCs w:val="32"/>
          <w:highlight w:val="none"/>
          <w:lang w:eastAsia="zh-CN"/>
        </w:rPr>
        <w:t>财政拨款“三公”经费支出决算表</w:t>
      </w:r>
    </w:p>
    <w:p w14:paraId="524A7811">
      <w:pPr>
        <w:rPr>
          <w:rFonts w:hint="eastAsia" w:ascii="Times New Roman" w:hAnsi="Times New Roman"/>
          <w:lang w:eastAsia="zh-CN"/>
        </w:rPr>
      </w:pPr>
    </w:p>
    <w:sectPr>
      <w:footerReference r:id="rId5" w:type="first"/>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05481">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EC9570">
                          <w:pPr>
                            <w:pStyle w:val="10"/>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DEC9570">
                    <w:pPr>
                      <w:pStyle w:val="10"/>
                    </w:pPr>
                    <w:r>
                      <w:fldChar w:fldCharType="begin"/>
                    </w:r>
                    <w:r>
                      <w:instrText xml:space="preserve"> PAGE  \* MERGEFORMAT </w:instrText>
                    </w:r>
                    <w:r>
                      <w:fldChar w:fldCharType="separate"/>
                    </w:r>
                    <w:r>
                      <w:t>- 2 -</w:t>
                    </w:r>
                    <w:r>
                      <w:fldChar w:fldCharType="end"/>
                    </w:r>
                  </w:p>
                </w:txbxContent>
              </v:textbox>
            </v:shape>
          </w:pict>
        </mc:Fallback>
      </mc:AlternateContent>
    </w:r>
  </w:p>
  <w:p w14:paraId="42746355">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272BF">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3B0FAD">
                          <w:pPr>
                            <w:pStyle w:val="1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A3B0FAD">
                    <w:pPr>
                      <w:pStyle w:val="10"/>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480D9">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5E7DE4"/>
    <w:multiLevelType w:val="singleLevel"/>
    <w:tmpl w:val="085E7DE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2E43EC3"/>
    <w:rsid w:val="13D50BC4"/>
    <w:rsid w:val="14B17F78"/>
    <w:rsid w:val="165E0673"/>
    <w:rsid w:val="16B831D5"/>
    <w:rsid w:val="16BB723D"/>
    <w:rsid w:val="17E50567"/>
    <w:rsid w:val="186504BB"/>
    <w:rsid w:val="19A445FC"/>
    <w:rsid w:val="19FB1E5B"/>
    <w:rsid w:val="1BE8440E"/>
    <w:rsid w:val="1D155CEE"/>
    <w:rsid w:val="1D1638FE"/>
    <w:rsid w:val="1E312DEB"/>
    <w:rsid w:val="1E740ACF"/>
    <w:rsid w:val="1FF35744"/>
    <w:rsid w:val="1FF6BC77"/>
    <w:rsid w:val="2186353C"/>
    <w:rsid w:val="23860B96"/>
    <w:rsid w:val="240371BF"/>
    <w:rsid w:val="244F3473"/>
    <w:rsid w:val="24C97D99"/>
    <w:rsid w:val="257E0D99"/>
    <w:rsid w:val="25A718F0"/>
    <w:rsid w:val="25BB59F6"/>
    <w:rsid w:val="260F557C"/>
    <w:rsid w:val="26970054"/>
    <w:rsid w:val="281408E2"/>
    <w:rsid w:val="29FD04D3"/>
    <w:rsid w:val="2BFF7BC6"/>
    <w:rsid w:val="2C8A61B5"/>
    <w:rsid w:val="2DF04E50"/>
    <w:rsid w:val="2E586DFA"/>
    <w:rsid w:val="2F040D46"/>
    <w:rsid w:val="2F221855"/>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B79AF3"/>
    <w:rsid w:val="3AE834C0"/>
    <w:rsid w:val="3B7EF35A"/>
    <w:rsid w:val="3B9FDB6C"/>
    <w:rsid w:val="3BF5BC2F"/>
    <w:rsid w:val="3CEBA265"/>
    <w:rsid w:val="3D98207C"/>
    <w:rsid w:val="3DEE7CF3"/>
    <w:rsid w:val="3E740A63"/>
    <w:rsid w:val="3E78745D"/>
    <w:rsid w:val="3EE17838"/>
    <w:rsid w:val="3F55381A"/>
    <w:rsid w:val="3F7F7599"/>
    <w:rsid w:val="3FF4CAE0"/>
    <w:rsid w:val="3FF7B227"/>
    <w:rsid w:val="44E268DA"/>
    <w:rsid w:val="450D13D7"/>
    <w:rsid w:val="45506656"/>
    <w:rsid w:val="486A6C7A"/>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5170BA8"/>
    <w:rsid w:val="553218C9"/>
    <w:rsid w:val="567E1AA5"/>
    <w:rsid w:val="56E47B74"/>
    <w:rsid w:val="57175D52"/>
    <w:rsid w:val="57BD3DD4"/>
    <w:rsid w:val="5AAF3D5B"/>
    <w:rsid w:val="5AF92295"/>
    <w:rsid w:val="5B250254"/>
    <w:rsid w:val="5BDD79E6"/>
    <w:rsid w:val="5BF561CA"/>
    <w:rsid w:val="5BFF5DFC"/>
    <w:rsid w:val="5CD71FC4"/>
    <w:rsid w:val="5D1F11B5"/>
    <w:rsid w:val="5D695134"/>
    <w:rsid w:val="5D804A33"/>
    <w:rsid w:val="5DAE1B18"/>
    <w:rsid w:val="5DE7D9E5"/>
    <w:rsid w:val="5ECEC941"/>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85302E"/>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5"/>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footnote text"/>
    <w:basedOn w:val="1"/>
    <w:next w:val="7"/>
    <w:semiHidden/>
    <w:qFormat/>
    <w:uiPriority w:val="0"/>
    <w:pPr>
      <w:snapToGrid w:val="0"/>
      <w:jc w:val="left"/>
    </w:pPr>
    <w:rPr>
      <w:sz w:val="18"/>
      <w:szCs w:val="1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2"/>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3"/>
    <w:qFormat/>
    <w:uiPriority w:val="9"/>
    <w:rPr>
      <w:rFonts w:ascii="Times New Roman" w:hAnsi="Times New Roman"/>
      <w:b/>
      <w:bCs/>
      <w:kern w:val="44"/>
      <w:sz w:val="44"/>
      <w:szCs w:val="44"/>
    </w:rPr>
  </w:style>
  <w:style w:type="character" w:customStyle="1" w:styleId="29">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eastAsia="宋体"/>
      <w:color w:val="000000"/>
      <w:kern w:val="0"/>
      <w:sz w:val="28"/>
      <w:szCs w:val="21"/>
      <w:lang w:val="zh-CN" w:eastAsia="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7.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26700;&#38754;\2024&#24180;&#20915;&#31639;&#20844;&#24320;\118001-&#25856;&#26525;&#33457;&#24066;&#20154;&#27665;&#25919;&#24220;&#39547;&#21271;&#20140;&#32852;&#32476;&#22788;.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26700;&#38754;\2024&#24180;&#20915;&#31639;&#20844;&#24320;\118001-&#25856;&#26525;&#33457;&#24066;&#20154;&#27665;&#25919;&#24220;&#39547;&#21271;&#20140;&#32852;&#32476;&#22788;.xls"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26700;&#38754;\2024&#24180;&#20915;&#31639;&#20844;&#24320;\118001-&#25856;&#26525;&#33457;&#24066;&#20154;&#27665;&#25919;&#24220;&#39547;&#21271;&#20140;&#32852;&#32476;&#22788;.xls"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26700;&#38754;\2024&#24180;&#20915;&#31639;&#20844;&#24320;\118001-&#25856;&#26525;&#33457;&#24066;&#20154;&#27665;&#25919;&#24220;&#39547;&#21271;&#20140;&#32852;&#32476;&#22788;.xls"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D:\&#26700;&#38754;\2024&#24180;&#20915;&#31639;&#20844;&#24320;\118001-&#25856;&#26525;&#33457;&#24066;&#20154;&#27665;&#25919;&#24220;&#39547;&#21271;&#20140;&#32852;&#32476;&#22788;.xls"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D:\&#26700;&#38754;\2024&#24180;&#20915;&#31639;&#20844;&#24320;\118001-&#25856;&#26525;&#33457;&#24066;&#20154;&#27665;&#25919;&#24220;&#39547;&#21271;&#20140;&#32852;&#32476;&#22788;.xls"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D:\&#26700;&#38754;\2024&#24180;&#20915;&#31639;&#20844;&#24320;\118001-&#25856;&#26525;&#33457;&#24066;&#20154;&#27665;&#25919;&#24220;&#39547;&#21271;&#20140;&#32852;&#32476;&#22788;.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图1：收入、支出决算总计变动情况图</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'[118001-攀枝花市人民政府驻北京联络处.xls]GK01收入支出决算总表'!$H$14:$H$15</c:f>
              <c:strCache>
                <c:ptCount val="2"/>
                <c:pt idx="0">
                  <c:v>2023年收支总额（万元）</c:v>
                </c:pt>
                <c:pt idx="1">
                  <c:v>2024年收支总额（万元）</c:v>
                </c:pt>
              </c:strCache>
            </c:strRef>
          </c:cat>
          <c:val>
            <c:numRef>
              <c:f>'[118001-攀枝花市人民政府驻北京联络处.xls]GK01收入支出决算总表'!$I$14:$I$15</c:f>
              <c:numCache>
                <c:formatCode>General</c:formatCode>
                <c:ptCount val="2"/>
                <c:pt idx="0">
                  <c:v>269.29</c:v>
                </c:pt>
                <c:pt idx="1">
                  <c:v>237.41</c:v>
                </c:pt>
              </c:numCache>
            </c:numRef>
          </c:val>
        </c:ser>
        <c:dLbls>
          <c:showLegendKey val="0"/>
          <c:showVal val="0"/>
          <c:showCatName val="0"/>
          <c:showSerName val="0"/>
          <c:showPercent val="0"/>
          <c:showBubbleSize val="0"/>
        </c:dLbls>
        <c:gapWidth val="246"/>
        <c:overlap val="-28"/>
        <c:axId val="727774667"/>
        <c:axId val="741845171"/>
      </c:barChart>
      <c:catAx>
        <c:axId val="72777466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1845171"/>
        <c:crosses val="autoZero"/>
        <c:auto val="1"/>
        <c:lblAlgn val="ctr"/>
        <c:lblOffset val="100"/>
        <c:noMultiLvlLbl val="0"/>
      </c:catAx>
      <c:valAx>
        <c:axId val="741845171"/>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27774667"/>
        <c:crosses val="autoZero"/>
        <c:crossBetween val="between"/>
      </c:valAx>
      <c:spPr>
        <a:noFill/>
        <a:ln>
          <a:noFill/>
        </a:ln>
        <a:effectLst/>
      </c:spPr>
    </c:plotArea>
    <c:plotVisOnly val="1"/>
    <c:dispBlanksAs val="gap"/>
    <c:showDLblsOverMax val="0"/>
    <c:extLst>
      <c:ext uri="{0b15fc19-7d7d-44ad-8c2d-2c3a37ce22c3}">
        <chartProps xmlns="https://web.wps.cn/et/2018/main" chartId="{1044dffb-0559-4d74-b089-df95debc2c4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r>
              <a:t>图2：收入决算结构图</a:t>
            </a:r>
          </a:p>
        </c:rich>
      </c:tx>
      <c:layout/>
      <c:overlay val="0"/>
      <c:spPr>
        <a:noFill/>
        <a:ln>
          <a:noFill/>
        </a:ln>
        <a:effectLst/>
      </c:spPr>
    </c:title>
    <c:autoTitleDeleted val="0"/>
    <c:plotArea>
      <c:layout/>
      <c:pieChart>
        <c:varyColors val="1"/>
        <c:ser>
          <c:idx val="0"/>
          <c:order val="0"/>
          <c:tx>
            <c:strRef>
              <c:f>'[118001-攀枝花市人民政府驻北京联络处.xls]GK01收入支出决算总表'!$H$13</c:f>
              <c:strCache>
                <c:ptCount val="1"/>
                <c:pt idx="0">
                  <c:v>一般公共预算财政拨款收入（万元）</c:v>
                </c:pt>
              </c:strCache>
            </c:strRef>
          </c:tx>
          <c:spPr/>
          <c:explosion val="0"/>
          <c:dPt>
            <c:idx val="0"/>
            <c:bubble3D val="0"/>
            <c:spPr>
              <a:solidFill>
                <a:schemeClr val="accent1"/>
              </a:solidFill>
              <a:ln>
                <a:solidFill>
                  <a:schemeClr val="bg1"/>
                </a:solidFill>
              </a:ln>
              <a:effectLst/>
            </c:spPr>
          </c:dPt>
          <c:dLbls>
            <c:dLbl>
              <c:idx val="0"/>
              <c:layout/>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1"/>
                        </a:solidFill>
                        <a:latin typeface="+mn-lt"/>
                        <a:ea typeface="+mn-ea"/>
                        <a:cs typeface="+mn-cs"/>
                      </a:defRPr>
                    </a:pPr>
                    <a:r>
                      <a:t>一般公共预算财政拨款收入</a:t>
                    </a:r>
                  </a:p>
                </c:rich>
              </c:tx>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1"/>
              <c:showCatName val="1"/>
              <c:showSerName val="0"/>
              <c:showPercent val="0"/>
              <c:showBubbleSize val="0"/>
              <c:separator>
</c:separator>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1"/>
            <c:showCatName val="1"/>
            <c:showSerName val="0"/>
            <c:showPercent val="0"/>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val>
            <c:numRef>
              <c:f>'[118001-攀枝花市人民政府驻北京联络处.xls]GK01收入支出决算总表'!$I$13</c:f>
              <c:numCache>
                <c:formatCode>General</c:formatCode>
                <c:ptCount val="1"/>
                <c:pt idx="0">
                  <c:v>237.41</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extLst>
      <c:ext uri="{0b15fc19-7d7d-44ad-8c2d-2c3a37ce22c3}">
        <chartProps xmlns="https://web.wps.cn/et/2018/main" chartId="{2b9fefd9-046c-46a0-b7c3-d656f1bc84d2}"/>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图3：支出决算结构图</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'[118001-攀枝花市人民政府驻北京联络处.xls]GK03支出决算表'!$F$29:$F$30</c:f>
              <c:strCache>
                <c:ptCount val="2"/>
                <c:pt idx="0">
                  <c:v>基本支出</c:v>
                </c:pt>
                <c:pt idx="1">
                  <c:v>项目支出</c:v>
                </c:pt>
              </c:strCache>
            </c:strRef>
          </c:cat>
          <c:val>
            <c:numRef>
              <c:f>'[118001-攀枝花市人民政府驻北京联络处.xls]GK03支出决算表'!$G$29:$G$30</c:f>
              <c:numCache>
                <c:formatCode>General</c:formatCode>
                <c:ptCount val="2"/>
                <c:pt idx="0">
                  <c:v>198.09</c:v>
                </c:pt>
                <c:pt idx="1">
                  <c:v>39.32</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fd3967c-8f53-4e67-9138-f470cc3e560b}"/>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图4：财政拨款收、支决算总计变动情况</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'[118001-攀枝花市人民政府驻北京联络处.xls]GK04财政拨款收入支出决算总表'!$D$42:$D$43</c:f>
              <c:strCache>
                <c:ptCount val="2"/>
                <c:pt idx="0">
                  <c:v>2023年财政拨款收支总额（万元）</c:v>
                </c:pt>
                <c:pt idx="1">
                  <c:v>2024年财政拨款收支总额（万元）</c:v>
                </c:pt>
              </c:strCache>
            </c:strRef>
          </c:cat>
          <c:val>
            <c:numRef>
              <c:f>'[118001-攀枝花市人民政府驻北京联络处.xls]GK04财政拨款收入支出决算总表'!$E$42:$E$43</c:f>
              <c:numCache>
                <c:formatCode>General</c:formatCode>
                <c:ptCount val="2"/>
                <c:pt idx="0">
                  <c:v>269.28</c:v>
                </c:pt>
                <c:pt idx="1">
                  <c:v>237.41</c:v>
                </c:pt>
              </c:numCache>
            </c:numRef>
          </c:val>
        </c:ser>
        <c:dLbls>
          <c:showLegendKey val="0"/>
          <c:showVal val="0"/>
          <c:showCatName val="0"/>
          <c:showSerName val="0"/>
          <c:showPercent val="0"/>
          <c:showBubbleSize val="0"/>
        </c:dLbls>
        <c:gapWidth val="246"/>
        <c:overlap val="-28"/>
        <c:axId val="257831071"/>
        <c:axId val="80713531"/>
      </c:barChart>
      <c:catAx>
        <c:axId val="25783107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0713531"/>
        <c:crosses val="autoZero"/>
        <c:auto val="1"/>
        <c:lblAlgn val="ctr"/>
        <c:lblOffset val="100"/>
        <c:noMultiLvlLbl val="0"/>
      </c:catAx>
      <c:valAx>
        <c:axId val="80713531"/>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7831071"/>
        <c:crosses val="autoZero"/>
        <c:crossBetween val="between"/>
      </c:valAx>
      <c:spPr>
        <a:noFill/>
        <a:ln>
          <a:noFill/>
        </a:ln>
        <a:effectLst/>
      </c:spPr>
    </c:plotArea>
    <c:plotVisOnly val="1"/>
    <c:dispBlanksAs val="gap"/>
    <c:showDLblsOverMax val="0"/>
    <c:extLst>
      <c:ext uri="{0b15fc19-7d7d-44ad-8c2d-2c3a37ce22c3}">
        <chartProps xmlns="https://web.wps.cn/et/2018/main" chartId="{430d13e2-0b56-4ae2-b738-988f9c7b77aa}"/>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图5：一般公共预算财政拨款支出决算变动情况</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'[118001-攀枝花市人民政府驻北京联络处.xls]GK06一般公共预算财政拨款支出决算表'!$J$10:$J$11</c:f>
              <c:strCache>
                <c:ptCount val="2"/>
                <c:pt idx="0">
                  <c:v>2023年一般公共预算财政拨款支出</c:v>
                </c:pt>
                <c:pt idx="1">
                  <c:v>2024年一般公共预算财政拨款支出</c:v>
                </c:pt>
              </c:strCache>
            </c:strRef>
          </c:cat>
          <c:val>
            <c:numRef>
              <c:f>'[118001-攀枝花市人民政府驻北京联络处.xls]GK06一般公共预算财政拨款支出决算表'!$K$10:$K$11</c:f>
              <c:numCache>
                <c:formatCode>General</c:formatCode>
                <c:ptCount val="2"/>
                <c:pt idx="0">
                  <c:v>269.28</c:v>
                </c:pt>
                <c:pt idx="1">
                  <c:v>237.41</c:v>
                </c:pt>
              </c:numCache>
            </c:numRef>
          </c:val>
        </c:ser>
        <c:dLbls>
          <c:showLegendKey val="0"/>
          <c:showVal val="0"/>
          <c:showCatName val="0"/>
          <c:showSerName val="0"/>
          <c:showPercent val="0"/>
          <c:showBubbleSize val="0"/>
        </c:dLbls>
        <c:gapWidth val="246"/>
        <c:overlap val="-28"/>
        <c:axId val="397500576"/>
        <c:axId val="975401369"/>
      </c:barChart>
      <c:catAx>
        <c:axId val="39750057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75401369"/>
        <c:crosses val="autoZero"/>
        <c:auto val="1"/>
        <c:lblAlgn val="ctr"/>
        <c:lblOffset val="100"/>
        <c:noMultiLvlLbl val="0"/>
      </c:catAx>
      <c:valAx>
        <c:axId val="975401369"/>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97500576"/>
        <c:crosses val="autoZero"/>
        <c:crossBetween val="between"/>
      </c:valAx>
      <c:spPr>
        <a:noFill/>
        <a:ln>
          <a:noFill/>
        </a:ln>
        <a:effectLst/>
      </c:spPr>
    </c:plotArea>
    <c:plotVisOnly val="1"/>
    <c:dispBlanksAs val="gap"/>
    <c:showDLblsOverMax val="0"/>
    <c:extLst>
      <c:ext uri="{0b15fc19-7d7d-44ad-8c2d-2c3a37ce22c3}">
        <chartProps xmlns="https://web.wps.cn/et/2018/main" chartId="{130917e7-24e0-43dd-8254-2cc3c9b184d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图6：一般公共预算财政拨款支出决算结构</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'[118001-攀枝花市人民政府驻北京联络处.xls]GK06一般公共预算财政拨款支出决算表'!$J$7:$J$10</c:f>
              <c:strCache>
                <c:ptCount val="4"/>
                <c:pt idx="0">
                  <c:v>一般公共服务支出</c:v>
                </c:pt>
                <c:pt idx="1">
                  <c:v>社会保障和就业支出</c:v>
                </c:pt>
                <c:pt idx="2">
                  <c:v>卫生健康支出</c:v>
                </c:pt>
                <c:pt idx="3">
                  <c:v>住房保障支出</c:v>
                </c:pt>
              </c:strCache>
            </c:strRef>
          </c:cat>
          <c:val>
            <c:numRef>
              <c:f>'[118001-攀枝花市人民政府驻北京联络处.xls]GK06一般公共预算财政拨款支出决算表'!$K$7:$K$10</c:f>
              <c:numCache>
                <c:formatCode>General</c:formatCode>
                <c:ptCount val="4"/>
                <c:pt idx="0">
                  <c:v>196.15</c:v>
                </c:pt>
                <c:pt idx="1">
                  <c:v>21.04</c:v>
                </c:pt>
                <c:pt idx="2">
                  <c:v>8.31</c:v>
                </c:pt>
                <c:pt idx="3">
                  <c:v>11.92</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74d1836-aff7-4be4-b466-7a9aec091aea}"/>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图7：“三公”经费财政拨款支出结构</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'[118001-攀枝花市人民政府驻北京联络处.xls]GK13财政拨款“三公”经费支出决算表'!$D$24:$D$26</c:f>
              <c:strCache>
                <c:ptCount val="3"/>
                <c:pt idx="0">
                  <c:v>因公出国（境）费用</c:v>
                </c:pt>
                <c:pt idx="1">
                  <c:v>公务用车购置及运行维护费</c:v>
                </c:pt>
                <c:pt idx="2">
                  <c:v>公务接待费</c:v>
                </c:pt>
              </c:strCache>
            </c:strRef>
          </c:cat>
          <c:val>
            <c:numRef>
              <c:f>'[118001-攀枝花市人民政府驻北京联络处.xls]GK13财政拨款“三公”经费支出决算表'!$E$24:$E$26</c:f>
              <c:numCache>
                <c:formatCode>General</c:formatCode>
                <c:ptCount val="3"/>
                <c:pt idx="0">
                  <c:v>0</c:v>
                </c:pt>
                <c:pt idx="1">
                  <c:v>4.54</c:v>
                </c:pt>
                <c:pt idx="2">
                  <c:v>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897ea346-5107-4ef9-8f65-80d8f59319a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cs:styleClr val="auto"/>
    </cs:fontRef>
    <cs:defRPr sz="1000" b="1" i="0" u="none" strike="noStrike" kern="1200" spc="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3">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3">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83">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22</Pages>
  <Words>7192</Words>
  <Characters>7719</Characters>
  <Lines>61</Lines>
  <Paragraphs>17</Paragraphs>
  <TotalTime>1</TotalTime>
  <ScaleCrop>false</ScaleCrop>
  <LinksUpToDate>false</LinksUpToDate>
  <CharactersWithSpaces>7747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飘逸</cp:lastModifiedBy>
  <cp:lastPrinted>2025-08-06T17:34:00Z</cp:lastPrinted>
  <dcterms:modified xsi:type="dcterms:W3CDTF">2025-09-10T05:12:19Z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04787F2533EB45DC91BCDE4AB213247F</vt:lpwstr>
  </property>
  <property fmtid="{D5CDD505-2E9C-101B-9397-08002B2CF9AE}" pid="4" name="KSOTemplateDocerSaveRecord">
    <vt:lpwstr>eyJoZGlkIjoiNDE4MTAwNjY4NmQ1ODlkNDQ1Zjk4YzliYjdmM2E3MjMiLCJ1c2VySWQiOiI2MDg2NzUyMjAifQ==</vt:lpwstr>
  </property>
</Properties>
</file>