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53EC19">
      <w:pPr>
        <w:rPr>
          <w:rFonts w:ascii="Times New Roman" w:hAnsi="Times New Roman"/>
        </w:rPr>
      </w:pPr>
      <w:bookmarkStart w:id="0" w:name="_Toc15396597"/>
      <w:bookmarkStart w:id="1" w:name="_Toc15377425"/>
      <w:bookmarkStart w:id="2" w:name="_Toc15396475"/>
      <w:bookmarkStart w:id="3" w:name="_Toc15378441"/>
      <w:bookmarkStart w:id="4" w:name="_Toc15377193"/>
      <w:bookmarkStart w:id="5" w:name="_Toc15306267"/>
    </w:p>
    <w:p w14:paraId="2A296CDA">
      <w:pPr>
        <w:pStyle w:val="8"/>
        <w:jc w:val="center"/>
        <w:rPr>
          <w:rFonts w:hint="eastAsia" w:ascii="Times New Roman" w:hAnsi="Times New Roman" w:eastAsia="方正小标宋简体" w:cs="Times New Roman"/>
          <w:color w:val="auto"/>
          <w:kern w:val="2"/>
          <w:sz w:val="44"/>
          <w:szCs w:val="44"/>
          <w:highlight w:val="none"/>
          <w:lang w:val="en-US" w:eastAsia="zh-CN" w:bidi="ar-SA"/>
        </w:rPr>
      </w:pPr>
    </w:p>
    <w:p w14:paraId="5D41750A">
      <w:pPr>
        <w:pStyle w:val="8"/>
        <w:jc w:val="center"/>
        <w:rPr>
          <w:rFonts w:hint="eastAsia" w:ascii="Times New Roman" w:hAnsi="Times New Roman" w:eastAsia="方正小标宋简体" w:cs="Times New Roman"/>
          <w:color w:val="auto"/>
          <w:kern w:val="2"/>
          <w:sz w:val="44"/>
          <w:szCs w:val="44"/>
          <w:highlight w:val="none"/>
          <w:lang w:val="en-US" w:eastAsia="zh-CN" w:bidi="ar-SA"/>
        </w:rPr>
      </w:pPr>
    </w:p>
    <w:p w14:paraId="2C3A75A0">
      <w:pPr>
        <w:pStyle w:val="8"/>
        <w:jc w:val="center"/>
        <w:rPr>
          <w:rFonts w:hint="eastAsia" w:ascii="Times New Roman" w:hAnsi="Times New Roman" w:eastAsia="方正小标宋简体" w:cs="Times New Roman"/>
          <w:color w:val="auto"/>
          <w:kern w:val="2"/>
          <w:sz w:val="44"/>
          <w:szCs w:val="44"/>
          <w:highlight w:val="none"/>
          <w:lang w:val="en-US" w:eastAsia="zh-CN" w:bidi="ar-SA"/>
        </w:rPr>
      </w:pPr>
    </w:p>
    <w:p w14:paraId="73324AA8">
      <w:pPr>
        <w:pStyle w:val="8"/>
        <w:jc w:val="center"/>
        <w:rPr>
          <w:rFonts w:hint="eastAsia" w:ascii="Times New Roman" w:hAnsi="Times New Roman" w:eastAsia="方正小标宋简体" w:cs="Times New Roman"/>
          <w:color w:val="auto"/>
          <w:kern w:val="2"/>
          <w:sz w:val="44"/>
          <w:szCs w:val="44"/>
          <w:highlight w:val="none"/>
          <w:lang w:val="en-US" w:eastAsia="zh-CN" w:bidi="ar-SA"/>
        </w:rPr>
      </w:pPr>
    </w:p>
    <w:bookmarkEnd w:id="0"/>
    <w:bookmarkEnd w:id="1"/>
    <w:bookmarkEnd w:id="2"/>
    <w:bookmarkEnd w:id="3"/>
    <w:bookmarkEnd w:id="4"/>
    <w:p w14:paraId="4EABD926">
      <w:pPr>
        <w:pStyle w:val="8"/>
        <w:jc w:val="center"/>
        <w:rPr>
          <w:rFonts w:hint="eastAsia" w:ascii="Times New Roman" w:hAnsi="Times New Roman" w:eastAsia="方正小标宋简体" w:cs="Times New Roman"/>
          <w:color w:val="auto"/>
          <w:kern w:val="2"/>
          <w:sz w:val="44"/>
          <w:szCs w:val="44"/>
          <w:highlight w:val="none"/>
          <w:lang w:val="en-US" w:eastAsia="zh-CN" w:bidi="ar-SA"/>
        </w:rPr>
      </w:pPr>
      <w:bookmarkStart w:id="6" w:name="_Toc15396476"/>
      <w:bookmarkStart w:id="7" w:name="_Toc15378442"/>
      <w:bookmarkStart w:id="8" w:name="_Toc15396598"/>
      <w:bookmarkStart w:id="9" w:name="_Toc15377194"/>
      <w:bookmarkStart w:id="10" w:name="_Toc15377426"/>
      <w:r>
        <w:rPr>
          <w:rFonts w:hint="eastAsia" w:ascii="Times New Roman" w:hAnsi="Times New Roman" w:eastAsia="方正小标宋简体" w:cs="Times New Roman"/>
          <w:color w:val="auto"/>
          <w:kern w:val="2"/>
          <w:sz w:val="44"/>
          <w:szCs w:val="44"/>
          <w:highlight w:val="none"/>
          <w:lang w:val="en-US" w:eastAsia="zh-CN" w:bidi="ar-SA"/>
        </w:rPr>
        <w:t>2024年度</w:t>
      </w:r>
    </w:p>
    <w:bookmarkEnd w:id="5"/>
    <w:p w14:paraId="29AF3B0F">
      <w:pPr>
        <w:pStyle w:val="8"/>
        <w:jc w:val="center"/>
        <w:rPr>
          <w:rFonts w:hint="eastAsia" w:ascii="Times New Roman" w:eastAsia="方正小标宋简体" w:cs="Times New Roman"/>
          <w:color w:val="auto"/>
          <w:kern w:val="2"/>
          <w:sz w:val="44"/>
          <w:szCs w:val="44"/>
          <w:highlight w:val="none"/>
          <w:lang w:val="en-US" w:eastAsia="zh-CN" w:bidi="ar-SA"/>
        </w:rPr>
      </w:pPr>
      <w:bookmarkStart w:id="11" w:name="_Toc15306268"/>
      <w:r>
        <w:rPr>
          <w:rFonts w:hint="eastAsia" w:ascii="Times New Roman" w:eastAsia="方正小标宋简体" w:cs="Times New Roman"/>
          <w:color w:val="auto"/>
          <w:kern w:val="2"/>
          <w:sz w:val="44"/>
          <w:szCs w:val="44"/>
          <w:highlight w:val="none"/>
          <w:lang w:val="en-US" w:eastAsia="zh-CN" w:bidi="ar-SA"/>
        </w:rPr>
        <w:t>攀枝花市红十字会</w:t>
      </w:r>
    </w:p>
    <w:p w14:paraId="5C815772">
      <w:pPr>
        <w:pStyle w:val="8"/>
        <w:jc w:val="center"/>
        <w:rPr>
          <w:rFonts w:hint="eastAsia" w:ascii="Times New Roman" w:hAnsi="Times New Roman" w:eastAsia="方正小标宋简体" w:cs="Times New Roman"/>
          <w:color w:val="auto"/>
          <w:kern w:val="2"/>
          <w:sz w:val="44"/>
          <w:szCs w:val="44"/>
          <w:highlight w:val="none"/>
          <w:lang w:val="en-US" w:eastAsia="zh-CN" w:bidi="ar-SA"/>
        </w:rPr>
      </w:pPr>
      <w:r>
        <w:rPr>
          <w:rFonts w:hint="eastAsia" w:ascii="Times New Roman" w:hAnsi="Times New Roman" w:eastAsia="方正小标宋简体" w:cs="Times New Roman"/>
          <w:color w:val="auto"/>
          <w:kern w:val="2"/>
          <w:sz w:val="44"/>
          <w:szCs w:val="44"/>
          <w:highlight w:val="none"/>
          <w:lang w:val="en-US" w:eastAsia="zh-CN" w:bidi="ar-SA"/>
        </w:rPr>
        <w:t>部门决算</w:t>
      </w:r>
      <w:bookmarkEnd w:id="6"/>
      <w:bookmarkEnd w:id="7"/>
      <w:bookmarkEnd w:id="8"/>
      <w:bookmarkEnd w:id="9"/>
      <w:bookmarkEnd w:id="10"/>
      <w:bookmarkEnd w:id="11"/>
    </w:p>
    <w:p w14:paraId="43DEE9E1">
      <w:pPr>
        <w:widowControl/>
        <w:jc w:val="center"/>
        <w:rPr>
          <w:rFonts w:hint="eastAsia" w:ascii="Times New Roman" w:hAnsi="Times New Roman" w:eastAsia="黑体"/>
          <w:color w:val="auto"/>
          <w:sz w:val="48"/>
          <w:szCs w:val="48"/>
          <w:highlight w:val="none"/>
        </w:rPr>
        <w:sectPr>
          <w:footerReference r:id="rId5" w:type="first"/>
          <w:headerReference r:id="rId3" w:type="default"/>
          <w:footerReference r:id="rId4" w:type="default"/>
          <w:pgSz w:w="11906" w:h="16838"/>
          <w:pgMar w:top="1440" w:right="1800" w:bottom="1440" w:left="1800" w:header="851" w:footer="992" w:gutter="0"/>
          <w:pgNumType w:fmt="numberInDash" w:start="1"/>
          <w:cols w:space="425" w:num="1"/>
          <w:docGrid w:type="lines" w:linePitch="312" w:charSpace="0"/>
        </w:sectPr>
      </w:pPr>
    </w:p>
    <w:p w14:paraId="1E044D32">
      <w:pPr>
        <w:widowControl/>
        <w:jc w:val="center"/>
        <w:rPr>
          <w:rFonts w:ascii="Times New Roman" w:hAnsi="Times New Roman" w:eastAsia="黑体"/>
          <w:color w:val="auto"/>
          <w:sz w:val="48"/>
          <w:szCs w:val="48"/>
          <w:highlight w:val="none"/>
        </w:rPr>
      </w:pPr>
      <w:r>
        <w:rPr>
          <w:rFonts w:hint="eastAsia" w:ascii="Times New Roman" w:hAnsi="Times New Roman" w:eastAsia="黑体"/>
          <w:color w:val="auto"/>
          <w:sz w:val="48"/>
          <w:szCs w:val="48"/>
          <w:highlight w:val="none"/>
        </w:rPr>
        <w:t>目录</w:t>
      </w:r>
    </w:p>
    <w:p w14:paraId="2EB14142">
      <w:pPr>
        <w:widowControl/>
        <w:jc w:val="center"/>
        <w:rPr>
          <w:rFonts w:ascii="Times New Roman" w:hAnsi="Times New Roman" w:eastAsia="黑体" w:cstheme="minorBidi"/>
          <w:color w:val="auto"/>
          <w:sz w:val="28"/>
          <w:szCs w:val="28"/>
          <w:highlight w:val="none"/>
        </w:rPr>
      </w:pPr>
    </w:p>
    <w:p w14:paraId="533B1AE3">
      <w:pPr>
        <w:pStyle w:val="13"/>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公开时间：20</w:t>
      </w:r>
      <w:r>
        <w:rPr>
          <w:rFonts w:hint="eastAsia" w:ascii="Times New Roman" w:hAnsi="Times New Roman" w:eastAsia="仿宋_GB2312" w:cs="仿宋_GB2312"/>
          <w:color w:val="auto"/>
          <w:sz w:val="32"/>
          <w:szCs w:val="32"/>
          <w:highlight w:val="none"/>
          <w:lang w:val="en-US" w:eastAsia="zh-CN"/>
        </w:rPr>
        <w:t>25</w:t>
      </w:r>
      <w:bookmarkStart w:id="65" w:name="_GoBack"/>
      <w:bookmarkEnd w:id="65"/>
      <w:r>
        <w:rPr>
          <w:rFonts w:hint="eastAsia" w:ascii="Times New Roman" w:hAnsi="Times New Roman" w:eastAsia="仿宋_GB2312" w:cs="仿宋_GB2312"/>
          <w:color w:val="auto"/>
          <w:sz w:val="32"/>
          <w:szCs w:val="32"/>
          <w:highlight w:val="none"/>
        </w:rPr>
        <w:t>年</w:t>
      </w:r>
      <w:r>
        <w:rPr>
          <w:rFonts w:hint="eastAsia" w:ascii="Times New Roman" w:hAnsi="Times New Roman" w:eastAsia="仿宋_GB2312" w:cs="仿宋_GB2312"/>
          <w:color w:val="auto"/>
          <w:sz w:val="32"/>
          <w:szCs w:val="32"/>
          <w:highlight w:val="none"/>
          <w:lang w:val="en-US" w:eastAsia="zh-CN"/>
        </w:rPr>
        <w:t>9</w:t>
      </w:r>
      <w:r>
        <w:rPr>
          <w:rFonts w:hint="eastAsia" w:ascii="Times New Roman" w:hAnsi="Times New Roman" w:eastAsia="仿宋_GB2312" w:cs="仿宋_GB2312"/>
          <w:color w:val="auto"/>
          <w:sz w:val="32"/>
          <w:szCs w:val="32"/>
          <w:highlight w:val="none"/>
        </w:rPr>
        <w:t>月</w:t>
      </w:r>
      <w:r>
        <w:rPr>
          <w:rFonts w:hint="eastAsia" w:ascii="Times New Roman" w:hAnsi="Times New Roman" w:eastAsia="仿宋_GB2312" w:cs="仿宋_GB2312"/>
          <w:color w:val="auto"/>
          <w:sz w:val="32"/>
          <w:szCs w:val="32"/>
          <w:highlight w:val="none"/>
          <w:lang w:val="en-US" w:eastAsia="zh-CN"/>
        </w:rPr>
        <w:t>11</w:t>
      </w:r>
      <w:r>
        <w:rPr>
          <w:rFonts w:hint="eastAsia" w:ascii="Times New Roman" w:hAnsi="Times New Roman" w:eastAsia="仿宋_GB2312" w:cs="仿宋_GB2312"/>
          <w:color w:val="auto"/>
          <w:sz w:val="32"/>
          <w:szCs w:val="32"/>
          <w:highlight w:val="none"/>
        </w:rPr>
        <w:t>日</w:t>
      </w:r>
    </w:p>
    <w:p w14:paraId="28C32151">
      <w:pPr>
        <w:rPr>
          <w:rFonts w:ascii="Times New Roman" w:hAnsi="Times New Roman"/>
          <w:color w:val="auto"/>
          <w:highlight w:val="none"/>
        </w:rPr>
      </w:pPr>
    </w:p>
    <w:p w14:paraId="6BA01D09">
      <w:pPr>
        <w:pStyle w:val="13"/>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eastAsia" w:ascii="Times New Roman" w:hAnsi="Times New Roman" w:eastAsia="黑体" w:cs="黑体"/>
          <w:color w:val="auto"/>
          <w:sz w:val="32"/>
          <w:szCs w:val="32"/>
          <w:highlight w:val="none"/>
        </w:rPr>
      </w:pPr>
      <w:r>
        <w:rPr>
          <w:rFonts w:hint="eastAsia" w:ascii="Times New Roman" w:hAnsi="Times New Roman" w:eastAsia="黑体" w:cs="黑体"/>
          <w:color w:val="auto"/>
          <w:sz w:val="32"/>
          <w:szCs w:val="32"/>
          <w:highlight w:val="none"/>
        </w:rPr>
        <w:t>第一部分 部门概况</w:t>
      </w:r>
    </w:p>
    <w:p w14:paraId="133FC976">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一、</w:t>
      </w:r>
      <w:r>
        <w:rPr>
          <w:rFonts w:hint="eastAsia" w:ascii="Times New Roman" w:hAnsi="Times New Roman" w:eastAsia="仿宋_GB2312" w:cs="仿宋_GB2312"/>
          <w:color w:val="auto"/>
          <w:sz w:val="32"/>
          <w:szCs w:val="32"/>
          <w:highlight w:val="none"/>
          <w:lang w:eastAsia="zh-CN"/>
        </w:rPr>
        <w:t>部门职责</w:t>
      </w:r>
      <w:r>
        <w:rPr>
          <w:rFonts w:hint="eastAsia" w:eastAsia="仿宋_GB2312" w:cs="仿宋_GB2312"/>
          <w:color w:val="auto"/>
          <w:sz w:val="32"/>
          <w:szCs w:val="32"/>
          <w:highlight w:val="none"/>
          <w:lang w:val="en-US" w:eastAsia="zh-CN"/>
        </w:rPr>
        <w:t>.....................................................................1</w:t>
      </w:r>
    </w:p>
    <w:p w14:paraId="6BFB4156">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二、机构设置</w:t>
      </w:r>
      <w:r>
        <w:rPr>
          <w:rFonts w:hint="eastAsia" w:eastAsia="仿宋_GB2312" w:cs="仿宋_GB2312"/>
          <w:color w:val="auto"/>
          <w:sz w:val="32"/>
          <w:szCs w:val="32"/>
          <w:highlight w:val="none"/>
          <w:lang w:val="en-US" w:eastAsia="zh-CN"/>
        </w:rPr>
        <w:t>.....................................................................2</w:t>
      </w:r>
    </w:p>
    <w:p w14:paraId="0E85C79A">
      <w:pPr>
        <w:pStyle w:val="13"/>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eastAsia" w:ascii="Times New Roman" w:hAnsi="Times New Roman" w:eastAsia="黑体" w:cs="黑体"/>
          <w:color w:val="auto"/>
          <w:sz w:val="32"/>
          <w:szCs w:val="32"/>
          <w:highlight w:val="none"/>
        </w:rPr>
      </w:pPr>
      <w:r>
        <w:rPr>
          <w:rFonts w:hint="eastAsia" w:ascii="Times New Roman" w:hAnsi="Times New Roman" w:eastAsia="黑体" w:cs="黑体"/>
          <w:color w:val="auto"/>
          <w:sz w:val="32"/>
          <w:szCs w:val="32"/>
          <w:highlight w:val="none"/>
        </w:rPr>
        <w:t>第二部分</w:t>
      </w:r>
      <w:r>
        <w:rPr>
          <w:rFonts w:hint="eastAsia" w:ascii="Times New Roman" w:hAnsi="Times New Roman" w:eastAsia="黑体" w:cs="黑体"/>
          <w:color w:val="auto"/>
          <w:sz w:val="32"/>
          <w:szCs w:val="32"/>
          <w:highlight w:val="none"/>
          <w:lang w:val="en-US" w:eastAsia="zh-CN"/>
        </w:rPr>
        <w:t xml:space="preserve"> 2024年度</w:t>
      </w:r>
      <w:r>
        <w:rPr>
          <w:rFonts w:hint="eastAsia" w:ascii="Times New Roman" w:hAnsi="Times New Roman" w:eastAsia="黑体" w:cs="黑体"/>
          <w:color w:val="auto"/>
          <w:sz w:val="32"/>
          <w:szCs w:val="32"/>
          <w:highlight w:val="none"/>
        </w:rPr>
        <w:t>部门决算情况说明</w:t>
      </w:r>
    </w:p>
    <w:p w14:paraId="187807AB">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一、收入支出决算总体情况说明</w:t>
      </w:r>
      <w:r>
        <w:rPr>
          <w:rFonts w:hint="eastAsia" w:eastAsia="仿宋_GB2312" w:cs="仿宋_GB2312"/>
          <w:color w:val="auto"/>
          <w:sz w:val="32"/>
          <w:szCs w:val="32"/>
          <w:highlight w:val="none"/>
          <w:lang w:val="en-US" w:eastAsia="zh-CN"/>
        </w:rPr>
        <w:t>.....................................3</w:t>
      </w:r>
    </w:p>
    <w:p w14:paraId="30A31D62">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二、收入决算情况说明</w:t>
      </w:r>
      <w:r>
        <w:rPr>
          <w:rFonts w:hint="eastAsia" w:eastAsia="仿宋_GB2312" w:cs="仿宋_GB2312"/>
          <w:color w:val="auto"/>
          <w:sz w:val="32"/>
          <w:szCs w:val="32"/>
          <w:highlight w:val="none"/>
          <w:lang w:val="en-US" w:eastAsia="zh-CN"/>
        </w:rPr>
        <w:t>.....................................................3</w:t>
      </w:r>
    </w:p>
    <w:p w14:paraId="1B35AB35">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三、支出决算情况说明</w:t>
      </w:r>
      <w:r>
        <w:rPr>
          <w:rFonts w:hint="eastAsia" w:eastAsia="仿宋_GB2312" w:cs="仿宋_GB2312"/>
          <w:color w:val="auto"/>
          <w:sz w:val="32"/>
          <w:szCs w:val="32"/>
          <w:highlight w:val="none"/>
          <w:lang w:val="en-US" w:eastAsia="zh-CN"/>
        </w:rPr>
        <w:t>.....................................................4</w:t>
      </w:r>
    </w:p>
    <w:p w14:paraId="7D8EC297">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四、财政拨款收入支出决算总体情况说明</w:t>
      </w:r>
      <w:r>
        <w:rPr>
          <w:rFonts w:hint="eastAsia" w:eastAsia="仿宋_GB2312" w:cs="仿宋_GB2312"/>
          <w:color w:val="auto"/>
          <w:sz w:val="32"/>
          <w:szCs w:val="32"/>
          <w:highlight w:val="none"/>
          <w:lang w:val="en-US" w:eastAsia="zh-CN"/>
        </w:rPr>
        <w:t>.....................4</w:t>
      </w:r>
    </w:p>
    <w:p w14:paraId="19904046">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五、一般公共预算财政拨款支出决算情况说明</w:t>
      </w:r>
      <w:r>
        <w:rPr>
          <w:rFonts w:hint="eastAsia" w:eastAsia="仿宋_GB2312" w:cs="仿宋_GB2312"/>
          <w:color w:val="auto"/>
          <w:sz w:val="32"/>
          <w:szCs w:val="32"/>
          <w:highlight w:val="none"/>
          <w:lang w:val="en-US" w:eastAsia="zh-CN"/>
        </w:rPr>
        <w:t>.............5</w:t>
      </w:r>
    </w:p>
    <w:p w14:paraId="0C86E483">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六、一般公共预算财政拨款基本支出决算情况说明</w:t>
      </w:r>
      <w:r>
        <w:rPr>
          <w:rFonts w:hint="eastAsia" w:eastAsia="仿宋_GB2312" w:cs="仿宋_GB2312"/>
          <w:color w:val="auto"/>
          <w:sz w:val="32"/>
          <w:szCs w:val="32"/>
          <w:highlight w:val="none"/>
          <w:lang w:val="en-US" w:eastAsia="zh-CN"/>
        </w:rPr>
        <w:t>.....7</w:t>
      </w:r>
    </w:p>
    <w:p w14:paraId="3B6CFBA7">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七、财政拨款</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三公”经费支出决算情况说明</w:t>
      </w:r>
      <w:r>
        <w:rPr>
          <w:rFonts w:hint="eastAsia" w:eastAsia="仿宋_GB2312" w:cs="仿宋_GB2312"/>
          <w:color w:val="auto"/>
          <w:sz w:val="32"/>
          <w:szCs w:val="32"/>
          <w:highlight w:val="none"/>
          <w:lang w:val="en-US" w:eastAsia="zh-CN"/>
        </w:rPr>
        <w:t>.............7</w:t>
      </w:r>
    </w:p>
    <w:p w14:paraId="584B2E98">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八、政府性基金预算支出决算情况说明</w:t>
      </w:r>
      <w:r>
        <w:rPr>
          <w:rFonts w:hint="eastAsia" w:eastAsia="仿宋_GB2312" w:cs="仿宋_GB2312"/>
          <w:color w:val="auto"/>
          <w:sz w:val="32"/>
          <w:szCs w:val="32"/>
          <w:highlight w:val="none"/>
          <w:lang w:val="en-US" w:eastAsia="zh-CN"/>
        </w:rPr>
        <w:t>.........................9</w:t>
      </w:r>
    </w:p>
    <w:p w14:paraId="1D03ACF5">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九、</w:t>
      </w:r>
      <w:r>
        <w:rPr>
          <w:rFonts w:hint="eastAsia" w:ascii="Times New Roman" w:hAnsi="Times New Roman" w:eastAsia="仿宋_GB2312" w:cs="仿宋_GB2312"/>
          <w:color w:val="auto"/>
          <w:sz w:val="32"/>
          <w:szCs w:val="32"/>
          <w:highlight w:val="none"/>
          <w:lang w:eastAsia="zh-CN"/>
        </w:rPr>
        <w:t>国</w:t>
      </w:r>
      <w:r>
        <w:rPr>
          <w:rFonts w:hint="eastAsia" w:ascii="Times New Roman" w:hAnsi="Times New Roman" w:eastAsia="仿宋_GB2312" w:cs="仿宋_GB2312"/>
          <w:color w:val="auto"/>
          <w:sz w:val="32"/>
          <w:szCs w:val="32"/>
          <w:highlight w:val="none"/>
        </w:rPr>
        <w:t>有资本经营预算支出决算情况说明</w:t>
      </w:r>
      <w:r>
        <w:rPr>
          <w:rFonts w:hint="eastAsia" w:eastAsia="仿宋_GB2312" w:cs="仿宋_GB2312"/>
          <w:color w:val="auto"/>
          <w:sz w:val="32"/>
          <w:szCs w:val="32"/>
          <w:highlight w:val="none"/>
          <w:lang w:val="en-US" w:eastAsia="zh-CN"/>
        </w:rPr>
        <w:t>.....................9</w:t>
      </w:r>
    </w:p>
    <w:p w14:paraId="75B6CE4D">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lang w:eastAsia="zh-CN"/>
        </w:rPr>
        <w:t>十</w:t>
      </w:r>
      <w:r>
        <w:rPr>
          <w:rFonts w:hint="eastAsia" w:ascii="Times New Roman" w:hAnsi="Times New Roman" w:eastAsia="仿宋_GB2312" w:cs="仿宋_GB2312"/>
          <w:color w:val="auto"/>
          <w:sz w:val="32"/>
          <w:szCs w:val="32"/>
          <w:highlight w:val="none"/>
        </w:rPr>
        <w:t>、其他重要事项的情况说明</w:t>
      </w:r>
      <w:r>
        <w:rPr>
          <w:rFonts w:hint="eastAsia" w:eastAsia="仿宋_GB2312" w:cs="仿宋_GB2312"/>
          <w:color w:val="auto"/>
          <w:sz w:val="32"/>
          <w:szCs w:val="32"/>
          <w:highlight w:val="none"/>
          <w:lang w:val="en-US" w:eastAsia="zh-CN"/>
        </w:rPr>
        <w:t>.........................................9</w:t>
      </w:r>
    </w:p>
    <w:p w14:paraId="38FB1F6A">
      <w:pPr>
        <w:pStyle w:val="13"/>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default" w:ascii="Times New Roman" w:hAnsi="Times New Roman" w:eastAsia="黑体" w:cs="黑体"/>
          <w:color w:val="auto"/>
          <w:sz w:val="32"/>
          <w:szCs w:val="32"/>
          <w:highlight w:val="none"/>
          <w:lang w:val="en-US" w:eastAsia="zh-CN"/>
        </w:rPr>
      </w:pPr>
      <w:r>
        <w:rPr>
          <w:rFonts w:hint="eastAsia" w:ascii="Times New Roman" w:hAnsi="Times New Roman" w:eastAsia="黑体" w:cs="黑体"/>
          <w:color w:val="auto"/>
          <w:sz w:val="32"/>
          <w:szCs w:val="32"/>
          <w:highlight w:val="none"/>
        </w:rPr>
        <w:t>第三部分 名词解释</w:t>
      </w:r>
      <w:r>
        <w:rPr>
          <w:rFonts w:hint="eastAsia" w:ascii="Times New Roman" w:hAnsi="Times New Roman" w:eastAsia="黑体" w:cs="黑体"/>
          <w:color w:val="auto"/>
          <w:sz w:val="32"/>
          <w:szCs w:val="32"/>
          <w:highlight w:val="none"/>
          <w:lang w:val="en-US" w:eastAsia="zh-CN"/>
        </w:rPr>
        <w:t>.................................................................12</w:t>
      </w:r>
    </w:p>
    <w:p w14:paraId="5B9CEBCB">
      <w:pPr>
        <w:pStyle w:val="13"/>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default" w:ascii="Times New Roman" w:hAnsi="Times New Roman" w:eastAsia="黑体" w:cs="黑体"/>
          <w:color w:val="auto"/>
          <w:sz w:val="32"/>
          <w:szCs w:val="32"/>
          <w:highlight w:val="none"/>
          <w:lang w:val="en-US" w:eastAsia="zh-CN"/>
        </w:rPr>
      </w:pPr>
      <w:r>
        <w:rPr>
          <w:rFonts w:hint="eastAsia" w:ascii="Times New Roman" w:hAnsi="Times New Roman" w:eastAsia="黑体" w:cs="黑体"/>
          <w:color w:val="auto"/>
          <w:sz w:val="32"/>
          <w:szCs w:val="32"/>
          <w:highlight w:val="none"/>
        </w:rPr>
        <w:t>第四部分 附件</w:t>
      </w:r>
      <w:r>
        <w:rPr>
          <w:rFonts w:hint="eastAsia" w:ascii="Times New Roman" w:hAnsi="Times New Roman" w:eastAsia="黑体" w:cs="黑体"/>
          <w:color w:val="auto"/>
          <w:sz w:val="32"/>
          <w:szCs w:val="32"/>
          <w:highlight w:val="none"/>
          <w:lang w:val="en-US" w:eastAsia="zh-CN"/>
        </w:rPr>
        <w:t>.........................................................................15</w:t>
      </w:r>
    </w:p>
    <w:p w14:paraId="13780923">
      <w:pPr>
        <w:pStyle w:val="13"/>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eastAsia" w:ascii="Times New Roman" w:hAnsi="Times New Roman" w:eastAsia="黑体" w:cs="黑体"/>
          <w:color w:val="auto"/>
          <w:sz w:val="32"/>
          <w:szCs w:val="32"/>
          <w:highlight w:val="none"/>
        </w:rPr>
      </w:pPr>
      <w:r>
        <w:rPr>
          <w:rFonts w:hint="eastAsia" w:ascii="Times New Roman" w:hAnsi="Times New Roman" w:eastAsia="黑体" w:cs="黑体"/>
          <w:color w:val="auto"/>
          <w:sz w:val="32"/>
          <w:szCs w:val="32"/>
          <w:highlight w:val="none"/>
        </w:rPr>
        <w:t>第五部分 附表</w:t>
      </w:r>
    </w:p>
    <w:p w14:paraId="11844D2C">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一、收入支出决算总表</w:t>
      </w:r>
      <w:r>
        <w:rPr>
          <w:rFonts w:hint="eastAsia" w:eastAsia="仿宋_GB2312" w:cs="仿宋_GB2312"/>
          <w:color w:val="auto"/>
          <w:sz w:val="32"/>
          <w:szCs w:val="32"/>
          <w:highlight w:val="none"/>
          <w:lang w:val="en-US" w:eastAsia="zh-CN"/>
        </w:rPr>
        <w:t>...................................................33</w:t>
      </w:r>
    </w:p>
    <w:p w14:paraId="6840F727">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二、收入决算表</w:t>
      </w:r>
      <w:r>
        <w:rPr>
          <w:rFonts w:hint="eastAsia" w:eastAsia="仿宋_GB2312" w:cs="仿宋_GB2312"/>
          <w:color w:val="auto"/>
          <w:sz w:val="32"/>
          <w:szCs w:val="32"/>
          <w:highlight w:val="none"/>
          <w:lang w:val="en-US" w:eastAsia="zh-CN"/>
        </w:rPr>
        <w:t>...............................................................33</w:t>
      </w:r>
    </w:p>
    <w:p w14:paraId="67CD4EB8">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三、支出决算表</w:t>
      </w:r>
      <w:r>
        <w:rPr>
          <w:rFonts w:hint="eastAsia" w:eastAsia="仿宋_GB2312" w:cs="仿宋_GB2312"/>
          <w:color w:val="auto"/>
          <w:sz w:val="32"/>
          <w:szCs w:val="32"/>
          <w:highlight w:val="none"/>
          <w:lang w:val="en-US" w:eastAsia="zh-CN"/>
        </w:rPr>
        <w:t>...............................................................33</w:t>
      </w:r>
    </w:p>
    <w:p w14:paraId="446F275D">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sectPr>
          <w:footerReference r:id="rId6" w:type="default"/>
          <w:pgSz w:w="11906" w:h="16838"/>
          <w:pgMar w:top="1440" w:right="1800" w:bottom="1440" w:left="1800" w:header="851" w:footer="992" w:gutter="0"/>
          <w:pgNumType w:fmt="numberInDash" w:start="1"/>
          <w:cols w:space="425" w:num="1"/>
          <w:docGrid w:type="lines" w:linePitch="312" w:charSpace="0"/>
        </w:sectPr>
      </w:pPr>
    </w:p>
    <w:p w14:paraId="43D6D775">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四、财政拨款收入支出决算总表</w:t>
      </w:r>
      <w:r>
        <w:rPr>
          <w:rFonts w:hint="eastAsia" w:eastAsia="仿宋_GB2312" w:cs="仿宋_GB2312"/>
          <w:color w:val="auto"/>
          <w:sz w:val="32"/>
          <w:szCs w:val="32"/>
          <w:highlight w:val="none"/>
          <w:lang w:val="en-US" w:eastAsia="zh-CN"/>
        </w:rPr>
        <w:t>...................................33</w:t>
      </w:r>
    </w:p>
    <w:p w14:paraId="17B6A87D">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五、财政拨款支出决算明细表</w:t>
      </w:r>
      <w:r>
        <w:rPr>
          <w:rFonts w:hint="eastAsia" w:eastAsia="仿宋_GB2312" w:cs="仿宋_GB2312"/>
          <w:color w:val="auto"/>
          <w:sz w:val="32"/>
          <w:szCs w:val="32"/>
          <w:highlight w:val="none"/>
          <w:lang w:val="en-US" w:eastAsia="zh-CN"/>
        </w:rPr>
        <w:t>.......................................33</w:t>
      </w:r>
    </w:p>
    <w:p w14:paraId="2DEDF21D">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六、一般公共预算财政拨款支出决算表</w:t>
      </w:r>
      <w:r>
        <w:rPr>
          <w:rFonts w:hint="eastAsia" w:eastAsia="仿宋_GB2312" w:cs="仿宋_GB2312"/>
          <w:color w:val="auto"/>
          <w:sz w:val="32"/>
          <w:szCs w:val="32"/>
          <w:highlight w:val="none"/>
          <w:lang w:val="en-US" w:eastAsia="zh-CN"/>
        </w:rPr>
        <w:t>.......................33</w:t>
      </w:r>
    </w:p>
    <w:p w14:paraId="2A5F6BAC">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七、一般公共预算财政拨款支出决算明细表</w:t>
      </w:r>
      <w:r>
        <w:rPr>
          <w:rFonts w:hint="eastAsia" w:eastAsia="仿宋_GB2312" w:cs="仿宋_GB2312"/>
          <w:color w:val="auto"/>
          <w:sz w:val="32"/>
          <w:szCs w:val="32"/>
          <w:highlight w:val="none"/>
          <w:lang w:val="en-US" w:eastAsia="zh-CN"/>
        </w:rPr>
        <w:t>...............33</w:t>
      </w:r>
    </w:p>
    <w:p w14:paraId="22D05C38">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八、一般公共预算财政拨款基本支出决算</w:t>
      </w:r>
      <w:r>
        <w:rPr>
          <w:rFonts w:hint="eastAsia" w:ascii="Times New Roman" w:hAnsi="Times New Roman" w:eastAsia="仿宋_GB2312" w:cs="仿宋_GB2312"/>
          <w:color w:val="auto"/>
          <w:sz w:val="32"/>
          <w:szCs w:val="32"/>
          <w:highlight w:val="none"/>
          <w:lang w:eastAsia="zh-CN"/>
        </w:rPr>
        <w:t>明细</w:t>
      </w:r>
      <w:r>
        <w:rPr>
          <w:rFonts w:hint="eastAsia" w:ascii="Times New Roman" w:hAnsi="Times New Roman" w:eastAsia="仿宋_GB2312" w:cs="仿宋_GB2312"/>
          <w:color w:val="auto"/>
          <w:sz w:val="32"/>
          <w:szCs w:val="32"/>
          <w:highlight w:val="none"/>
        </w:rPr>
        <w:t>表</w:t>
      </w:r>
      <w:r>
        <w:rPr>
          <w:rFonts w:hint="eastAsia" w:eastAsia="仿宋_GB2312" w:cs="仿宋_GB2312"/>
          <w:color w:val="auto"/>
          <w:sz w:val="32"/>
          <w:szCs w:val="32"/>
          <w:highlight w:val="none"/>
          <w:lang w:val="en-US" w:eastAsia="zh-CN"/>
        </w:rPr>
        <w:t>.......33</w:t>
      </w:r>
    </w:p>
    <w:p w14:paraId="2747D5D1">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九、一般公共预算财政拨款项目支出决算表</w:t>
      </w:r>
      <w:r>
        <w:rPr>
          <w:rFonts w:hint="eastAsia" w:eastAsia="仿宋_GB2312" w:cs="仿宋_GB2312"/>
          <w:color w:val="auto"/>
          <w:sz w:val="32"/>
          <w:szCs w:val="32"/>
          <w:highlight w:val="none"/>
          <w:lang w:val="en-US" w:eastAsia="zh-CN"/>
        </w:rPr>
        <w:t>...............33</w:t>
      </w:r>
    </w:p>
    <w:p w14:paraId="1B31D584">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十、政府性基金预算财政拨款收入支出决算表</w:t>
      </w:r>
      <w:r>
        <w:rPr>
          <w:rFonts w:hint="eastAsia" w:eastAsia="仿宋_GB2312" w:cs="仿宋_GB2312"/>
          <w:color w:val="auto"/>
          <w:sz w:val="32"/>
          <w:szCs w:val="32"/>
          <w:highlight w:val="none"/>
          <w:lang w:val="en-US" w:eastAsia="zh-CN"/>
        </w:rPr>
        <w:t>...........33</w:t>
      </w:r>
    </w:p>
    <w:p w14:paraId="3D8CA9E9">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十一、国有资本经营预算财政拨款收入支出决算表</w:t>
      </w:r>
      <w:r>
        <w:rPr>
          <w:rFonts w:hint="eastAsia" w:eastAsia="仿宋_GB2312" w:cs="仿宋_GB2312"/>
          <w:color w:val="auto"/>
          <w:sz w:val="32"/>
          <w:szCs w:val="32"/>
          <w:highlight w:val="none"/>
          <w:lang w:val="en-US" w:eastAsia="zh-CN"/>
        </w:rPr>
        <w:t>...33</w:t>
      </w:r>
    </w:p>
    <w:p w14:paraId="3A1FDF31">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十二、</w:t>
      </w:r>
      <w:r>
        <w:rPr>
          <w:rFonts w:hint="eastAsia" w:ascii="Times New Roman" w:hAnsi="Times New Roman" w:eastAsia="仿宋_GB2312" w:cs="仿宋_GB2312"/>
          <w:color w:val="auto"/>
          <w:sz w:val="32"/>
          <w:szCs w:val="32"/>
          <w:highlight w:val="none"/>
          <w:lang w:val="en-US" w:eastAsia="zh-CN"/>
        </w:rPr>
        <w:t>国有资本经营预算财政拨款支出决算表</w:t>
      </w:r>
      <w:r>
        <w:rPr>
          <w:rFonts w:hint="eastAsia" w:eastAsia="仿宋_GB2312" w:cs="仿宋_GB2312"/>
          <w:color w:val="auto"/>
          <w:sz w:val="32"/>
          <w:szCs w:val="32"/>
          <w:highlight w:val="none"/>
          <w:lang w:val="en-US" w:eastAsia="zh-CN"/>
        </w:rPr>
        <w:t>...........33</w:t>
      </w:r>
    </w:p>
    <w:p w14:paraId="033D03EF">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十三、财政拨款“三公”经费支出决算表</w:t>
      </w:r>
      <w:r>
        <w:rPr>
          <w:rFonts w:hint="eastAsia" w:eastAsia="仿宋_GB2312" w:cs="仿宋_GB2312"/>
          <w:color w:val="auto"/>
          <w:sz w:val="32"/>
          <w:szCs w:val="32"/>
          <w:highlight w:val="none"/>
          <w:lang w:val="en-US" w:eastAsia="zh-CN"/>
        </w:rPr>
        <w:t>...................33</w:t>
      </w:r>
    </w:p>
    <w:p w14:paraId="57C4C3EA">
      <w:pPr>
        <w:pStyle w:val="5"/>
        <w:jc w:val="center"/>
        <w:rPr>
          <w:rFonts w:hint="eastAsia" w:ascii="Times New Roman" w:hAnsi="Times New Roman" w:eastAsia="方正小标宋简体" w:cs="方正小标宋简体"/>
          <w:b w:val="0"/>
          <w:color w:val="auto"/>
          <w:highlight w:val="none"/>
        </w:rPr>
        <w:sectPr>
          <w:footerReference r:id="rId8" w:type="first"/>
          <w:footerReference r:id="rId7" w:type="default"/>
          <w:pgSz w:w="11906" w:h="16838"/>
          <w:pgMar w:top="1440" w:right="1800" w:bottom="1440" w:left="1800" w:header="851" w:footer="992" w:gutter="0"/>
          <w:pgNumType w:fmt="numberInDash" w:start="1"/>
          <w:cols w:space="425" w:num="1"/>
          <w:titlePg/>
          <w:docGrid w:type="lines" w:linePitch="312" w:charSpace="0"/>
        </w:sectPr>
      </w:pPr>
      <w:bookmarkStart w:id="12" w:name="_Toc15377196"/>
      <w:bookmarkStart w:id="13" w:name="_Toc15396599"/>
    </w:p>
    <w:p w14:paraId="587D75F1">
      <w:pPr>
        <w:pStyle w:val="5"/>
        <w:jc w:val="center"/>
        <w:rPr>
          <w:rStyle w:val="29"/>
          <w:rFonts w:hint="eastAsia" w:ascii="Times New Roman" w:hAnsi="Times New Roman" w:eastAsia="方正小标宋简体" w:cs="方正小标宋简体"/>
          <w:b/>
          <w:bCs w:val="0"/>
          <w:color w:val="auto"/>
          <w:highlight w:val="none"/>
        </w:rPr>
      </w:pPr>
      <w:r>
        <w:rPr>
          <w:rFonts w:hint="eastAsia" w:ascii="Times New Roman" w:hAnsi="Times New Roman" w:eastAsia="方正小标宋简体" w:cs="方正小标宋简体"/>
          <w:b w:val="0"/>
          <w:color w:val="auto"/>
          <w:highlight w:val="none"/>
        </w:rPr>
        <w:t>第一部分</w:t>
      </w:r>
      <w:r>
        <w:rPr>
          <w:rFonts w:hint="eastAsia" w:ascii="Times New Roman" w:hAnsi="Times New Roman" w:eastAsia="方正小标宋简体" w:cs="方正小标宋简体"/>
          <w:b w:val="0"/>
          <w:color w:val="auto"/>
          <w:highlight w:val="none"/>
          <w:lang w:val="en-US" w:eastAsia="zh-CN"/>
        </w:rPr>
        <w:t xml:space="preserve"> </w:t>
      </w:r>
      <w:r>
        <w:rPr>
          <w:rFonts w:hint="eastAsia" w:ascii="Times New Roman" w:hAnsi="Times New Roman" w:eastAsia="方正小标宋简体" w:cs="方正小标宋简体"/>
          <w:b w:val="0"/>
          <w:color w:val="auto"/>
          <w:highlight w:val="none"/>
        </w:rPr>
        <w:t xml:space="preserve"> </w:t>
      </w:r>
      <w:r>
        <w:rPr>
          <w:rStyle w:val="29"/>
          <w:rFonts w:hint="eastAsia" w:ascii="Times New Roman" w:hAnsi="Times New Roman" w:eastAsia="方正小标宋简体" w:cs="方正小标宋简体"/>
          <w:b w:val="0"/>
          <w:bCs w:val="0"/>
          <w:color w:val="auto"/>
          <w:highlight w:val="none"/>
        </w:rPr>
        <w:t>部门概况</w:t>
      </w:r>
      <w:bookmarkEnd w:id="12"/>
      <w:bookmarkEnd w:id="13"/>
    </w:p>
    <w:p w14:paraId="65E9FD10">
      <w:pPr>
        <w:widowControl/>
        <w:jc w:val="left"/>
        <w:rPr>
          <w:rFonts w:ascii="Times New Roman" w:hAnsi="Times New Roman" w:eastAsia="黑体"/>
          <w:color w:val="auto"/>
          <w:sz w:val="32"/>
          <w:szCs w:val="32"/>
          <w:highlight w:val="none"/>
        </w:rPr>
      </w:pPr>
    </w:p>
    <w:p w14:paraId="33225134">
      <w:pPr>
        <w:pStyle w:val="6"/>
        <w:numPr>
          <w:ilvl w:val="0"/>
          <w:numId w:val="1"/>
        </w:numPr>
        <w:ind w:left="420" w:leftChars="0" w:firstLine="224" w:firstLineChars="0"/>
        <w:rPr>
          <w:rFonts w:hint="eastAsia" w:ascii="Times New Roman" w:hAnsi="Times New Roman" w:eastAsia="黑体"/>
          <w:b w:val="0"/>
          <w:color w:val="auto"/>
          <w:highlight w:val="none"/>
          <w:lang w:eastAsia="zh-CN"/>
        </w:rPr>
      </w:pPr>
      <w:r>
        <w:rPr>
          <w:rFonts w:hint="eastAsia" w:ascii="Times New Roman" w:hAnsi="Times New Roman" w:eastAsia="黑体"/>
          <w:b w:val="0"/>
          <w:color w:val="auto"/>
          <w:highlight w:val="none"/>
          <w:lang w:eastAsia="zh-CN"/>
        </w:rPr>
        <w:t>部门职责</w:t>
      </w:r>
    </w:p>
    <w:p w14:paraId="3E0F573C">
      <w:pPr>
        <w:spacing w:line="520" w:lineRule="exact"/>
        <w:ind w:firstLine="640" w:firstLineChars="200"/>
        <w:rPr>
          <w:rFonts w:hint="eastAsia" w:ascii="仿宋_GB2312" w:eastAsia="仿宋_GB2312"/>
          <w:sz w:val="32"/>
          <w:szCs w:val="32"/>
        </w:rPr>
      </w:pPr>
      <w:r>
        <w:rPr>
          <w:rFonts w:hint="eastAsia" w:ascii="Times New Roman" w:hAnsi="Times New Roman" w:eastAsia="仿宋_GB2312" w:cs="仿宋_GB2312"/>
          <w:color w:val="auto"/>
          <w:kern w:val="2"/>
          <w:sz w:val="32"/>
          <w:szCs w:val="32"/>
          <w:highlight w:val="none"/>
          <w:lang w:val="en-US" w:eastAsia="zh-CN" w:bidi="ar-SA"/>
        </w:rPr>
        <w:t>1.</w:t>
      </w:r>
      <w:r>
        <w:rPr>
          <w:rFonts w:hint="eastAsia" w:ascii="仿宋_GB2312" w:eastAsia="仿宋_GB2312"/>
          <w:sz w:val="32"/>
          <w:szCs w:val="32"/>
        </w:rPr>
        <w:t>贯彻落实《中华人民共和国红十字会法》及我省有关法规，执行《中国红十字会章程》，制定并实施攀枝花市红十字事业发展规划。</w:t>
      </w:r>
    </w:p>
    <w:p w14:paraId="505A23E8">
      <w:pPr>
        <w:spacing w:line="520" w:lineRule="exact"/>
        <w:ind w:firstLine="644"/>
        <w:rPr>
          <w:rFonts w:hint="eastAsia" w:ascii="仿宋_GB2312" w:eastAsia="仿宋_GB2312"/>
          <w:sz w:val="32"/>
          <w:szCs w:val="32"/>
        </w:rPr>
      </w:pPr>
      <w:r>
        <w:rPr>
          <w:rFonts w:hint="eastAsia" w:ascii="Times New Roman" w:hAnsi="Times New Roman" w:eastAsia="仿宋_GB2312" w:cs="仿宋_GB2312"/>
          <w:color w:val="auto"/>
          <w:kern w:val="2"/>
          <w:sz w:val="32"/>
          <w:szCs w:val="32"/>
          <w:highlight w:val="none"/>
          <w:lang w:val="en-US" w:eastAsia="zh-CN" w:bidi="ar-SA"/>
        </w:rPr>
        <w:t>2.</w:t>
      </w:r>
      <w:r>
        <w:rPr>
          <w:rFonts w:hint="eastAsia" w:ascii="仿宋_GB2312" w:eastAsia="仿宋_GB2312"/>
          <w:sz w:val="32"/>
          <w:szCs w:val="32"/>
        </w:rPr>
        <w:t>开展救援救灾的相关工作，建立红十字应急救援体系，在自然灾害、事故灾难、公共卫生事件等突发事件中，向伤病人员和其他受害者提供紧急救援和人道援助。</w:t>
      </w:r>
    </w:p>
    <w:p w14:paraId="3C8AE821">
      <w:pPr>
        <w:spacing w:line="520" w:lineRule="exact"/>
        <w:ind w:firstLine="644"/>
        <w:rPr>
          <w:rFonts w:hint="eastAsia" w:ascii="仿宋_GB2312" w:eastAsia="仿宋_GB2312"/>
          <w:sz w:val="32"/>
          <w:szCs w:val="32"/>
        </w:rPr>
      </w:pPr>
      <w:r>
        <w:rPr>
          <w:rFonts w:hint="eastAsia" w:ascii="Times New Roman" w:hAnsi="Times New Roman" w:eastAsia="仿宋_GB2312" w:cs="仿宋_GB2312"/>
          <w:color w:val="auto"/>
          <w:kern w:val="2"/>
          <w:sz w:val="32"/>
          <w:szCs w:val="32"/>
          <w:highlight w:val="none"/>
          <w:lang w:val="en-US" w:eastAsia="zh-CN" w:bidi="ar-SA"/>
        </w:rPr>
        <w:t>3.</w:t>
      </w:r>
      <w:r>
        <w:rPr>
          <w:rFonts w:hint="eastAsia" w:ascii="仿宋_GB2312" w:eastAsia="仿宋_GB2312"/>
          <w:sz w:val="32"/>
          <w:szCs w:val="32"/>
        </w:rPr>
        <w:t>开展应急救护培训，普及应急救护、防灾避险和卫生健康知识，组织红十字志愿者参与现场救护。</w:t>
      </w:r>
    </w:p>
    <w:p w14:paraId="135F7A85">
      <w:pPr>
        <w:spacing w:line="520" w:lineRule="exact"/>
        <w:ind w:firstLine="644"/>
        <w:rPr>
          <w:rFonts w:hint="eastAsia" w:ascii="仿宋_GB2312" w:eastAsia="仿宋_GB2312"/>
          <w:sz w:val="32"/>
          <w:szCs w:val="32"/>
        </w:rPr>
      </w:pPr>
      <w:r>
        <w:rPr>
          <w:rFonts w:hint="eastAsia" w:ascii="Times New Roman" w:hAnsi="Times New Roman" w:eastAsia="仿宋_GB2312" w:cs="仿宋_GB2312"/>
          <w:color w:val="auto"/>
          <w:kern w:val="2"/>
          <w:sz w:val="32"/>
          <w:szCs w:val="32"/>
          <w:highlight w:val="none"/>
          <w:lang w:val="en-US" w:eastAsia="zh-CN" w:bidi="ar-SA"/>
        </w:rPr>
        <w:t>4.</w:t>
      </w:r>
      <w:r>
        <w:rPr>
          <w:rFonts w:hint="eastAsia" w:ascii="仿宋_GB2312" w:eastAsia="仿宋_GB2312"/>
          <w:sz w:val="32"/>
          <w:szCs w:val="32"/>
        </w:rPr>
        <w:t>参与、推动无偿献血、遗体和人体器官（组织）捐献工作，参与开展造血干细胞捐献的相关工作中。</w:t>
      </w:r>
    </w:p>
    <w:p w14:paraId="62D7491B">
      <w:pPr>
        <w:spacing w:line="520" w:lineRule="exact"/>
        <w:ind w:firstLine="644"/>
        <w:rPr>
          <w:rFonts w:hint="eastAsia" w:ascii="仿宋_GB2312" w:eastAsia="仿宋_GB2312"/>
          <w:sz w:val="32"/>
          <w:szCs w:val="32"/>
        </w:rPr>
      </w:pPr>
      <w:r>
        <w:rPr>
          <w:rFonts w:hint="eastAsia" w:ascii="Times New Roman" w:hAnsi="Times New Roman" w:eastAsia="仿宋_GB2312" w:cs="仿宋_GB2312"/>
          <w:color w:val="auto"/>
          <w:kern w:val="2"/>
          <w:sz w:val="32"/>
          <w:szCs w:val="32"/>
          <w:highlight w:val="none"/>
          <w:lang w:val="en-US" w:eastAsia="zh-CN" w:bidi="ar-SA"/>
        </w:rPr>
        <w:t>5.</w:t>
      </w:r>
      <w:r>
        <w:rPr>
          <w:rFonts w:hint="eastAsia" w:ascii="仿宋_GB2312" w:eastAsia="仿宋_GB2312"/>
          <w:sz w:val="32"/>
          <w:szCs w:val="32"/>
        </w:rPr>
        <w:t>开展人道领域内的社会公益活动，参与基层社会治理，对特殊困难对象进行人道救助。参与或兴办医疗、康复、养老等与红十字会宗旨相符的社会公益事业。</w:t>
      </w:r>
    </w:p>
    <w:p w14:paraId="17AAADB6">
      <w:pPr>
        <w:spacing w:line="520" w:lineRule="exact"/>
        <w:ind w:firstLine="644"/>
        <w:rPr>
          <w:rFonts w:hint="eastAsia" w:ascii="仿宋_GB2312" w:eastAsia="仿宋_GB2312"/>
          <w:sz w:val="32"/>
          <w:szCs w:val="32"/>
        </w:rPr>
      </w:pPr>
      <w:r>
        <w:rPr>
          <w:rFonts w:hint="eastAsia" w:ascii="Times New Roman" w:hAnsi="Times New Roman" w:eastAsia="仿宋_GB2312" w:cs="仿宋_GB2312"/>
          <w:color w:val="auto"/>
          <w:kern w:val="2"/>
          <w:sz w:val="32"/>
          <w:szCs w:val="32"/>
          <w:highlight w:val="none"/>
          <w:lang w:val="en-US" w:eastAsia="zh-CN" w:bidi="ar-SA"/>
        </w:rPr>
        <w:t>6.</w:t>
      </w:r>
      <w:r>
        <w:rPr>
          <w:rFonts w:hint="eastAsia" w:ascii="仿宋_GB2312" w:eastAsia="仿宋_GB2312"/>
          <w:sz w:val="32"/>
          <w:szCs w:val="32"/>
        </w:rPr>
        <w:t>依法开展募捐活动。依法依规接受和处理分配捐赠款物。</w:t>
      </w:r>
    </w:p>
    <w:p w14:paraId="28007B94">
      <w:pPr>
        <w:spacing w:line="520" w:lineRule="exact"/>
        <w:ind w:firstLine="644"/>
        <w:rPr>
          <w:rFonts w:hint="eastAsia" w:ascii="仿宋_GB2312" w:eastAsia="仿宋_GB2312"/>
          <w:sz w:val="32"/>
          <w:szCs w:val="32"/>
        </w:rPr>
      </w:pPr>
      <w:r>
        <w:rPr>
          <w:rFonts w:hint="eastAsia" w:ascii="Times New Roman" w:hAnsi="Times New Roman" w:eastAsia="仿宋_GB2312" w:cs="仿宋_GB2312"/>
          <w:color w:val="auto"/>
          <w:kern w:val="2"/>
          <w:sz w:val="32"/>
          <w:szCs w:val="32"/>
          <w:highlight w:val="none"/>
          <w:lang w:val="en-US" w:eastAsia="zh-CN" w:bidi="ar-SA"/>
        </w:rPr>
        <w:t>7.</w:t>
      </w:r>
      <w:r>
        <w:rPr>
          <w:rFonts w:hint="eastAsia" w:ascii="仿宋_GB2312" w:eastAsia="仿宋_GB2312"/>
          <w:sz w:val="32"/>
          <w:szCs w:val="32"/>
        </w:rPr>
        <w:t>组织开展红十字志愿服务，开展有益于青少年身心健康、弘扬人道主义精神的红十字青少年活动。</w:t>
      </w:r>
    </w:p>
    <w:p w14:paraId="3A585B5A">
      <w:pPr>
        <w:spacing w:line="520" w:lineRule="exact"/>
        <w:ind w:firstLine="644"/>
        <w:rPr>
          <w:rFonts w:hint="eastAsia" w:ascii="仿宋_GB2312" w:eastAsia="仿宋_GB2312"/>
          <w:sz w:val="32"/>
          <w:szCs w:val="32"/>
        </w:rPr>
      </w:pPr>
      <w:r>
        <w:rPr>
          <w:rFonts w:hint="eastAsia" w:ascii="Times New Roman" w:hAnsi="Times New Roman" w:eastAsia="仿宋_GB2312" w:cs="仿宋_GB2312"/>
          <w:color w:val="auto"/>
          <w:kern w:val="2"/>
          <w:sz w:val="32"/>
          <w:szCs w:val="32"/>
          <w:highlight w:val="none"/>
          <w:lang w:val="en-US" w:eastAsia="zh-CN" w:bidi="ar-SA"/>
        </w:rPr>
        <w:t>8.</w:t>
      </w:r>
      <w:r>
        <w:rPr>
          <w:rFonts w:hint="eastAsia" w:ascii="仿宋_GB2312" w:eastAsia="仿宋_GB2312"/>
          <w:sz w:val="32"/>
          <w:szCs w:val="32"/>
        </w:rPr>
        <w:t>在四川省红十字会指导下，参与国（境）外红十字组织的友好合作与交流，参加国际人道主义救助工作。</w:t>
      </w:r>
    </w:p>
    <w:p w14:paraId="77C2F21E">
      <w:pPr>
        <w:spacing w:line="520" w:lineRule="exact"/>
        <w:ind w:firstLine="644"/>
        <w:rPr>
          <w:rFonts w:hint="eastAsia" w:ascii="仿宋_GB2312" w:eastAsia="仿宋_GB2312"/>
          <w:sz w:val="32"/>
          <w:szCs w:val="32"/>
        </w:rPr>
      </w:pPr>
      <w:r>
        <w:rPr>
          <w:rFonts w:hint="eastAsia" w:ascii="Times New Roman" w:hAnsi="Times New Roman" w:eastAsia="仿宋_GB2312" w:cs="仿宋_GB2312"/>
          <w:color w:val="auto"/>
          <w:kern w:val="2"/>
          <w:sz w:val="32"/>
          <w:szCs w:val="32"/>
          <w:highlight w:val="none"/>
          <w:lang w:val="en-US" w:eastAsia="zh-CN" w:bidi="ar-SA"/>
        </w:rPr>
        <w:t>9.</w:t>
      </w:r>
      <w:r>
        <w:rPr>
          <w:rFonts w:hint="eastAsia" w:ascii="仿宋_GB2312" w:eastAsia="仿宋_GB2312"/>
          <w:sz w:val="32"/>
          <w:szCs w:val="32"/>
        </w:rPr>
        <w:t>指导下级红十字会加强自身建设、组织建设和开展各项工作。</w:t>
      </w:r>
    </w:p>
    <w:p w14:paraId="50D0EDAD">
      <w:pPr>
        <w:spacing w:line="520" w:lineRule="exact"/>
        <w:ind w:firstLine="644"/>
        <w:rPr>
          <w:rFonts w:hint="eastAsia" w:ascii="仿宋_GB2312" w:eastAsia="仿宋_GB2312"/>
          <w:bCs/>
          <w:sz w:val="32"/>
          <w:szCs w:val="32"/>
        </w:rPr>
      </w:pPr>
      <w:r>
        <w:rPr>
          <w:rFonts w:hint="eastAsia" w:ascii="Times New Roman" w:hAnsi="Times New Roman" w:eastAsia="仿宋_GB2312" w:cs="仿宋_GB2312"/>
          <w:color w:val="auto"/>
          <w:kern w:val="2"/>
          <w:sz w:val="32"/>
          <w:szCs w:val="32"/>
          <w:highlight w:val="none"/>
          <w:lang w:val="en-US" w:eastAsia="zh-CN" w:bidi="ar-SA"/>
        </w:rPr>
        <w:t>10.</w:t>
      </w:r>
      <w:r>
        <w:rPr>
          <w:rFonts w:hint="eastAsia" w:ascii="仿宋_GB2312" w:eastAsia="仿宋_GB2312"/>
          <w:sz w:val="32"/>
          <w:szCs w:val="32"/>
        </w:rPr>
        <w:t>完成市委、市政府和省红十字会交办、委托的其他任务。</w:t>
      </w:r>
    </w:p>
    <w:p w14:paraId="1D0F6790">
      <w:pPr>
        <w:numPr>
          <w:ilvl w:val="0"/>
          <w:numId w:val="0"/>
        </w:numPr>
        <w:rPr>
          <w:rFonts w:hint="eastAsia"/>
          <w:lang w:eastAsia="zh-CN"/>
        </w:rPr>
      </w:pPr>
    </w:p>
    <w:p w14:paraId="67C2BB50">
      <w:pPr>
        <w:pStyle w:val="6"/>
        <w:ind w:firstLine="640" w:firstLineChars="200"/>
        <w:rPr>
          <w:rStyle w:val="30"/>
          <w:rFonts w:ascii="Times New Roman" w:hAnsi="Times New Roman"/>
          <w:b w:val="0"/>
          <w:bCs w:val="0"/>
          <w:color w:val="auto"/>
          <w:highlight w:val="none"/>
        </w:rPr>
      </w:pPr>
      <w:bookmarkStart w:id="14" w:name="_Toc15396601"/>
      <w:bookmarkStart w:id="15" w:name="_Toc15377200"/>
      <w:r>
        <w:rPr>
          <w:rFonts w:hint="eastAsia" w:ascii="Times New Roman" w:hAnsi="Times New Roman" w:eastAsia="黑体"/>
          <w:b w:val="0"/>
          <w:color w:val="auto"/>
          <w:highlight w:val="none"/>
        </w:rPr>
        <w:t>二、机</w:t>
      </w:r>
      <w:r>
        <w:rPr>
          <w:rStyle w:val="30"/>
          <w:rFonts w:hint="eastAsia" w:ascii="Times New Roman" w:hAnsi="Times New Roman" w:eastAsia="黑体"/>
          <w:b w:val="0"/>
          <w:bCs w:val="0"/>
          <w:color w:val="auto"/>
          <w:highlight w:val="none"/>
        </w:rPr>
        <w:t>构设置</w:t>
      </w:r>
      <w:bookmarkEnd w:id="14"/>
      <w:bookmarkEnd w:id="15"/>
    </w:p>
    <w:p w14:paraId="594343F9">
      <w:pPr>
        <w:ind w:firstLine="640" w:firstLineChars="200"/>
        <w:rPr>
          <w:rFonts w:hint="eastAsia" w:ascii="Times New Roman" w:hAnsi="Times New Roman" w:eastAsia="仿宋_GB2312" w:cs="仿宋_GB2312"/>
          <w:color w:val="auto"/>
          <w:sz w:val="32"/>
          <w:szCs w:val="32"/>
          <w:highlight w:val="none"/>
        </w:rPr>
      </w:pPr>
      <w:r>
        <w:rPr>
          <w:rFonts w:hint="eastAsia" w:ascii="仿宋_GB2312" w:eastAsia="仿宋_GB2312"/>
          <w:sz w:val="32"/>
          <w:szCs w:val="32"/>
          <w:lang w:eastAsia="zh-CN"/>
        </w:rPr>
        <w:t>四川省</w:t>
      </w:r>
      <w:r>
        <w:rPr>
          <w:rFonts w:hint="eastAsia" w:ascii="仿宋_GB2312" w:eastAsia="仿宋_GB2312"/>
          <w:sz w:val="32"/>
          <w:szCs w:val="32"/>
        </w:rPr>
        <w:t>攀枝花市红十字会是独立核算机构，属参照公务员管理的群团组织</w:t>
      </w:r>
      <w:r>
        <w:rPr>
          <w:rFonts w:hint="eastAsia" w:ascii="仿宋_GB2312" w:eastAsia="仿宋_GB2312"/>
          <w:sz w:val="32"/>
          <w:szCs w:val="32"/>
          <w:lang w:eastAsia="zh-CN"/>
        </w:rPr>
        <w:t>，下属事业单位</w:t>
      </w:r>
      <w:r>
        <w:rPr>
          <w:rFonts w:hint="eastAsia" w:ascii="Times New Roman" w:hAnsi="Times New Roman" w:eastAsia="仿宋_GB2312" w:cs="仿宋_GB2312"/>
          <w:color w:val="auto"/>
          <w:kern w:val="2"/>
          <w:sz w:val="32"/>
          <w:szCs w:val="32"/>
          <w:highlight w:val="none"/>
          <w:lang w:val="en-US" w:eastAsia="zh-CN" w:bidi="ar-SA"/>
        </w:rPr>
        <w:t>1</w:t>
      </w:r>
      <w:r>
        <w:rPr>
          <w:rFonts w:hint="eastAsia" w:ascii="仿宋_GB2312" w:eastAsia="仿宋_GB2312"/>
          <w:sz w:val="32"/>
          <w:szCs w:val="32"/>
          <w:lang w:val="en-US" w:eastAsia="zh-CN"/>
        </w:rPr>
        <w:t>个即攀枝花市红十字事业发展中心（未独立核算）</w:t>
      </w:r>
      <w:r>
        <w:rPr>
          <w:rFonts w:hint="eastAsia" w:ascii="Times New Roman" w:hAnsi="Times New Roman" w:eastAsia="仿宋_GB2312" w:cs="仿宋_GB2312"/>
          <w:color w:val="auto"/>
          <w:sz w:val="32"/>
          <w:szCs w:val="32"/>
          <w:highlight w:val="none"/>
        </w:rPr>
        <w:t>。</w:t>
      </w:r>
    </w:p>
    <w:p w14:paraId="4F5156A9">
      <w:pPr>
        <w:pStyle w:val="8"/>
        <w:adjustRightInd w:val="0"/>
        <w:snapToGrid w:val="0"/>
        <w:spacing w:before="93" w:line="600" w:lineRule="exact"/>
        <w:ind w:firstLine="672" w:firstLineChars="210"/>
        <w:rPr>
          <w:rFonts w:hint="eastAsia" w:ascii="Times New Roman" w:hAnsi="Times New Roman" w:eastAsia="仿宋_GB2312" w:cs="仿宋_GB2312"/>
          <w:color w:val="auto"/>
          <w:sz w:val="32"/>
          <w:szCs w:val="32"/>
          <w:highlight w:val="none"/>
        </w:rPr>
      </w:pPr>
      <w:r>
        <w:rPr>
          <w:rFonts w:hint="eastAsia" w:ascii="仿宋_GB2312" w:eastAsia="仿宋_GB2312"/>
          <w:sz w:val="32"/>
          <w:szCs w:val="32"/>
        </w:rPr>
        <w:t>纳入</w:t>
      </w:r>
      <w:r>
        <w:rPr>
          <w:rFonts w:hint="eastAsia" w:ascii="Times New Roman" w:hAnsi="Times New Roman" w:eastAsia="仿宋_GB2312" w:cs="仿宋_GB2312"/>
          <w:color w:val="auto"/>
          <w:kern w:val="2"/>
          <w:sz w:val="32"/>
          <w:szCs w:val="32"/>
          <w:highlight w:val="none"/>
          <w:lang w:val="en-US" w:eastAsia="zh-CN" w:bidi="ar-SA"/>
        </w:rPr>
        <w:t>2024</w:t>
      </w:r>
      <w:r>
        <w:rPr>
          <w:rFonts w:hint="eastAsia" w:ascii="仿宋_GB2312" w:eastAsia="仿宋_GB2312"/>
          <w:sz w:val="32"/>
          <w:szCs w:val="32"/>
        </w:rPr>
        <w:t>年度部门决算编制范围的独立核算单</w:t>
      </w:r>
      <w:r>
        <w:rPr>
          <w:rFonts w:hint="eastAsia" w:ascii="Times New Roman" w:hAnsi="Times New Roman" w:eastAsia="仿宋_GB2312" w:cs="仿宋_GB2312"/>
          <w:color w:val="auto"/>
          <w:kern w:val="2"/>
          <w:sz w:val="32"/>
          <w:szCs w:val="32"/>
          <w:highlight w:val="none"/>
          <w:lang w:val="en-US" w:eastAsia="zh-CN" w:bidi="ar-SA"/>
        </w:rPr>
        <w:t>位1</w:t>
      </w:r>
      <w:r>
        <w:rPr>
          <w:rFonts w:hint="eastAsia" w:ascii="仿宋_GB2312" w:eastAsia="仿宋_GB2312"/>
          <w:sz w:val="32"/>
          <w:szCs w:val="32"/>
        </w:rPr>
        <w:t>个，其中独立报送单户表的单位</w:t>
      </w:r>
      <w:r>
        <w:rPr>
          <w:rFonts w:hint="eastAsia" w:ascii="Times New Roman" w:hAnsi="Times New Roman" w:eastAsia="仿宋_GB2312" w:cs="仿宋_GB2312"/>
          <w:color w:val="auto"/>
          <w:kern w:val="2"/>
          <w:sz w:val="32"/>
          <w:szCs w:val="32"/>
          <w:highlight w:val="none"/>
          <w:lang w:val="en-US" w:eastAsia="zh-CN" w:bidi="ar-SA"/>
        </w:rPr>
        <w:t>1</w:t>
      </w:r>
      <w:r>
        <w:rPr>
          <w:rFonts w:hint="eastAsia" w:ascii="仿宋_GB2312" w:eastAsia="仿宋_GB2312"/>
          <w:sz w:val="32"/>
          <w:szCs w:val="32"/>
        </w:rPr>
        <w:t>个，较上年无增减。</w:t>
      </w:r>
    </w:p>
    <w:p w14:paraId="60C69D40">
      <w:pPr>
        <w:pStyle w:val="8"/>
        <w:adjustRightInd w:val="0"/>
        <w:snapToGrid w:val="0"/>
        <w:spacing w:before="93" w:line="600" w:lineRule="exact"/>
        <w:ind w:firstLine="1120" w:firstLineChars="350"/>
        <w:rPr>
          <w:rFonts w:hint="eastAsia" w:ascii="Times New Roman" w:hAnsi="Times New Roman" w:eastAsia="仿宋_GB2312" w:cs="仿宋_GB2312"/>
          <w:color w:val="auto"/>
          <w:sz w:val="32"/>
          <w:szCs w:val="32"/>
          <w:highlight w:val="none"/>
        </w:rPr>
      </w:pPr>
    </w:p>
    <w:p w14:paraId="2BD4E155">
      <w:pPr>
        <w:widowControl/>
        <w:jc w:val="left"/>
        <w:rPr>
          <w:rFonts w:ascii="Times New Roman" w:hAnsi="Times New Roman" w:eastAsia="仿宋"/>
          <w:color w:val="auto"/>
          <w:kern w:val="0"/>
          <w:sz w:val="32"/>
          <w:szCs w:val="32"/>
          <w:highlight w:val="none"/>
        </w:rPr>
      </w:pPr>
      <w:r>
        <w:rPr>
          <w:rFonts w:ascii="Times New Roman" w:hAnsi="Times New Roman" w:eastAsia="仿宋"/>
          <w:color w:val="auto"/>
          <w:sz w:val="32"/>
          <w:szCs w:val="32"/>
          <w:highlight w:val="none"/>
        </w:rPr>
        <w:br w:type="page"/>
      </w:r>
    </w:p>
    <w:p w14:paraId="39A8A0E5">
      <w:pPr>
        <w:pStyle w:val="5"/>
        <w:jc w:val="center"/>
        <w:rPr>
          <w:rFonts w:hint="eastAsia" w:ascii="Times New Roman" w:hAnsi="Times New Roman" w:eastAsia="方正小标宋简体" w:cs="方正小标宋简体"/>
          <w:b w:val="0"/>
          <w:color w:val="auto"/>
          <w:highlight w:val="none"/>
        </w:rPr>
      </w:pPr>
      <w:bookmarkStart w:id="16" w:name="_Toc15396602"/>
      <w:bookmarkStart w:id="17" w:name="_Toc15377204"/>
      <w:r>
        <w:rPr>
          <w:rFonts w:hint="eastAsia" w:ascii="Times New Roman" w:hAnsi="Times New Roman" w:eastAsia="方正小标宋简体" w:cs="方正小标宋简体"/>
          <w:b w:val="0"/>
          <w:color w:val="auto"/>
          <w:highlight w:val="none"/>
        </w:rPr>
        <w:t>第二部分</w:t>
      </w:r>
      <w:r>
        <w:rPr>
          <w:rFonts w:hint="eastAsia" w:ascii="Times New Roman" w:hAnsi="Times New Roman" w:eastAsia="方正小标宋简体" w:cs="方正小标宋简体"/>
          <w:b w:val="0"/>
          <w:color w:val="auto"/>
          <w:highlight w:val="none"/>
          <w:lang w:val="en-US" w:eastAsia="zh-CN"/>
        </w:rPr>
        <w:t xml:space="preserve"> </w:t>
      </w:r>
      <w:r>
        <w:rPr>
          <w:rFonts w:hint="eastAsia" w:ascii="Times New Roman" w:hAnsi="Times New Roman" w:eastAsia="方正小标宋简体" w:cs="方正小标宋简体"/>
          <w:b w:val="0"/>
          <w:color w:val="auto"/>
          <w:highlight w:val="none"/>
        </w:rPr>
        <w:t xml:space="preserve"> </w:t>
      </w:r>
      <w:r>
        <w:rPr>
          <w:rFonts w:hint="eastAsia" w:ascii="Times New Roman" w:hAnsi="Times New Roman" w:eastAsia="方正小标宋简体" w:cs="方正小标宋简体"/>
          <w:b w:val="0"/>
          <w:color w:val="auto"/>
          <w:highlight w:val="none"/>
          <w:lang w:val="en-US" w:eastAsia="zh-CN"/>
        </w:rPr>
        <w:t>2024年度</w:t>
      </w:r>
      <w:r>
        <w:rPr>
          <w:rFonts w:hint="eastAsia" w:ascii="Times New Roman" w:hAnsi="Times New Roman" w:eastAsia="方正小标宋简体" w:cs="方正小标宋简体"/>
          <w:b w:val="0"/>
          <w:color w:val="auto"/>
          <w:highlight w:val="none"/>
        </w:rPr>
        <w:t>部门决算情况说明</w:t>
      </w:r>
      <w:bookmarkEnd w:id="16"/>
      <w:bookmarkEnd w:id="17"/>
    </w:p>
    <w:p w14:paraId="0D85D3E1">
      <w:pPr>
        <w:rPr>
          <w:rFonts w:ascii="Times New Roman" w:hAnsi="Times New Roman"/>
          <w:color w:val="auto"/>
          <w:highlight w:val="none"/>
        </w:rPr>
      </w:pPr>
    </w:p>
    <w:p w14:paraId="54B45B34">
      <w:pPr>
        <w:pStyle w:val="28"/>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Style w:val="30"/>
          <w:rFonts w:hint="eastAsia" w:ascii="Times New Roman" w:hAnsi="Times New Roman" w:eastAsia="黑体"/>
          <w:b w:val="0"/>
          <w:color w:val="auto"/>
          <w:highlight w:val="none"/>
        </w:rPr>
      </w:pPr>
      <w:bookmarkStart w:id="18" w:name="_Toc15377205"/>
      <w:bookmarkStart w:id="19" w:name="_Toc15396603"/>
      <w:r>
        <w:rPr>
          <w:rFonts w:hint="eastAsia" w:ascii="Times New Roman" w:hAnsi="Times New Roman" w:eastAsia="黑体"/>
          <w:color w:val="auto"/>
          <w:sz w:val="32"/>
          <w:szCs w:val="32"/>
          <w:highlight w:val="none"/>
          <w:lang w:eastAsia="zh-CN"/>
        </w:rPr>
        <w:t>一、</w:t>
      </w:r>
      <w:r>
        <w:rPr>
          <w:rFonts w:hint="eastAsia" w:ascii="Times New Roman" w:hAnsi="Times New Roman" w:eastAsia="黑体"/>
          <w:color w:val="auto"/>
          <w:sz w:val="32"/>
          <w:szCs w:val="32"/>
          <w:highlight w:val="none"/>
        </w:rPr>
        <w:t>收</w:t>
      </w:r>
      <w:r>
        <w:rPr>
          <w:rStyle w:val="30"/>
          <w:rFonts w:hint="eastAsia" w:ascii="Times New Roman" w:hAnsi="Times New Roman" w:eastAsia="黑体"/>
          <w:b w:val="0"/>
          <w:color w:val="auto"/>
          <w:highlight w:val="none"/>
        </w:rPr>
        <w:t>入支出决算总体情况说明</w:t>
      </w:r>
      <w:bookmarkEnd w:id="18"/>
      <w:bookmarkEnd w:id="19"/>
    </w:p>
    <w:p w14:paraId="7C5A255C">
      <w:pPr>
        <w:pStyle w:val="28"/>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eastAsia="zh-CN"/>
        </w:rPr>
        <w:t>2024年度收入</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eastAsia="zh-CN"/>
        </w:rPr>
        <w:t>支出</w:t>
      </w:r>
      <w:r>
        <w:rPr>
          <w:rFonts w:hint="eastAsia" w:ascii="Times New Roman" w:hAnsi="Times New Roman" w:eastAsia="仿宋_GB2312" w:cs="仿宋_GB2312"/>
          <w:color w:val="auto"/>
          <w:sz w:val="32"/>
          <w:szCs w:val="32"/>
          <w:highlight w:val="none"/>
        </w:rPr>
        <w:t>总计</w:t>
      </w:r>
      <w:r>
        <w:rPr>
          <w:rFonts w:hint="eastAsia" w:ascii="Times New Roman" w:hAnsi="Times New Roman" w:eastAsia="仿宋_GB2312" w:cs="仿宋_GB2312"/>
          <w:color w:val="auto"/>
          <w:sz w:val="32"/>
          <w:szCs w:val="32"/>
          <w:highlight w:val="none"/>
          <w:lang w:eastAsia="zh-CN"/>
        </w:rPr>
        <w:t>均为</w:t>
      </w:r>
      <w:r>
        <w:rPr>
          <w:rFonts w:hint="eastAsia" w:eastAsia="仿宋_GB2312" w:cs="仿宋_GB2312"/>
          <w:color w:val="auto"/>
          <w:sz w:val="32"/>
          <w:szCs w:val="32"/>
          <w:highlight w:val="none"/>
          <w:lang w:val="en-US" w:eastAsia="zh-CN"/>
        </w:rPr>
        <w:t>144.36</w:t>
      </w:r>
      <w:r>
        <w:rPr>
          <w:rFonts w:hint="eastAsia" w:ascii="Times New Roman" w:hAnsi="Times New Roman" w:eastAsia="仿宋_GB2312" w:cs="仿宋_GB2312"/>
          <w:color w:val="auto"/>
          <w:sz w:val="32"/>
          <w:szCs w:val="32"/>
          <w:highlight w:val="none"/>
        </w:rPr>
        <w:t>万元。与</w:t>
      </w:r>
      <w:r>
        <w:rPr>
          <w:rFonts w:hint="eastAsia" w:ascii="Times New Roman" w:hAnsi="Times New Roman" w:eastAsia="仿宋_GB2312" w:cs="仿宋_GB2312"/>
          <w:color w:val="auto"/>
          <w:sz w:val="32"/>
          <w:szCs w:val="32"/>
          <w:highlight w:val="none"/>
          <w:lang w:eastAsia="zh-CN"/>
        </w:rPr>
        <w:t>202</w:t>
      </w:r>
      <w:r>
        <w:rPr>
          <w:rFonts w:hint="eastAsia" w:ascii="Times New Roman" w:hAnsi="Times New Roman" w:eastAsia="仿宋_GB2312" w:cs="仿宋_GB2312"/>
          <w:color w:val="auto"/>
          <w:sz w:val="32"/>
          <w:szCs w:val="32"/>
          <w:highlight w:val="none"/>
          <w:lang w:val="en-US" w:eastAsia="zh-CN"/>
        </w:rPr>
        <w:t>3</w:t>
      </w:r>
      <w:r>
        <w:rPr>
          <w:rFonts w:hint="eastAsia" w:ascii="Times New Roman" w:hAnsi="Times New Roman" w:eastAsia="仿宋_GB2312" w:cs="仿宋_GB2312"/>
          <w:color w:val="auto"/>
          <w:sz w:val="32"/>
          <w:szCs w:val="32"/>
          <w:highlight w:val="none"/>
        </w:rPr>
        <w:t>年</w:t>
      </w:r>
      <w:r>
        <w:rPr>
          <w:rFonts w:hint="eastAsia" w:ascii="Times New Roman" w:hAnsi="Times New Roman" w:eastAsia="仿宋_GB2312" w:cs="仿宋_GB2312"/>
          <w:color w:val="auto"/>
          <w:sz w:val="32"/>
          <w:szCs w:val="32"/>
          <w:highlight w:val="none"/>
          <w:lang w:eastAsia="zh-CN"/>
        </w:rPr>
        <w:t>度</w:t>
      </w:r>
      <w:r>
        <w:rPr>
          <w:rFonts w:hint="eastAsia" w:ascii="Times New Roman" w:hAnsi="Times New Roman" w:eastAsia="仿宋_GB2312" w:cs="仿宋_GB2312"/>
          <w:color w:val="auto"/>
          <w:sz w:val="32"/>
          <w:szCs w:val="32"/>
          <w:highlight w:val="none"/>
        </w:rPr>
        <w:t>相比，</w:t>
      </w:r>
      <w:r>
        <w:rPr>
          <w:rFonts w:hint="eastAsia" w:ascii="Times New Roman" w:hAnsi="Times New Roman" w:eastAsia="仿宋_GB2312" w:cs="仿宋_GB2312"/>
          <w:color w:val="auto"/>
          <w:sz w:val="32"/>
          <w:szCs w:val="32"/>
          <w:highlight w:val="none"/>
          <w:lang w:eastAsia="zh-CN"/>
        </w:rPr>
        <w:t>收入</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eastAsia="zh-CN"/>
        </w:rPr>
        <w:t>支出</w:t>
      </w:r>
      <w:r>
        <w:rPr>
          <w:rFonts w:hint="eastAsia" w:ascii="Times New Roman" w:hAnsi="Times New Roman" w:eastAsia="仿宋_GB2312" w:cs="仿宋_GB2312"/>
          <w:color w:val="auto"/>
          <w:sz w:val="32"/>
          <w:szCs w:val="32"/>
          <w:highlight w:val="none"/>
        </w:rPr>
        <w:t>总计各增加</w:t>
      </w:r>
      <w:r>
        <w:rPr>
          <w:rFonts w:hint="eastAsia" w:eastAsia="仿宋_GB2312" w:cs="仿宋_GB2312"/>
          <w:color w:val="auto"/>
          <w:sz w:val="32"/>
          <w:szCs w:val="32"/>
          <w:highlight w:val="none"/>
          <w:lang w:val="en-US" w:eastAsia="zh-CN"/>
        </w:rPr>
        <w:t>17.95</w:t>
      </w:r>
      <w:r>
        <w:rPr>
          <w:rFonts w:hint="eastAsia" w:ascii="Times New Roman" w:hAnsi="Times New Roman" w:eastAsia="仿宋_GB2312" w:cs="仿宋_GB2312"/>
          <w:color w:val="auto"/>
          <w:sz w:val="32"/>
          <w:szCs w:val="32"/>
          <w:highlight w:val="none"/>
        </w:rPr>
        <w:t>万元，增长</w:t>
      </w:r>
      <w:r>
        <w:rPr>
          <w:rFonts w:hint="eastAsia" w:eastAsia="仿宋_GB2312" w:cs="仿宋_GB2312"/>
          <w:color w:val="auto"/>
          <w:sz w:val="32"/>
          <w:szCs w:val="32"/>
          <w:highlight w:val="none"/>
          <w:lang w:val="en-US" w:eastAsia="zh-CN"/>
        </w:rPr>
        <w:t>14.2</w:t>
      </w:r>
      <w:r>
        <w:rPr>
          <w:rFonts w:hint="eastAsia" w:ascii="Times New Roman" w:hAnsi="Times New Roman" w:eastAsia="仿宋_GB2312" w:cs="仿宋_GB2312"/>
          <w:color w:val="auto"/>
          <w:sz w:val="32"/>
          <w:szCs w:val="32"/>
          <w:highlight w:val="none"/>
        </w:rPr>
        <w:t>%。主要变动原因是</w:t>
      </w:r>
      <w:r>
        <w:rPr>
          <w:rFonts w:hint="eastAsia" w:eastAsia="仿宋_GB2312" w:cs="仿宋_GB2312"/>
          <w:color w:val="auto"/>
          <w:sz w:val="32"/>
          <w:szCs w:val="32"/>
          <w:highlight w:val="none"/>
          <w:lang w:eastAsia="zh-CN"/>
        </w:rPr>
        <w:t>办公室搬迁、新增</w:t>
      </w:r>
      <w:r>
        <w:rPr>
          <w:rFonts w:hint="eastAsia" w:eastAsia="仿宋_GB2312" w:cs="仿宋_GB2312"/>
          <w:color w:val="auto"/>
          <w:sz w:val="32"/>
          <w:szCs w:val="32"/>
          <w:highlight w:val="none"/>
          <w:lang w:val="en-US" w:eastAsia="zh-CN"/>
        </w:rPr>
        <w:t>人员3名。</w:t>
      </w:r>
    </w:p>
    <w:p w14:paraId="7AF4A316">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（图1：</w:t>
      </w:r>
      <w:r>
        <w:rPr>
          <w:rFonts w:hint="eastAsia" w:ascii="Times New Roman" w:hAnsi="Times New Roman" w:eastAsia="仿宋_GB2312" w:cs="仿宋_GB2312"/>
          <w:color w:val="auto"/>
          <w:sz w:val="32"/>
          <w:szCs w:val="32"/>
          <w:highlight w:val="none"/>
          <w:lang w:eastAsia="zh-CN"/>
        </w:rPr>
        <w:t>收入</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eastAsia="zh-CN"/>
        </w:rPr>
        <w:t>支出</w:t>
      </w:r>
      <w:r>
        <w:rPr>
          <w:rFonts w:hint="eastAsia" w:ascii="Times New Roman" w:hAnsi="Times New Roman" w:eastAsia="仿宋_GB2312" w:cs="仿宋_GB2312"/>
          <w:color w:val="auto"/>
          <w:sz w:val="32"/>
          <w:szCs w:val="32"/>
          <w:highlight w:val="none"/>
        </w:rPr>
        <w:t>决算总计变动情况图）（柱状图）</w:t>
      </w:r>
      <w:r>
        <w:rPr>
          <w:rFonts w:hint="eastAsia" w:eastAsia="仿宋_GB2312"/>
          <w:lang w:eastAsia="zh-CN"/>
        </w:rPr>
        <w:drawing>
          <wp:inline distT="0" distB="0" distL="114300" distR="114300">
            <wp:extent cx="2546985" cy="1691005"/>
            <wp:effectExtent l="4445" t="4445" r="20320" b="1905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3023DFD0">
      <w:pPr>
        <w:pStyle w:val="28"/>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ascii="Times New Roman" w:hAnsi="Times New Roman" w:eastAsia="黑体"/>
          <w:color w:val="auto"/>
          <w:sz w:val="32"/>
          <w:szCs w:val="32"/>
          <w:highlight w:val="none"/>
          <w:lang w:eastAsia="zh-CN"/>
        </w:rPr>
      </w:pPr>
      <w:bookmarkStart w:id="20" w:name="_Toc15377206"/>
      <w:bookmarkStart w:id="21" w:name="_Toc15396604"/>
      <w:r>
        <w:rPr>
          <w:rFonts w:hint="eastAsia" w:ascii="Times New Roman" w:hAnsi="Times New Roman" w:eastAsia="黑体"/>
          <w:color w:val="auto"/>
          <w:sz w:val="32"/>
          <w:szCs w:val="32"/>
          <w:highlight w:val="none"/>
          <w:lang w:eastAsia="zh-CN"/>
        </w:rPr>
        <w:t>二、收入决算情况说明</w:t>
      </w:r>
      <w:bookmarkEnd w:id="20"/>
      <w:bookmarkEnd w:id="21"/>
    </w:p>
    <w:p w14:paraId="3C751FF1">
      <w:pPr>
        <w:pStyle w:val="28"/>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eastAsia" w:ascii="Times New Roman" w:hAnsi="Times New Roman" w:eastAsia="仿宋_GB2312" w:cs="仿宋_GB2312"/>
          <w:b/>
          <w:bCs/>
          <w:color w:val="auto"/>
          <w:sz w:val="32"/>
          <w:szCs w:val="32"/>
          <w:highlight w:val="none"/>
          <w:lang w:eastAsia="zh-CN"/>
        </w:rPr>
      </w:pPr>
      <w:r>
        <w:rPr>
          <w:rFonts w:hint="eastAsia" w:eastAsia="仿宋_GB2312" w:cs="仿宋_GB2312"/>
          <w:color w:val="auto"/>
          <w:sz w:val="32"/>
          <w:szCs w:val="32"/>
          <w:highlight w:val="none"/>
          <w:lang w:val="en-US" w:eastAsia="zh-CN"/>
        </w:rPr>
        <w:t>2024</w:t>
      </w:r>
      <w:r>
        <w:rPr>
          <w:rFonts w:hint="eastAsia" w:ascii="仿宋_GB2312" w:hAnsi="仿宋_GB2312" w:eastAsia="仿宋_GB2312" w:cs="仿宋_GB2312"/>
          <w:color w:val="auto"/>
          <w:sz w:val="32"/>
          <w:szCs w:val="32"/>
          <w:highlight w:val="none"/>
          <w:lang w:eastAsia="zh-CN"/>
        </w:rPr>
        <w:t>年度本年收入合计</w:t>
      </w:r>
      <w:r>
        <w:rPr>
          <w:rFonts w:hint="eastAsia" w:eastAsia="仿宋_GB2312" w:cs="仿宋_GB2312"/>
          <w:color w:val="auto"/>
          <w:sz w:val="32"/>
          <w:szCs w:val="32"/>
          <w:highlight w:val="none"/>
          <w:lang w:val="en-US" w:eastAsia="zh-CN"/>
        </w:rPr>
        <w:t>144.36</w:t>
      </w:r>
      <w:r>
        <w:rPr>
          <w:rFonts w:hint="eastAsia" w:ascii="仿宋_GB2312" w:hAnsi="仿宋_GB2312" w:eastAsia="仿宋_GB2312" w:cs="仿宋_GB2312"/>
          <w:sz w:val="32"/>
          <w:szCs w:val="32"/>
        </w:rPr>
        <w:t>万元，其中：一般公共预算财政拨款收入</w:t>
      </w:r>
      <w:r>
        <w:rPr>
          <w:rFonts w:hint="eastAsia" w:eastAsia="仿宋_GB2312" w:cs="仿宋_GB2312"/>
          <w:color w:val="auto"/>
          <w:sz w:val="32"/>
          <w:szCs w:val="32"/>
          <w:highlight w:val="none"/>
          <w:lang w:val="en-US" w:eastAsia="zh-CN"/>
        </w:rPr>
        <w:t>144.36</w:t>
      </w:r>
      <w:r>
        <w:rPr>
          <w:rFonts w:hint="eastAsia" w:ascii="仿宋_GB2312" w:hAnsi="仿宋_GB2312" w:eastAsia="仿宋_GB2312" w:cs="仿宋_GB2312"/>
          <w:color w:val="auto"/>
          <w:sz w:val="32"/>
          <w:szCs w:val="32"/>
          <w:highlight w:val="none"/>
          <w:lang w:eastAsia="zh-CN"/>
        </w:rPr>
        <w:t>万元，</w:t>
      </w:r>
      <w:r>
        <w:rPr>
          <w:rFonts w:hint="eastAsia" w:eastAsia="仿宋_GB2312" w:cs="仿宋_GB2312"/>
          <w:color w:val="auto"/>
          <w:sz w:val="32"/>
          <w:szCs w:val="32"/>
          <w:highlight w:val="none"/>
          <w:lang w:val="en-US" w:eastAsia="zh-CN"/>
        </w:rPr>
        <w:t>占100%</w:t>
      </w:r>
      <w:r>
        <w:rPr>
          <w:rFonts w:hint="eastAsia" w:ascii="仿宋_GB2312" w:hAnsi="仿宋_GB2312" w:eastAsia="仿宋_GB2312" w:cs="仿宋_GB2312"/>
          <w:color w:val="auto"/>
          <w:sz w:val="32"/>
          <w:szCs w:val="32"/>
          <w:highlight w:val="none"/>
          <w:lang w:eastAsia="zh-CN"/>
        </w:rPr>
        <w:t>；政府性基金预算财政拨款收入</w:t>
      </w:r>
      <w:r>
        <w:rPr>
          <w:rFonts w:hint="eastAsia"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lang w:eastAsia="zh-CN"/>
        </w:rPr>
        <w:t>万元，占</w:t>
      </w:r>
      <w:r>
        <w:rPr>
          <w:rFonts w:hint="eastAsia"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lang w:eastAsia="zh-CN"/>
        </w:rPr>
        <w:t>；国有资本经营预算财政拨款收入</w:t>
      </w:r>
      <w:r>
        <w:rPr>
          <w:rFonts w:hint="eastAsia"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lang w:eastAsia="zh-CN"/>
        </w:rPr>
        <w:t>万元，占</w:t>
      </w:r>
      <w:r>
        <w:rPr>
          <w:rFonts w:hint="eastAsia"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lang w:eastAsia="zh-CN"/>
        </w:rPr>
        <w:t>；上级补助收入</w:t>
      </w:r>
      <w:r>
        <w:rPr>
          <w:rFonts w:hint="eastAsia"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lang w:eastAsia="zh-CN"/>
        </w:rPr>
        <w:t>万元，占</w:t>
      </w:r>
      <w:r>
        <w:rPr>
          <w:rFonts w:hint="eastAsia"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lang w:eastAsia="zh-CN"/>
        </w:rPr>
        <w:t>；事业收入</w:t>
      </w:r>
      <w:r>
        <w:rPr>
          <w:rFonts w:hint="eastAsia"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lang w:eastAsia="zh-CN"/>
        </w:rPr>
        <w:t>万元，占</w:t>
      </w:r>
      <w:r>
        <w:rPr>
          <w:rFonts w:hint="eastAsia"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lang w:eastAsia="zh-CN"/>
        </w:rPr>
        <w:t>；经营收入</w:t>
      </w:r>
      <w:r>
        <w:rPr>
          <w:rFonts w:hint="eastAsia"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lang w:eastAsia="zh-CN"/>
        </w:rPr>
        <w:t>万元，占</w:t>
      </w:r>
      <w:r>
        <w:rPr>
          <w:rFonts w:hint="eastAsia"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lang w:eastAsia="zh-CN"/>
        </w:rPr>
        <w:t>；附属单位上缴收入</w:t>
      </w:r>
      <w:r>
        <w:rPr>
          <w:rFonts w:hint="eastAsia"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lang w:eastAsia="zh-CN"/>
        </w:rPr>
        <w:t>万元，占</w:t>
      </w:r>
      <w:r>
        <w:rPr>
          <w:rFonts w:hint="eastAsia"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lang w:eastAsia="zh-CN"/>
        </w:rPr>
        <w:t>；其他收入</w:t>
      </w:r>
      <w:r>
        <w:rPr>
          <w:rFonts w:hint="eastAsia"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lang w:eastAsia="zh-CN"/>
        </w:rPr>
        <w:t>万元，占</w:t>
      </w:r>
      <w:r>
        <w:rPr>
          <w:rFonts w:hint="eastAsia"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lang w:eastAsia="zh-CN"/>
        </w:rPr>
        <w:t>。</w:t>
      </w:r>
    </w:p>
    <w:p w14:paraId="4CA87EF7">
      <w:pPr>
        <w:ind w:firstLine="800" w:firstLineChars="250"/>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eastAsia="zh-CN"/>
        </w:rPr>
        <w:t>（图2：收入决算结构图）（饼状图）</w:t>
      </w:r>
    </w:p>
    <w:p w14:paraId="38DA6916">
      <w:pPr>
        <w:jc w:val="center"/>
        <w:rPr>
          <w:rFonts w:hint="eastAsia" w:ascii="Times New Roman" w:hAnsi="Times New Roman" w:eastAsia="仿宋_GB2312" w:cs="仿宋_GB2312"/>
          <w:color w:val="auto"/>
          <w:sz w:val="32"/>
          <w:szCs w:val="32"/>
          <w:highlight w:val="none"/>
          <w:lang w:eastAsia="zh-CN"/>
        </w:rPr>
      </w:pPr>
      <w:r>
        <w:rPr>
          <w:rFonts w:hint="eastAsia"/>
          <w:lang w:eastAsia="zh-CN"/>
        </w:rPr>
        <w:drawing>
          <wp:inline distT="0" distB="0" distL="114300" distR="114300">
            <wp:extent cx="2554605" cy="1602740"/>
            <wp:effectExtent l="4445" t="4445" r="12700" b="1206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D35D4A5">
      <w:pPr>
        <w:pStyle w:val="28"/>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Style w:val="30"/>
          <w:rFonts w:hint="eastAsia" w:ascii="Times New Roman" w:hAnsi="Times New Roman" w:eastAsia="黑体"/>
          <w:b w:val="0"/>
          <w:color w:val="auto"/>
          <w:highlight w:val="none"/>
        </w:rPr>
      </w:pPr>
      <w:bookmarkStart w:id="22" w:name="_Toc15396605"/>
      <w:bookmarkStart w:id="23" w:name="_Toc15377207"/>
      <w:r>
        <w:rPr>
          <w:rFonts w:hint="eastAsia" w:ascii="Times New Roman" w:hAnsi="Times New Roman" w:eastAsia="黑体"/>
          <w:color w:val="auto"/>
          <w:sz w:val="32"/>
          <w:szCs w:val="32"/>
          <w:highlight w:val="none"/>
          <w:lang w:eastAsia="zh-CN"/>
        </w:rPr>
        <w:t>三、</w:t>
      </w:r>
      <w:r>
        <w:rPr>
          <w:rFonts w:hint="eastAsia" w:ascii="Times New Roman" w:hAnsi="Times New Roman" w:eastAsia="黑体"/>
          <w:color w:val="auto"/>
          <w:sz w:val="32"/>
          <w:szCs w:val="32"/>
          <w:highlight w:val="none"/>
        </w:rPr>
        <w:t>支</w:t>
      </w:r>
      <w:r>
        <w:rPr>
          <w:rStyle w:val="30"/>
          <w:rFonts w:hint="eastAsia" w:ascii="Times New Roman" w:hAnsi="Times New Roman" w:eastAsia="黑体"/>
          <w:b w:val="0"/>
          <w:color w:val="auto"/>
          <w:highlight w:val="none"/>
        </w:rPr>
        <w:t>出决算情况说明</w:t>
      </w:r>
      <w:bookmarkEnd w:id="22"/>
      <w:bookmarkEnd w:id="23"/>
    </w:p>
    <w:p w14:paraId="652984BA">
      <w:pPr>
        <w:pStyle w:val="28"/>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eastAsia" w:ascii="Times New Roman" w:hAnsi="Times New Roman" w:eastAsia="仿宋_GB2312" w:cs="仿宋_GB2312"/>
          <w:color w:val="auto"/>
          <w:sz w:val="32"/>
          <w:szCs w:val="32"/>
          <w:highlight w:val="none"/>
          <w:lang w:eastAsia="zh-CN"/>
        </w:rPr>
      </w:pPr>
      <w:r>
        <w:rPr>
          <w:rFonts w:hint="eastAsia" w:eastAsia="仿宋_GB2312" w:cs="仿宋_GB2312"/>
          <w:color w:val="auto"/>
          <w:sz w:val="32"/>
          <w:szCs w:val="32"/>
          <w:highlight w:val="none"/>
          <w:lang w:val="en-US" w:eastAsia="zh-CN"/>
        </w:rPr>
        <w:t>2024</w:t>
      </w:r>
      <w:r>
        <w:rPr>
          <w:rFonts w:hint="eastAsia" w:ascii="仿宋_GB2312" w:hAnsi="仿宋_GB2312" w:eastAsia="仿宋_GB2312" w:cs="仿宋_GB2312"/>
          <w:color w:val="auto"/>
          <w:sz w:val="32"/>
          <w:szCs w:val="32"/>
          <w:highlight w:val="none"/>
          <w:lang w:eastAsia="zh-CN"/>
        </w:rPr>
        <w:t>年度本年支出合计</w:t>
      </w:r>
      <w:r>
        <w:rPr>
          <w:rFonts w:hint="eastAsia" w:eastAsia="仿宋_GB2312" w:cs="仿宋_GB2312"/>
          <w:color w:val="auto"/>
          <w:sz w:val="32"/>
          <w:szCs w:val="32"/>
          <w:highlight w:val="none"/>
          <w:lang w:val="en-US" w:eastAsia="zh-CN"/>
        </w:rPr>
        <w:t>144.36</w:t>
      </w:r>
      <w:r>
        <w:rPr>
          <w:rFonts w:hint="eastAsia" w:ascii="仿宋_GB2312" w:hAnsi="仿宋_GB2312" w:eastAsia="仿宋_GB2312" w:cs="仿宋_GB2312"/>
          <w:color w:val="auto"/>
          <w:sz w:val="32"/>
          <w:szCs w:val="32"/>
          <w:highlight w:val="none"/>
          <w:lang w:eastAsia="zh-CN"/>
        </w:rPr>
        <w:t>万元，其中：基本支出</w:t>
      </w:r>
      <w:r>
        <w:rPr>
          <w:rFonts w:hint="eastAsia" w:eastAsia="仿宋_GB2312" w:cs="仿宋_GB2312"/>
          <w:color w:val="auto"/>
          <w:sz w:val="32"/>
          <w:szCs w:val="32"/>
          <w:highlight w:val="none"/>
          <w:lang w:val="en-US" w:eastAsia="zh-CN"/>
        </w:rPr>
        <w:t>144.36</w:t>
      </w:r>
      <w:r>
        <w:rPr>
          <w:rFonts w:hint="eastAsia" w:ascii="仿宋_GB2312" w:hAnsi="仿宋_GB2312" w:eastAsia="仿宋_GB2312" w:cs="仿宋_GB2312"/>
          <w:color w:val="auto"/>
          <w:sz w:val="32"/>
          <w:szCs w:val="32"/>
          <w:highlight w:val="none"/>
          <w:lang w:eastAsia="zh-CN"/>
        </w:rPr>
        <w:t>万元，占</w:t>
      </w:r>
      <w:r>
        <w:rPr>
          <w:rFonts w:hint="eastAsia" w:eastAsia="仿宋_GB2312" w:cs="仿宋_GB2312"/>
          <w:color w:val="auto"/>
          <w:sz w:val="32"/>
          <w:szCs w:val="32"/>
          <w:highlight w:val="none"/>
          <w:lang w:val="en-US" w:eastAsia="zh-CN"/>
        </w:rPr>
        <w:t>100%</w:t>
      </w:r>
      <w:r>
        <w:rPr>
          <w:rFonts w:hint="eastAsia" w:ascii="仿宋_GB2312" w:hAnsi="仿宋_GB2312" w:eastAsia="仿宋_GB2312" w:cs="仿宋_GB2312"/>
          <w:color w:val="auto"/>
          <w:sz w:val="32"/>
          <w:szCs w:val="32"/>
          <w:highlight w:val="none"/>
          <w:lang w:eastAsia="zh-CN"/>
        </w:rPr>
        <w:t>；项目支出</w:t>
      </w:r>
      <w:r>
        <w:rPr>
          <w:rFonts w:hint="eastAsia" w:eastAsia="仿宋_GB2312" w:cs="仿宋_GB2312"/>
          <w:color w:val="auto"/>
          <w:sz w:val="32"/>
          <w:szCs w:val="32"/>
          <w:highlight w:val="none"/>
          <w:lang w:val="en-US" w:eastAsia="zh-CN"/>
        </w:rPr>
        <w:t>0万元，占0%；上缴上级支出0万元，占0%；经营支出0万</w:t>
      </w:r>
      <w:r>
        <w:rPr>
          <w:rFonts w:hint="eastAsia" w:ascii="仿宋_GB2312" w:hAnsi="仿宋_GB2312" w:eastAsia="仿宋_GB2312" w:cs="仿宋_GB2312"/>
          <w:color w:val="auto"/>
          <w:sz w:val="32"/>
          <w:szCs w:val="32"/>
          <w:highlight w:val="none"/>
          <w:lang w:eastAsia="zh-CN"/>
        </w:rPr>
        <w:t>元，占</w:t>
      </w:r>
      <w:r>
        <w:rPr>
          <w:rFonts w:hint="eastAsia"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lang w:eastAsia="zh-CN"/>
        </w:rPr>
        <w:t>；对附属单位补助支出</w:t>
      </w:r>
      <w:r>
        <w:rPr>
          <w:rFonts w:hint="eastAsia"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lang w:eastAsia="zh-CN"/>
        </w:rPr>
        <w:t>万元，占</w:t>
      </w:r>
      <w:r>
        <w:rPr>
          <w:rFonts w:hint="eastAsia"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lang w:eastAsia="zh-CN"/>
        </w:rPr>
        <w:t>。</w:t>
      </w:r>
    </w:p>
    <w:p w14:paraId="7532B45E">
      <w:pPr>
        <w:ind w:firstLine="800" w:firstLineChars="250"/>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eastAsia="zh-CN"/>
        </w:rPr>
        <w:t>（图3：支出决算结构图）（饼状图）</w:t>
      </w:r>
    </w:p>
    <w:p w14:paraId="15713DB5">
      <w:pPr>
        <w:pStyle w:val="2"/>
        <w:jc w:val="center"/>
        <w:rPr>
          <w:rFonts w:hint="eastAsia" w:ascii="Times New Roman" w:hAnsi="Times New Roman" w:eastAsia="仿宋_GB2312" w:cs="仿宋_GB2312"/>
          <w:color w:val="auto"/>
          <w:sz w:val="32"/>
          <w:szCs w:val="32"/>
          <w:highlight w:val="none"/>
          <w:lang w:eastAsia="zh-CN"/>
        </w:rPr>
      </w:pPr>
      <w:r>
        <w:rPr>
          <w:rFonts w:hint="eastAsia"/>
          <w:lang w:eastAsia="zh-CN"/>
        </w:rPr>
        <w:drawing>
          <wp:inline distT="0" distB="0" distL="114300" distR="114300">
            <wp:extent cx="2554605" cy="1602740"/>
            <wp:effectExtent l="4445" t="4445" r="12700" b="1206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35F35772">
      <w:pPr>
        <w:ind w:firstLine="800" w:firstLineChars="250"/>
        <w:rPr>
          <w:rFonts w:hint="eastAsia" w:ascii="Times New Roman" w:hAnsi="Times New Roman" w:eastAsia="仿宋_GB2312" w:cs="仿宋_GB2312"/>
          <w:color w:val="auto"/>
          <w:sz w:val="32"/>
          <w:szCs w:val="32"/>
          <w:highlight w:val="none"/>
          <w:lang w:eastAsia="zh-CN"/>
        </w:rPr>
      </w:pPr>
    </w:p>
    <w:p w14:paraId="2D6467B0">
      <w:pPr>
        <w:spacing w:line="600" w:lineRule="exact"/>
        <w:ind w:firstLine="640" w:firstLineChars="200"/>
        <w:outlineLvl w:val="1"/>
        <w:rPr>
          <w:rStyle w:val="30"/>
          <w:rFonts w:ascii="Times New Roman" w:hAnsi="Times New Roman" w:eastAsia="黑体"/>
          <w:b w:val="0"/>
          <w:color w:val="auto"/>
          <w:highlight w:val="none"/>
        </w:rPr>
      </w:pPr>
      <w:bookmarkStart w:id="24" w:name="_Toc15377208"/>
      <w:bookmarkStart w:id="25" w:name="_Toc15396606"/>
      <w:r>
        <w:rPr>
          <w:rFonts w:hint="eastAsia" w:ascii="Times New Roman" w:hAnsi="Times New Roman" w:eastAsia="黑体"/>
          <w:color w:val="auto"/>
          <w:sz w:val="32"/>
          <w:szCs w:val="32"/>
          <w:highlight w:val="none"/>
        </w:rPr>
        <w:t>四、财</w:t>
      </w:r>
      <w:r>
        <w:rPr>
          <w:rStyle w:val="30"/>
          <w:rFonts w:hint="eastAsia" w:ascii="Times New Roman" w:hAnsi="Times New Roman" w:eastAsia="黑体"/>
          <w:b w:val="0"/>
          <w:color w:val="auto"/>
          <w:highlight w:val="none"/>
        </w:rPr>
        <w:t>政拨款收入支出决算总体情况说明</w:t>
      </w:r>
      <w:bookmarkEnd w:id="24"/>
      <w:bookmarkEnd w:id="25"/>
    </w:p>
    <w:p w14:paraId="2CEE203A">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2024年度财政拨款收入、支出总计均为144.36万元。与2023年度相比，财政拨款收入总计、支出总计各增加</w:t>
      </w:r>
      <w:r>
        <w:rPr>
          <w:rFonts w:hint="eastAsia" w:eastAsia="仿宋_GB2312" w:cs="仿宋_GB2312"/>
          <w:color w:val="auto"/>
          <w:kern w:val="2"/>
          <w:sz w:val="32"/>
          <w:szCs w:val="32"/>
          <w:highlight w:val="none"/>
          <w:lang w:val="en-US" w:eastAsia="zh-CN" w:bidi="ar-SA"/>
        </w:rPr>
        <w:t>17.95</w:t>
      </w:r>
      <w:r>
        <w:rPr>
          <w:rFonts w:hint="eastAsia" w:ascii="Times New Roman" w:hAnsi="Times New Roman" w:eastAsia="仿宋_GB2312" w:cs="仿宋_GB2312"/>
          <w:color w:val="auto"/>
          <w:kern w:val="2"/>
          <w:sz w:val="32"/>
          <w:szCs w:val="32"/>
          <w:highlight w:val="none"/>
          <w:lang w:val="en-US" w:eastAsia="zh-CN" w:bidi="ar-SA"/>
        </w:rPr>
        <w:t>万元，增长</w:t>
      </w:r>
      <w:r>
        <w:rPr>
          <w:rFonts w:hint="eastAsia" w:eastAsia="仿宋_GB2312" w:cs="仿宋_GB2312"/>
          <w:color w:val="auto"/>
          <w:kern w:val="2"/>
          <w:sz w:val="32"/>
          <w:szCs w:val="32"/>
          <w:highlight w:val="none"/>
          <w:lang w:val="en-US" w:eastAsia="zh-CN" w:bidi="ar-SA"/>
        </w:rPr>
        <w:t>14.2</w:t>
      </w:r>
      <w:r>
        <w:rPr>
          <w:rFonts w:hint="eastAsia" w:ascii="Times New Roman" w:hAnsi="Times New Roman" w:eastAsia="仿宋_GB2312" w:cs="仿宋_GB2312"/>
          <w:color w:val="auto"/>
          <w:kern w:val="2"/>
          <w:sz w:val="32"/>
          <w:szCs w:val="32"/>
          <w:highlight w:val="none"/>
          <w:lang w:val="en-US" w:eastAsia="zh-CN" w:bidi="ar-SA"/>
        </w:rPr>
        <w:t>%。主要变动原因是</w:t>
      </w:r>
      <w:r>
        <w:rPr>
          <w:rFonts w:hint="eastAsia" w:eastAsia="仿宋_GB2312" w:cs="仿宋_GB2312"/>
          <w:color w:val="auto"/>
          <w:sz w:val="32"/>
          <w:szCs w:val="32"/>
          <w:highlight w:val="none"/>
          <w:lang w:eastAsia="zh-CN"/>
        </w:rPr>
        <w:t>办公室搬迁、新增</w:t>
      </w:r>
      <w:r>
        <w:rPr>
          <w:rFonts w:hint="eastAsia" w:eastAsia="仿宋_GB2312" w:cs="仿宋_GB2312"/>
          <w:color w:val="auto"/>
          <w:sz w:val="32"/>
          <w:szCs w:val="32"/>
          <w:highlight w:val="none"/>
          <w:lang w:val="en-US" w:eastAsia="zh-CN"/>
        </w:rPr>
        <w:t>人员3名。</w:t>
      </w:r>
    </w:p>
    <w:p w14:paraId="4AD19F1D">
      <w:pPr>
        <w:spacing w:line="60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（图4：财政拨款收、支决算总计变动情况）（柱状图）</w:t>
      </w:r>
    </w:p>
    <w:p w14:paraId="00DDB8E0">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78D71DBA">
      <w:pPr>
        <w:pStyle w:val="2"/>
        <w:jc w:val="center"/>
        <w:rPr>
          <w:rFonts w:hint="eastAsia"/>
          <w:lang w:val="en-US" w:eastAsia="zh-CN"/>
        </w:rPr>
      </w:pPr>
      <w:r>
        <w:rPr>
          <w:rFonts w:hint="eastAsia" w:eastAsia="仿宋_GB2312"/>
          <w:lang w:eastAsia="zh-CN"/>
        </w:rPr>
        <w:drawing>
          <wp:inline distT="0" distB="0" distL="114300" distR="114300">
            <wp:extent cx="2546985" cy="1691005"/>
            <wp:effectExtent l="4445" t="4445" r="20320" b="1905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BAC6D5A">
      <w:pPr>
        <w:spacing w:line="600" w:lineRule="exact"/>
        <w:ind w:firstLine="640" w:firstLineChars="200"/>
        <w:outlineLvl w:val="1"/>
        <w:rPr>
          <w:rStyle w:val="30"/>
          <w:rFonts w:ascii="Times New Roman" w:hAnsi="Times New Roman" w:eastAsia="黑体"/>
          <w:b w:val="0"/>
          <w:color w:val="auto"/>
          <w:highlight w:val="none"/>
        </w:rPr>
      </w:pPr>
      <w:bookmarkStart w:id="26" w:name="_Toc15377209"/>
      <w:bookmarkStart w:id="27" w:name="_Toc15396607"/>
      <w:r>
        <w:rPr>
          <w:rFonts w:hint="eastAsia" w:ascii="Times New Roman" w:hAnsi="Times New Roman" w:eastAsia="黑体"/>
          <w:color w:val="auto"/>
          <w:sz w:val="32"/>
          <w:szCs w:val="32"/>
          <w:highlight w:val="none"/>
        </w:rPr>
        <w:t>五、</w:t>
      </w:r>
      <w:r>
        <w:rPr>
          <w:rFonts w:hint="eastAsia" w:ascii="Times New Roman" w:hAnsi="Times New Roman" w:eastAsia="黑体"/>
          <w:b/>
          <w:color w:val="auto"/>
          <w:sz w:val="32"/>
          <w:szCs w:val="32"/>
          <w:highlight w:val="none"/>
        </w:rPr>
        <w:t>一</w:t>
      </w:r>
      <w:r>
        <w:rPr>
          <w:rStyle w:val="30"/>
          <w:rFonts w:hint="eastAsia" w:ascii="Times New Roman" w:hAnsi="Times New Roman" w:eastAsia="黑体"/>
          <w:b w:val="0"/>
          <w:color w:val="auto"/>
          <w:highlight w:val="none"/>
        </w:rPr>
        <w:t>般公共预算财政拨款支出决算情况说明</w:t>
      </w:r>
      <w:bookmarkEnd w:id="26"/>
      <w:bookmarkEnd w:id="27"/>
    </w:p>
    <w:p w14:paraId="42F089B4">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28" w:name="_Toc15377210"/>
      <w:r>
        <w:rPr>
          <w:rFonts w:hint="eastAsia" w:ascii="Times New Roman" w:hAnsi="Times New Roman" w:eastAsia="楷体_GB2312" w:cs="楷体_GB2312"/>
          <w:b/>
          <w:color w:val="auto"/>
          <w:sz w:val="32"/>
          <w:szCs w:val="32"/>
          <w:highlight w:val="none"/>
        </w:rPr>
        <w:t>（一）一般公共预算财政拨款支出决算总体情况</w:t>
      </w:r>
      <w:bookmarkEnd w:id="28"/>
    </w:p>
    <w:p w14:paraId="6D3CF107">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w:t>
      </w:r>
      <w:r>
        <w:rPr>
          <w:rFonts w:hint="eastAsia" w:ascii="仿宋_GB2312" w:hAnsi="仿宋_GB2312" w:eastAsia="仿宋_GB2312" w:cs="仿宋_GB2312"/>
          <w:color w:val="auto"/>
          <w:kern w:val="2"/>
          <w:sz w:val="32"/>
          <w:szCs w:val="32"/>
          <w:highlight w:val="none"/>
          <w:lang w:val="en-US" w:eastAsia="zh-CN" w:bidi="ar-SA"/>
        </w:rPr>
        <w:t>年度一般公共预算财政拨款支出</w:t>
      </w:r>
      <w:r>
        <w:rPr>
          <w:rFonts w:hint="eastAsia" w:ascii="Times New Roman" w:hAnsi="Times New Roman" w:eastAsia="仿宋_GB2312" w:cs="仿宋_GB2312"/>
          <w:color w:val="auto"/>
          <w:kern w:val="2"/>
          <w:sz w:val="32"/>
          <w:szCs w:val="32"/>
          <w:highlight w:val="none"/>
          <w:lang w:val="en-US" w:eastAsia="zh-CN" w:bidi="ar-SA"/>
        </w:rPr>
        <w:t>144.36</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ascii="Times New Roman" w:hAnsi="Times New Roman" w:eastAsia="仿宋_GB2312" w:cs="仿宋_GB2312"/>
          <w:color w:val="auto"/>
          <w:kern w:val="2"/>
          <w:sz w:val="32"/>
          <w:szCs w:val="32"/>
          <w:highlight w:val="none"/>
          <w:lang w:val="en-US" w:eastAsia="zh-CN" w:bidi="ar-SA"/>
        </w:rPr>
        <w:t>100%</w:t>
      </w:r>
      <w:r>
        <w:rPr>
          <w:rFonts w:hint="eastAsia" w:ascii="仿宋_GB2312" w:hAnsi="仿宋_GB2312" w:eastAsia="仿宋_GB2312" w:cs="仿宋_GB2312"/>
          <w:color w:val="auto"/>
          <w:kern w:val="2"/>
          <w:sz w:val="32"/>
          <w:szCs w:val="32"/>
          <w:highlight w:val="none"/>
          <w:lang w:val="en-US" w:eastAsia="zh-CN" w:bidi="ar-SA"/>
        </w:rPr>
        <w:t>。与</w:t>
      </w:r>
      <w:r>
        <w:rPr>
          <w:rFonts w:hint="eastAsia" w:ascii="Times New Roman" w:hAnsi="Times New Roman" w:eastAsia="仿宋_GB2312" w:cs="仿宋_GB2312"/>
          <w:color w:val="auto"/>
          <w:kern w:val="2"/>
          <w:sz w:val="32"/>
          <w:szCs w:val="32"/>
          <w:highlight w:val="none"/>
          <w:lang w:val="en-US" w:eastAsia="zh-CN" w:bidi="ar-SA"/>
        </w:rPr>
        <w:t>2023</w:t>
      </w:r>
      <w:r>
        <w:rPr>
          <w:rFonts w:hint="eastAsia" w:ascii="仿宋_GB2312" w:hAnsi="仿宋_GB2312" w:eastAsia="仿宋_GB2312" w:cs="仿宋_GB2312"/>
          <w:color w:val="auto"/>
          <w:kern w:val="2"/>
          <w:sz w:val="32"/>
          <w:szCs w:val="32"/>
          <w:highlight w:val="none"/>
          <w:lang w:val="en-US" w:eastAsia="zh-CN" w:bidi="ar-SA"/>
        </w:rPr>
        <w:t>年度相比，一般公共预算财政拨款支出增加</w:t>
      </w:r>
      <w:r>
        <w:rPr>
          <w:rFonts w:hint="eastAsia" w:ascii="Times New Roman" w:hAnsi="Times New Roman" w:eastAsia="仿宋_GB2312" w:cs="仿宋_GB2312"/>
          <w:color w:val="auto"/>
          <w:kern w:val="2"/>
          <w:sz w:val="32"/>
          <w:szCs w:val="32"/>
          <w:highlight w:val="none"/>
          <w:lang w:val="en-US" w:eastAsia="zh-CN" w:bidi="ar-SA"/>
        </w:rPr>
        <w:t>17.95</w:t>
      </w:r>
      <w:r>
        <w:rPr>
          <w:rFonts w:hint="eastAsia" w:ascii="仿宋_GB2312" w:hAnsi="仿宋_GB2312" w:eastAsia="仿宋_GB2312" w:cs="仿宋_GB2312"/>
          <w:color w:val="auto"/>
          <w:kern w:val="2"/>
          <w:sz w:val="32"/>
          <w:szCs w:val="32"/>
          <w:highlight w:val="none"/>
          <w:lang w:val="en-US" w:eastAsia="zh-CN" w:bidi="ar-SA"/>
        </w:rPr>
        <w:t>万元，增长</w:t>
      </w:r>
      <w:r>
        <w:rPr>
          <w:rFonts w:hint="eastAsia" w:ascii="Times New Roman" w:hAnsi="Times New Roman" w:eastAsia="仿宋_GB2312" w:cs="仿宋_GB2312"/>
          <w:color w:val="auto"/>
          <w:kern w:val="2"/>
          <w:sz w:val="32"/>
          <w:szCs w:val="32"/>
          <w:highlight w:val="none"/>
          <w:lang w:val="en-US" w:eastAsia="zh-CN" w:bidi="ar-SA"/>
        </w:rPr>
        <w:t>14.2%</w:t>
      </w:r>
      <w:r>
        <w:rPr>
          <w:rFonts w:hint="eastAsia" w:ascii="仿宋_GB2312" w:hAnsi="仿宋_GB2312" w:eastAsia="仿宋_GB2312" w:cs="仿宋_GB2312"/>
          <w:color w:val="auto"/>
          <w:kern w:val="2"/>
          <w:sz w:val="32"/>
          <w:szCs w:val="32"/>
          <w:highlight w:val="none"/>
          <w:lang w:val="en-US" w:eastAsia="zh-CN" w:bidi="ar-SA"/>
        </w:rPr>
        <w:t>。主要变动原因是</w:t>
      </w:r>
      <w:r>
        <w:rPr>
          <w:rFonts w:hint="eastAsia" w:eastAsia="仿宋_GB2312" w:cs="仿宋_GB2312"/>
          <w:color w:val="auto"/>
          <w:sz w:val="32"/>
          <w:szCs w:val="32"/>
          <w:highlight w:val="none"/>
          <w:lang w:eastAsia="zh-CN"/>
        </w:rPr>
        <w:t>办公室搬迁、新增</w:t>
      </w:r>
      <w:r>
        <w:rPr>
          <w:rFonts w:hint="eastAsia" w:eastAsia="仿宋_GB2312" w:cs="仿宋_GB2312"/>
          <w:color w:val="auto"/>
          <w:sz w:val="32"/>
          <w:szCs w:val="32"/>
          <w:highlight w:val="none"/>
          <w:lang w:val="en-US" w:eastAsia="zh-CN"/>
        </w:rPr>
        <w:t>人员</w:t>
      </w:r>
      <w:r>
        <w:rPr>
          <w:rFonts w:hint="eastAsia" w:ascii="Times New Roman" w:hAnsi="Times New Roman" w:eastAsia="仿宋_GB2312" w:cs="仿宋_GB2312"/>
          <w:color w:val="auto"/>
          <w:kern w:val="2"/>
          <w:sz w:val="32"/>
          <w:szCs w:val="32"/>
          <w:highlight w:val="none"/>
          <w:lang w:val="en-US" w:eastAsia="zh-CN" w:bidi="ar-SA"/>
        </w:rPr>
        <w:t>3</w:t>
      </w:r>
      <w:r>
        <w:rPr>
          <w:rFonts w:hint="eastAsia" w:eastAsia="仿宋_GB2312" w:cs="仿宋_GB2312"/>
          <w:color w:val="auto"/>
          <w:sz w:val="32"/>
          <w:szCs w:val="32"/>
          <w:highlight w:val="none"/>
          <w:lang w:val="en-US" w:eastAsia="zh-CN"/>
        </w:rPr>
        <w:t>名。</w:t>
      </w:r>
    </w:p>
    <w:p w14:paraId="0F5F4E43">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（图5：一般公共预算财政拨款支出决算变动情况）（柱状图）</w:t>
      </w:r>
    </w:p>
    <w:p w14:paraId="6C307D17">
      <w:pPr>
        <w:pStyle w:val="3"/>
        <w:ind w:left="0" w:leftChars="0" w:firstLine="0" w:firstLineChars="0"/>
        <w:jc w:val="center"/>
        <w:rPr>
          <w:rFonts w:hint="eastAsia"/>
          <w:lang w:val="en-US" w:eastAsia="zh-CN"/>
        </w:rPr>
      </w:pPr>
      <w:r>
        <w:rPr>
          <w:rFonts w:hint="eastAsia" w:eastAsia="仿宋_GB2312"/>
          <w:lang w:eastAsia="zh-CN"/>
        </w:rPr>
        <w:drawing>
          <wp:inline distT="0" distB="0" distL="114300" distR="114300">
            <wp:extent cx="2546985" cy="1691005"/>
            <wp:effectExtent l="4445" t="4445" r="20320" b="1905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4406B334">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29" w:name="_Toc15377211"/>
      <w:r>
        <w:rPr>
          <w:rFonts w:hint="eastAsia" w:ascii="Times New Roman" w:hAnsi="Times New Roman" w:eastAsia="楷体_GB2312" w:cs="楷体_GB2312"/>
          <w:b/>
          <w:color w:val="auto"/>
          <w:sz w:val="32"/>
          <w:szCs w:val="32"/>
          <w:highlight w:val="none"/>
        </w:rPr>
        <w:t>（二）一般公共预算财政拨款支出决算结构情况</w:t>
      </w:r>
      <w:bookmarkEnd w:id="29"/>
    </w:p>
    <w:p w14:paraId="302D078D">
      <w:pPr>
        <w:spacing w:line="60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2024年度一般公共预算财政拨款支出144.36</w:t>
      </w:r>
      <w:r>
        <w:rPr>
          <w:rFonts w:hint="eastAsia" w:ascii="仿宋_GB2312" w:hAnsi="仿宋_GB2312" w:eastAsia="仿宋_GB2312" w:cs="仿宋_GB2312"/>
          <w:color w:val="auto"/>
          <w:kern w:val="2"/>
          <w:sz w:val="32"/>
          <w:szCs w:val="32"/>
          <w:highlight w:val="none"/>
          <w:lang w:val="en-US" w:eastAsia="zh-CN" w:bidi="ar-SA"/>
        </w:rPr>
        <w:t>万元</w:t>
      </w:r>
      <w:r>
        <w:rPr>
          <w:rFonts w:hint="eastAsia" w:ascii="Times New Roman" w:hAnsi="Times New Roman" w:eastAsia="仿宋_GB2312" w:cs="仿宋_GB2312"/>
          <w:color w:val="auto"/>
          <w:kern w:val="2"/>
          <w:sz w:val="32"/>
          <w:szCs w:val="32"/>
          <w:highlight w:val="none"/>
          <w:lang w:val="en-US" w:eastAsia="zh-CN" w:bidi="ar-SA"/>
        </w:rPr>
        <w:t>，主要用于以下方面</w:t>
      </w:r>
      <w:r>
        <w:rPr>
          <w:rFonts w:hint="eastAsia" w:eastAsia="仿宋_GB2312" w:cs="仿宋_GB2312"/>
          <w:color w:val="auto"/>
          <w:kern w:val="2"/>
          <w:sz w:val="32"/>
          <w:szCs w:val="32"/>
          <w:highlight w:val="none"/>
          <w:lang w:val="en-US" w:eastAsia="zh-CN" w:bidi="ar-SA"/>
        </w:rPr>
        <w:t>：社会保障和就业</w:t>
      </w:r>
      <w:r>
        <w:rPr>
          <w:rFonts w:hint="eastAsia" w:ascii="Times New Roman" w:hAnsi="Times New Roman" w:eastAsia="仿宋_GB2312" w:cs="仿宋_GB2312"/>
          <w:color w:val="auto"/>
          <w:kern w:val="2"/>
          <w:sz w:val="32"/>
          <w:szCs w:val="32"/>
          <w:highlight w:val="none"/>
          <w:lang w:val="en-US" w:eastAsia="zh-CN" w:bidi="ar-SA"/>
        </w:rPr>
        <w:t>支出</w:t>
      </w:r>
      <w:r>
        <w:rPr>
          <w:rFonts w:hint="eastAsia" w:eastAsia="仿宋_GB2312" w:cs="仿宋_GB2312"/>
          <w:color w:val="auto"/>
          <w:kern w:val="2"/>
          <w:sz w:val="32"/>
          <w:szCs w:val="32"/>
          <w:highlight w:val="none"/>
          <w:lang w:val="en-US" w:eastAsia="zh-CN" w:bidi="ar-SA"/>
        </w:rPr>
        <w:t>125.6</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87</w:t>
      </w:r>
      <w:r>
        <w:rPr>
          <w:rFonts w:hint="eastAsia" w:ascii="Times New Roman" w:hAnsi="Times New Roman" w:eastAsia="仿宋_GB2312" w:cs="仿宋_GB2312"/>
          <w:color w:val="auto"/>
          <w:kern w:val="2"/>
          <w:sz w:val="32"/>
          <w:szCs w:val="32"/>
          <w:highlight w:val="none"/>
          <w:lang w:val="en-US" w:eastAsia="zh-CN" w:bidi="ar-SA"/>
        </w:rPr>
        <w:t>%；卫生健康支出</w:t>
      </w:r>
      <w:r>
        <w:rPr>
          <w:rFonts w:hint="eastAsia" w:eastAsia="仿宋_GB2312" w:cs="仿宋_GB2312"/>
          <w:color w:val="auto"/>
          <w:kern w:val="2"/>
          <w:sz w:val="32"/>
          <w:szCs w:val="32"/>
          <w:highlight w:val="none"/>
          <w:lang w:val="en-US" w:eastAsia="zh-CN" w:bidi="ar-SA"/>
        </w:rPr>
        <w:t>8.21</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5.69</w:t>
      </w:r>
      <w:r>
        <w:rPr>
          <w:rFonts w:hint="eastAsia" w:ascii="Times New Roman" w:hAnsi="Times New Roman" w:eastAsia="仿宋_GB2312" w:cs="仿宋_GB2312"/>
          <w:color w:val="auto"/>
          <w:kern w:val="2"/>
          <w:sz w:val="32"/>
          <w:szCs w:val="32"/>
          <w:highlight w:val="none"/>
          <w:lang w:val="en-US" w:eastAsia="zh-CN" w:bidi="ar-SA"/>
        </w:rPr>
        <w:t>%；住房保障支出</w:t>
      </w:r>
      <w:r>
        <w:rPr>
          <w:rFonts w:hint="eastAsia" w:eastAsia="仿宋_GB2312" w:cs="仿宋_GB2312"/>
          <w:color w:val="auto"/>
          <w:kern w:val="2"/>
          <w:sz w:val="32"/>
          <w:szCs w:val="32"/>
          <w:highlight w:val="none"/>
          <w:lang w:val="en-US" w:eastAsia="zh-CN" w:bidi="ar-SA"/>
        </w:rPr>
        <w:t>10.55</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7.31</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p>
    <w:p w14:paraId="4D37FC8C">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（图6：一般公共预算财政拨款支出决算结构）（饼状图）</w:t>
      </w:r>
    </w:p>
    <w:p w14:paraId="65B7C842">
      <w:pPr>
        <w:pStyle w:val="2"/>
        <w:rPr>
          <w:rFonts w:hint="eastAsia"/>
          <w:lang w:val="en-US" w:eastAsia="zh-CN"/>
        </w:rPr>
      </w:pPr>
    </w:p>
    <w:p w14:paraId="392EB272">
      <w:pPr>
        <w:pStyle w:val="2"/>
        <w:jc w:val="center"/>
        <w:rPr>
          <w:rFonts w:hint="eastAsia"/>
          <w:lang w:val="en-US" w:eastAsia="zh-CN"/>
        </w:rPr>
      </w:pPr>
      <w:r>
        <w:rPr>
          <w:rFonts w:hint="eastAsia"/>
          <w:lang w:eastAsia="zh-CN"/>
        </w:rPr>
        <w:drawing>
          <wp:inline distT="0" distB="0" distL="114300" distR="114300">
            <wp:extent cx="2581910" cy="1740535"/>
            <wp:effectExtent l="4445" t="4445" r="23495" b="7620"/>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7162FB7E">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30" w:name="_Toc15377212"/>
      <w:r>
        <w:rPr>
          <w:rFonts w:hint="eastAsia" w:ascii="Times New Roman" w:hAnsi="Times New Roman" w:eastAsia="楷体_GB2312" w:cs="楷体_GB2312"/>
          <w:b/>
          <w:color w:val="auto"/>
          <w:sz w:val="32"/>
          <w:szCs w:val="32"/>
          <w:highlight w:val="none"/>
        </w:rPr>
        <w:t>（三）一般公共预算财政拨款支出决算具体情况</w:t>
      </w:r>
      <w:bookmarkEnd w:id="30"/>
    </w:p>
    <w:p w14:paraId="1A54EF0C">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2024年度一般公共预算财政拨款支出决算数为144.36</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%。其中：</w:t>
      </w:r>
    </w:p>
    <w:p w14:paraId="0C15CFC3">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w:t>
      </w:r>
      <w:r>
        <w:rPr>
          <w:rFonts w:hint="eastAsia" w:eastAsia="仿宋_GB2312" w:cs="仿宋_GB2312"/>
          <w:color w:val="auto"/>
          <w:kern w:val="2"/>
          <w:sz w:val="32"/>
          <w:szCs w:val="32"/>
          <w:highlight w:val="none"/>
          <w:lang w:val="en-US" w:eastAsia="zh-CN" w:bidi="ar-SA"/>
        </w:rPr>
        <w:t>.社会保障和就业支出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行政事业单位养老支出</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机关事业单位基本养老保险缴费支出</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12.73</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p>
    <w:p w14:paraId="0487C2FC">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w:t>
      </w:r>
      <w:r>
        <w:rPr>
          <w:rFonts w:hint="eastAsia" w:eastAsia="仿宋_GB2312" w:cs="仿宋_GB2312"/>
          <w:color w:val="auto"/>
          <w:kern w:val="2"/>
          <w:sz w:val="32"/>
          <w:szCs w:val="32"/>
          <w:highlight w:val="none"/>
          <w:lang w:val="en-US" w:eastAsia="zh-CN" w:bidi="ar-SA"/>
        </w:rPr>
        <w:t>社会保障和就业支出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红十字事业</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行政运行</w:t>
      </w:r>
      <w:r>
        <w:rPr>
          <w:rFonts w:hint="eastAsia" w:ascii="Times New Roman" w:hAnsi="Times New Roman" w:eastAsia="仿宋_GB2312" w:cs="仿宋_GB2312"/>
          <w:color w:val="auto"/>
          <w:kern w:val="2"/>
          <w:sz w:val="32"/>
          <w:szCs w:val="32"/>
          <w:highlight w:val="none"/>
          <w:lang w:val="en-US" w:eastAsia="zh-CN" w:bidi="ar-SA"/>
        </w:rPr>
        <w:t>（项）: 支出决算为</w:t>
      </w:r>
      <w:r>
        <w:rPr>
          <w:rFonts w:hint="eastAsia" w:eastAsia="仿宋_GB2312" w:cs="仿宋_GB2312"/>
          <w:color w:val="auto"/>
          <w:kern w:val="2"/>
          <w:sz w:val="32"/>
          <w:szCs w:val="32"/>
          <w:highlight w:val="none"/>
          <w:lang w:val="en-US" w:eastAsia="zh-CN" w:bidi="ar-SA"/>
        </w:rPr>
        <w:t>106.34</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p>
    <w:p w14:paraId="3C75EC13">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3.</w:t>
      </w:r>
      <w:r>
        <w:rPr>
          <w:rFonts w:hint="eastAsia" w:eastAsia="仿宋_GB2312" w:cs="仿宋_GB2312"/>
          <w:color w:val="auto"/>
          <w:kern w:val="2"/>
          <w:sz w:val="32"/>
          <w:szCs w:val="32"/>
          <w:highlight w:val="none"/>
          <w:lang w:val="en-US" w:eastAsia="zh-CN" w:bidi="ar-SA"/>
        </w:rPr>
        <w:t>社会保障和就业支出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红十字事业</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事业运行</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6.53</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p>
    <w:p w14:paraId="303A974C">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4.</w:t>
      </w:r>
      <w:r>
        <w:rPr>
          <w:rFonts w:hint="eastAsia" w:eastAsia="仿宋_GB2312" w:cs="仿宋_GB2312"/>
          <w:color w:val="auto"/>
          <w:kern w:val="2"/>
          <w:sz w:val="32"/>
          <w:szCs w:val="32"/>
          <w:highlight w:val="none"/>
          <w:lang w:val="en-US" w:eastAsia="zh-CN" w:bidi="ar-SA"/>
        </w:rPr>
        <w:t>卫生健康支出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行政事业单位医疗</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行政单位医疗</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6.61</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p>
    <w:p w14:paraId="7365028E">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5.</w:t>
      </w:r>
      <w:r>
        <w:rPr>
          <w:rFonts w:hint="eastAsia" w:eastAsia="仿宋_GB2312" w:cs="仿宋_GB2312"/>
          <w:color w:val="auto"/>
          <w:kern w:val="2"/>
          <w:sz w:val="32"/>
          <w:szCs w:val="32"/>
          <w:highlight w:val="none"/>
          <w:lang w:val="en-US" w:eastAsia="zh-CN" w:bidi="ar-SA"/>
        </w:rPr>
        <w:t>卫生健康支出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行政事业单位医疗</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事业单位医疗</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0.14</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p>
    <w:p w14:paraId="651485B3">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6.</w:t>
      </w:r>
      <w:r>
        <w:rPr>
          <w:rFonts w:hint="eastAsia" w:eastAsia="仿宋_GB2312" w:cs="仿宋_GB2312"/>
          <w:color w:val="auto"/>
          <w:kern w:val="2"/>
          <w:sz w:val="32"/>
          <w:szCs w:val="32"/>
          <w:highlight w:val="none"/>
          <w:lang w:val="en-US" w:eastAsia="zh-CN" w:bidi="ar-SA"/>
        </w:rPr>
        <w:t>卫生健康支出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行政事业单位医疗</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公务员医疗补助</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1.46</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p>
    <w:p w14:paraId="6F28098D">
      <w:pPr>
        <w:tabs>
          <w:tab w:val="right" w:pos="8306"/>
        </w:tabs>
        <w:spacing w:line="600" w:lineRule="exact"/>
        <w:ind w:firstLine="640"/>
        <w:outlineLvl w:val="1"/>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7</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住房保障支出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住房改革支出</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住房公积金</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10.55</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bookmarkStart w:id="31" w:name="_Toc15396608"/>
      <w:bookmarkStart w:id="32" w:name="_Toc15377214"/>
    </w:p>
    <w:p w14:paraId="7113DD4A">
      <w:pPr>
        <w:tabs>
          <w:tab w:val="right" w:pos="8306"/>
        </w:tabs>
        <w:spacing w:line="600" w:lineRule="exact"/>
        <w:ind w:firstLine="640"/>
        <w:outlineLvl w:val="1"/>
        <w:rPr>
          <w:rFonts w:hint="eastAsia" w:eastAsia="仿宋_GB2312" w:cs="仿宋_GB2312"/>
          <w:color w:val="auto"/>
          <w:kern w:val="2"/>
          <w:sz w:val="32"/>
          <w:szCs w:val="32"/>
          <w:highlight w:val="none"/>
          <w:lang w:val="en-US" w:eastAsia="zh-CN" w:bidi="ar-SA"/>
        </w:rPr>
      </w:pPr>
    </w:p>
    <w:p w14:paraId="6826C1D6">
      <w:pPr>
        <w:tabs>
          <w:tab w:val="right" w:pos="8306"/>
        </w:tabs>
        <w:spacing w:line="600" w:lineRule="exact"/>
        <w:ind w:firstLine="640"/>
        <w:outlineLvl w:val="1"/>
        <w:rPr>
          <w:rStyle w:val="30"/>
          <w:rFonts w:ascii="Times New Roman" w:hAnsi="Times New Roman"/>
          <w:color w:val="auto"/>
          <w:highlight w:val="none"/>
        </w:rPr>
      </w:pPr>
      <w:r>
        <w:rPr>
          <w:rFonts w:hint="eastAsia" w:ascii="Times New Roman" w:hAnsi="Times New Roman" w:eastAsia="黑体"/>
          <w:color w:val="auto"/>
          <w:sz w:val="32"/>
          <w:szCs w:val="32"/>
          <w:highlight w:val="none"/>
        </w:rPr>
        <w:t>六</w:t>
      </w:r>
      <w:r>
        <w:rPr>
          <w:rFonts w:hint="eastAsia" w:ascii="Times New Roman" w:hAnsi="Times New Roman" w:eastAsia="黑体"/>
          <w:b/>
          <w:color w:val="auto"/>
          <w:sz w:val="32"/>
          <w:szCs w:val="32"/>
          <w:highlight w:val="none"/>
        </w:rPr>
        <w:t>、一</w:t>
      </w:r>
      <w:r>
        <w:rPr>
          <w:rStyle w:val="30"/>
          <w:rFonts w:hint="eastAsia" w:ascii="Times New Roman" w:hAnsi="Times New Roman" w:eastAsia="黑体"/>
          <w:b w:val="0"/>
          <w:color w:val="auto"/>
          <w:highlight w:val="none"/>
        </w:rPr>
        <w:t>般公共预算财政拨款基本支出决算情况说明</w:t>
      </w:r>
      <w:bookmarkEnd w:id="31"/>
      <w:bookmarkEnd w:id="32"/>
      <w:r>
        <w:rPr>
          <w:rStyle w:val="30"/>
          <w:rFonts w:ascii="Times New Roman" w:hAnsi="Times New Roman" w:eastAsia="黑体"/>
          <w:b w:val="0"/>
          <w:color w:val="auto"/>
          <w:highlight w:val="none"/>
        </w:rPr>
        <w:tab/>
      </w:r>
    </w:p>
    <w:p w14:paraId="32014722">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2024年度一般公共预算财政拨款基本支出144.36</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元，其中：</w:t>
      </w:r>
    </w:p>
    <w:p w14:paraId="40EA8F02">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人员经费119.82</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元，主要包括：</w:t>
      </w:r>
      <w:r>
        <w:rPr>
          <w:rFonts w:hint="eastAsia" w:ascii="仿宋" w:eastAsia="仿宋"/>
          <w:sz w:val="32"/>
          <w:szCs w:val="32"/>
        </w:rPr>
        <w:t>基本工资、津贴补贴、奖金、机关事业单位基本养老保险缴费、职工基本医疗保险、公务员医疗补助缴费、其他社会保障缴费、住房公积金</w:t>
      </w:r>
      <w:r>
        <w:rPr>
          <w:rFonts w:hint="eastAsia" w:ascii="Times New Roman" w:hAnsi="Times New Roman"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br w:type="textWrapping"/>
      </w:r>
      <w:r>
        <w:rPr>
          <w:rFonts w:hint="eastAsia" w:ascii="Times New Roman" w:hAnsi="Times New Roman" w:eastAsia="仿宋_GB2312" w:cs="仿宋_GB2312"/>
          <w:color w:val="auto"/>
          <w:kern w:val="2"/>
          <w:sz w:val="32"/>
          <w:szCs w:val="32"/>
          <w:highlight w:val="none"/>
          <w:lang w:val="en-US" w:eastAsia="zh-CN" w:bidi="ar-SA"/>
        </w:rPr>
        <w:t>　　公用经费24.54</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主要包括：办公费、水费、电费、邮电费、物业管理费、差旅费、会议费、培训费、公务接待费、劳务费、委托业务费、工会经费、福利费、公务用车运行维护费、其他交通费、其他商品和服务支出、办公设备购置。</w:t>
      </w:r>
    </w:p>
    <w:p w14:paraId="44274FC0">
      <w:pPr>
        <w:spacing w:line="600" w:lineRule="exact"/>
        <w:rPr>
          <w:rFonts w:hint="eastAsia" w:ascii="Times New Roman" w:hAnsi="Times New Roman" w:eastAsia="仿宋_GB2312" w:cs="仿宋_GB2312"/>
          <w:color w:val="auto"/>
          <w:kern w:val="2"/>
          <w:sz w:val="32"/>
          <w:szCs w:val="32"/>
          <w:highlight w:val="none"/>
          <w:lang w:val="en-US" w:eastAsia="zh-CN" w:bidi="ar-SA"/>
        </w:rPr>
      </w:pPr>
    </w:p>
    <w:p w14:paraId="5D2357D9">
      <w:pPr>
        <w:spacing w:line="600" w:lineRule="exact"/>
        <w:ind w:firstLine="640"/>
        <w:outlineLvl w:val="1"/>
        <w:rPr>
          <w:rStyle w:val="30"/>
          <w:rFonts w:ascii="Times New Roman" w:hAnsi="Times New Roman" w:eastAsia="黑体"/>
          <w:b w:val="0"/>
          <w:color w:val="auto"/>
          <w:highlight w:val="none"/>
        </w:rPr>
      </w:pPr>
      <w:bookmarkStart w:id="33" w:name="_Toc15377215"/>
      <w:bookmarkStart w:id="34" w:name="_Toc15396609"/>
      <w:r>
        <w:rPr>
          <w:rFonts w:hint="eastAsia" w:ascii="Times New Roman" w:hAnsi="Times New Roman" w:eastAsia="黑体"/>
          <w:color w:val="auto"/>
          <w:sz w:val="32"/>
          <w:szCs w:val="32"/>
          <w:highlight w:val="none"/>
        </w:rPr>
        <w:t>七、</w:t>
      </w:r>
      <w:r>
        <w:rPr>
          <w:rStyle w:val="30"/>
          <w:rFonts w:hint="eastAsia" w:ascii="Times New Roman" w:hAnsi="Times New Roman" w:eastAsia="黑体"/>
          <w:b w:val="0"/>
          <w:color w:val="auto"/>
          <w:highlight w:val="none"/>
        </w:rPr>
        <w:t>财政拨款</w:t>
      </w:r>
      <w:r>
        <w:rPr>
          <w:rStyle w:val="30"/>
          <w:rFonts w:hint="eastAsia" w:ascii="Times New Roman" w:hAnsi="Times New Roman" w:eastAsia="黑体"/>
          <w:color w:val="auto"/>
          <w:highlight w:val="none"/>
        </w:rPr>
        <w:t>“</w:t>
      </w:r>
      <w:r>
        <w:rPr>
          <w:rStyle w:val="30"/>
          <w:rFonts w:hint="eastAsia" w:ascii="Times New Roman" w:hAnsi="Times New Roman" w:eastAsia="黑体"/>
          <w:b w:val="0"/>
          <w:color w:val="auto"/>
          <w:highlight w:val="none"/>
        </w:rPr>
        <w:t>三公”经费支出决算情况说明</w:t>
      </w:r>
      <w:bookmarkEnd w:id="33"/>
      <w:bookmarkEnd w:id="34"/>
    </w:p>
    <w:p w14:paraId="1FB13B9A">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35" w:name="_Toc15377216"/>
      <w:r>
        <w:rPr>
          <w:rFonts w:hint="eastAsia" w:ascii="Times New Roman" w:hAnsi="Times New Roman" w:eastAsia="楷体_GB2312" w:cs="楷体_GB2312"/>
          <w:b/>
          <w:color w:val="auto"/>
          <w:sz w:val="32"/>
          <w:szCs w:val="32"/>
          <w:highlight w:val="none"/>
        </w:rPr>
        <w:t>（一）“三公”经费财政拨款支出决算总体情况说明</w:t>
      </w:r>
      <w:bookmarkEnd w:id="35"/>
    </w:p>
    <w:p w14:paraId="2F2FEAD5">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2024年度“三公”经费财政拨款支出决算为0.64</w:t>
      </w:r>
      <w:r>
        <w:rPr>
          <w:rFonts w:hint="eastAsia" w:ascii="仿宋_GB2312" w:hAnsi="仿宋_GB2312" w:eastAsia="仿宋_GB2312" w:cs="仿宋_GB2312"/>
          <w:color w:val="auto"/>
          <w:kern w:val="2"/>
          <w:sz w:val="32"/>
          <w:szCs w:val="32"/>
          <w:highlight w:val="none"/>
          <w:lang w:val="en-US" w:eastAsia="zh-CN" w:bidi="ar-SA"/>
        </w:rPr>
        <w:t>万元，完成预算</w:t>
      </w:r>
      <w:r>
        <w:rPr>
          <w:rFonts w:hint="eastAsia" w:ascii="Times New Roman" w:hAnsi="Times New Roman" w:eastAsia="仿宋_GB2312" w:cs="仿宋_GB2312"/>
          <w:color w:val="auto"/>
          <w:kern w:val="2"/>
          <w:sz w:val="32"/>
          <w:szCs w:val="32"/>
          <w:highlight w:val="none"/>
          <w:lang w:val="en-US" w:eastAsia="zh-CN" w:bidi="ar-SA"/>
        </w:rPr>
        <w:t>100%</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较上年度减少</w:t>
      </w:r>
      <w:r>
        <w:rPr>
          <w:rFonts w:hint="eastAsia" w:eastAsia="仿宋_GB2312" w:cs="仿宋_GB2312"/>
          <w:color w:val="auto"/>
          <w:kern w:val="2"/>
          <w:sz w:val="32"/>
          <w:szCs w:val="32"/>
          <w:highlight w:val="none"/>
          <w:lang w:val="en-US" w:eastAsia="zh-CN" w:bidi="ar-SA"/>
        </w:rPr>
        <w:t>0.7</w:t>
      </w:r>
      <w:r>
        <w:rPr>
          <w:rFonts w:hint="eastAsia" w:ascii="Times New Roman" w:hAnsi="Times New Roman" w:eastAsia="仿宋_GB2312" w:cs="仿宋_GB2312"/>
          <w:color w:val="auto"/>
          <w:kern w:val="2"/>
          <w:sz w:val="32"/>
          <w:szCs w:val="32"/>
          <w:highlight w:val="none"/>
          <w:lang w:val="en-US" w:eastAsia="zh-CN" w:bidi="ar-SA"/>
        </w:rPr>
        <w:t>万元，下降</w:t>
      </w:r>
      <w:r>
        <w:rPr>
          <w:rFonts w:hint="eastAsia" w:eastAsia="仿宋_GB2312" w:cs="仿宋_GB2312"/>
          <w:color w:val="auto"/>
          <w:kern w:val="2"/>
          <w:sz w:val="32"/>
          <w:szCs w:val="32"/>
          <w:highlight w:val="none"/>
          <w:lang w:val="en-US" w:eastAsia="zh-CN" w:bidi="ar-SA"/>
        </w:rPr>
        <w:t>52.24</w:t>
      </w:r>
      <w:r>
        <w:rPr>
          <w:rFonts w:hint="eastAsia" w:ascii="Times New Roman" w:hAnsi="Times New Roman" w:eastAsia="仿宋_GB2312" w:cs="仿宋_GB2312"/>
          <w:color w:val="auto"/>
          <w:kern w:val="2"/>
          <w:sz w:val="32"/>
          <w:szCs w:val="32"/>
          <w:highlight w:val="none"/>
          <w:lang w:val="en-US" w:eastAsia="zh-CN" w:bidi="ar-SA"/>
        </w:rPr>
        <w:t>%。</w:t>
      </w:r>
    </w:p>
    <w:p w14:paraId="62D3D304">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36" w:name="_Toc15377217"/>
      <w:r>
        <w:rPr>
          <w:rFonts w:hint="eastAsia" w:ascii="Times New Roman" w:hAnsi="Times New Roman" w:eastAsia="楷体_GB2312" w:cs="楷体_GB2312"/>
          <w:b/>
          <w:color w:val="auto"/>
          <w:sz w:val="32"/>
          <w:szCs w:val="32"/>
          <w:highlight w:val="none"/>
        </w:rPr>
        <w:t>（二）“三公”经费财政拨款支出决算具体情况说明</w:t>
      </w:r>
      <w:bookmarkEnd w:id="36"/>
    </w:p>
    <w:p w14:paraId="2E18AF0A">
      <w:pPr>
        <w:spacing w:line="600" w:lineRule="exact"/>
        <w:ind w:firstLine="640"/>
        <w:rPr>
          <w:rFonts w:hint="eastAsia" w:ascii="仿宋_GB2312" w:hAnsi="仿宋_GB2312"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w:t>
      </w:r>
      <w:r>
        <w:rPr>
          <w:rFonts w:hint="eastAsia" w:ascii="仿宋_GB2312" w:hAnsi="仿宋_GB2312" w:eastAsia="仿宋_GB2312" w:cs="仿宋_GB2312"/>
          <w:color w:val="auto"/>
          <w:kern w:val="2"/>
          <w:sz w:val="32"/>
          <w:szCs w:val="32"/>
          <w:highlight w:val="none"/>
          <w:lang w:val="en-US" w:eastAsia="zh-CN" w:bidi="ar-SA"/>
        </w:rPr>
        <w:t>年度“三公”经费财政拨款支出决算中，因公出国（境）费支出决算</w:t>
      </w:r>
      <w:r>
        <w:rPr>
          <w:rFonts w:hint="eastAsia" w:ascii="Times New Roman" w:hAnsi="Times New Roman" w:eastAsia="仿宋_GB2312" w:cs="仿宋_GB2312"/>
          <w:color w:val="auto"/>
          <w:kern w:val="2"/>
          <w:sz w:val="32"/>
          <w:szCs w:val="32"/>
          <w:highlight w:val="none"/>
          <w:lang w:val="en-US" w:eastAsia="zh-CN" w:bidi="ar-SA"/>
        </w:rPr>
        <w:t>0</w:t>
      </w:r>
      <w:r>
        <w:rPr>
          <w:rFonts w:hint="eastAsia" w:ascii="仿宋_GB2312" w:hAnsi="仿宋_GB2312" w:eastAsia="仿宋_GB2312" w:cs="仿宋_GB2312"/>
          <w:color w:val="auto"/>
          <w:kern w:val="2"/>
          <w:sz w:val="32"/>
          <w:szCs w:val="32"/>
          <w:highlight w:val="none"/>
          <w:lang w:val="en-US" w:eastAsia="zh-CN" w:bidi="ar-SA"/>
        </w:rPr>
        <w:t>万元，占</w:t>
      </w:r>
      <w:r>
        <w:rPr>
          <w:rFonts w:hint="eastAsia" w:ascii="Times New Roman" w:hAnsi="Times New Roman" w:eastAsia="仿宋_GB2312" w:cs="仿宋_GB2312"/>
          <w:color w:val="auto"/>
          <w:kern w:val="2"/>
          <w:sz w:val="32"/>
          <w:szCs w:val="32"/>
          <w:highlight w:val="none"/>
          <w:lang w:val="en-US" w:eastAsia="zh-CN" w:bidi="ar-SA"/>
        </w:rPr>
        <w:t>0%</w:t>
      </w:r>
      <w:r>
        <w:rPr>
          <w:rFonts w:hint="eastAsia" w:ascii="仿宋_GB2312" w:hAnsi="仿宋_GB2312" w:eastAsia="仿宋_GB2312" w:cs="仿宋_GB2312"/>
          <w:color w:val="auto"/>
          <w:kern w:val="2"/>
          <w:sz w:val="32"/>
          <w:szCs w:val="32"/>
          <w:highlight w:val="none"/>
          <w:lang w:val="en-US" w:eastAsia="zh-CN" w:bidi="ar-SA"/>
        </w:rPr>
        <w:t>；公务用车购置及运行维护费支出决算</w:t>
      </w:r>
      <w:r>
        <w:rPr>
          <w:rFonts w:hint="eastAsia" w:ascii="Times New Roman" w:hAnsi="Times New Roman" w:eastAsia="仿宋_GB2312" w:cs="仿宋_GB2312"/>
          <w:color w:val="auto"/>
          <w:kern w:val="2"/>
          <w:sz w:val="32"/>
          <w:szCs w:val="32"/>
          <w:highlight w:val="none"/>
          <w:lang w:val="en-US" w:eastAsia="zh-CN" w:bidi="ar-SA"/>
        </w:rPr>
        <w:t>0.54</w:t>
      </w:r>
      <w:r>
        <w:rPr>
          <w:rFonts w:hint="eastAsia" w:ascii="仿宋_GB2312" w:hAnsi="仿宋_GB2312" w:eastAsia="仿宋_GB2312" w:cs="仿宋_GB2312"/>
          <w:color w:val="auto"/>
          <w:kern w:val="2"/>
          <w:sz w:val="32"/>
          <w:szCs w:val="32"/>
          <w:highlight w:val="none"/>
          <w:lang w:val="en-US" w:eastAsia="zh-CN" w:bidi="ar-SA"/>
        </w:rPr>
        <w:t>万元，占</w:t>
      </w:r>
      <w:r>
        <w:rPr>
          <w:rFonts w:hint="eastAsia" w:ascii="Times New Roman" w:hAnsi="Times New Roman" w:eastAsia="仿宋_GB2312" w:cs="仿宋_GB2312"/>
          <w:color w:val="auto"/>
          <w:kern w:val="2"/>
          <w:sz w:val="32"/>
          <w:szCs w:val="32"/>
          <w:highlight w:val="none"/>
          <w:lang w:val="en-US" w:eastAsia="zh-CN" w:bidi="ar-SA"/>
        </w:rPr>
        <w:t>84.38%</w:t>
      </w:r>
      <w:r>
        <w:rPr>
          <w:rFonts w:hint="eastAsia" w:ascii="仿宋_GB2312" w:hAnsi="仿宋_GB2312" w:eastAsia="仿宋_GB2312" w:cs="仿宋_GB2312"/>
          <w:color w:val="auto"/>
          <w:kern w:val="2"/>
          <w:sz w:val="32"/>
          <w:szCs w:val="32"/>
          <w:highlight w:val="none"/>
          <w:lang w:val="en-US" w:eastAsia="zh-CN" w:bidi="ar-SA"/>
        </w:rPr>
        <w:t>；公务接待费支出决算</w:t>
      </w:r>
      <w:r>
        <w:rPr>
          <w:rFonts w:hint="eastAsia" w:ascii="Times New Roman" w:hAnsi="Times New Roman" w:eastAsia="仿宋_GB2312" w:cs="仿宋_GB2312"/>
          <w:color w:val="auto"/>
          <w:kern w:val="2"/>
          <w:sz w:val="32"/>
          <w:szCs w:val="32"/>
          <w:highlight w:val="none"/>
          <w:lang w:val="en-US" w:eastAsia="zh-CN" w:bidi="ar-SA"/>
        </w:rPr>
        <w:t>0.1</w:t>
      </w:r>
      <w:r>
        <w:rPr>
          <w:rFonts w:hint="eastAsia" w:ascii="仿宋_GB2312" w:hAnsi="仿宋_GB2312" w:eastAsia="仿宋_GB2312" w:cs="仿宋_GB2312"/>
          <w:color w:val="auto"/>
          <w:kern w:val="2"/>
          <w:sz w:val="32"/>
          <w:szCs w:val="32"/>
          <w:highlight w:val="none"/>
          <w:lang w:val="en-US" w:eastAsia="zh-CN" w:bidi="ar-SA"/>
        </w:rPr>
        <w:t>万元，占</w:t>
      </w:r>
      <w:r>
        <w:rPr>
          <w:rFonts w:hint="eastAsia" w:ascii="Times New Roman" w:hAnsi="Times New Roman" w:eastAsia="仿宋_GB2312" w:cs="仿宋_GB2312"/>
          <w:color w:val="auto"/>
          <w:kern w:val="2"/>
          <w:sz w:val="32"/>
          <w:szCs w:val="32"/>
          <w:highlight w:val="none"/>
          <w:lang w:val="en-US" w:eastAsia="zh-CN" w:bidi="ar-SA"/>
        </w:rPr>
        <w:t>15.63%</w:t>
      </w:r>
      <w:r>
        <w:rPr>
          <w:rFonts w:hint="eastAsia" w:ascii="仿宋_GB2312" w:hAnsi="仿宋_GB2312" w:eastAsia="仿宋_GB2312" w:cs="仿宋_GB2312"/>
          <w:color w:val="auto"/>
          <w:kern w:val="2"/>
          <w:sz w:val="32"/>
          <w:szCs w:val="32"/>
          <w:highlight w:val="none"/>
          <w:lang w:val="en-US" w:eastAsia="zh-CN" w:bidi="ar-SA"/>
        </w:rPr>
        <w:t>。具体情况如下：</w:t>
      </w:r>
    </w:p>
    <w:p w14:paraId="5728E263">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（图7：“三公”经费财政拨款支出结构）（饼状图）</w:t>
      </w:r>
    </w:p>
    <w:p w14:paraId="024D569E">
      <w:pPr>
        <w:pStyle w:val="2"/>
        <w:rPr>
          <w:rFonts w:hint="eastAsia"/>
          <w:lang w:val="en-US" w:eastAsia="zh-CN"/>
        </w:rPr>
      </w:pPr>
    </w:p>
    <w:p w14:paraId="531D3C9B">
      <w:pPr>
        <w:pStyle w:val="3"/>
        <w:ind w:left="0" w:leftChars="0" w:firstLine="0" w:firstLineChars="0"/>
        <w:jc w:val="center"/>
        <w:rPr>
          <w:rFonts w:hint="eastAsia" w:ascii="Times New Roman" w:hAnsi="Times New Roman" w:eastAsia="仿宋_GB2312" w:cs="仿宋_GB2312"/>
          <w:color w:val="auto"/>
          <w:kern w:val="2"/>
          <w:sz w:val="32"/>
          <w:szCs w:val="32"/>
          <w:highlight w:val="none"/>
          <w:lang w:val="en-US" w:eastAsia="zh-CN" w:bidi="ar-SA"/>
        </w:rPr>
      </w:pPr>
      <w:r>
        <w:rPr>
          <w:rFonts w:hint="eastAsia"/>
          <w:lang w:eastAsia="zh-CN"/>
        </w:rPr>
        <w:drawing>
          <wp:inline distT="0" distB="0" distL="114300" distR="114300">
            <wp:extent cx="2581910" cy="1740535"/>
            <wp:effectExtent l="4445" t="4445" r="23495" b="7620"/>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026215E0">
      <w:pPr>
        <w:spacing w:line="60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1.因公出国（境）经费支出</w:t>
      </w:r>
      <w:r>
        <w:rPr>
          <w:rFonts w:hint="eastAsia" w:eastAsia="仿宋_GB2312" w:cs="仿宋_GB2312"/>
          <w:b/>
          <w:bCs/>
          <w:color w:val="auto"/>
          <w:kern w:val="2"/>
          <w:sz w:val="32"/>
          <w:szCs w:val="32"/>
          <w:highlight w:val="none"/>
          <w:lang w:val="en-US" w:eastAsia="zh-CN" w:bidi="ar-SA"/>
        </w:rPr>
        <w:t>0</w:t>
      </w:r>
      <w:r>
        <w:rPr>
          <w:rFonts w:hint="eastAsia" w:ascii="Times New Roman" w:hAnsi="Times New Roman" w:eastAsia="仿宋_GB2312" w:cs="仿宋_GB2312"/>
          <w:b/>
          <w:bCs/>
          <w:color w:val="auto"/>
          <w:kern w:val="2"/>
          <w:sz w:val="32"/>
          <w:szCs w:val="32"/>
          <w:highlight w:val="none"/>
          <w:lang w:val="en-US" w:eastAsia="zh-CN" w:bidi="ar-SA"/>
        </w:rPr>
        <w:t>万元。</w:t>
      </w:r>
      <w:r>
        <w:rPr>
          <w:rFonts w:hint="eastAsia" w:ascii="Times New Roman" w:hAnsi="Times New Roman" w:eastAsia="仿宋_GB2312" w:cs="仿宋_GB2312"/>
          <w:color w:val="auto"/>
          <w:kern w:val="2"/>
          <w:sz w:val="32"/>
          <w:szCs w:val="32"/>
          <w:highlight w:val="none"/>
          <w:lang w:val="en-US" w:eastAsia="zh-CN" w:bidi="ar-SA"/>
        </w:rPr>
        <w:t>全年安排因公出国（境）团</w:t>
      </w:r>
      <w:r>
        <w:rPr>
          <w:rFonts w:hint="eastAsia" w:ascii="仿宋_GB2312" w:hAnsi="仿宋_GB2312" w:eastAsia="仿宋_GB2312" w:cs="仿宋_GB2312"/>
          <w:color w:val="auto"/>
          <w:kern w:val="2"/>
          <w:sz w:val="32"/>
          <w:szCs w:val="32"/>
          <w:highlight w:val="none"/>
          <w:lang w:val="en-US" w:eastAsia="zh-CN" w:bidi="ar-SA"/>
        </w:rPr>
        <w:t>组</w:t>
      </w:r>
      <w:r>
        <w:rPr>
          <w:rFonts w:hint="eastAsia" w:ascii="Times New Roman" w:hAnsi="Times New Roman" w:eastAsia="仿宋_GB2312" w:cs="仿宋_GB2312"/>
          <w:color w:val="auto"/>
          <w:kern w:val="2"/>
          <w:sz w:val="32"/>
          <w:szCs w:val="32"/>
          <w:highlight w:val="none"/>
          <w:lang w:val="en-US" w:eastAsia="zh-CN" w:bidi="ar-SA"/>
        </w:rPr>
        <w:t>0次，出国（境）0</w:t>
      </w:r>
      <w:r>
        <w:rPr>
          <w:rFonts w:hint="eastAsia" w:ascii="仿宋_GB2312" w:hAnsi="仿宋_GB2312" w:eastAsia="仿宋_GB2312" w:cs="仿宋_GB2312"/>
          <w:color w:val="auto"/>
          <w:kern w:val="2"/>
          <w:sz w:val="32"/>
          <w:szCs w:val="32"/>
          <w:highlight w:val="none"/>
          <w:lang w:val="en-US" w:eastAsia="zh-CN" w:bidi="ar-SA"/>
        </w:rPr>
        <w:t>人</w:t>
      </w:r>
      <w:r>
        <w:rPr>
          <w:rFonts w:hint="eastAsia" w:ascii="Times New Roman" w:hAnsi="Times New Roman" w:eastAsia="仿宋_GB2312" w:cs="仿宋_GB2312"/>
          <w:color w:val="auto"/>
          <w:kern w:val="2"/>
          <w:sz w:val="32"/>
          <w:szCs w:val="32"/>
          <w:highlight w:val="none"/>
          <w:lang w:val="en-US" w:eastAsia="zh-CN" w:bidi="ar-SA"/>
        </w:rPr>
        <w:t>。因公出国（境）支出决算</w:t>
      </w:r>
      <w:r>
        <w:rPr>
          <w:rFonts w:hint="eastAsia" w:eastAsia="仿宋_GB2312" w:cs="仿宋_GB2312"/>
          <w:color w:val="auto"/>
          <w:kern w:val="2"/>
          <w:sz w:val="32"/>
          <w:szCs w:val="32"/>
          <w:highlight w:val="none"/>
          <w:lang w:val="en-US" w:eastAsia="zh-CN" w:bidi="ar-SA"/>
        </w:rPr>
        <w:t>较2023年持平。</w:t>
      </w:r>
    </w:p>
    <w:p w14:paraId="71E1B2DC">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2.公务用车购置及运行维护费支出</w:t>
      </w:r>
      <w:r>
        <w:rPr>
          <w:rFonts w:hint="eastAsia" w:eastAsia="仿宋_GB2312" w:cs="仿宋_GB2312"/>
          <w:b/>
          <w:bCs/>
          <w:color w:val="auto"/>
          <w:kern w:val="2"/>
          <w:sz w:val="32"/>
          <w:szCs w:val="32"/>
          <w:highlight w:val="none"/>
          <w:lang w:val="en-US" w:eastAsia="zh-CN" w:bidi="ar-SA"/>
        </w:rPr>
        <w:t>0.54</w:t>
      </w:r>
      <w:r>
        <w:rPr>
          <w:rFonts w:hint="eastAsia" w:ascii="仿宋_GB2312" w:hAnsi="仿宋_GB2312" w:eastAsia="仿宋_GB2312" w:cs="仿宋_GB2312"/>
          <w:b/>
          <w:bCs/>
          <w:color w:val="auto"/>
          <w:kern w:val="2"/>
          <w:sz w:val="32"/>
          <w:szCs w:val="32"/>
          <w:highlight w:val="none"/>
          <w:lang w:val="en-US" w:eastAsia="zh-CN" w:bidi="ar-SA"/>
        </w:rPr>
        <w:t>万</w:t>
      </w:r>
      <w:r>
        <w:rPr>
          <w:rFonts w:hint="eastAsia" w:ascii="Times New Roman" w:hAnsi="Times New Roman" w:eastAsia="仿宋_GB2312" w:cs="仿宋_GB2312"/>
          <w:b/>
          <w:bCs/>
          <w:color w:val="auto"/>
          <w:kern w:val="2"/>
          <w:sz w:val="32"/>
          <w:szCs w:val="32"/>
          <w:highlight w:val="none"/>
          <w:lang w:val="en-US" w:eastAsia="zh-CN" w:bidi="ar-SA"/>
        </w:rPr>
        <w:t>元</w:t>
      </w:r>
      <w:r>
        <w:rPr>
          <w:rFonts w:hint="eastAsia"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b/>
          <w:bCs/>
          <w:color w:val="auto"/>
          <w:kern w:val="2"/>
          <w:sz w:val="32"/>
          <w:szCs w:val="32"/>
          <w:highlight w:val="none"/>
          <w:lang w:val="en-US" w:eastAsia="zh-CN" w:bidi="ar-SA"/>
        </w:rPr>
        <w:t>完成预算</w:t>
      </w:r>
      <w:r>
        <w:rPr>
          <w:rFonts w:hint="eastAsia" w:eastAsia="仿宋_GB2312" w:cs="仿宋_GB2312"/>
          <w:b/>
          <w:bCs/>
          <w:color w:val="auto"/>
          <w:kern w:val="2"/>
          <w:sz w:val="32"/>
          <w:szCs w:val="32"/>
          <w:highlight w:val="none"/>
          <w:lang w:val="en-US" w:eastAsia="zh-CN" w:bidi="ar-SA"/>
        </w:rPr>
        <w:t>100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公务用车购置及运行维护费支出决算比2023年度减少</w:t>
      </w:r>
      <w:r>
        <w:rPr>
          <w:rFonts w:hint="eastAsia" w:eastAsia="仿宋_GB2312" w:cs="仿宋_GB2312"/>
          <w:color w:val="auto"/>
          <w:kern w:val="2"/>
          <w:sz w:val="32"/>
          <w:szCs w:val="32"/>
          <w:highlight w:val="none"/>
          <w:lang w:val="en-US" w:eastAsia="zh-CN" w:bidi="ar-SA"/>
        </w:rPr>
        <w:t>0.62</w:t>
      </w:r>
      <w:r>
        <w:rPr>
          <w:rFonts w:hint="eastAsia" w:ascii="Times New Roman" w:hAnsi="Times New Roman" w:eastAsia="仿宋_GB2312" w:cs="仿宋_GB2312"/>
          <w:color w:val="auto"/>
          <w:kern w:val="2"/>
          <w:sz w:val="32"/>
          <w:szCs w:val="32"/>
          <w:highlight w:val="none"/>
          <w:lang w:val="en-US" w:eastAsia="zh-CN" w:bidi="ar-SA"/>
        </w:rPr>
        <w:t>万元，下降</w:t>
      </w:r>
      <w:r>
        <w:rPr>
          <w:rFonts w:hint="eastAsia" w:eastAsia="仿宋_GB2312" w:cs="仿宋_GB2312"/>
          <w:color w:val="auto"/>
          <w:kern w:val="2"/>
          <w:sz w:val="32"/>
          <w:szCs w:val="32"/>
          <w:highlight w:val="none"/>
          <w:lang w:val="en-US" w:eastAsia="zh-CN" w:bidi="ar-SA"/>
        </w:rPr>
        <w:t>53.45</w:t>
      </w:r>
      <w:r>
        <w:rPr>
          <w:rFonts w:hint="eastAsia" w:ascii="Times New Roman" w:hAnsi="Times New Roman" w:eastAsia="仿宋_GB2312" w:cs="仿宋_GB2312"/>
          <w:color w:val="auto"/>
          <w:kern w:val="2"/>
          <w:sz w:val="32"/>
          <w:szCs w:val="32"/>
          <w:highlight w:val="none"/>
          <w:lang w:val="en-US" w:eastAsia="zh-CN" w:bidi="ar-SA"/>
        </w:rPr>
        <w:t>%。主要原因是</w:t>
      </w:r>
      <w:r>
        <w:rPr>
          <w:rFonts w:hint="eastAsia" w:eastAsia="仿宋_GB2312" w:cs="仿宋_GB2312"/>
          <w:color w:val="auto"/>
          <w:kern w:val="2"/>
          <w:sz w:val="32"/>
          <w:szCs w:val="32"/>
          <w:highlight w:val="none"/>
          <w:lang w:val="en-US" w:eastAsia="zh-CN" w:bidi="ar-SA"/>
        </w:rPr>
        <w:t>2023年新增</w:t>
      </w:r>
      <w:r>
        <w:rPr>
          <w:rFonts w:hint="eastAsia" w:ascii="仿宋_GB2312" w:eastAsia="仿宋_GB2312"/>
          <w:sz w:val="32"/>
          <w:szCs w:val="32"/>
        </w:rPr>
        <w:t>公务用车</w:t>
      </w:r>
      <w:r>
        <w:rPr>
          <w:rFonts w:hint="eastAsia" w:eastAsia="仿宋_GB2312" w:cs="仿宋_GB2312"/>
          <w:color w:val="auto"/>
          <w:kern w:val="2"/>
          <w:sz w:val="32"/>
          <w:szCs w:val="32"/>
          <w:highlight w:val="none"/>
          <w:lang w:val="en-US" w:eastAsia="zh-CN" w:bidi="ar-SA"/>
        </w:rPr>
        <w:t>1</w:t>
      </w:r>
      <w:r>
        <w:rPr>
          <w:rFonts w:hint="eastAsia" w:ascii="仿宋_GB2312" w:eastAsia="仿宋_GB2312"/>
          <w:sz w:val="32"/>
          <w:szCs w:val="32"/>
        </w:rPr>
        <w:t>台（省红十字会分配捐赠车辆）</w:t>
      </w:r>
      <w:r>
        <w:rPr>
          <w:rFonts w:hint="eastAsia" w:ascii="仿宋_GB2312" w:eastAsia="仿宋_GB2312"/>
          <w:sz w:val="32"/>
          <w:szCs w:val="32"/>
          <w:lang w:eastAsia="zh-CN"/>
        </w:rPr>
        <w:t>。</w:t>
      </w:r>
    </w:p>
    <w:p w14:paraId="41ED08D7">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其中：公务用车购置支</w:t>
      </w:r>
      <w:r>
        <w:rPr>
          <w:rFonts w:hint="eastAsia" w:ascii="仿宋_GB2312" w:hAnsi="仿宋_GB2312" w:eastAsia="仿宋_GB2312" w:cs="仿宋_GB2312"/>
          <w:color w:val="auto"/>
          <w:kern w:val="2"/>
          <w:sz w:val="32"/>
          <w:szCs w:val="32"/>
          <w:highlight w:val="none"/>
          <w:lang w:val="en-US" w:eastAsia="zh-CN" w:bidi="ar-SA"/>
        </w:rPr>
        <w:t>出</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万元。全年按规定更新购置</w:t>
      </w:r>
      <w:r>
        <w:rPr>
          <w:rFonts w:hint="eastAsia" w:eastAsia="仿宋_GB2312" w:cs="仿宋_GB2312"/>
          <w:color w:val="auto"/>
          <w:kern w:val="2"/>
          <w:sz w:val="32"/>
          <w:szCs w:val="32"/>
          <w:highlight w:val="none"/>
          <w:lang w:val="en-US" w:eastAsia="zh-CN" w:bidi="ar-SA"/>
        </w:rPr>
        <w:t>公务用车0辆。截至2024年12月31日，单位共有公务用</w:t>
      </w:r>
      <w:r>
        <w:rPr>
          <w:rFonts w:hint="eastAsia" w:ascii="Times New Roman" w:hAnsi="Times New Roman" w:eastAsia="仿宋_GB2312" w:cs="仿宋_GB2312"/>
          <w:color w:val="auto"/>
          <w:kern w:val="2"/>
          <w:sz w:val="32"/>
          <w:szCs w:val="32"/>
          <w:highlight w:val="none"/>
          <w:lang w:val="en-US" w:eastAsia="zh-CN" w:bidi="ar-SA"/>
        </w:rPr>
        <w:t>车</w:t>
      </w:r>
      <w:r>
        <w:rPr>
          <w:rFonts w:hint="eastAsia" w:eastAsia="仿宋_GB2312" w:cs="仿宋_GB2312"/>
          <w:color w:val="auto"/>
          <w:kern w:val="2"/>
          <w:sz w:val="32"/>
          <w:szCs w:val="32"/>
          <w:highlight w:val="none"/>
          <w:lang w:val="en-US" w:eastAsia="zh-CN" w:bidi="ar-SA"/>
        </w:rPr>
        <w:t>1</w:t>
      </w:r>
      <w:r>
        <w:rPr>
          <w:rFonts w:hint="eastAsia" w:ascii="Times New Roman" w:hAnsi="Times New Roman" w:eastAsia="仿宋_GB2312" w:cs="仿宋_GB2312"/>
          <w:color w:val="auto"/>
          <w:kern w:val="2"/>
          <w:sz w:val="32"/>
          <w:szCs w:val="32"/>
          <w:highlight w:val="none"/>
          <w:lang w:val="en-US" w:eastAsia="zh-CN" w:bidi="ar-SA"/>
        </w:rPr>
        <w:t>辆，其中：轿车</w:t>
      </w:r>
      <w:r>
        <w:rPr>
          <w:rFonts w:hint="eastAsia" w:eastAsia="仿宋_GB2312" w:cs="仿宋_GB2312"/>
          <w:color w:val="auto"/>
          <w:kern w:val="2"/>
          <w:sz w:val="32"/>
          <w:szCs w:val="32"/>
          <w:highlight w:val="none"/>
          <w:lang w:val="en-US" w:eastAsia="zh-CN" w:bidi="ar-SA"/>
        </w:rPr>
        <w:t>1</w:t>
      </w:r>
      <w:r>
        <w:rPr>
          <w:rFonts w:hint="eastAsia" w:ascii="Times New Roman" w:hAnsi="Times New Roman" w:eastAsia="仿宋_GB2312" w:cs="仿宋_GB2312"/>
          <w:color w:val="auto"/>
          <w:kern w:val="2"/>
          <w:sz w:val="32"/>
          <w:szCs w:val="32"/>
          <w:highlight w:val="none"/>
          <w:lang w:val="en-US" w:eastAsia="zh-CN" w:bidi="ar-SA"/>
        </w:rPr>
        <w:t>辆、越野车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辆、载客汽车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w:t>
      </w:r>
    </w:p>
    <w:p w14:paraId="22FD1F73">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公务用车运行维护费支</w:t>
      </w:r>
      <w:r>
        <w:rPr>
          <w:rFonts w:hint="eastAsia" w:ascii="仿宋_GB2312" w:hAnsi="仿宋_GB2312" w:eastAsia="仿宋_GB2312" w:cs="仿宋_GB2312"/>
          <w:color w:val="auto"/>
          <w:kern w:val="2"/>
          <w:sz w:val="32"/>
          <w:szCs w:val="32"/>
          <w:highlight w:val="none"/>
          <w:lang w:val="en-US" w:eastAsia="zh-CN" w:bidi="ar-SA"/>
        </w:rPr>
        <w:t>出</w:t>
      </w:r>
      <w:r>
        <w:rPr>
          <w:rFonts w:hint="eastAsia" w:eastAsia="仿宋_GB2312" w:cs="仿宋_GB2312"/>
          <w:color w:val="auto"/>
          <w:kern w:val="2"/>
          <w:sz w:val="32"/>
          <w:szCs w:val="32"/>
          <w:highlight w:val="none"/>
          <w:lang w:val="en-US" w:eastAsia="zh-CN" w:bidi="ar-SA"/>
        </w:rPr>
        <w:t>0.54</w:t>
      </w:r>
      <w:r>
        <w:rPr>
          <w:rFonts w:hint="eastAsia" w:ascii="Times New Roman" w:hAnsi="Times New Roman" w:eastAsia="仿宋_GB2312" w:cs="仿宋_GB2312"/>
          <w:color w:val="auto"/>
          <w:kern w:val="2"/>
          <w:sz w:val="32"/>
          <w:szCs w:val="32"/>
          <w:highlight w:val="none"/>
          <w:lang w:val="en-US" w:eastAsia="zh-CN" w:bidi="ar-SA"/>
        </w:rPr>
        <w:t>万元。主要用于</w:t>
      </w:r>
      <w:r>
        <w:rPr>
          <w:rFonts w:hint="eastAsia" w:eastAsia="仿宋_GB2312" w:cs="仿宋_GB2312"/>
          <w:color w:val="auto"/>
          <w:kern w:val="2"/>
          <w:sz w:val="32"/>
          <w:szCs w:val="32"/>
          <w:highlight w:val="none"/>
          <w:lang w:val="en-US" w:eastAsia="zh-CN" w:bidi="ar-SA"/>
        </w:rPr>
        <w:t>开展日常工作</w:t>
      </w:r>
      <w:r>
        <w:rPr>
          <w:rFonts w:hint="eastAsia" w:ascii="Times New Roman" w:hAnsi="Times New Roman" w:eastAsia="仿宋_GB2312" w:cs="仿宋_GB2312"/>
          <w:color w:val="auto"/>
          <w:kern w:val="2"/>
          <w:sz w:val="32"/>
          <w:szCs w:val="32"/>
          <w:highlight w:val="none"/>
          <w:lang w:val="en-US" w:eastAsia="zh-CN" w:bidi="ar-SA"/>
        </w:rPr>
        <w:t>所需的公务用车燃料费、维修费、过路过桥费、保险费等支出。</w:t>
      </w:r>
    </w:p>
    <w:p w14:paraId="7A11BDC2">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3.公务接待费支出</w:t>
      </w:r>
      <w:r>
        <w:rPr>
          <w:rFonts w:hint="eastAsia" w:eastAsia="仿宋_GB2312" w:cs="仿宋_GB2312"/>
          <w:b/>
          <w:bCs/>
          <w:color w:val="auto"/>
          <w:kern w:val="2"/>
          <w:sz w:val="32"/>
          <w:szCs w:val="32"/>
          <w:highlight w:val="none"/>
          <w:lang w:val="en-US" w:eastAsia="zh-CN" w:bidi="ar-SA"/>
        </w:rPr>
        <w:t>0.1</w:t>
      </w:r>
      <w:r>
        <w:rPr>
          <w:rFonts w:hint="eastAsia" w:ascii="仿宋_GB2312" w:hAnsi="仿宋_GB2312" w:eastAsia="仿宋_GB2312" w:cs="仿宋_GB2312"/>
          <w:b/>
          <w:bCs/>
          <w:color w:val="auto"/>
          <w:kern w:val="2"/>
          <w:sz w:val="32"/>
          <w:szCs w:val="32"/>
          <w:highlight w:val="none"/>
          <w:lang w:val="en-US" w:eastAsia="zh-CN" w:bidi="ar-SA"/>
        </w:rPr>
        <w:t>万</w:t>
      </w:r>
      <w:r>
        <w:rPr>
          <w:rFonts w:hint="eastAsia" w:ascii="Times New Roman" w:hAnsi="Times New Roman" w:eastAsia="仿宋_GB2312" w:cs="仿宋_GB2312"/>
          <w:b/>
          <w:bCs/>
          <w:color w:val="auto"/>
          <w:kern w:val="2"/>
          <w:sz w:val="32"/>
          <w:szCs w:val="32"/>
          <w:highlight w:val="none"/>
          <w:lang w:val="en-US" w:eastAsia="zh-CN" w:bidi="ar-SA"/>
        </w:rPr>
        <w:t>元，完成预算</w:t>
      </w:r>
      <w:r>
        <w:rPr>
          <w:rFonts w:hint="eastAsia" w:eastAsia="仿宋_GB2312" w:cs="仿宋_GB2312"/>
          <w:b/>
          <w:bCs/>
          <w:color w:val="auto"/>
          <w:kern w:val="2"/>
          <w:sz w:val="32"/>
          <w:szCs w:val="32"/>
          <w:highlight w:val="none"/>
          <w:lang w:val="en-US" w:eastAsia="zh-CN" w:bidi="ar-SA"/>
        </w:rPr>
        <w:t>100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公务接待费支出决算比2023年度减少</w:t>
      </w:r>
      <w:r>
        <w:rPr>
          <w:rFonts w:hint="eastAsia" w:eastAsia="仿宋_GB2312" w:cs="仿宋_GB2312"/>
          <w:color w:val="auto"/>
          <w:kern w:val="2"/>
          <w:sz w:val="32"/>
          <w:szCs w:val="32"/>
          <w:highlight w:val="none"/>
          <w:lang w:val="en-US" w:eastAsia="zh-CN" w:bidi="ar-SA"/>
        </w:rPr>
        <w:t>0.08</w:t>
      </w:r>
      <w:r>
        <w:rPr>
          <w:rFonts w:hint="eastAsia" w:ascii="Times New Roman" w:hAnsi="Times New Roman" w:eastAsia="仿宋_GB2312" w:cs="仿宋_GB2312"/>
          <w:color w:val="auto"/>
          <w:kern w:val="2"/>
          <w:sz w:val="32"/>
          <w:szCs w:val="32"/>
          <w:highlight w:val="none"/>
          <w:lang w:val="en-US" w:eastAsia="zh-CN" w:bidi="ar-SA"/>
        </w:rPr>
        <w:t>万元，下降</w:t>
      </w:r>
      <w:r>
        <w:rPr>
          <w:rFonts w:hint="eastAsia" w:eastAsia="仿宋_GB2312" w:cs="仿宋_GB2312"/>
          <w:color w:val="auto"/>
          <w:kern w:val="2"/>
          <w:sz w:val="32"/>
          <w:szCs w:val="32"/>
          <w:highlight w:val="none"/>
          <w:lang w:val="en-US" w:eastAsia="zh-CN" w:bidi="ar-SA"/>
        </w:rPr>
        <w:t>44.44</w:t>
      </w:r>
      <w:r>
        <w:rPr>
          <w:rFonts w:hint="eastAsia" w:ascii="Times New Roman" w:hAnsi="Times New Roman" w:eastAsia="仿宋_GB2312" w:cs="仿宋_GB2312"/>
          <w:color w:val="auto"/>
          <w:kern w:val="2"/>
          <w:sz w:val="32"/>
          <w:szCs w:val="32"/>
          <w:highlight w:val="none"/>
          <w:lang w:val="en-US" w:eastAsia="zh-CN" w:bidi="ar-SA"/>
        </w:rPr>
        <w:t>%。主要原因是</w:t>
      </w:r>
      <w:r>
        <w:rPr>
          <w:rFonts w:hint="eastAsia" w:eastAsia="仿宋_GB2312" w:cs="仿宋_GB2312"/>
          <w:color w:val="auto"/>
          <w:kern w:val="2"/>
          <w:sz w:val="32"/>
          <w:szCs w:val="32"/>
          <w:highlight w:val="none"/>
          <w:lang w:val="en-US" w:eastAsia="zh-CN" w:bidi="ar-SA"/>
        </w:rPr>
        <w:t>2024年产生1次工作调研接待，较2023年减少1次</w:t>
      </w:r>
      <w:r>
        <w:rPr>
          <w:rFonts w:hint="eastAsia" w:ascii="Times New Roman" w:hAnsi="Times New Roman" w:eastAsia="仿宋_GB2312" w:cs="仿宋_GB2312"/>
          <w:color w:val="auto"/>
          <w:kern w:val="2"/>
          <w:sz w:val="32"/>
          <w:szCs w:val="32"/>
          <w:highlight w:val="none"/>
          <w:lang w:val="en-US" w:eastAsia="zh-CN" w:bidi="ar-SA"/>
        </w:rPr>
        <w:t>。其中：</w:t>
      </w:r>
    </w:p>
    <w:p w14:paraId="1768E037">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bookmarkStart w:id="37" w:name="_Toc15377218"/>
      <w:bookmarkStart w:id="38" w:name="_Toc15396610"/>
      <w:r>
        <w:rPr>
          <w:rFonts w:hint="eastAsia" w:ascii="Times New Roman" w:hAnsi="Times New Roman" w:eastAsia="仿宋_GB2312" w:cs="仿宋_GB2312"/>
          <w:color w:val="auto"/>
          <w:kern w:val="2"/>
          <w:sz w:val="32"/>
          <w:szCs w:val="32"/>
          <w:highlight w:val="none"/>
          <w:lang w:val="en-US" w:eastAsia="zh-CN" w:bidi="ar-SA"/>
        </w:rPr>
        <w:t>国内公务接待支</w:t>
      </w:r>
      <w:r>
        <w:rPr>
          <w:rFonts w:hint="eastAsia" w:ascii="仿宋_GB2312" w:hAnsi="仿宋_GB2312" w:eastAsia="仿宋_GB2312" w:cs="仿宋_GB2312"/>
          <w:color w:val="auto"/>
          <w:kern w:val="2"/>
          <w:sz w:val="32"/>
          <w:szCs w:val="32"/>
          <w:highlight w:val="none"/>
          <w:lang w:val="en-US" w:eastAsia="zh-CN" w:bidi="ar-SA"/>
        </w:rPr>
        <w:t>出</w:t>
      </w:r>
      <w:r>
        <w:rPr>
          <w:rFonts w:hint="eastAsia" w:eastAsia="仿宋_GB2312" w:cs="仿宋_GB2312"/>
          <w:color w:val="auto"/>
          <w:kern w:val="2"/>
          <w:sz w:val="32"/>
          <w:szCs w:val="32"/>
          <w:highlight w:val="none"/>
          <w:lang w:val="en-US" w:eastAsia="zh-CN" w:bidi="ar-SA"/>
        </w:rPr>
        <w:t>0.1</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元，主要用于</w:t>
      </w:r>
      <w:r>
        <w:rPr>
          <w:rFonts w:hint="eastAsia" w:ascii="仿宋_GB2312" w:eastAsia="仿宋_GB2312"/>
          <w:sz w:val="32"/>
          <w:szCs w:val="32"/>
        </w:rPr>
        <w:t>省红会领导莅攀调研</w:t>
      </w:r>
      <w:r>
        <w:rPr>
          <w:rFonts w:hint="eastAsia" w:ascii="仿宋_GB2312" w:eastAsia="仿宋_GB2312"/>
          <w:sz w:val="32"/>
          <w:szCs w:val="32"/>
          <w:lang w:eastAsia="zh-CN"/>
        </w:rPr>
        <w:t>餐费</w:t>
      </w:r>
      <w:r>
        <w:rPr>
          <w:rFonts w:hint="eastAsia" w:ascii="Times New Roman" w:hAnsi="Times New Roman" w:eastAsia="仿宋_GB2312" w:cs="仿宋_GB2312"/>
          <w:color w:val="auto"/>
          <w:kern w:val="2"/>
          <w:sz w:val="32"/>
          <w:szCs w:val="32"/>
          <w:highlight w:val="none"/>
          <w:lang w:val="en-US" w:eastAsia="zh-CN" w:bidi="ar-SA"/>
        </w:rPr>
        <w:t>。国内公务接</w:t>
      </w:r>
      <w:r>
        <w:rPr>
          <w:rFonts w:hint="eastAsia" w:ascii="仿宋_GB2312" w:hAnsi="仿宋_GB2312" w:eastAsia="仿宋_GB2312" w:cs="仿宋_GB2312"/>
          <w:color w:val="auto"/>
          <w:kern w:val="2"/>
          <w:sz w:val="32"/>
          <w:szCs w:val="32"/>
          <w:highlight w:val="none"/>
          <w:lang w:val="en-US" w:eastAsia="zh-CN" w:bidi="ar-SA"/>
        </w:rPr>
        <w:t>待</w:t>
      </w:r>
      <w:r>
        <w:rPr>
          <w:rFonts w:hint="eastAsia" w:eastAsia="仿宋_GB2312" w:cs="仿宋_GB2312"/>
          <w:color w:val="auto"/>
          <w:kern w:val="2"/>
          <w:sz w:val="32"/>
          <w:szCs w:val="32"/>
          <w:highlight w:val="none"/>
          <w:lang w:val="en-US" w:eastAsia="zh-CN" w:bidi="ar-SA"/>
        </w:rPr>
        <w:t>1</w:t>
      </w:r>
      <w:r>
        <w:rPr>
          <w:rFonts w:hint="eastAsia" w:ascii="仿宋_GB2312" w:hAnsi="仿宋_GB2312" w:eastAsia="仿宋_GB2312" w:cs="仿宋_GB2312"/>
          <w:color w:val="auto"/>
          <w:kern w:val="2"/>
          <w:sz w:val="32"/>
          <w:szCs w:val="32"/>
          <w:highlight w:val="none"/>
          <w:lang w:val="en-US" w:eastAsia="zh-CN" w:bidi="ar-SA"/>
        </w:rPr>
        <w:t>批次，</w:t>
      </w:r>
      <w:r>
        <w:rPr>
          <w:rFonts w:hint="eastAsia" w:eastAsia="仿宋_GB2312" w:cs="仿宋_GB2312"/>
          <w:color w:val="auto"/>
          <w:kern w:val="2"/>
          <w:sz w:val="32"/>
          <w:szCs w:val="32"/>
          <w:highlight w:val="none"/>
          <w:lang w:val="en-US" w:eastAsia="zh-CN" w:bidi="ar-SA"/>
        </w:rPr>
        <w:t>3</w:t>
      </w:r>
      <w:r>
        <w:rPr>
          <w:rFonts w:hint="eastAsia" w:ascii="Times New Roman" w:hAnsi="Times New Roman" w:eastAsia="仿宋_GB2312" w:cs="仿宋_GB2312"/>
          <w:color w:val="auto"/>
          <w:kern w:val="2"/>
          <w:sz w:val="32"/>
          <w:szCs w:val="32"/>
          <w:highlight w:val="none"/>
          <w:lang w:val="en-US" w:eastAsia="zh-CN" w:bidi="ar-SA"/>
        </w:rPr>
        <w:t>人次（不包括陪同人员），共计支出</w:t>
      </w:r>
      <w:r>
        <w:rPr>
          <w:rFonts w:hint="eastAsia" w:eastAsia="仿宋_GB2312" w:cs="仿宋_GB2312"/>
          <w:color w:val="auto"/>
          <w:kern w:val="2"/>
          <w:sz w:val="32"/>
          <w:szCs w:val="32"/>
          <w:highlight w:val="none"/>
          <w:lang w:val="en-US" w:eastAsia="zh-CN" w:bidi="ar-SA"/>
        </w:rPr>
        <w:t>0.1</w:t>
      </w:r>
      <w:r>
        <w:rPr>
          <w:rFonts w:hint="eastAsia" w:ascii="Times New Roman" w:hAnsi="Times New Roman" w:eastAsia="仿宋_GB2312" w:cs="仿宋_GB2312"/>
          <w:color w:val="auto"/>
          <w:kern w:val="2"/>
          <w:sz w:val="32"/>
          <w:szCs w:val="32"/>
          <w:highlight w:val="none"/>
          <w:lang w:val="en-US" w:eastAsia="zh-CN" w:bidi="ar-SA"/>
        </w:rPr>
        <w:t>万元，具体内容包括：</w:t>
      </w:r>
      <w:r>
        <w:rPr>
          <w:rFonts w:hint="eastAsia" w:eastAsia="仿宋_GB2312" w:cs="仿宋_GB2312"/>
          <w:color w:val="auto"/>
          <w:kern w:val="2"/>
          <w:sz w:val="32"/>
          <w:szCs w:val="32"/>
          <w:highlight w:val="none"/>
          <w:lang w:val="en-US" w:eastAsia="zh-CN" w:bidi="ar-SA"/>
        </w:rPr>
        <w:t>1月</w:t>
      </w:r>
      <w:r>
        <w:rPr>
          <w:rFonts w:hint="eastAsia" w:ascii="仿宋_GB2312" w:eastAsia="仿宋_GB2312"/>
          <w:sz w:val="32"/>
          <w:szCs w:val="32"/>
        </w:rPr>
        <w:t>省红会领导莅攀调研</w:t>
      </w:r>
      <w:r>
        <w:rPr>
          <w:rFonts w:hint="eastAsia" w:ascii="仿宋_GB2312" w:eastAsia="仿宋_GB2312"/>
          <w:sz w:val="32"/>
          <w:szCs w:val="32"/>
          <w:lang w:eastAsia="zh-CN"/>
        </w:rPr>
        <w:t>工作餐</w:t>
      </w:r>
      <w:r>
        <w:rPr>
          <w:rFonts w:hint="eastAsia" w:ascii="Times New Roman" w:hAnsi="Times New Roman" w:eastAsia="仿宋_GB2312" w:cs="仿宋_GB2312"/>
          <w:color w:val="auto"/>
          <w:kern w:val="2"/>
          <w:sz w:val="32"/>
          <w:szCs w:val="32"/>
          <w:highlight w:val="none"/>
          <w:lang w:val="en-US" w:eastAsia="zh-CN" w:bidi="ar-SA"/>
        </w:rPr>
        <w:t>。</w:t>
      </w:r>
    </w:p>
    <w:p w14:paraId="37CC3265">
      <w:pPr>
        <w:spacing w:line="600" w:lineRule="exact"/>
        <w:ind w:firstLine="640"/>
        <w:outlineLvl w:val="1"/>
        <w:rPr>
          <w:rStyle w:val="30"/>
          <w:rFonts w:ascii="Times New Roman" w:hAnsi="Times New Roman" w:eastAsia="黑体"/>
          <w:color w:val="auto"/>
          <w:highlight w:val="none"/>
        </w:rPr>
      </w:pPr>
      <w:r>
        <w:rPr>
          <w:rFonts w:hint="eastAsia" w:ascii="Times New Roman" w:hAnsi="Times New Roman" w:eastAsia="黑体"/>
          <w:color w:val="auto"/>
          <w:sz w:val="32"/>
          <w:szCs w:val="32"/>
          <w:highlight w:val="none"/>
        </w:rPr>
        <w:t>八、</w:t>
      </w:r>
      <w:r>
        <w:rPr>
          <w:rStyle w:val="30"/>
          <w:rFonts w:hint="eastAsia" w:ascii="Times New Roman" w:hAnsi="Times New Roman" w:eastAsia="黑体"/>
          <w:b w:val="0"/>
          <w:color w:val="auto"/>
          <w:highlight w:val="none"/>
        </w:rPr>
        <w:t>政府性基金预算支出决算情况说明</w:t>
      </w:r>
      <w:bookmarkEnd w:id="37"/>
      <w:bookmarkEnd w:id="38"/>
    </w:p>
    <w:p w14:paraId="7AF1CACB">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2024</w:t>
      </w:r>
      <w:r>
        <w:rPr>
          <w:rFonts w:hint="eastAsia" w:ascii="仿宋_GB2312" w:hAnsi="仿宋_GB2312" w:eastAsia="仿宋_GB2312" w:cs="仿宋_GB2312"/>
          <w:color w:val="auto"/>
          <w:kern w:val="2"/>
          <w:sz w:val="32"/>
          <w:szCs w:val="32"/>
          <w:highlight w:val="none"/>
          <w:lang w:val="en-US" w:eastAsia="zh-CN" w:bidi="ar-SA"/>
        </w:rPr>
        <w:t>年度政府性基金预算财政拨款支出</w:t>
      </w:r>
      <w:r>
        <w:rPr>
          <w:rFonts w:hint="eastAsia" w:eastAsia="仿宋_GB2312" w:cs="仿宋_GB2312"/>
          <w:color w:val="auto"/>
          <w:kern w:val="2"/>
          <w:sz w:val="32"/>
          <w:szCs w:val="32"/>
          <w:highlight w:val="none"/>
          <w:lang w:val="en-US" w:eastAsia="zh-CN" w:bidi="ar-SA"/>
        </w:rPr>
        <w:t>0</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。与2023年度相比</w:t>
      </w:r>
      <w:r>
        <w:rPr>
          <w:rFonts w:hint="eastAsia" w:eastAsia="仿宋_GB2312" w:cs="仿宋_GB2312"/>
          <w:color w:val="auto"/>
          <w:kern w:val="2"/>
          <w:sz w:val="32"/>
          <w:szCs w:val="32"/>
          <w:highlight w:val="none"/>
          <w:lang w:val="en-US" w:eastAsia="zh-CN" w:bidi="ar-SA"/>
        </w:rPr>
        <w:t>持平</w:t>
      </w:r>
      <w:r>
        <w:rPr>
          <w:rFonts w:hint="eastAsia" w:ascii="Times New Roman" w:hAnsi="Times New Roman" w:eastAsia="仿宋_GB2312" w:cs="仿宋_GB2312"/>
          <w:color w:val="auto"/>
          <w:kern w:val="2"/>
          <w:sz w:val="32"/>
          <w:szCs w:val="32"/>
          <w:highlight w:val="none"/>
          <w:lang w:val="en-US" w:eastAsia="zh-CN" w:bidi="ar-SA"/>
        </w:rPr>
        <w:t>。</w:t>
      </w:r>
    </w:p>
    <w:p w14:paraId="11013A49">
      <w:pPr>
        <w:numPr>
          <w:ilvl w:val="0"/>
          <w:numId w:val="0"/>
        </w:numPr>
        <w:spacing w:line="600" w:lineRule="exact"/>
        <w:ind w:left="630" w:leftChars="0"/>
        <w:outlineLvl w:val="1"/>
        <w:rPr>
          <w:rStyle w:val="30"/>
          <w:rFonts w:ascii="Times New Roman" w:hAnsi="Times New Roman" w:eastAsia="黑体"/>
          <w:b w:val="0"/>
          <w:color w:val="auto"/>
          <w:highlight w:val="none"/>
        </w:rPr>
      </w:pPr>
      <w:bookmarkStart w:id="39" w:name="_Toc15396611"/>
      <w:bookmarkStart w:id="40" w:name="_Toc15377219"/>
      <w:r>
        <w:rPr>
          <w:rStyle w:val="30"/>
          <w:rFonts w:hint="eastAsia" w:ascii="Times New Roman" w:hAnsi="Times New Roman" w:eastAsia="黑体"/>
          <w:b w:val="0"/>
          <w:color w:val="auto"/>
          <w:highlight w:val="none"/>
          <w:lang w:eastAsia="zh-CN"/>
        </w:rPr>
        <w:t>九、</w:t>
      </w:r>
      <w:r>
        <w:rPr>
          <w:rStyle w:val="30"/>
          <w:rFonts w:hint="eastAsia" w:ascii="Times New Roman" w:hAnsi="Times New Roman" w:eastAsia="黑体"/>
          <w:b w:val="0"/>
          <w:color w:val="auto"/>
          <w:highlight w:val="none"/>
        </w:rPr>
        <w:t>国有资本经营预算支出决算情况说明</w:t>
      </w:r>
      <w:bookmarkEnd w:id="39"/>
      <w:bookmarkEnd w:id="40"/>
    </w:p>
    <w:p w14:paraId="026D5565">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2024年度国有资本经营预算财政拨款支出</w:t>
      </w:r>
      <w:r>
        <w:rPr>
          <w:rFonts w:hint="eastAsia" w:eastAsia="仿宋_GB2312" w:cs="仿宋_GB2312"/>
          <w:color w:val="auto"/>
          <w:kern w:val="2"/>
          <w:sz w:val="32"/>
          <w:szCs w:val="32"/>
          <w:highlight w:val="none"/>
          <w:lang w:val="en-US" w:eastAsia="zh-CN" w:bidi="ar-SA"/>
        </w:rPr>
        <w:t>0</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。与2023年度相比</w:t>
      </w:r>
      <w:r>
        <w:rPr>
          <w:rFonts w:hint="eastAsia" w:eastAsia="仿宋_GB2312" w:cs="仿宋_GB2312"/>
          <w:color w:val="auto"/>
          <w:kern w:val="2"/>
          <w:sz w:val="32"/>
          <w:szCs w:val="32"/>
          <w:highlight w:val="none"/>
          <w:lang w:val="en-US" w:eastAsia="zh-CN" w:bidi="ar-SA"/>
        </w:rPr>
        <w:t>持平。</w:t>
      </w:r>
    </w:p>
    <w:p w14:paraId="2473AF86">
      <w:pPr>
        <w:numPr>
          <w:ilvl w:val="0"/>
          <w:numId w:val="0"/>
        </w:numPr>
        <w:spacing w:line="600" w:lineRule="exact"/>
        <w:ind w:left="630" w:leftChars="0"/>
        <w:outlineLvl w:val="1"/>
        <w:rPr>
          <w:rStyle w:val="30"/>
          <w:rFonts w:hint="eastAsia" w:ascii="Times New Roman" w:hAnsi="Times New Roman" w:eastAsia="黑体"/>
          <w:b w:val="0"/>
          <w:color w:val="auto"/>
          <w:highlight w:val="none"/>
        </w:rPr>
      </w:pPr>
      <w:bookmarkStart w:id="41" w:name="_Toc15377221"/>
      <w:bookmarkStart w:id="42" w:name="_Toc15396612"/>
      <w:r>
        <w:rPr>
          <w:rStyle w:val="30"/>
          <w:rFonts w:hint="eastAsia" w:ascii="Times New Roman" w:hAnsi="Times New Roman" w:eastAsia="黑体"/>
          <w:b w:val="0"/>
          <w:color w:val="auto"/>
          <w:highlight w:val="none"/>
          <w:lang w:eastAsia="zh-CN"/>
        </w:rPr>
        <w:t>十、</w:t>
      </w:r>
      <w:r>
        <w:rPr>
          <w:rStyle w:val="30"/>
          <w:rFonts w:hint="eastAsia" w:ascii="Times New Roman" w:hAnsi="Times New Roman" w:eastAsia="黑体"/>
          <w:b w:val="0"/>
          <w:color w:val="auto"/>
          <w:highlight w:val="none"/>
        </w:rPr>
        <w:t>其他重要事项的情况说明</w:t>
      </w:r>
      <w:bookmarkEnd w:id="41"/>
      <w:bookmarkEnd w:id="42"/>
    </w:p>
    <w:p w14:paraId="57DFED11">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43" w:name="_Toc15377222"/>
      <w:r>
        <w:rPr>
          <w:rFonts w:hint="eastAsia" w:ascii="Times New Roman" w:hAnsi="Times New Roman" w:eastAsia="楷体_GB2312" w:cs="楷体_GB2312"/>
          <w:b/>
          <w:color w:val="auto"/>
          <w:sz w:val="32"/>
          <w:szCs w:val="32"/>
          <w:highlight w:val="none"/>
        </w:rPr>
        <w:t>（一）机关运行经费支出情况</w:t>
      </w:r>
      <w:bookmarkEnd w:id="43"/>
    </w:p>
    <w:p w14:paraId="2A6D25D6">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w:t>
      </w:r>
      <w:r>
        <w:rPr>
          <w:rFonts w:hint="eastAsia" w:ascii="仿宋_GB2312" w:hAnsi="仿宋_GB2312" w:eastAsia="仿宋_GB2312" w:cs="仿宋_GB2312"/>
          <w:color w:val="auto"/>
          <w:kern w:val="2"/>
          <w:sz w:val="32"/>
          <w:szCs w:val="32"/>
          <w:highlight w:val="none"/>
          <w:lang w:val="en-US" w:eastAsia="zh-CN" w:bidi="ar-SA"/>
        </w:rPr>
        <w:t>，</w:t>
      </w:r>
      <w:r>
        <w:rPr>
          <w:rFonts w:hint="eastAsia" w:ascii="仿宋_GB2312" w:hAnsi="仿宋_GB2312" w:eastAsia="仿宋_GB2312" w:cs="仿宋_GB2312"/>
          <w:sz w:val="32"/>
          <w:szCs w:val="32"/>
        </w:rPr>
        <w:t>四川省攀枝花市红十字会</w:t>
      </w:r>
      <w:r>
        <w:rPr>
          <w:rFonts w:hint="eastAsia" w:ascii="仿宋_GB2312" w:hAnsi="仿宋_GB2312" w:eastAsia="仿宋_GB2312" w:cs="仿宋_GB2312"/>
          <w:color w:val="auto"/>
          <w:kern w:val="2"/>
          <w:sz w:val="32"/>
          <w:szCs w:val="32"/>
          <w:highlight w:val="none"/>
          <w:lang w:val="en-US" w:eastAsia="zh-CN" w:bidi="ar-SA"/>
        </w:rPr>
        <w:t>机关运行经费支出</w:t>
      </w:r>
      <w:r>
        <w:rPr>
          <w:rFonts w:hint="eastAsia" w:eastAsia="仿宋_GB2312" w:cs="仿宋_GB2312"/>
          <w:color w:val="auto"/>
          <w:kern w:val="2"/>
          <w:sz w:val="32"/>
          <w:szCs w:val="32"/>
          <w:highlight w:val="none"/>
          <w:lang w:val="en-US" w:eastAsia="zh-CN" w:bidi="ar-SA"/>
        </w:rPr>
        <w:t>24.54</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元，比2023年度增加</w:t>
      </w:r>
      <w:r>
        <w:rPr>
          <w:rFonts w:hint="eastAsia" w:eastAsia="仿宋_GB2312" w:cs="仿宋_GB2312"/>
          <w:color w:val="auto"/>
          <w:kern w:val="2"/>
          <w:sz w:val="32"/>
          <w:szCs w:val="32"/>
          <w:highlight w:val="none"/>
          <w:lang w:val="en-US" w:eastAsia="zh-CN" w:bidi="ar-SA"/>
        </w:rPr>
        <w:t>5.9</w:t>
      </w:r>
      <w:r>
        <w:rPr>
          <w:rFonts w:hint="eastAsia" w:ascii="Times New Roman" w:hAnsi="Times New Roman" w:eastAsia="仿宋_GB2312" w:cs="仿宋_GB2312"/>
          <w:color w:val="auto"/>
          <w:kern w:val="2"/>
          <w:sz w:val="32"/>
          <w:szCs w:val="32"/>
          <w:highlight w:val="none"/>
          <w:lang w:val="en-US" w:eastAsia="zh-CN" w:bidi="ar-SA"/>
        </w:rPr>
        <w:t>万元，增长</w:t>
      </w:r>
      <w:r>
        <w:rPr>
          <w:rFonts w:hint="eastAsia" w:eastAsia="仿宋_GB2312" w:cs="仿宋_GB2312"/>
          <w:color w:val="auto"/>
          <w:kern w:val="2"/>
          <w:sz w:val="32"/>
          <w:szCs w:val="32"/>
          <w:highlight w:val="none"/>
          <w:lang w:val="en-US" w:eastAsia="zh-CN" w:bidi="ar-SA"/>
        </w:rPr>
        <w:t>31.65</w:t>
      </w:r>
      <w:r>
        <w:rPr>
          <w:rFonts w:hint="eastAsia" w:ascii="Times New Roman" w:hAnsi="Times New Roman" w:eastAsia="仿宋_GB2312" w:cs="仿宋_GB2312"/>
          <w:color w:val="auto"/>
          <w:kern w:val="2"/>
          <w:sz w:val="32"/>
          <w:szCs w:val="32"/>
          <w:highlight w:val="none"/>
          <w:lang w:val="en-US" w:eastAsia="zh-CN" w:bidi="ar-SA"/>
        </w:rPr>
        <w:t>%。主要原因是</w:t>
      </w:r>
      <w:r>
        <w:rPr>
          <w:rFonts w:hint="eastAsia" w:eastAsia="仿宋_GB2312" w:cs="仿宋_GB2312"/>
          <w:color w:val="auto"/>
          <w:kern w:val="2"/>
          <w:sz w:val="32"/>
          <w:szCs w:val="32"/>
          <w:highlight w:val="none"/>
          <w:lang w:val="en-US" w:eastAsia="zh-CN" w:bidi="ar-SA"/>
        </w:rPr>
        <w:t>办公室搬迁、新增人员3名。</w:t>
      </w:r>
    </w:p>
    <w:p w14:paraId="0E4604E6">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44" w:name="_Toc15377223"/>
      <w:r>
        <w:rPr>
          <w:rFonts w:hint="eastAsia" w:ascii="Times New Roman" w:hAnsi="Times New Roman" w:eastAsia="楷体_GB2312" w:cs="楷体_GB2312"/>
          <w:b/>
          <w:color w:val="auto"/>
          <w:sz w:val="32"/>
          <w:szCs w:val="32"/>
          <w:highlight w:val="none"/>
        </w:rPr>
        <w:t>（二）政府采购支出情况</w:t>
      </w:r>
      <w:bookmarkEnd w:id="44"/>
    </w:p>
    <w:p w14:paraId="2CD8C1EA">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2024</w:t>
      </w:r>
      <w:r>
        <w:rPr>
          <w:rFonts w:hint="eastAsia" w:ascii="仿宋_GB2312" w:hAnsi="仿宋_GB2312" w:eastAsia="仿宋_GB2312" w:cs="仿宋_GB2312"/>
          <w:color w:val="auto"/>
          <w:kern w:val="2"/>
          <w:sz w:val="32"/>
          <w:szCs w:val="32"/>
          <w:highlight w:val="none"/>
          <w:lang w:val="en-US" w:eastAsia="zh-CN" w:bidi="ar-SA"/>
        </w:rPr>
        <w:t>年度，</w:t>
      </w:r>
      <w:r>
        <w:rPr>
          <w:rFonts w:hint="eastAsia" w:ascii="仿宋_GB2312" w:hAnsi="仿宋_GB2312" w:eastAsia="仿宋_GB2312" w:cs="仿宋_GB2312"/>
          <w:sz w:val="32"/>
          <w:szCs w:val="32"/>
        </w:rPr>
        <w:t>四川省攀枝花市红十字会</w:t>
      </w:r>
      <w:r>
        <w:rPr>
          <w:rFonts w:hint="eastAsia" w:ascii="仿宋_GB2312" w:hAnsi="仿宋_GB2312" w:eastAsia="仿宋_GB2312" w:cs="仿宋_GB2312"/>
          <w:color w:val="auto"/>
          <w:kern w:val="2"/>
          <w:sz w:val="32"/>
          <w:szCs w:val="32"/>
          <w:highlight w:val="none"/>
          <w:lang w:val="en-US" w:eastAsia="zh-CN" w:bidi="ar-SA"/>
        </w:rPr>
        <w:t>政府采购支出总额</w:t>
      </w:r>
      <w:r>
        <w:rPr>
          <w:rFonts w:hint="eastAsia" w:eastAsia="仿宋_GB2312" w:cs="仿宋_GB2312"/>
          <w:color w:val="auto"/>
          <w:kern w:val="2"/>
          <w:sz w:val="32"/>
          <w:szCs w:val="32"/>
          <w:highlight w:val="none"/>
          <w:lang w:val="en-US" w:eastAsia="zh-CN" w:bidi="ar-SA"/>
        </w:rPr>
        <w:t>0.32</w:t>
      </w:r>
      <w:r>
        <w:rPr>
          <w:rFonts w:hint="eastAsia" w:ascii="仿宋_GB2312" w:hAnsi="仿宋_GB2312" w:eastAsia="仿宋_GB2312" w:cs="仿宋_GB2312"/>
          <w:color w:val="auto"/>
          <w:kern w:val="2"/>
          <w:sz w:val="32"/>
          <w:szCs w:val="32"/>
          <w:highlight w:val="none"/>
          <w:lang w:val="en-US" w:eastAsia="zh-CN" w:bidi="ar-SA"/>
        </w:rPr>
        <w:t>万元，其中：政府采购货物支出</w:t>
      </w:r>
      <w:r>
        <w:rPr>
          <w:rFonts w:hint="eastAsia" w:eastAsia="仿宋_GB2312" w:cs="仿宋_GB2312"/>
          <w:color w:val="auto"/>
          <w:kern w:val="2"/>
          <w:sz w:val="32"/>
          <w:szCs w:val="32"/>
          <w:highlight w:val="none"/>
          <w:lang w:val="en-US" w:eastAsia="zh-CN" w:bidi="ar-SA"/>
        </w:rPr>
        <w:t>0.32</w:t>
      </w:r>
      <w:r>
        <w:rPr>
          <w:rFonts w:hint="eastAsia" w:ascii="仿宋_GB2312" w:hAnsi="仿宋_GB2312" w:eastAsia="仿宋_GB2312" w:cs="仿宋_GB2312"/>
          <w:color w:val="auto"/>
          <w:kern w:val="2"/>
          <w:sz w:val="32"/>
          <w:szCs w:val="32"/>
          <w:highlight w:val="none"/>
          <w:lang w:val="en-US" w:eastAsia="zh-CN" w:bidi="ar-SA"/>
        </w:rPr>
        <w:t>万元、政府采购工程支出</w:t>
      </w:r>
      <w:r>
        <w:rPr>
          <w:rFonts w:hint="eastAsia" w:eastAsia="仿宋_GB2312" w:cs="仿宋_GB2312"/>
          <w:color w:val="auto"/>
          <w:kern w:val="2"/>
          <w:sz w:val="32"/>
          <w:szCs w:val="32"/>
          <w:highlight w:val="none"/>
          <w:lang w:val="en-US" w:eastAsia="zh-CN" w:bidi="ar-SA"/>
        </w:rPr>
        <w:t>0</w:t>
      </w:r>
      <w:r>
        <w:rPr>
          <w:rFonts w:hint="eastAsia" w:ascii="仿宋_GB2312" w:hAnsi="仿宋_GB2312" w:eastAsia="仿宋_GB2312" w:cs="仿宋_GB2312"/>
          <w:color w:val="auto"/>
          <w:kern w:val="2"/>
          <w:sz w:val="32"/>
          <w:szCs w:val="32"/>
          <w:highlight w:val="none"/>
          <w:lang w:val="en-US" w:eastAsia="zh-CN" w:bidi="ar-SA"/>
        </w:rPr>
        <w:t>万元、政府采购服务支出</w:t>
      </w:r>
      <w:r>
        <w:rPr>
          <w:rFonts w:hint="eastAsia" w:eastAsia="仿宋_GB2312" w:cs="仿宋_GB2312"/>
          <w:color w:val="auto"/>
          <w:kern w:val="2"/>
          <w:sz w:val="32"/>
          <w:szCs w:val="32"/>
          <w:highlight w:val="none"/>
          <w:lang w:val="en-US" w:eastAsia="zh-CN" w:bidi="ar-SA"/>
        </w:rPr>
        <w:t>0</w:t>
      </w:r>
      <w:r>
        <w:rPr>
          <w:rFonts w:hint="eastAsia" w:ascii="仿宋_GB2312" w:hAnsi="仿宋_GB2312" w:eastAsia="仿宋_GB2312" w:cs="仿宋_GB2312"/>
          <w:color w:val="auto"/>
          <w:kern w:val="2"/>
          <w:sz w:val="32"/>
          <w:szCs w:val="32"/>
          <w:highlight w:val="none"/>
          <w:lang w:val="en-US" w:eastAsia="zh-CN" w:bidi="ar-SA"/>
        </w:rPr>
        <w:t>万元。主要用于采购办公用具。授予中小企业合同金额</w:t>
      </w:r>
      <w:r>
        <w:rPr>
          <w:rFonts w:hint="eastAsia" w:eastAsia="仿宋_GB2312" w:cs="仿宋_GB2312"/>
          <w:color w:val="auto"/>
          <w:kern w:val="2"/>
          <w:sz w:val="32"/>
          <w:szCs w:val="32"/>
          <w:highlight w:val="none"/>
          <w:lang w:val="en-US" w:eastAsia="zh-CN" w:bidi="ar-SA"/>
        </w:rPr>
        <w:t>0.2</w:t>
      </w:r>
      <w:r>
        <w:rPr>
          <w:rFonts w:hint="eastAsia" w:ascii="仿宋_GB2312" w:hAnsi="仿宋_GB2312" w:eastAsia="仿宋_GB2312" w:cs="仿宋_GB2312"/>
          <w:color w:val="auto"/>
          <w:kern w:val="2"/>
          <w:sz w:val="32"/>
          <w:szCs w:val="32"/>
          <w:highlight w:val="none"/>
          <w:lang w:val="en-US" w:eastAsia="zh-CN" w:bidi="ar-SA"/>
        </w:rPr>
        <w:t>万元，占政府采购支出总额的</w:t>
      </w:r>
      <w:r>
        <w:rPr>
          <w:rFonts w:hint="eastAsia" w:eastAsia="仿宋_GB2312" w:cs="仿宋_GB2312"/>
          <w:color w:val="auto"/>
          <w:kern w:val="2"/>
          <w:sz w:val="32"/>
          <w:szCs w:val="32"/>
          <w:highlight w:val="none"/>
          <w:lang w:val="en-US" w:eastAsia="zh-CN" w:bidi="ar-SA"/>
        </w:rPr>
        <w:t>63.29%</w:t>
      </w:r>
      <w:r>
        <w:rPr>
          <w:rFonts w:hint="eastAsia" w:ascii="仿宋_GB2312" w:hAnsi="仿宋_GB2312" w:eastAsia="仿宋_GB2312" w:cs="仿宋_GB2312"/>
          <w:color w:val="auto"/>
          <w:kern w:val="2"/>
          <w:sz w:val="32"/>
          <w:szCs w:val="32"/>
          <w:highlight w:val="none"/>
          <w:lang w:val="en-US" w:eastAsia="zh-CN" w:bidi="ar-SA"/>
        </w:rPr>
        <w:t>，其中：授予小微企业合同金额</w:t>
      </w:r>
      <w:r>
        <w:rPr>
          <w:rFonts w:hint="eastAsia" w:eastAsia="仿宋_GB2312" w:cs="仿宋_GB2312"/>
          <w:color w:val="auto"/>
          <w:kern w:val="2"/>
          <w:sz w:val="32"/>
          <w:szCs w:val="32"/>
          <w:highlight w:val="none"/>
          <w:lang w:val="en-US" w:eastAsia="zh-CN" w:bidi="ar-SA"/>
        </w:rPr>
        <w:t>0</w:t>
      </w:r>
      <w:r>
        <w:rPr>
          <w:rFonts w:hint="eastAsia" w:ascii="仿宋_GB2312" w:hAnsi="仿宋_GB2312" w:eastAsia="仿宋_GB2312" w:cs="仿宋_GB2312"/>
          <w:color w:val="auto"/>
          <w:kern w:val="2"/>
          <w:sz w:val="32"/>
          <w:szCs w:val="32"/>
          <w:highlight w:val="none"/>
          <w:lang w:val="en-US" w:eastAsia="zh-CN" w:bidi="ar-SA"/>
        </w:rPr>
        <w:t>万元，占政府采购支出总额的</w:t>
      </w:r>
      <w:r>
        <w:rPr>
          <w:rFonts w:hint="eastAsia" w:eastAsia="仿宋_GB2312" w:cs="仿宋_GB2312"/>
          <w:color w:val="auto"/>
          <w:kern w:val="2"/>
          <w:sz w:val="32"/>
          <w:szCs w:val="32"/>
          <w:highlight w:val="none"/>
          <w:lang w:val="en-US" w:eastAsia="zh-CN" w:bidi="ar-SA"/>
        </w:rPr>
        <w:t>0%</w:t>
      </w:r>
      <w:r>
        <w:rPr>
          <w:rFonts w:hint="eastAsia" w:ascii="仿宋_GB2312" w:hAnsi="仿宋_GB2312" w:eastAsia="仿宋_GB2312" w:cs="仿宋_GB2312"/>
          <w:color w:val="auto"/>
          <w:kern w:val="2"/>
          <w:sz w:val="32"/>
          <w:szCs w:val="32"/>
          <w:highlight w:val="none"/>
          <w:lang w:val="en-US" w:eastAsia="zh-CN" w:bidi="ar-SA"/>
        </w:rPr>
        <w:t>。</w:t>
      </w:r>
    </w:p>
    <w:p w14:paraId="490AF40D">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45" w:name="_Toc15377224"/>
      <w:r>
        <w:rPr>
          <w:rFonts w:hint="eastAsia" w:ascii="Times New Roman" w:hAnsi="Times New Roman" w:eastAsia="楷体_GB2312" w:cs="楷体_GB2312"/>
          <w:b/>
          <w:color w:val="auto"/>
          <w:sz w:val="32"/>
          <w:szCs w:val="32"/>
          <w:highlight w:val="none"/>
        </w:rPr>
        <w:t>（三）国有资产占有使用情况</w:t>
      </w:r>
      <w:bookmarkEnd w:id="45"/>
    </w:p>
    <w:p w14:paraId="28B8EBC2">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截至</w:t>
      </w:r>
      <w:r>
        <w:rPr>
          <w:rFonts w:hint="eastAsia" w:eastAsia="仿宋_GB2312" w:cs="仿宋_GB2312"/>
          <w:color w:val="auto"/>
          <w:kern w:val="2"/>
          <w:sz w:val="32"/>
          <w:szCs w:val="32"/>
          <w:highlight w:val="none"/>
          <w:lang w:val="en-US" w:eastAsia="zh-CN" w:bidi="ar-SA"/>
        </w:rPr>
        <w:t>2024年12月31日</w:t>
      </w:r>
      <w:r>
        <w:rPr>
          <w:rFonts w:hint="eastAsia" w:ascii="仿宋_GB2312" w:hAnsi="仿宋_GB2312" w:eastAsia="仿宋_GB2312" w:cs="仿宋_GB2312"/>
          <w:color w:val="auto"/>
          <w:kern w:val="2"/>
          <w:sz w:val="32"/>
          <w:szCs w:val="32"/>
          <w:highlight w:val="none"/>
          <w:lang w:val="en-US" w:eastAsia="zh-CN" w:bidi="ar-SA"/>
        </w:rPr>
        <w:t>，</w:t>
      </w:r>
      <w:r>
        <w:rPr>
          <w:rFonts w:hint="eastAsia" w:ascii="仿宋_GB2312" w:hAnsi="仿宋_GB2312" w:eastAsia="仿宋_GB2312" w:cs="仿宋_GB2312"/>
          <w:sz w:val="32"/>
          <w:szCs w:val="32"/>
        </w:rPr>
        <w:t>四川省攀枝花市红十字会</w:t>
      </w:r>
      <w:r>
        <w:rPr>
          <w:rFonts w:hint="eastAsia" w:ascii="仿宋_GB2312" w:hAnsi="仿宋_GB2312" w:eastAsia="仿宋_GB2312" w:cs="仿宋_GB2312"/>
          <w:color w:val="auto"/>
          <w:kern w:val="2"/>
          <w:sz w:val="32"/>
          <w:szCs w:val="32"/>
          <w:highlight w:val="none"/>
          <w:lang w:val="en-US" w:eastAsia="zh-CN" w:bidi="ar-SA"/>
        </w:rPr>
        <w:t>共有车辆</w:t>
      </w:r>
      <w:r>
        <w:rPr>
          <w:rFonts w:hint="eastAsia" w:eastAsia="仿宋_GB2312" w:cs="仿宋_GB2312"/>
          <w:color w:val="auto"/>
          <w:kern w:val="2"/>
          <w:sz w:val="32"/>
          <w:szCs w:val="32"/>
          <w:highlight w:val="none"/>
          <w:lang w:val="en-US" w:eastAsia="zh-CN" w:bidi="ar-SA"/>
        </w:rPr>
        <w:t>1</w:t>
      </w:r>
      <w:r>
        <w:rPr>
          <w:rFonts w:hint="eastAsia" w:ascii="仿宋_GB2312" w:hAnsi="仿宋_GB2312" w:eastAsia="仿宋_GB2312" w:cs="仿宋_GB2312"/>
          <w:color w:val="auto"/>
          <w:kern w:val="2"/>
          <w:sz w:val="32"/>
          <w:szCs w:val="32"/>
          <w:highlight w:val="none"/>
          <w:lang w:val="en-US" w:eastAsia="zh-CN" w:bidi="ar-SA"/>
        </w:rPr>
        <w:t>辆，其中：主要负责人用车</w:t>
      </w:r>
      <w:r>
        <w:rPr>
          <w:rFonts w:hint="eastAsia" w:eastAsia="仿宋_GB2312" w:cs="仿宋_GB2312"/>
          <w:color w:val="auto"/>
          <w:kern w:val="2"/>
          <w:sz w:val="32"/>
          <w:szCs w:val="32"/>
          <w:highlight w:val="none"/>
          <w:lang w:val="en-US" w:eastAsia="zh-CN" w:bidi="ar-SA"/>
        </w:rPr>
        <w:t>0</w:t>
      </w:r>
      <w:r>
        <w:rPr>
          <w:rFonts w:hint="eastAsia" w:ascii="仿宋_GB2312" w:hAnsi="仿宋_GB2312" w:eastAsia="仿宋_GB2312" w:cs="仿宋_GB2312"/>
          <w:color w:val="auto"/>
          <w:kern w:val="2"/>
          <w:sz w:val="32"/>
          <w:szCs w:val="32"/>
          <w:highlight w:val="none"/>
          <w:lang w:val="en-US" w:eastAsia="zh-CN" w:bidi="ar-SA"/>
        </w:rPr>
        <w:t>辆、机要通信用车</w:t>
      </w:r>
      <w:r>
        <w:rPr>
          <w:rFonts w:hint="eastAsia" w:eastAsia="仿宋_GB2312" w:cs="仿宋_GB2312"/>
          <w:color w:val="auto"/>
          <w:kern w:val="2"/>
          <w:sz w:val="32"/>
          <w:szCs w:val="32"/>
          <w:highlight w:val="none"/>
          <w:lang w:val="en-US" w:eastAsia="zh-CN" w:bidi="ar-SA"/>
        </w:rPr>
        <w:t>0</w:t>
      </w:r>
      <w:r>
        <w:rPr>
          <w:rFonts w:hint="eastAsia" w:ascii="仿宋_GB2312" w:hAnsi="仿宋_GB2312" w:eastAsia="仿宋_GB2312" w:cs="仿宋_GB2312"/>
          <w:color w:val="auto"/>
          <w:kern w:val="2"/>
          <w:sz w:val="32"/>
          <w:szCs w:val="32"/>
          <w:highlight w:val="none"/>
          <w:lang w:val="en-US" w:eastAsia="zh-CN" w:bidi="ar-SA"/>
        </w:rPr>
        <w:t>辆、应急保障用车</w:t>
      </w:r>
      <w:r>
        <w:rPr>
          <w:rFonts w:hint="eastAsia" w:eastAsia="仿宋_GB2312" w:cs="仿宋_GB2312"/>
          <w:color w:val="auto"/>
          <w:kern w:val="2"/>
          <w:sz w:val="32"/>
          <w:szCs w:val="32"/>
          <w:highlight w:val="none"/>
          <w:lang w:val="en-US" w:eastAsia="zh-CN" w:bidi="ar-SA"/>
        </w:rPr>
        <w:t>0</w:t>
      </w:r>
      <w:r>
        <w:rPr>
          <w:rFonts w:hint="eastAsia" w:ascii="仿宋_GB2312" w:hAnsi="仿宋_GB2312" w:eastAsia="仿宋_GB2312" w:cs="仿宋_GB2312"/>
          <w:color w:val="auto"/>
          <w:kern w:val="2"/>
          <w:sz w:val="32"/>
          <w:szCs w:val="32"/>
          <w:highlight w:val="none"/>
          <w:lang w:val="en-US" w:eastAsia="zh-CN" w:bidi="ar-SA"/>
        </w:rPr>
        <w:t>辆、其他用车</w:t>
      </w:r>
      <w:r>
        <w:rPr>
          <w:rFonts w:hint="eastAsia" w:eastAsia="仿宋_GB2312" w:cs="仿宋_GB2312"/>
          <w:color w:val="auto"/>
          <w:kern w:val="2"/>
          <w:sz w:val="32"/>
          <w:szCs w:val="32"/>
          <w:highlight w:val="none"/>
          <w:lang w:val="en-US" w:eastAsia="zh-CN" w:bidi="ar-SA"/>
        </w:rPr>
        <w:t>1</w:t>
      </w:r>
      <w:r>
        <w:rPr>
          <w:rFonts w:hint="eastAsia" w:ascii="仿宋_GB2312" w:hAnsi="仿宋_GB2312" w:eastAsia="仿宋_GB2312" w:cs="仿宋_GB2312"/>
          <w:color w:val="auto"/>
          <w:kern w:val="2"/>
          <w:sz w:val="32"/>
          <w:szCs w:val="32"/>
          <w:highlight w:val="none"/>
          <w:lang w:val="en-US" w:eastAsia="zh-CN" w:bidi="ar-SA"/>
        </w:rPr>
        <w:t>辆，其他用车主要是用于开展日常工作。单价</w:t>
      </w:r>
      <w:r>
        <w:rPr>
          <w:rFonts w:hint="eastAsia" w:eastAsia="仿宋_GB2312" w:cs="仿宋_GB2312"/>
          <w:color w:val="auto"/>
          <w:kern w:val="2"/>
          <w:sz w:val="32"/>
          <w:szCs w:val="32"/>
          <w:highlight w:val="none"/>
          <w:lang w:val="en-US" w:eastAsia="zh-CN" w:bidi="ar-SA"/>
        </w:rPr>
        <w:t>100</w:t>
      </w:r>
      <w:r>
        <w:rPr>
          <w:rFonts w:hint="eastAsia" w:ascii="仿宋_GB2312" w:hAnsi="仿宋_GB2312" w:eastAsia="仿宋_GB2312" w:cs="仿宋_GB2312"/>
          <w:color w:val="auto"/>
          <w:kern w:val="2"/>
          <w:sz w:val="32"/>
          <w:szCs w:val="32"/>
          <w:highlight w:val="none"/>
          <w:lang w:val="en-US" w:eastAsia="zh-CN" w:bidi="ar-SA"/>
        </w:rPr>
        <w:t>万元（含）以上设备（不含车辆）</w:t>
      </w:r>
      <w:r>
        <w:rPr>
          <w:rFonts w:hint="eastAsia" w:eastAsia="仿宋_GB2312" w:cs="仿宋_GB2312"/>
          <w:color w:val="auto"/>
          <w:kern w:val="2"/>
          <w:sz w:val="32"/>
          <w:szCs w:val="32"/>
          <w:highlight w:val="none"/>
          <w:lang w:val="en-US" w:eastAsia="zh-CN" w:bidi="ar-SA"/>
        </w:rPr>
        <w:t>0</w:t>
      </w:r>
      <w:r>
        <w:rPr>
          <w:rFonts w:hint="eastAsia" w:ascii="仿宋_GB2312" w:hAnsi="仿宋_GB2312" w:eastAsia="仿宋_GB2312" w:cs="仿宋_GB2312"/>
          <w:color w:val="auto"/>
          <w:kern w:val="2"/>
          <w:sz w:val="32"/>
          <w:szCs w:val="32"/>
          <w:highlight w:val="none"/>
          <w:lang w:val="en-US" w:eastAsia="zh-CN" w:bidi="ar-SA"/>
        </w:rPr>
        <w:t>台（套）</w:t>
      </w:r>
      <w:r>
        <w:rPr>
          <w:rFonts w:hint="eastAsia" w:ascii="Times New Roman" w:hAnsi="Times New Roman" w:eastAsia="仿宋_GB2312" w:cs="仿宋_GB2312"/>
          <w:color w:val="auto"/>
          <w:kern w:val="2"/>
          <w:sz w:val="32"/>
          <w:szCs w:val="32"/>
          <w:highlight w:val="none"/>
          <w:lang w:val="en-US" w:eastAsia="zh-CN" w:bidi="ar-SA"/>
        </w:rPr>
        <w:t>。</w:t>
      </w:r>
    </w:p>
    <w:p w14:paraId="3C6EBE37">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r>
        <w:rPr>
          <w:rFonts w:hint="eastAsia" w:ascii="Times New Roman" w:hAnsi="Times New Roman" w:eastAsia="楷体_GB2312" w:cs="楷体_GB2312"/>
          <w:b/>
          <w:color w:val="auto"/>
          <w:sz w:val="32"/>
          <w:szCs w:val="32"/>
          <w:highlight w:val="none"/>
        </w:rPr>
        <w:t>（四）预算绩效管理情况</w:t>
      </w:r>
    </w:p>
    <w:p w14:paraId="03CB50D3">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根据预算绩效管理要求，</w:t>
      </w:r>
      <w:r>
        <w:rPr>
          <w:rFonts w:hint="eastAsia" w:eastAsia="仿宋_GB2312" w:cs="仿宋_GB2312"/>
          <w:color w:val="auto"/>
          <w:kern w:val="2"/>
          <w:sz w:val="32"/>
          <w:szCs w:val="32"/>
          <w:highlight w:val="none"/>
          <w:lang w:val="en-US" w:eastAsia="zh-CN" w:bidi="ar-SA"/>
        </w:rPr>
        <w:t>本部门</w:t>
      </w:r>
      <w:r>
        <w:rPr>
          <w:rFonts w:hint="eastAsia" w:ascii="Times New Roman" w:hAnsi="Times New Roman" w:eastAsia="仿宋_GB2312" w:cs="仿宋_GB2312"/>
          <w:color w:val="auto"/>
          <w:kern w:val="2"/>
          <w:sz w:val="32"/>
          <w:szCs w:val="32"/>
          <w:highlight w:val="none"/>
          <w:lang w:val="en-US" w:eastAsia="zh-CN" w:bidi="ar-SA"/>
        </w:rPr>
        <w:t>在2024年度预算编制阶段，组织对</w:t>
      </w:r>
      <w:r>
        <w:rPr>
          <w:rFonts w:hint="eastAsia" w:eastAsia="仿宋_GB2312" w:cs="仿宋_GB2312"/>
          <w:color w:val="auto"/>
          <w:kern w:val="2"/>
          <w:sz w:val="32"/>
          <w:szCs w:val="32"/>
          <w:highlight w:val="none"/>
          <w:lang w:val="en-US" w:eastAsia="zh-CN" w:bidi="ar-SA"/>
        </w:rPr>
        <w:t>住房公积金（行政）、应急救护知识普及、办公室搬迁</w:t>
      </w:r>
      <w:r>
        <w:rPr>
          <w:rFonts w:hint="eastAsia" w:ascii="Times New Roman" w:hAnsi="Times New Roman" w:eastAsia="仿宋_GB2312" w:cs="仿宋_GB2312"/>
          <w:color w:val="auto"/>
          <w:kern w:val="2"/>
          <w:sz w:val="32"/>
          <w:szCs w:val="32"/>
          <w:highlight w:val="none"/>
          <w:lang w:val="en-US" w:eastAsia="zh-CN" w:bidi="ar-SA"/>
        </w:rPr>
        <w:t>等</w:t>
      </w:r>
      <w:r>
        <w:rPr>
          <w:rFonts w:hint="eastAsia" w:eastAsia="仿宋_GB2312" w:cs="仿宋_GB2312"/>
          <w:color w:val="auto"/>
          <w:kern w:val="2"/>
          <w:sz w:val="32"/>
          <w:szCs w:val="32"/>
          <w:highlight w:val="none"/>
          <w:lang w:val="en-US" w:eastAsia="zh-CN" w:bidi="ar-SA"/>
        </w:rPr>
        <w:t>26</w:t>
      </w:r>
      <w:r>
        <w:rPr>
          <w:rFonts w:hint="eastAsia" w:ascii="Times New Roman" w:hAnsi="Times New Roman" w:eastAsia="仿宋_GB2312" w:cs="仿宋_GB2312"/>
          <w:color w:val="auto"/>
          <w:kern w:val="2"/>
          <w:sz w:val="32"/>
          <w:szCs w:val="32"/>
          <w:highlight w:val="none"/>
          <w:lang w:val="en-US" w:eastAsia="zh-CN" w:bidi="ar-SA"/>
        </w:rPr>
        <w:t>个项目开展了预算事前绩效评估，对</w:t>
      </w:r>
      <w:r>
        <w:rPr>
          <w:rFonts w:hint="eastAsia" w:eastAsia="仿宋_GB2312" w:cs="仿宋_GB2312"/>
          <w:color w:val="auto"/>
          <w:kern w:val="2"/>
          <w:sz w:val="32"/>
          <w:szCs w:val="32"/>
          <w:highlight w:val="none"/>
          <w:lang w:val="en-US" w:eastAsia="zh-CN" w:bidi="ar-SA"/>
        </w:rPr>
        <w:t>26</w:t>
      </w:r>
      <w:r>
        <w:rPr>
          <w:rFonts w:hint="eastAsia" w:ascii="Times New Roman" w:hAnsi="Times New Roman" w:eastAsia="仿宋_GB2312" w:cs="仿宋_GB2312"/>
          <w:color w:val="auto"/>
          <w:kern w:val="2"/>
          <w:sz w:val="32"/>
          <w:szCs w:val="32"/>
          <w:highlight w:val="none"/>
          <w:lang w:val="en-US" w:eastAsia="zh-CN" w:bidi="ar-SA"/>
        </w:rPr>
        <w:t>个项目编制了绩效目标，预算执行过程中，选取</w:t>
      </w:r>
      <w:r>
        <w:rPr>
          <w:rFonts w:hint="eastAsia" w:eastAsia="仿宋_GB2312" w:cs="仿宋_GB2312"/>
          <w:color w:val="auto"/>
          <w:kern w:val="2"/>
          <w:sz w:val="32"/>
          <w:szCs w:val="32"/>
          <w:highlight w:val="none"/>
          <w:lang w:val="en-US" w:eastAsia="zh-CN" w:bidi="ar-SA"/>
        </w:rPr>
        <w:t>2</w:t>
      </w:r>
      <w:r>
        <w:rPr>
          <w:rFonts w:hint="eastAsia" w:ascii="Times New Roman" w:hAnsi="Times New Roman" w:eastAsia="仿宋_GB2312" w:cs="仿宋_GB2312"/>
          <w:color w:val="auto"/>
          <w:kern w:val="2"/>
          <w:sz w:val="32"/>
          <w:szCs w:val="32"/>
          <w:highlight w:val="none"/>
          <w:lang w:val="en-US" w:eastAsia="zh-CN" w:bidi="ar-SA"/>
        </w:rPr>
        <w:t>个项目开展绩效监控。</w:t>
      </w:r>
    </w:p>
    <w:p w14:paraId="1F61A5F1">
      <w:pPr>
        <w:spacing w:line="600" w:lineRule="exact"/>
        <w:ind w:firstLine="640"/>
        <w:rPr>
          <w:rFonts w:hint="eastAsia" w:ascii="Times New Roman" w:hAnsi="Times New Roman" w:eastAsia="仿宋_GB2312" w:cs="仿宋_GB2312"/>
          <w:b/>
          <w:bCs/>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组织对2024年度一般公共预算、政府性基金预算、国有资本经营预算、社会保险基金预算以及资本资产、债券资金等全面开展绩效自评，形成</w:t>
      </w:r>
      <w:r>
        <w:rPr>
          <w:rFonts w:hint="eastAsia" w:ascii="仿宋_GB2312" w:eastAsia="仿宋_GB2312" w:cs="仿宋_GB2312"/>
          <w:sz w:val="32"/>
          <w:szCs w:val="32"/>
          <w:lang w:bidi="ar-SA"/>
        </w:rPr>
        <w:t>攀枝花市红十字会</w:t>
      </w:r>
      <w:r>
        <w:rPr>
          <w:rFonts w:hint="eastAsia" w:ascii="Times New Roman" w:hAnsi="Times New Roman" w:eastAsia="仿宋_GB2312" w:cs="仿宋_GB2312"/>
          <w:color w:val="auto"/>
          <w:kern w:val="2"/>
          <w:sz w:val="32"/>
          <w:szCs w:val="32"/>
          <w:highlight w:val="none"/>
          <w:lang w:val="en-US" w:eastAsia="zh-CN" w:bidi="ar-SA"/>
        </w:rPr>
        <w:t>部门整体（含部门预算项目）绩效自评报告、</w:t>
      </w:r>
      <w:r>
        <w:rPr>
          <w:rFonts w:hint="eastAsia" w:eastAsia="仿宋_GB2312" w:cs="仿宋_GB2312"/>
          <w:color w:val="auto"/>
          <w:kern w:val="2"/>
          <w:sz w:val="32"/>
          <w:szCs w:val="32"/>
          <w:highlight w:val="none"/>
          <w:lang w:val="en-US" w:eastAsia="zh-CN" w:bidi="ar-SA"/>
        </w:rPr>
        <w:t>应急救护知识普及培训、办公室搬迁</w:t>
      </w:r>
      <w:r>
        <w:rPr>
          <w:rFonts w:hint="eastAsia" w:ascii="Times New Roman" w:hAnsi="Times New Roman" w:eastAsia="仿宋_GB2312" w:cs="仿宋_GB2312"/>
          <w:color w:val="auto"/>
          <w:kern w:val="2"/>
          <w:sz w:val="32"/>
          <w:szCs w:val="32"/>
          <w:highlight w:val="none"/>
          <w:lang w:val="en-US" w:eastAsia="zh-CN" w:bidi="ar-SA"/>
        </w:rPr>
        <w:t>等专项预算项目绩效自评报告，其中，</w:t>
      </w:r>
      <w:r>
        <w:rPr>
          <w:rFonts w:hint="eastAsia" w:ascii="仿宋_GB2312" w:eastAsia="仿宋_GB2312" w:cs="仿宋_GB2312"/>
          <w:sz w:val="32"/>
          <w:szCs w:val="32"/>
          <w:lang w:bidi="ar-SA"/>
        </w:rPr>
        <w:t>攀枝花市红十字会</w:t>
      </w:r>
      <w:r>
        <w:rPr>
          <w:rFonts w:hint="eastAsia" w:ascii="Times New Roman" w:hAnsi="Times New Roman" w:eastAsia="仿宋_GB2312" w:cs="仿宋_GB2312"/>
          <w:color w:val="auto"/>
          <w:kern w:val="2"/>
          <w:sz w:val="32"/>
          <w:szCs w:val="32"/>
          <w:highlight w:val="none"/>
          <w:lang w:val="en-US" w:eastAsia="zh-CN" w:bidi="ar-SA"/>
        </w:rPr>
        <w:t>部门整体（含部门预算项目）绩效自评得分为</w:t>
      </w:r>
      <w:r>
        <w:rPr>
          <w:rFonts w:hint="eastAsia" w:eastAsia="仿宋_GB2312" w:cs="仿宋_GB2312"/>
          <w:color w:val="auto"/>
          <w:kern w:val="2"/>
          <w:sz w:val="32"/>
          <w:szCs w:val="32"/>
          <w:highlight w:val="none"/>
          <w:lang w:val="en-US" w:eastAsia="zh-CN" w:bidi="ar-SA"/>
        </w:rPr>
        <w:t>97.8</w:t>
      </w:r>
      <w:r>
        <w:rPr>
          <w:rFonts w:hint="eastAsia" w:ascii="Times New Roman" w:hAnsi="Times New Roman" w:eastAsia="仿宋_GB2312" w:cs="仿宋_GB2312"/>
          <w:color w:val="auto"/>
          <w:kern w:val="2"/>
          <w:sz w:val="32"/>
          <w:szCs w:val="32"/>
          <w:highlight w:val="none"/>
          <w:lang w:val="en-US" w:eastAsia="zh-CN" w:bidi="ar-SA"/>
        </w:rPr>
        <w:t>分，绩效自评综述</w:t>
      </w:r>
      <w:r>
        <w:rPr>
          <w:rFonts w:hint="eastAsia" w:eastAsia="仿宋_GB2312" w:cs="仿宋_GB2312"/>
          <w:color w:val="auto"/>
          <w:kern w:val="2"/>
          <w:sz w:val="32"/>
          <w:szCs w:val="32"/>
          <w:highlight w:val="none"/>
          <w:lang w:val="en-US" w:eastAsia="zh-CN" w:bidi="ar-SA"/>
        </w:rPr>
        <w:t>：</w:t>
      </w:r>
      <w:r>
        <w:rPr>
          <w:rFonts w:hint="eastAsia"/>
          <w:sz w:val="32"/>
          <w:szCs w:val="32"/>
          <w:lang w:val="en-US" w:eastAsia="zh-CN"/>
        </w:rPr>
        <w:t>2024</w:t>
      </w:r>
      <w:r>
        <w:rPr>
          <w:rFonts w:eastAsia="仿宋_GB2312"/>
          <w:sz w:val="32"/>
          <w:szCs w:val="32"/>
        </w:rPr>
        <w:t>年，市红十字会围绕部门预算和年度重点工作任务安排预算资金，预算管理科学性逐步提升、预算执行率</w:t>
      </w:r>
      <w:r>
        <w:rPr>
          <w:rFonts w:hint="eastAsia"/>
          <w:sz w:val="32"/>
          <w:szCs w:val="32"/>
          <w:lang w:val="en-US" w:eastAsia="zh-CN"/>
        </w:rPr>
        <w:t>100</w:t>
      </w:r>
      <w:r>
        <w:rPr>
          <w:rFonts w:eastAsia="仿宋_GB2312"/>
          <w:sz w:val="32"/>
          <w:szCs w:val="32"/>
        </w:rPr>
        <w:t>%，</w:t>
      </w:r>
      <w:r>
        <w:rPr>
          <w:rFonts w:hint="eastAsia" w:ascii="方正仿宋_GBK" w:eastAsia="方正仿宋_GBK"/>
          <w:sz w:val="32"/>
          <w:szCs w:val="32"/>
        </w:rPr>
        <w:t>“三公”</w:t>
      </w:r>
      <w:r>
        <w:rPr>
          <w:rFonts w:eastAsia="仿宋_GB2312"/>
          <w:sz w:val="32"/>
          <w:szCs w:val="32"/>
        </w:rPr>
        <w:t>经费控制有效，信息公开内容完整、及时规范，完成绩效管理工作；绝大部分绩效目标达到年初设定目标值。但存在预算绩效指标设置不够规范，基本运行绩效有提升空间</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应急救护知识普及培训</w:t>
      </w:r>
      <w:r>
        <w:rPr>
          <w:rFonts w:hint="eastAsia" w:ascii="Times New Roman" w:hAnsi="Times New Roman" w:eastAsia="仿宋_GB2312" w:cs="仿宋_GB2312"/>
          <w:color w:val="auto"/>
          <w:kern w:val="2"/>
          <w:sz w:val="32"/>
          <w:szCs w:val="32"/>
          <w:highlight w:val="none"/>
          <w:lang w:val="en-US" w:eastAsia="zh-CN" w:bidi="ar-SA"/>
        </w:rPr>
        <w:t>专项预算项目绩效自评得分为</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分，绩效自评综述</w:t>
      </w:r>
      <w:r>
        <w:rPr>
          <w:rFonts w:hint="eastAsia" w:eastAsia="仿宋_GB2312" w:cs="仿宋_GB2312"/>
          <w:color w:val="auto"/>
          <w:kern w:val="2"/>
          <w:sz w:val="32"/>
          <w:szCs w:val="32"/>
          <w:highlight w:val="none"/>
          <w:lang w:val="en-US" w:eastAsia="zh-CN" w:bidi="ar-SA"/>
        </w:rPr>
        <w:t>：培训持证救护员2100名，普及急救知识培训25140人次，按质按量超额完成项目目标计划，各项指标均已完成；办公室搬迁</w:t>
      </w:r>
      <w:r>
        <w:rPr>
          <w:rFonts w:hint="eastAsia" w:ascii="Times New Roman" w:hAnsi="Times New Roman" w:eastAsia="仿宋_GB2312" w:cs="仿宋_GB2312"/>
          <w:color w:val="auto"/>
          <w:kern w:val="2"/>
          <w:sz w:val="32"/>
          <w:szCs w:val="32"/>
          <w:highlight w:val="none"/>
          <w:lang w:val="en-US" w:eastAsia="zh-CN" w:bidi="ar-SA"/>
        </w:rPr>
        <w:t>专项预算项目绩效自评得分为</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分，绩效自评综述</w:t>
      </w:r>
      <w:r>
        <w:rPr>
          <w:rFonts w:hint="eastAsia" w:eastAsia="仿宋_GB2312" w:cs="仿宋_GB2312"/>
          <w:color w:val="auto"/>
          <w:kern w:val="2"/>
          <w:sz w:val="32"/>
          <w:szCs w:val="32"/>
          <w:highlight w:val="none"/>
          <w:lang w:val="en-US" w:eastAsia="zh-CN" w:bidi="ar-SA"/>
        </w:rPr>
        <w:t>：已完成市红十字会办公用品、库房物品全部搬迁，搬迁后各项工作正常开展。</w:t>
      </w:r>
      <w:r>
        <w:rPr>
          <w:rFonts w:hint="eastAsia" w:ascii="Times New Roman" w:hAnsi="Times New Roman" w:eastAsia="仿宋_GB2312" w:cs="仿宋_GB2312"/>
          <w:color w:val="auto"/>
          <w:kern w:val="2"/>
          <w:sz w:val="32"/>
          <w:szCs w:val="32"/>
          <w:highlight w:val="none"/>
          <w:lang w:val="en-US" w:eastAsia="zh-CN" w:bidi="ar-SA"/>
        </w:rPr>
        <w:t>绩效自评报告详见附件。</w:t>
      </w:r>
    </w:p>
    <w:p w14:paraId="73F3F41D">
      <w:pPr>
        <w:spacing w:line="600" w:lineRule="exact"/>
        <w:ind w:firstLine="640"/>
        <w:rPr>
          <w:rFonts w:hint="eastAsia" w:ascii="Times New Roman" w:hAnsi="Times New Roman" w:eastAsia="仿宋_GB2312" w:cs="仿宋_GB2312"/>
          <w:b/>
          <w:bCs/>
          <w:color w:val="auto"/>
          <w:kern w:val="2"/>
          <w:sz w:val="32"/>
          <w:szCs w:val="32"/>
          <w:highlight w:val="none"/>
          <w:lang w:val="en-US" w:eastAsia="zh-CN" w:bidi="ar-SA"/>
        </w:rPr>
      </w:pPr>
    </w:p>
    <w:p w14:paraId="2A4DC2A4">
      <w:pPr>
        <w:pStyle w:val="2"/>
        <w:rPr>
          <w:rFonts w:hint="eastAsia" w:ascii="Times New Roman" w:hAnsi="Times New Roman" w:eastAsia="仿宋_GB2312" w:cs="仿宋_GB2312"/>
          <w:b/>
          <w:bCs/>
          <w:color w:val="auto"/>
          <w:kern w:val="2"/>
          <w:sz w:val="32"/>
          <w:szCs w:val="32"/>
          <w:highlight w:val="none"/>
          <w:lang w:val="en-US" w:eastAsia="zh-CN" w:bidi="ar-SA"/>
        </w:rPr>
      </w:pPr>
    </w:p>
    <w:p w14:paraId="7D83DDE0">
      <w:pPr>
        <w:pStyle w:val="3"/>
        <w:rPr>
          <w:rFonts w:hint="eastAsia" w:ascii="Times New Roman" w:hAnsi="Times New Roman" w:eastAsia="仿宋_GB2312" w:cs="仿宋_GB2312"/>
          <w:b/>
          <w:bCs/>
          <w:color w:val="auto"/>
          <w:kern w:val="2"/>
          <w:sz w:val="32"/>
          <w:szCs w:val="32"/>
          <w:highlight w:val="none"/>
          <w:lang w:val="en-US" w:eastAsia="zh-CN" w:bidi="ar-SA"/>
        </w:rPr>
      </w:pPr>
    </w:p>
    <w:p w14:paraId="7DCAD08A">
      <w:pPr>
        <w:pStyle w:val="3"/>
        <w:rPr>
          <w:rFonts w:hint="eastAsia" w:ascii="Times New Roman" w:hAnsi="Times New Roman" w:eastAsia="仿宋_GB2312" w:cs="仿宋_GB2312"/>
          <w:b/>
          <w:bCs/>
          <w:color w:val="auto"/>
          <w:kern w:val="2"/>
          <w:sz w:val="32"/>
          <w:szCs w:val="32"/>
          <w:highlight w:val="none"/>
          <w:lang w:val="en-US" w:eastAsia="zh-CN" w:bidi="ar-SA"/>
        </w:rPr>
      </w:pPr>
    </w:p>
    <w:p w14:paraId="7B35EB56">
      <w:pPr>
        <w:pStyle w:val="3"/>
        <w:rPr>
          <w:rFonts w:hint="eastAsia" w:ascii="Times New Roman" w:hAnsi="Times New Roman" w:eastAsia="仿宋_GB2312" w:cs="仿宋_GB2312"/>
          <w:b/>
          <w:bCs/>
          <w:color w:val="auto"/>
          <w:kern w:val="2"/>
          <w:sz w:val="32"/>
          <w:szCs w:val="32"/>
          <w:highlight w:val="none"/>
          <w:lang w:val="en-US" w:eastAsia="zh-CN" w:bidi="ar-SA"/>
        </w:rPr>
      </w:pPr>
    </w:p>
    <w:p w14:paraId="70A68E48">
      <w:pPr>
        <w:pStyle w:val="3"/>
        <w:rPr>
          <w:rFonts w:hint="eastAsia" w:ascii="Times New Roman" w:hAnsi="Times New Roman" w:eastAsia="仿宋_GB2312" w:cs="仿宋_GB2312"/>
          <w:b/>
          <w:bCs/>
          <w:color w:val="auto"/>
          <w:kern w:val="2"/>
          <w:sz w:val="32"/>
          <w:szCs w:val="32"/>
          <w:highlight w:val="none"/>
          <w:lang w:val="en-US" w:eastAsia="zh-CN" w:bidi="ar-SA"/>
        </w:rPr>
      </w:pPr>
    </w:p>
    <w:p w14:paraId="46988F00">
      <w:pPr>
        <w:pStyle w:val="3"/>
        <w:rPr>
          <w:rFonts w:hint="eastAsia" w:ascii="Times New Roman" w:hAnsi="Times New Roman" w:eastAsia="仿宋_GB2312" w:cs="仿宋_GB2312"/>
          <w:b/>
          <w:bCs/>
          <w:color w:val="auto"/>
          <w:kern w:val="2"/>
          <w:sz w:val="32"/>
          <w:szCs w:val="32"/>
          <w:highlight w:val="none"/>
          <w:lang w:val="en-US" w:eastAsia="zh-CN" w:bidi="ar-SA"/>
        </w:rPr>
      </w:pPr>
    </w:p>
    <w:p w14:paraId="55066605">
      <w:pPr>
        <w:pStyle w:val="3"/>
        <w:rPr>
          <w:rFonts w:hint="eastAsia" w:ascii="Times New Roman" w:hAnsi="Times New Roman" w:eastAsia="仿宋_GB2312" w:cs="仿宋_GB2312"/>
          <w:b/>
          <w:bCs/>
          <w:color w:val="auto"/>
          <w:kern w:val="2"/>
          <w:sz w:val="32"/>
          <w:szCs w:val="32"/>
          <w:highlight w:val="none"/>
          <w:lang w:val="en-US" w:eastAsia="zh-CN" w:bidi="ar-SA"/>
        </w:rPr>
      </w:pPr>
    </w:p>
    <w:p w14:paraId="5BA0FD5F">
      <w:pPr>
        <w:pStyle w:val="3"/>
        <w:rPr>
          <w:rFonts w:hint="eastAsia" w:ascii="Times New Roman" w:hAnsi="Times New Roman" w:eastAsia="仿宋_GB2312" w:cs="仿宋_GB2312"/>
          <w:b/>
          <w:bCs/>
          <w:color w:val="auto"/>
          <w:kern w:val="2"/>
          <w:sz w:val="32"/>
          <w:szCs w:val="32"/>
          <w:highlight w:val="none"/>
          <w:lang w:val="en-US" w:eastAsia="zh-CN" w:bidi="ar-SA"/>
        </w:rPr>
      </w:pPr>
    </w:p>
    <w:p w14:paraId="407265E2">
      <w:pPr>
        <w:pStyle w:val="3"/>
        <w:rPr>
          <w:rFonts w:hint="eastAsia" w:ascii="Times New Roman" w:hAnsi="Times New Roman" w:eastAsia="仿宋_GB2312" w:cs="仿宋_GB2312"/>
          <w:b/>
          <w:bCs/>
          <w:color w:val="auto"/>
          <w:kern w:val="2"/>
          <w:sz w:val="32"/>
          <w:szCs w:val="32"/>
          <w:highlight w:val="none"/>
          <w:lang w:val="en-US" w:eastAsia="zh-CN" w:bidi="ar-SA"/>
        </w:rPr>
      </w:pPr>
    </w:p>
    <w:p w14:paraId="67EF41FE">
      <w:pPr>
        <w:pStyle w:val="3"/>
        <w:rPr>
          <w:rFonts w:hint="eastAsia" w:ascii="Times New Roman" w:hAnsi="Times New Roman" w:eastAsia="仿宋_GB2312" w:cs="仿宋_GB2312"/>
          <w:b/>
          <w:bCs/>
          <w:color w:val="auto"/>
          <w:kern w:val="2"/>
          <w:sz w:val="32"/>
          <w:szCs w:val="32"/>
          <w:highlight w:val="none"/>
          <w:lang w:val="en-US" w:eastAsia="zh-CN" w:bidi="ar-SA"/>
        </w:rPr>
      </w:pPr>
    </w:p>
    <w:p w14:paraId="52CB4BC1">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1298875F">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7EC70FB2">
      <w:pPr>
        <w:pStyle w:val="2"/>
        <w:rPr>
          <w:rFonts w:hint="eastAsia" w:ascii="Times New Roman" w:hAnsi="Times New Roman" w:eastAsia="仿宋_GB2312" w:cs="仿宋_GB2312"/>
          <w:color w:val="auto"/>
          <w:kern w:val="2"/>
          <w:sz w:val="32"/>
          <w:szCs w:val="32"/>
          <w:highlight w:val="none"/>
          <w:lang w:val="en-US" w:eastAsia="zh-CN" w:bidi="ar-SA"/>
        </w:rPr>
      </w:pPr>
    </w:p>
    <w:p w14:paraId="15631FA0">
      <w:pPr>
        <w:pStyle w:val="3"/>
        <w:rPr>
          <w:rFonts w:hint="eastAsia" w:ascii="Times New Roman" w:hAnsi="Times New Roman" w:eastAsia="仿宋_GB2312" w:cs="仿宋_GB2312"/>
          <w:color w:val="auto"/>
          <w:kern w:val="2"/>
          <w:sz w:val="32"/>
          <w:szCs w:val="32"/>
          <w:highlight w:val="none"/>
          <w:lang w:val="en-US" w:eastAsia="zh-CN" w:bidi="ar-SA"/>
        </w:rPr>
      </w:pPr>
    </w:p>
    <w:p w14:paraId="3E52DB6B">
      <w:pPr>
        <w:pStyle w:val="3"/>
        <w:rPr>
          <w:rFonts w:hint="eastAsia" w:ascii="Times New Roman" w:hAnsi="Times New Roman" w:eastAsia="仿宋_GB2312" w:cs="仿宋_GB2312"/>
          <w:color w:val="auto"/>
          <w:kern w:val="2"/>
          <w:sz w:val="32"/>
          <w:szCs w:val="32"/>
          <w:highlight w:val="none"/>
          <w:lang w:val="en-US" w:eastAsia="zh-CN" w:bidi="ar-SA"/>
        </w:rPr>
      </w:pPr>
    </w:p>
    <w:p w14:paraId="0E5596D1">
      <w:pPr>
        <w:numPr>
          <w:ilvl w:val="0"/>
          <w:numId w:val="0"/>
        </w:numPr>
        <w:spacing w:line="600" w:lineRule="exact"/>
        <w:jc w:val="center"/>
        <w:outlineLvl w:val="0"/>
        <w:rPr>
          <w:rFonts w:hint="eastAsia" w:ascii="Times New Roman" w:hAnsi="Times New Roman" w:eastAsia="黑体"/>
          <w:color w:val="auto"/>
          <w:sz w:val="44"/>
          <w:szCs w:val="44"/>
          <w:highlight w:val="none"/>
        </w:rPr>
      </w:pPr>
      <w:bookmarkStart w:id="46" w:name="_Toc15377225"/>
      <w:bookmarkStart w:id="47" w:name="_Toc15396613"/>
      <w:r>
        <w:rPr>
          <w:rFonts w:hint="eastAsia" w:ascii="Times New Roman" w:hAnsi="Times New Roman" w:eastAsia="黑体"/>
          <w:color w:val="auto"/>
          <w:sz w:val="44"/>
          <w:szCs w:val="44"/>
          <w:highlight w:val="none"/>
        </w:rPr>
        <w:t>第</w:t>
      </w:r>
      <w:r>
        <w:rPr>
          <w:rFonts w:hint="eastAsia" w:eastAsia="黑体"/>
          <w:color w:val="auto"/>
          <w:sz w:val="44"/>
          <w:szCs w:val="44"/>
          <w:highlight w:val="none"/>
          <w:lang w:eastAsia="zh-CN"/>
        </w:rPr>
        <w:t>三</w:t>
      </w:r>
      <w:r>
        <w:rPr>
          <w:rFonts w:hint="eastAsia" w:ascii="Times New Roman" w:hAnsi="Times New Roman" w:eastAsia="黑体"/>
          <w:color w:val="auto"/>
          <w:sz w:val="44"/>
          <w:szCs w:val="44"/>
          <w:highlight w:val="none"/>
        </w:rPr>
        <w:t>部分</w:t>
      </w:r>
      <w:r>
        <w:rPr>
          <w:rFonts w:hint="eastAsia" w:ascii="Times New Roman" w:hAnsi="Times New Roman" w:eastAsia="黑体"/>
          <w:color w:val="auto"/>
          <w:sz w:val="44"/>
          <w:szCs w:val="44"/>
          <w:highlight w:val="none"/>
          <w:lang w:val="en-US" w:eastAsia="zh-CN"/>
        </w:rPr>
        <w:t xml:space="preserve"> </w:t>
      </w:r>
      <w:r>
        <w:rPr>
          <w:rFonts w:hint="eastAsia" w:eastAsia="黑体"/>
          <w:color w:val="auto"/>
          <w:sz w:val="44"/>
          <w:szCs w:val="44"/>
          <w:highlight w:val="none"/>
          <w:lang w:val="en-US" w:eastAsia="zh-CN"/>
        </w:rPr>
        <w:t xml:space="preserve"> </w:t>
      </w:r>
      <w:r>
        <w:rPr>
          <w:rFonts w:hint="eastAsia" w:ascii="Times New Roman" w:hAnsi="Times New Roman" w:eastAsia="黑体"/>
          <w:color w:val="auto"/>
          <w:sz w:val="44"/>
          <w:szCs w:val="44"/>
          <w:highlight w:val="none"/>
        </w:rPr>
        <w:t>名词解释</w:t>
      </w:r>
      <w:bookmarkEnd w:id="46"/>
      <w:bookmarkEnd w:id="47"/>
    </w:p>
    <w:p w14:paraId="5C8053CC">
      <w:pPr>
        <w:spacing w:line="600" w:lineRule="exact"/>
        <w:jc w:val="left"/>
        <w:rPr>
          <w:rFonts w:ascii="Times New Roman" w:hAnsi="Times New Roman"/>
          <w:b/>
          <w:color w:val="auto"/>
          <w:sz w:val="44"/>
          <w:szCs w:val="44"/>
          <w:highlight w:val="none"/>
        </w:rPr>
      </w:pPr>
    </w:p>
    <w:p w14:paraId="2140B670">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1.财政拨款收入：指单位从同级财政部门取得的财政预算资金。</w:t>
      </w:r>
    </w:p>
    <w:p w14:paraId="21082D32">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2.事业收入：指事业单位开展专业业务活动及辅助活动取得的收入。</w:t>
      </w:r>
    </w:p>
    <w:p w14:paraId="03BA6594">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3.经营收入：指事业单位在专业业务活动及其辅助活动之外开展非独立核算经营活动取得的收入。</w:t>
      </w:r>
    </w:p>
    <w:p w14:paraId="4AFB2999">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 xml:space="preserve">4.其他收入：指单位取得的除上述收入以外的各项收入。 </w:t>
      </w:r>
    </w:p>
    <w:p w14:paraId="65EF8778">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 xml:space="preserve">5.使用非财政拨款结余（含专用结余）：指事业单位使用以前年度积累的非财政拨款结余弥补当年收支差额的金额。 </w:t>
      </w:r>
    </w:p>
    <w:p w14:paraId="061369C7">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 xml:space="preserve">6.年初结转和结余：指以前年度尚未完成、结转到本年按有关规定继续使用的资金。 </w:t>
      </w:r>
    </w:p>
    <w:p w14:paraId="061D1E9B">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7.结余分配：指事业单位按照会计制度规定缴纳的所得税、提取的专用结余以及转入非财政拨款结余的金额等。</w:t>
      </w:r>
    </w:p>
    <w:p w14:paraId="427261C7">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8.年末结转和结余：指单位按有关规定结转到下年或以后年度继续使用的资金。</w:t>
      </w:r>
    </w:p>
    <w:p w14:paraId="53E261DE">
      <w:pPr>
        <w:spacing w:line="600" w:lineRule="exact"/>
        <w:ind w:firstLine="640"/>
        <w:rPr>
          <w:rFonts w:hint="eastAsia" w:ascii="仿宋_GB2312" w:eastAsia="仿宋_GB2312"/>
          <w:sz w:val="32"/>
          <w:szCs w:val="32"/>
          <w:lang w:eastAsia="zh-CN"/>
        </w:rPr>
      </w:pPr>
      <w:r>
        <w:rPr>
          <w:rFonts w:hint="eastAsia" w:eastAsia="仿宋_GB2312" w:cs="仿宋_GB2312"/>
          <w:color w:val="auto"/>
          <w:kern w:val="2"/>
          <w:sz w:val="32"/>
          <w:szCs w:val="32"/>
          <w:highlight w:val="none"/>
          <w:lang w:val="en-US" w:eastAsia="zh-CN" w:bidi="ar-SA"/>
        </w:rPr>
        <w:t>9.</w:t>
      </w:r>
      <w:r>
        <w:rPr>
          <w:rFonts w:hint="eastAsia" w:ascii="仿宋_GB2312" w:eastAsia="仿宋_GB2312"/>
          <w:sz w:val="32"/>
          <w:szCs w:val="32"/>
        </w:rPr>
        <w:t>社会保障和就业（类）</w:t>
      </w:r>
      <w:r>
        <w:rPr>
          <w:rFonts w:hint="eastAsia" w:ascii="仿宋_GB2312" w:eastAsia="仿宋_GB2312"/>
          <w:sz w:val="32"/>
          <w:szCs w:val="32"/>
          <w:lang w:eastAsia="zh-CN"/>
        </w:rPr>
        <w:t>行政事业单位养老支出</w:t>
      </w:r>
      <w:r>
        <w:rPr>
          <w:rFonts w:hint="eastAsia" w:ascii="仿宋_GB2312" w:eastAsia="仿宋_GB2312"/>
          <w:sz w:val="32"/>
          <w:szCs w:val="32"/>
        </w:rPr>
        <w:t>（款）</w:t>
      </w:r>
      <w:r>
        <w:rPr>
          <w:rFonts w:hint="eastAsia" w:eastAsia="仿宋_GB2312" w:cs="仿宋_GB2312"/>
          <w:color w:val="auto"/>
          <w:kern w:val="2"/>
          <w:sz w:val="32"/>
          <w:szCs w:val="32"/>
          <w:highlight w:val="none"/>
          <w:lang w:val="en-US" w:eastAsia="zh-CN" w:bidi="ar-SA"/>
        </w:rPr>
        <w:t>机关事业单位基本养老保险缴费支出</w:t>
      </w:r>
      <w:r>
        <w:rPr>
          <w:rFonts w:hint="eastAsia" w:ascii="仿宋_GB2312" w:eastAsia="仿宋_GB2312"/>
          <w:sz w:val="32"/>
          <w:szCs w:val="32"/>
        </w:rPr>
        <w:t>（项）</w:t>
      </w:r>
      <w:r>
        <w:rPr>
          <w:rFonts w:hint="eastAsia" w:ascii="仿宋_GB2312" w:eastAsia="仿宋_GB2312"/>
          <w:sz w:val="32"/>
          <w:szCs w:val="32"/>
          <w:lang w:eastAsia="zh-CN"/>
        </w:rPr>
        <w:t>：反映机关事业单位实施养老保险制度由单位缴纳的基本养老保险费支出。</w:t>
      </w:r>
    </w:p>
    <w:p w14:paraId="56F2DD9C">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10</w:t>
      </w:r>
      <w:r>
        <w:rPr>
          <w:rFonts w:hint="eastAsia" w:ascii="仿宋_GB2312" w:eastAsia="仿宋_GB2312"/>
          <w:sz w:val="32"/>
          <w:szCs w:val="32"/>
          <w:lang w:val="en-US" w:eastAsia="zh-CN"/>
        </w:rPr>
        <w:t>.</w:t>
      </w:r>
      <w:r>
        <w:rPr>
          <w:rFonts w:hint="eastAsia" w:ascii="仿宋_GB2312" w:eastAsia="仿宋_GB2312"/>
          <w:sz w:val="32"/>
          <w:szCs w:val="32"/>
        </w:rPr>
        <w:t>社会保障和就业（类）红十字事业（款）行政运行（项）</w:t>
      </w:r>
      <w:r>
        <w:rPr>
          <w:rFonts w:hint="eastAsia" w:ascii="仿宋_GB2312" w:eastAsia="仿宋_GB2312"/>
          <w:sz w:val="32"/>
          <w:szCs w:val="32"/>
          <w:lang w:eastAsia="zh-CN"/>
        </w:rPr>
        <w:t>：</w:t>
      </w:r>
      <w:r>
        <w:rPr>
          <w:rFonts w:hint="eastAsia" w:ascii="仿宋_GB2312" w:eastAsia="仿宋_GB2312"/>
          <w:sz w:val="32"/>
          <w:szCs w:val="32"/>
        </w:rPr>
        <w:t>反映行政单位（包括实行公务员管理的事业单位）的基本支出</w:t>
      </w:r>
      <w:r>
        <w:rPr>
          <w:rFonts w:hint="eastAsia" w:eastAsia="仿宋_GB2312" w:cs="仿宋_GB2312"/>
          <w:color w:val="auto"/>
          <w:kern w:val="2"/>
          <w:sz w:val="32"/>
          <w:szCs w:val="32"/>
          <w:highlight w:val="none"/>
          <w:lang w:val="en-US" w:eastAsia="zh-CN" w:bidi="ar-SA"/>
        </w:rPr>
        <w:t>。</w:t>
      </w:r>
    </w:p>
    <w:p w14:paraId="2E5A25F8">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11</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社会保障和就业支出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红十字事业</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事业运行</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：反映事业单位的基本支出，不包括行政单位</w:t>
      </w:r>
      <w:r>
        <w:rPr>
          <w:rFonts w:hint="eastAsia" w:ascii="仿宋_GB2312" w:eastAsia="仿宋_GB2312"/>
          <w:sz w:val="32"/>
          <w:szCs w:val="32"/>
        </w:rPr>
        <w:t>（包括实行公务员管理的事业单位）</w:t>
      </w:r>
      <w:r>
        <w:rPr>
          <w:rFonts w:hint="eastAsia" w:ascii="仿宋_GB2312" w:eastAsia="仿宋_GB2312"/>
          <w:sz w:val="32"/>
          <w:szCs w:val="32"/>
          <w:lang w:eastAsia="zh-CN"/>
        </w:rPr>
        <w:t>后勤服务中心、医务室等附属事业单位</w:t>
      </w:r>
      <w:r>
        <w:rPr>
          <w:rFonts w:hint="eastAsia" w:eastAsia="仿宋_GB2312" w:cs="仿宋_GB2312"/>
          <w:color w:val="auto"/>
          <w:kern w:val="2"/>
          <w:sz w:val="32"/>
          <w:szCs w:val="32"/>
          <w:highlight w:val="none"/>
          <w:lang w:val="en-US" w:eastAsia="zh-CN" w:bidi="ar-SA"/>
        </w:rPr>
        <w:t>。</w:t>
      </w:r>
    </w:p>
    <w:p w14:paraId="64135AE6">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12</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卫生健康支出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行政事业单位医疗</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行政单位医疗</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：反映财政部门安排的行政单位</w:t>
      </w:r>
      <w:r>
        <w:rPr>
          <w:rFonts w:hint="eastAsia" w:ascii="仿宋_GB2312" w:eastAsia="仿宋_GB2312"/>
          <w:sz w:val="32"/>
          <w:szCs w:val="32"/>
        </w:rPr>
        <w:t>（包括实行公务员管理的事业单位</w:t>
      </w:r>
      <w:r>
        <w:rPr>
          <w:rFonts w:hint="eastAsia" w:ascii="仿宋_GB2312" w:eastAsia="仿宋_GB2312"/>
          <w:sz w:val="32"/>
          <w:szCs w:val="32"/>
          <w:lang w:eastAsia="zh-CN"/>
        </w:rPr>
        <w:t>，下同</w:t>
      </w:r>
      <w:r>
        <w:rPr>
          <w:rFonts w:hint="eastAsia" w:ascii="仿宋_GB2312" w:eastAsia="仿宋_GB2312"/>
          <w:sz w:val="32"/>
          <w:szCs w:val="32"/>
        </w:rPr>
        <w:t>）</w:t>
      </w:r>
      <w:r>
        <w:rPr>
          <w:rFonts w:hint="eastAsia" w:ascii="仿宋_GB2312" w:eastAsia="仿宋_GB2312"/>
          <w:sz w:val="32"/>
          <w:szCs w:val="32"/>
          <w:lang w:eastAsia="zh-CN"/>
        </w:rPr>
        <w:t>基本医疗保险缴费经费，未参加医疗保险的行政单位的公费医疗经费，按国家规定享受离休人员、红军老战士待遇人员的医疗经费</w:t>
      </w:r>
      <w:r>
        <w:rPr>
          <w:rFonts w:hint="eastAsia" w:eastAsia="仿宋_GB2312" w:cs="仿宋_GB2312"/>
          <w:color w:val="auto"/>
          <w:kern w:val="2"/>
          <w:sz w:val="32"/>
          <w:szCs w:val="32"/>
          <w:highlight w:val="none"/>
          <w:lang w:val="en-US" w:eastAsia="zh-CN" w:bidi="ar-SA"/>
        </w:rPr>
        <w:t>。</w:t>
      </w:r>
    </w:p>
    <w:p w14:paraId="2F0AD3B8">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13</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卫生健康支出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行政事业单位医疗</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事业单位医疗</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：反映财政部门安排的事业单位基本医疗保险缴费经费，未参加医疗保险的事业单位的公费医疗经费，按国家规定享受离休人员待遇的医疗经费。</w:t>
      </w:r>
    </w:p>
    <w:p w14:paraId="439FED31">
      <w:pPr>
        <w:spacing w:line="600" w:lineRule="exact"/>
        <w:ind w:firstLine="640"/>
        <w:rPr>
          <w:rFonts w:hint="eastAsia" w:ascii="仿宋_GB2312" w:eastAsia="仿宋_GB2312"/>
          <w:sz w:val="32"/>
          <w:szCs w:val="32"/>
        </w:rPr>
      </w:pPr>
      <w:r>
        <w:rPr>
          <w:rFonts w:hint="eastAsia" w:eastAsia="仿宋_GB2312" w:cs="仿宋_GB2312"/>
          <w:color w:val="auto"/>
          <w:kern w:val="2"/>
          <w:sz w:val="32"/>
          <w:szCs w:val="32"/>
          <w:highlight w:val="none"/>
          <w:lang w:val="en-US" w:eastAsia="zh-CN" w:bidi="ar-SA"/>
        </w:rPr>
        <w:t>14</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卫生健康支出</w:t>
      </w:r>
      <w:r>
        <w:rPr>
          <w:rFonts w:hint="eastAsia" w:ascii="Times New Roman" w:hAnsi="Times New Roman" w:eastAsia="仿宋_GB2312" w:cs="仿宋_GB2312"/>
          <w:color w:val="auto"/>
          <w:kern w:val="2"/>
          <w:sz w:val="32"/>
          <w:szCs w:val="32"/>
          <w:highlight w:val="none"/>
          <w:lang w:val="en-US" w:eastAsia="zh-CN" w:bidi="ar-SA"/>
        </w:rPr>
        <w:t>（类）</w:t>
      </w:r>
      <w:r>
        <w:rPr>
          <w:rFonts w:hint="eastAsia" w:eastAsia="仿宋_GB2312" w:cs="仿宋_GB2312"/>
          <w:color w:val="auto"/>
          <w:kern w:val="2"/>
          <w:sz w:val="32"/>
          <w:szCs w:val="32"/>
          <w:highlight w:val="none"/>
          <w:lang w:val="en-US" w:eastAsia="zh-CN" w:bidi="ar-SA"/>
        </w:rPr>
        <w:t>行政事业单位医疗</w:t>
      </w:r>
      <w:r>
        <w:rPr>
          <w:rFonts w:hint="eastAsia" w:ascii="Times New Roman" w:hAnsi="Times New Roman" w:eastAsia="仿宋_GB2312" w:cs="仿宋_GB2312"/>
          <w:color w:val="auto"/>
          <w:kern w:val="2"/>
          <w:sz w:val="32"/>
          <w:szCs w:val="32"/>
          <w:highlight w:val="none"/>
          <w:lang w:val="en-US" w:eastAsia="zh-CN" w:bidi="ar-SA"/>
        </w:rPr>
        <w:t>（款）</w:t>
      </w:r>
      <w:r>
        <w:rPr>
          <w:rFonts w:hint="eastAsia" w:eastAsia="仿宋_GB2312" w:cs="仿宋_GB2312"/>
          <w:color w:val="auto"/>
          <w:kern w:val="2"/>
          <w:sz w:val="32"/>
          <w:szCs w:val="32"/>
          <w:highlight w:val="none"/>
          <w:lang w:val="en-US" w:eastAsia="zh-CN" w:bidi="ar-SA"/>
        </w:rPr>
        <w:t>公务员医疗补助</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：反映财政部门安排的公务员医疗补助经费。</w:t>
      </w:r>
    </w:p>
    <w:p w14:paraId="2FD920B6">
      <w:pPr>
        <w:ind w:firstLine="640" w:firstLineChars="20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15</w:t>
      </w:r>
      <w:r>
        <w:rPr>
          <w:rFonts w:hint="eastAsia" w:ascii="Times New Roman" w:hAnsi="Times New Roman" w:eastAsia="仿宋_GB2312" w:cs="仿宋_GB2312"/>
          <w:color w:val="auto"/>
          <w:kern w:val="2"/>
          <w:sz w:val="32"/>
          <w:szCs w:val="32"/>
          <w:highlight w:val="none"/>
          <w:lang w:val="en-US" w:eastAsia="zh-CN" w:bidi="ar-SA"/>
        </w:rPr>
        <w:t>.</w:t>
      </w:r>
      <w:r>
        <w:rPr>
          <w:rFonts w:hint="eastAsia" w:ascii="仿宋_GB2312" w:eastAsia="仿宋_GB2312"/>
          <w:sz w:val="32"/>
          <w:szCs w:val="32"/>
        </w:rPr>
        <w:t>住房保障支出（类）住房改革支出（款）住房公积金（项）：反映行政事业单位按人力资源和社会保障部、财政部规定的基本工资和津贴补贴以及规定比例为职工缴纳的住房公积金。</w:t>
      </w:r>
    </w:p>
    <w:p w14:paraId="64B77423">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16</w:t>
      </w:r>
      <w:r>
        <w:rPr>
          <w:rFonts w:hint="eastAsia" w:ascii="Times New Roman" w:hAnsi="Times New Roman" w:eastAsia="仿宋_GB2312" w:cs="仿宋_GB2312"/>
          <w:color w:val="auto"/>
          <w:kern w:val="2"/>
          <w:sz w:val="32"/>
          <w:szCs w:val="32"/>
          <w:highlight w:val="none"/>
          <w:lang w:val="en-US" w:eastAsia="zh-CN" w:bidi="ar-SA"/>
        </w:rPr>
        <w:t>.基本支出：指为保障机构正常运转、完成日常工作任务而发生的人员支出和公用支出。</w:t>
      </w:r>
    </w:p>
    <w:p w14:paraId="346F70C4">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17</w:t>
      </w:r>
      <w:r>
        <w:rPr>
          <w:rFonts w:hint="eastAsia" w:ascii="Times New Roman" w:hAnsi="Times New Roman" w:eastAsia="仿宋_GB2312" w:cs="仿宋_GB2312"/>
          <w:color w:val="auto"/>
          <w:kern w:val="2"/>
          <w:sz w:val="32"/>
          <w:szCs w:val="32"/>
          <w:highlight w:val="none"/>
          <w:lang w:val="en-US" w:eastAsia="zh-CN" w:bidi="ar-SA"/>
        </w:rPr>
        <w:t xml:space="preserve">.项目支出：指在基本支出之外为完成特定行政任务和事业发展目标所发生的支出。 </w:t>
      </w:r>
    </w:p>
    <w:p w14:paraId="3F6F1B03">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18</w:t>
      </w:r>
      <w:r>
        <w:rPr>
          <w:rFonts w:hint="eastAsia" w:ascii="Times New Roman" w:hAnsi="Times New Roman" w:eastAsia="仿宋_GB2312" w:cs="仿宋_GB2312"/>
          <w:color w:val="auto"/>
          <w:kern w:val="2"/>
          <w:sz w:val="32"/>
          <w:szCs w:val="32"/>
          <w:highlight w:val="none"/>
          <w:lang w:val="en-US" w:eastAsia="zh-CN" w:bidi="ar-SA"/>
        </w:rPr>
        <w:t>.经营支出：指事业单位在专业业务活动及其辅助活动之外开展非独立核算经营活动发生的支出。</w:t>
      </w:r>
    </w:p>
    <w:p w14:paraId="4FBB1BAF">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19</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三公</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13396EB4">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20</w:t>
      </w:r>
      <w:r>
        <w:rPr>
          <w:rFonts w:hint="eastAsia" w:ascii="Times New Roman" w:hAnsi="Times New Roman" w:eastAsia="仿宋_GB2312" w:cs="仿宋_GB2312"/>
          <w:color w:val="auto"/>
          <w:kern w:val="2"/>
          <w:sz w:val="32"/>
          <w:szCs w:val="32"/>
          <w:highlight w:val="none"/>
          <w:lang w:val="en-US" w:eastAsia="zh-CN" w:bidi="ar-SA"/>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7DC76C05">
      <w:pPr>
        <w:spacing w:line="600" w:lineRule="exact"/>
        <w:jc w:val="center"/>
        <w:rPr>
          <w:rStyle w:val="29"/>
          <w:rFonts w:hint="eastAsia" w:ascii="Times New Roman" w:hAnsi="Times New Roman" w:eastAsia="黑体"/>
          <w:b w:val="0"/>
          <w:color w:val="auto"/>
          <w:highlight w:val="none"/>
          <w:lang w:eastAsia="zh-CN"/>
        </w:rPr>
      </w:pPr>
      <w:bookmarkStart w:id="48" w:name="_Toc15377226"/>
      <w:r>
        <w:rPr>
          <w:rFonts w:hint="eastAsia" w:ascii="Times New Roman" w:hAnsi="Times New Roman" w:eastAsia="仿宋_GB2312" w:cs="仿宋_GB2312"/>
          <w:color w:val="auto"/>
          <w:kern w:val="2"/>
          <w:sz w:val="32"/>
          <w:szCs w:val="32"/>
          <w:highlight w:val="none"/>
          <w:lang w:val="en-US" w:eastAsia="zh-CN" w:bidi="ar-SA"/>
        </w:rPr>
        <w:br w:type="page"/>
      </w:r>
      <w:bookmarkStart w:id="49" w:name="_Toc15396614"/>
      <w:r>
        <w:rPr>
          <w:rFonts w:hint="eastAsia" w:ascii="Times New Roman" w:hAnsi="Times New Roman" w:eastAsia="黑体"/>
          <w:color w:val="auto"/>
          <w:sz w:val="44"/>
          <w:szCs w:val="44"/>
          <w:highlight w:val="none"/>
        </w:rPr>
        <w:t>第四部分</w:t>
      </w:r>
      <w:r>
        <w:rPr>
          <w:rFonts w:hint="eastAsia" w:ascii="Times New Roman" w:hAnsi="Times New Roman" w:eastAsia="黑体"/>
          <w:color w:val="auto"/>
          <w:sz w:val="44"/>
          <w:szCs w:val="44"/>
          <w:highlight w:val="none"/>
          <w:lang w:val="en-US" w:eastAsia="zh-CN"/>
        </w:rPr>
        <w:t xml:space="preserve"> </w:t>
      </w:r>
      <w:r>
        <w:rPr>
          <w:rFonts w:hint="eastAsia" w:ascii="Times New Roman" w:hAnsi="Times New Roman" w:eastAsia="黑体"/>
          <w:color w:val="auto"/>
          <w:sz w:val="44"/>
          <w:szCs w:val="44"/>
          <w:highlight w:val="none"/>
        </w:rPr>
        <w:t xml:space="preserve"> 附件</w:t>
      </w:r>
      <w:bookmarkEnd w:id="49"/>
    </w:p>
    <w:p w14:paraId="51F75EEF">
      <w:pPr>
        <w:keepNext w:val="0"/>
        <w:keepLines w:val="0"/>
        <w:pageBreakBefore w:val="0"/>
        <w:kinsoku/>
        <w:wordWrap/>
        <w:overflowPunct/>
        <w:topLinePunct w:val="0"/>
        <w:autoSpaceDE/>
        <w:autoSpaceDN/>
        <w:bidi w:val="0"/>
        <w:spacing w:line="572" w:lineRule="exact"/>
        <w:jc w:val="left"/>
        <w:textAlignment w:val="auto"/>
        <w:outlineLvl w:val="0"/>
        <w:rPr>
          <w:rFonts w:hint="eastAsia" w:ascii="Times New Roman" w:hAnsi="Times New Roman" w:eastAsia="黑体" w:cs="黑体"/>
          <w:color w:val="FF0000"/>
          <w:sz w:val="32"/>
          <w:szCs w:val="32"/>
          <w:highlight w:val="none"/>
        </w:rPr>
      </w:pPr>
    </w:p>
    <w:p w14:paraId="270A85E3">
      <w:pPr>
        <w:keepNext w:val="0"/>
        <w:keepLines w:val="0"/>
        <w:pageBreakBefore w:val="0"/>
        <w:kinsoku/>
        <w:wordWrap/>
        <w:overflowPunct/>
        <w:topLinePunct w:val="0"/>
        <w:autoSpaceDE/>
        <w:autoSpaceDN/>
        <w:bidi w:val="0"/>
        <w:spacing w:line="572" w:lineRule="exact"/>
        <w:jc w:val="left"/>
        <w:textAlignment w:val="auto"/>
        <w:outlineLvl w:val="0"/>
        <w:rPr>
          <w:rFonts w:hint="eastAsia" w:ascii="Times New Roman" w:hAnsi="Times New Roman" w:eastAsia="黑体" w:cs="方正小标宋简体"/>
          <w:color w:val="auto"/>
          <w:sz w:val="44"/>
          <w:szCs w:val="44"/>
          <w:highlight w:val="none"/>
          <w:lang w:val="en-US" w:eastAsia="zh-CN"/>
        </w:rPr>
      </w:pPr>
      <w:r>
        <w:rPr>
          <w:rFonts w:hint="eastAsia" w:ascii="Times New Roman" w:hAnsi="Times New Roman" w:eastAsia="黑体" w:cs="黑体"/>
          <w:color w:val="auto"/>
          <w:sz w:val="32"/>
          <w:szCs w:val="32"/>
          <w:highlight w:val="none"/>
        </w:rPr>
        <w:t>附件</w:t>
      </w:r>
      <w:r>
        <w:rPr>
          <w:rFonts w:hint="eastAsia" w:ascii="Times New Roman" w:hAnsi="Times New Roman" w:eastAsia="黑体" w:cs="黑体"/>
          <w:color w:val="auto"/>
          <w:sz w:val="32"/>
          <w:szCs w:val="32"/>
          <w:highlight w:val="none"/>
          <w:lang w:val="en-US" w:eastAsia="zh-CN"/>
        </w:rPr>
        <w:t>1</w:t>
      </w:r>
    </w:p>
    <w:p w14:paraId="36BD4CE3">
      <w:pPr>
        <w:keepNext w:val="0"/>
        <w:keepLines w:val="0"/>
        <w:pageBreakBefore w:val="0"/>
        <w:widowControl/>
        <w:kinsoku/>
        <w:wordWrap/>
        <w:overflowPunct/>
        <w:topLinePunct w:val="0"/>
        <w:autoSpaceDE/>
        <w:autoSpaceDN/>
        <w:bidi w:val="0"/>
        <w:spacing w:line="578" w:lineRule="exact"/>
        <w:contextualSpacing/>
        <w:jc w:val="center"/>
        <w:textAlignment w:val="auto"/>
        <w:outlineLvl w:val="9"/>
        <w:rPr>
          <w:rFonts w:hint="default" w:ascii="Times New Roman" w:hAnsi="Times New Roman" w:eastAsia="方正小标宋简体" w:cs="Times New Roman"/>
          <w:b w:val="0"/>
          <w:bCs/>
          <w:sz w:val="44"/>
          <w:szCs w:val="44"/>
          <w:highlight w:val="none"/>
          <w:shd w:val="clear" w:color="auto" w:fill="FFFFFF"/>
        </w:rPr>
      </w:pPr>
    </w:p>
    <w:p w14:paraId="20860A4B">
      <w:pPr>
        <w:keepNext w:val="0"/>
        <w:keepLines w:val="0"/>
        <w:pageBreakBefore w:val="0"/>
        <w:widowControl/>
        <w:kinsoku/>
        <w:wordWrap/>
        <w:overflowPunct/>
        <w:topLinePunct w:val="0"/>
        <w:autoSpaceDE/>
        <w:autoSpaceDN/>
        <w:bidi w:val="0"/>
        <w:spacing w:line="578" w:lineRule="exact"/>
        <w:contextualSpacing/>
        <w:jc w:val="center"/>
        <w:textAlignment w:val="auto"/>
        <w:outlineLvl w:val="9"/>
        <w:rPr>
          <w:rFonts w:hint="default" w:ascii="Times New Roman" w:hAnsi="Times New Roman" w:eastAsia="方正小标宋简体" w:cs="Times New Roman"/>
          <w:b w:val="0"/>
          <w:bCs/>
          <w:sz w:val="44"/>
          <w:szCs w:val="44"/>
          <w:highlight w:val="none"/>
          <w:shd w:val="clear" w:color="auto" w:fill="FFFFFF"/>
        </w:rPr>
      </w:pPr>
      <w:r>
        <w:rPr>
          <w:rFonts w:hint="default" w:ascii="Times New Roman" w:hAnsi="Times New Roman" w:eastAsia="方正小标宋简体" w:cs="Times New Roman"/>
          <w:b w:val="0"/>
          <w:bCs/>
          <w:sz w:val="44"/>
          <w:szCs w:val="44"/>
          <w:highlight w:val="none"/>
          <w:shd w:val="clear" w:color="auto" w:fill="FFFFFF"/>
        </w:rPr>
        <w:t>部门</w:t>
      </w:r>
      <w:r>
        <w:rPr>
          <w:rFonts w:hint="default" w:ascii="Times New Roman" w:hAnsi="Times New Roman" w:eastAsia="方正小标宋简体" w:cs="Times New Roman"/>
          <w:b w:val="0"/>
          <w:bCs/>
          <w:sz w:val="44"/>
          <w:szCs w:val="44"/>
          <w:highlight w:val="none"/>
          <w:shd w:val="clear" w:color="auto" w:fill="FFFFFF"/>
          <w:lang w:eastAsia="zh-CN"/>
        </w:rPr>
        <w:t>预算</w:t>
      </w:r>
      <w:r>
        <w:rPr>
          <w:rFonts w:hint="default" w:ascii="Times New Roman" w:hAnsi="Times New Roman" w:eastAsia="方正小标宋简体" w:cs="Times New Roman"/>
          <w:b w:val="0"/>
          <w:bCs/>
          <w:sz w:val="44"/>
          <w:szCs w:val="44"/>
          <w:highlight w:val="none"/>
          <w:shd w:val="clear" w:color="auto" w:fill="FFFFFF"/>
        </w:rPr>
        <w:t>绩效</w:t>
      </w:r>
      <w:r>
        <w:rPr>
          <w:rFonts w:hint="eastAsia" w:ascii="Times New Roman" w:hAnsi="Times New Roman" w:eastAsia="方正小标宋简体" w:cs="Times New Roman"/>
          <w:b w:val="0"/>
          <w:bCs/>
          <w:sz w:val="44"/>
          <w:szCs w:val="44"/>
          <w:highlight w:val="none"/>
          <w:shd w:val="clear" w:color="auto" w:fill="FFFFFF"/>
          <w:lang w:eastAsia="zh-CN"/>
        </w:rPr>
        <w:t>评价</w:t>
      </w:r>
      <w:r>
        <w:rPr>
          <w:rFonts w:hint="default" w:ascii="Times New Roman" w:hAnsi="Times New Roman" w:eastAsia="方正小标宋简体" w:cs="Times New Roman"/>
          <w:b w:val="0"/>
          <w:bCs/>
          <w:sz w:val="44"/>
          <w:szCs w:val="44"/>
          <w:highlight w:val="none"/>
          <w:shd w:val="clear" w:color="auto" w:fill="FFFFFF"/>
        </w:rPr>
        <w:t>报告</w:t>
      </w:r>
    </w:p>
    <w:p w14:paraId="54A6D9D3">
      <w:pPr>
        <w:keepNext w:val="0"/>
        <w:keepLines w:val="0"/>
        <w:pageBreakBefore w:val="0"/>
        <w:widowControl/>
        <w:kinsoku/>
        <w:wordWrap/>
        <w:overflowPunct/>
        <w:topLinePunct w:val="0"/>
        <w:autoSpaceDE/>
        <w:autoSpaceDN/>
        <w:bidi w:val="0"/>
        <w:adjustRightInd w:val="0"/>
        <w:snapToGrid w:val="0"/>
        <w:spacing w:line="578" w:lineRule="exact"/>
        <w:ind w:firstLine="480" w:firstLineChars="200"/>
        <w:contextualSpacing/>
        <w:jc w:val="left"/>
        <w:textAlignment w:val="auto"/>
        <w:outlineLvl w:val="9"/>
        <w:rPr>
          <w:rFonts w:hint="default" w:ascii="Times New Roman" w:hAnsi="Times New Roman" w:eastAsia="黑体" w:cs="Times New Roman"/>
          <w:color w:val="000000"/>
          <w:kern w:val="0"/>
          <w:sz w:val="24"/>
          <w:szCs w:val="32"/>
          <w:highlight w:val="none"/>
          <w:shd w:val="clear" w:color="auto" w:fill="FFFFFF"/>
        </w:rPr>
      </w:pPr>
    </w:p>
    <w:p w14:paraId="3A2FF643">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ascii="Times New Roman" w:hAnsi="Times New Roman" w:eastAsia="黑体" w:cs="Times New Roman"/>
          <w:color w:val="000000"/>
          <w:kern w:val="0"/>
          <w:sz w:val="32"/>
          <w:szCs w:val="32"/>
          <w:highlight w:val="none"/>
          <w:shd w:val="clear" w:color="auto" w:fill="FFFFFF"/>
          <w:lang w:val="zh-CN"/>
        </w:rPr>
      </w:pPr>
      <w:r>
        <w:rPr>
          <w:rFonts w:hint="eastAsia" w:ascii="Times New Roman" w:hAnsi="Times New Roman" w:eastAsia="黑体" w:cs="Times New Roman"/>
          <w:color w:val="000000"/>
          <w:kern w:val="0"/>
          <w:sz w:val="32"/>
          <w:szCs w:val="32"/>
          <w:highlight w:val="none"/>
          <w:shd w:val="clear" w:color="auto" w:fill="FFFFFF"/>
          <w:lang w:val="zh-CN"/>
        </w:rPr>
        <w:t>一、</w:t>
      </w:r>
      <w:r>
        <w:rPr>
          <w:rFonts w:hint="default" w:ascii="Times New Roman" w:hAnsi="Times New Roman" w:eastAsia="黑体" w:cs="Times New Roman"/>
          <w:color w:val="000000"/>
          <w:kern w:val="0"/>
          <w:sz w:val="32"/>
          <w:szCs w:val="32"/>
          <w:highlight w:val="none"/>
          <w:shd w:val="clear" w:color="auto" w:fill="FFFFFF"/>
          <w:lang w:val="zh-CN"/>
        </w:rPr>
        <w:t>部门（单位）基本情况</w:t>
      </w:r>
    </w:p>
    <w:p w14:paraId="45DD7276">
      <w:pPr>
        <w:widowControl/>
        <w:adjustRightInd w:val="0"/>
        <w:snapToGrid w:val="0"/>
        <w:spacing w:line="578" w:lineRule="exact"/>
        <w:ind w:firstLine="643" w:firstLineChars="200"/>
        <w:contextualSpacing/>
        <w:jc w:val="left"/>
        <w:rPr>
          <w:rFonts w:ascii="Times New Roman" w:hAnsi="Times New Roman" w:eastAsia="楷体_GB2312" w:cs="Times New Roman"/>
          <w:b/>
          <w:bCs/>
          <w:color w:val="000000"/>
          <w:kern w:val="0"/>
          <w:sz w:val="32"/>
          <w:szCs w:val="32"/>
          <w:shd w:val="clear" w:color="auto" w:fill="FFFFFF"/>
          <w:lang w:val="zh-CN"/>
        </w:rPr>
      </w:pPr>
      <w:bookmarkStart w:id="50" w:name="_Hlk110546638"/>
      <w:r>
        <w:rPr>
          <w:rFonts w:ascii="Times New Roman" w:hAnsi="Times New Roman" w:eastAsia="楷体_GB2312" w:cs="Times New Roman"/>
          <w:b/>
          <w:bCs/>
          <w:color w:val="000000"/>
          <w:kern w:val="0"/>
          <w:sz w:val="32"/>
          <w:szCs w:val="32"/>
          <w:shd w:val="clear" w:color="auto" w:fill="FFFFFF"/>
          <w:lang w:val="zh-CN"/>
        </w:rPr>
        <w:t>（一）机构组成。</w:t>
      </w:r>
    </w:p>
    <w:p w14:paraId="76E48BD0">
      <w:pPr>
        <w:widowControl/>
        <w:adjustRightInd w:val="0"/>
        <w:snapToGrid w:val="0"/>
        <w:spacing w:line="578" w:lineRule="exact"/>
        <w:ind w:firstLine="640" w:firstLineChars="200"/>
        <w:contextualSpacing/>
        <w:jc w:val="left"/>
        <w:rPr>
          <w:rFonts w:hint="eastAsia" w:ascii="Times New Roman" w:hAnsi="Times New Roman" w:eastAsia="仿宋_GB2312" w:cs="仿宋_GB2312"/>
          <w:kern w:val="2"/>
          <w:sz w:val="32"/>
          <w:szCs w:val="32"/>
          <w:lang w:val="en-US" w:eastAsia="zh-CN" w:bidi="ar-SA"/>
        </w:rPr>
      </w:pPr>
      <w:r>
        <w:rPr>
          <w:rFonts w:ascii="仿宋_GB2312" w:hAnsi="Times New Roman" w:eastAsia="仿宋_GB2312" w:cs="Times New Roman"/>
          <w:kern w:val="2"/>
          <w:sz w:val="32"/>
          <w:szCs w:val="32"/>
          <w:lang w:val="en-US" w:eastAsia="zh-CN" w:bidi="ar-SA"/>
        </w:rPr>
        <w:t>攀枝花市红十字会是市委领导下的群团组织，为财政一级预算部门，内设办公室（赈济科）</w:t>
      </w:r>
      <w:r>
        <w:rPr>
          <w:rFonts w:ascii="Times New Roman" w:hAnsi="Times New Roman" w:eastAsia="仿宋_GB2312" w:cs="仿宋_GB2312"/>
          <w:kern w:val="2"/>
          <w:sz w:val="32"/>
          <w:szCs w:val="32"/>
          <w:lang w:val="en-US" w:eastAsia="zh-CN" w:bidi="ar-SA"/>
        </w:rPr>
        <w:t>1</w:t>
      </w:r>
      <w:r>
        <w:rPr>
          <w:rFonts w:ascii="仿宋_GB2312" w:hAnsi="Times New Roman" w:eastAsia="仿宋_GB2312" w:cs="Times New Roman"/>
          <w:kern w:val="2"/>
          <w:sz w:val="32"/>
          <w:szCs w:val="32"/>
          <w:lang w:val="en-US" w:eastAsia="zh-CN" w:bidi="ar-SA"/>
        </w:rPr>
        <w:t>个科室，核定参公事业编制</w:t>
      </w:r>
      <w:r>
        <w:rPr>
          <w:rFonts w:ascii="Times New Roman" w:hAnsi="Times New Roman" w:eastAsia="仿宋_GB2312" w:cs="仿宋_GB2312"/>
          <w:kern w:val="2"/>
          <w:sz w:val="32"/>
          <w:szCs w:val="32"/>
          <w:lang w:val="en-US" w:eastAsia="zh-CN" w:bidi="ar-SA"/>
        </w:rPr>
        <w:t>5</w:t>
      </w:r>
      <w:r>
        <w:rPr>
          <w:rFonts w:ascii="仿宋_GB2312" w:hAnsi="Times New Roman" w:eastAsia="仿宋_GB2312" w:cs="Times New Roman"/>
          <w:kern w:val="2"/>
          <w:sz w:val="32"/>
          <w:szCs w:val="32"/>
          <w:lang w:val="en-US" w:eastAsia="zh-CN" w:bidi="ar-SA"/>
        </w:rPr>
        <w:t>名</w:t>
      </w:r>
      <w:r>
        <w:rPr>
          <w:rFonts w:hint="eastAsia" w:ascii="仿宋_GB2312" w:hAnsi="Times New Roman" w:eastAsia="仿宋_GB2312" w:cs="Times New Roman"/>
          <w:kern w:val="2"/>
          <w:sz w:val="32"/>
          <w:szCs w:val="32"/>
          <w:lang w:val="en-US" w:eastAsia="zh-CN" w:bidi="ar-SA"/>
        </w:rPr>
        <w:t>。</w:t>
      </w:r>
      <w:r>
        <w:rPr>
          <w:rFonts w:ascii="Times New Roman" w:hAnsi="Times New Roman" w:eastAsia="仿宋_GB2312" w:cs="仿宋_GB2312"/>
          <w:kern w:val="2"/>
          <w:sz w:val="32"/>
          <w:szCs w:val="32"/>
          <w:lang w:val="en-US" w:eastAsia="zh-CN" w:bidi="ar-SA"/>
        </w:rPr>
        <w:t>2024</w:t>
      </w:r>
      <w:r>
        <w:rPr>
          <w:rFonts w:ascii="仿宋_GB2312" w:hAnsi="Times New Roman" w:eastAsia="仿宋_GB2312" w:cs="Times New Roman"/>
          <w:kern w:val="2"/>
          <w:sz w:val="32"/>
          <w:szCs w:val="32"/>
          <w:lang w:val="en-US" w:eastAsia="zh-CN" w:bidi="ar-SA"/>
        </w:rPr>
        <w:t>年</w:t>
      </w:r>
      <w:r>
        <w:rPr>
          <w:rFonts w:ascii="Times New Roman" w:hAnsi="Times New Roman" w:eastAsia="仿宋_GB2312" w:cs="仿宋_GB2312"/>
          <w:kern w:val="2"/>
          <w:sz w:val="32"/>
          <w:szCs w:val="32"/>
          <w:lang w:val="en-US" w:eastAsia="zh-CN" w:bidi="ar-SA"/>
        </w:rPr>
        <w:t>8</w:t>
      </w:r>
      <w:r>
        <w:rPr>
          <w:rFonts w:ascii="仿宋_GB2312" w:hAnsi="Times New Roman" w:eastAsia="仿宋_GB2312" w:cs="Times New Roman"/>
          <w:kern w:val="2"/>
          <w:sz w:val="32"/>
          <w:szCs w:val="32"/>
          <w:lang w:val="en-US" w:eastAsia="zh-CN" w:bidi="ar-SA"/>
        </w:rPr>
        <w:t>月成立</w:t>
      </w:r>
      <w:r>
        <w:rPr>
          <w:rFonts w:ascii="Times New Roman" w:hAnsi="Times New Roman" w:eastAsia="仿宋_GB2312" w:cs="仿宋_GB2312"/>
          <w:kern w:val="2"/>
          <w:sz w:val="32"/>
          <w:szCs w:val="32"/>
          <w:lang w:val="en-US" w:eastAsia="zh-CN" w:bidi="ar-SA"/>
        </w:rPr>
        <w:t>攀枝花市红十字会事业发展中心，为市红十字会</w:t>
      </w:r>
      <w:r>
        <w:rPr>
          <w:rFonts w:hint="eastAsia" w:ascii="Times New Roman" w:hAnsi="Times New Roman" w:eastAsia="仿宋_GB2312" w:cs="仿宋_GB2312"/>
          <w:kern w:val="2"/>
          <w:sz w:val="32"/>
          <w:szCs w:val="32"/>
          <w:lang w:val="en-US" w:eastAsia="zh-CN" w:bidi="ar-SA"/>
        </w:rPr>
        <w:t>下属</w:t>
      </w:r>
      <w:r>
        <w:rPr>
          <w:rFonts w:hint="eastAsia" w:ascii="Times New Roman" w:hAnsi="Times New Roman" w:eastAsia="仿宋_GB2312" w:cs="Times New Roman"/>
          <w:kern w:val="2"/>
          <w:sz w:val="32"/>
          <w:szCs w:val="32"/>
          <w:lang w:val="en-US" w:eastAsia="zh-CN" w:bidi="ar-SA"/>
        </w:rPr>
        <w:t>非独立核算</w:t>
      </w:r>
      <w:r>
        <w:rPr>
          <w:rFonts w:ascii="Times New Roman" w:hAnsi="Times New Roman" w:eastAsia="仿宋_GB2312" w:cs="Times New Roman"/>
          <w:kern w:val="2"/>
          <w:sz w:val="32"/>
          <w:szCs w:val="32"/>
          <w:lang w:val="en-US" w:eastAsia="zh-CN" w:bidi="ar-SA"/>
        </w:rPr>
        <w:t>一类公益</w:t>
      </w:r>
      <w:r>
        <w:rPr>
          <w:rFonts w:ascii="Times New Roman" w:hAnsi="Times New Roman" w:eastAsia="仿宋_GB2312" w:cs="仿宋_GB2312"/>
          <w:kern w:val="2"/>
          <w:sz w:val="32"/>
          <w:szCs w:val="32"/>
          <w:lang w:val="en-US" w:eastAsia="zh-CN" w:bidi="ar-SA"/>
        </w:rPr>
        <w:t>事业</w:t>
      </w:r>
      <w:r>
        <w:rPr>
          <w:rFonts w:hint="eastAsia" w:ascii="Times New Roman" w:hAnsi="Times New Roman" w:eastAsia="仿宋_GB2312" w:cs="仿宋_GB2312"/>
          <w:kern w:val="2"/>
          <w:sz w:val="32"/>
          <w:szCs w:val="32"/>
          <w:lang w:val="en-US" w:eastAsia="zh-CN" w:bidi="ar-SA"/>
        </w:rPr>
        <w:t>单位</w:t>
      </w:r>
      <w:r>
        <w:rPr>
          <w:rFonts w:ascii="Times New Roman" w:hAnsi="Times New Roman" w:eastAsia="仿宋_GB2312" w:cs="仿宋_GB2312"/>
          <w:kern w:val="2"/>
          <w:sz w:val="32"/>
          <w:szCs w:val="32"/>
          <w:lang w:val="en-US" w:eastAsia="zh-CN" w:bidi="ar-SA"/>
        </w:rPr>
        <w:t>事业编5人，截止2024年12月实有2人</w:t>
      </w:r>
      <w:r>
        <w:rPr>
          <w:rFonts w:hint="eastAsia" w:ascii="Times New Roman" w:hAnsi="Times New Roman" w:eastAsia="仿宋_GB2312" w:cs="仿宋_GB2312"/>
          <w:kern w:val="2"/>
          <w:sz w:val="32"/>
          <w:szCs w:val="32"/>
          <w:lang w:val="en-US" w:eastAsia="zh-CN" w:bidi="ar-SA"/>
        </w:rPr>
        <w:t>。</w:t>
      </w:r>
    </w:p>
    <w:p w14:paraId="1AA0C016">
      <w:pPr>
        <w:widowControl/>
        <w:numPr>
          <w:ilvl w:val="0"/>
          <w:numId w:val="2"/>
        </w:numPr>
        <w:adjustRightInd w:val="0"/>
        <w:snapToGrid w:val="0"/>
        <w:spacing w:line="578" w:lineRule="exact"/>
        <w:ind w:left="0" w:firstLine="643" w:firstLineChars="200"/>
        <w:contextualSpacing/>
        <w:jc w:val="left"/>
        <w:rPr>
          <w:rFonts w:ascii="Times New Roman" w:hAnsi="Times New Roman" w:eastAsia="楷体_GB2312" w:cs="Times New Roman"/>
          <w:b/>
          <w:bCs/>
          <w:color w:val="000000"/>
          <w:kern w:val="0"/>
          <w:sz w:val="32"/>
          <w:szCs w:val="32"/>
          <w:shd w:val="clear" w:color="auto" w:fill="FFFFFF"/>
          <w:lang w:val="zh-CN"/>
        </w:rPr>
      </w:pPr>
      <w:r>
        <w:rPr>
          <w:rFonts w:ascii="Times New Roman" w:hAnsi="Times New Roman" w:eastAsia="楷体_GB2312" w:cs="Times New Roman"/>
          <w:b/>
          <w:bCs/>
          <w:color w:val="000000"/>
          <w:kern w:val="0"/>
          <w:sz w:val="32"/>
          <w:szCs w:val="32"/>
          <w:shd w:val="clear" w:color="auto" w:fill="FFFFFF"/>
          <w:lang w:val="zh-CN"/>
        </w:rPr>
        <w:t>机构职能。</w:t>
      </w:r>
    </w:p>
    <w:p w14:paraId="61468758">
      <w:pPr>
        <w:spacing w:line="520" w:lineRule="exact"/>
        <w:rPr>
          <w:rFonts w:hint="eastAsia" w:ascii="仿宋_GB2312" w:hAnsi="Times New Roman" w:eastAsia="仿宋_GB2312" w:cs="Times New Roman"/>
          <w:sz w:val="32"/>
          <w:szCs w:val="32"/>
        </w:rPr>
      </w:pPr>
      <w:r>
        <w:rPr>
          <w:rFonts w:hint="eastAsia" w:ascii="Times New Roman" w:hAnsi="Times New Roman" w:eastAsia="仿宋_GB2312" w:cs="Times New Roman"/>
          <w:sz w:val="32"/>
          <w:lang w:val="en-US" w:eastAsia="zh-CN"/>
        </w:rPr>
        <w:t xml:space="preserve">    </w:t>
      </w:r>
      <w:r>
        <w:rPr>
          <w:rFonts w:hint="eastAsia" w:ascii="仿宋_GB2312" w:hAnsi="Times New Roman" w:eastAsia="仿宋_GB2312" w:cs="Times New Roman"/>
          <w:sz w:val="32"/>
          <w:szCs w:val="32"/>
        </w:rPr>
        <w:t>1.贯彻落实《中华人民共和国红十字会法》及我省有关法规，执行《中国红十字会章程》，制定并实施攀枝花市红十字事业发展规划。</w:t>
      </w:r>
    </w:p>
    <w:p w14:paraId="53F2A9C4">
      <w:pPr>
        <w:spacing w:line="520" w:lineRule="exact"/>
        <w:ind w:firstLine="644"/>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2.开展救援救灾的相关工作，建立红十字应急救援体系，在自然灾害、事故灾难、公共卫生事件等突发事件中，向伤病人员和其他受害者提供紧急救援和人道援助。</w:t>
      </w:r>
    </w:p>
    <w:p w14:paraId="354D2588">
      <w:pPr>
        <w:spacing w:line="520" w:lineRule="exact"/>
        <w:ind w:firstLine="644"/>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3.开展应急救护培训，普及应急救护、防灾避险和卫生健康知识，组织红十字志愿者参与现场救护。</w:t>
      </w:r>
    </w:p>
    <w:p w14:paraId="274BEE0F">
      <w:pPr>
        <w:spacing w:line="520" w:lineRule="exact"/>
        <w:ind w:firstLine="644"/>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4.参与、推动无偿献血、遗体和人体器官（组织）捐献工作，参与开展造血干细胞捐献的相关工作。</w:t>
      </w:r>
    </w:p>
    <w:p w14:paraId="16EFD7A5">
      <w:pPr>
        <w:spacing w:line="520" w:lineRule="exact"/>
        <w:ind w:firstLine="644"/>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5.开展人道领域内的社会公益活动，参与基层社会治理，对特殊困难对象进行人道救助。参与或兴办医疗、康复、养老等与红十字会宗旨相符的社会公益事业。</w:t>
      </w:r>
    </w:p>
    <w:p w14:paraId="747E8942">
      <w:pPr>
        <w:spacing w:line="520" w:lineRule="exact"/>
        <w:ind w:firstLine="644"/>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6.依法开展募捐活动。依法依规接受和处理分配捐赠款物。</w:t>
      </w:r>
    </w:p>
    <w:p w14:paraId="350B1690">
      <w:pPr>
        <w:spacing w:line="520" w:lineRule="exact"/>
        <w:ind w:firstLine="644"/>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7.组织开展红十字志愿服务，开展有益于青少年身心健康、弘扬人道主义精神的红十字青少年活动。</w:t>
      </w:r>
    </w:p>
    <w:p w14:paraId="118FCD94">
      <w:pPr>
        <w:spacing w:line="520" w:lineRule="exact"/>
        <w:ind w:firstLine="644"/>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8.在四川省红十字会指导下，参与国（境）外红十字组织的友好合作与交流，参加国际人道主义救助工作。</w:t>
      </w:r>
    </w:p>
    <w:p w14:paraId="38067E0B">
      <w:pPr>
        <w:spacing w:line="520" w:lineRule="exact"/>
        <w:ind w:firstLine="644"/>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9.指导下级红十字会加强自身建设、组织建设和开展各项工作。</w:t>
      </w:r>
    </w:p>
    <w:p w14:paraId="4F89E8E8">
      <w:pPr>
        <w:widowControl w:val="0"/>
        <w:tabs>
          <w:tab w:val="center" w:pos="4153"/>
          <w:tab w:val="right" w:pos="8306"/>
        </w:tabs>
        <w:snapToGrid w:val="0"/>
        <w:ind w:left="0" w:firstLine="640" w:firstLineChars="200"/>
        <w:jc w:val="left"/>
        <w:rPr>
          <w:rFonts w:ascii="Times New Roman" w:hAnsi="Times New Roman" w:eastAsia="宋体" w:cs="Times New Roman"/>
          <w:kern w:val="2"/>
          <w:sz w:val="18"/>
          <w:szCs w:val="18"/>
          <w:lang w:val="en-US" w:eastAsia="zh-CN" w:bidi="ar-SA"/>
        </w:rPr>
      </w:pPr>
      <w:r>
        <w:rPr>
          <w:rFonts w:hint="eastAsia" w:ascii="仿宋_GB2312" w:hAnsi="Times New Roman" w:eastAsia="仿宋_GB2312" w:cs="Times New Roman"/>
          <w:kern w:val="2"/>
          <w:sz w:val="32"/>
          <w:szCs w:val="32"/>
          <w:lang w:val="en-US" w:eastAsia="zh-CN" w:bidi="ar-SA"/>
        </w:rPr>
        <w:t>10.完成市委、市政府和省红十字会交办、委托的其他任务。</w:t>
      </w:r>
    </w:p>
    <w:p w14:paraId="410B8AA3">
      <w:pPr>
        <w:spacing w:line="600" w:lineRule="exact"/>
        <w:ind w:firstLine="643" w:firstLineChars="200"/>
        <w:rPr>
          <w:rFonts w:ascii="Times New Roman" w:hAnsi="Times New Roman" w:eastAsia="楷体_GB2312" w:cs="Times New Roman"/>
          <w:b/>
          <w:bCs/>
          <w:color w:val="000000"/>
          <w:kern w:val="0"/>
          <w:sz w:val="32"/>
          <w:szCs w:val="32"/>
          <w:shd w:val="clear" w:color="auto" w:fill="FFFFFF"/>
          <w:lang w:val="zh-CN"/>
        </w:rPr>
      </w:pPr>
      <w:r>
        <w:rPr>
          <w:rFonts w:ascii="Times New Roman" w:hAnsi="Times New Roman" w:eastAsia="楷体_GB2312" w:cs="Times New Roman"/>
          <w:b/>
          <w:bCs/>
          <w:color w:val="000000"/>
          <w:kern w:val="0"/>
          <w:sz w:val="32"/>
          <w:szCs w:val="32"/>
          <w:shd w:val="clear" w:color="auto" w:fill="FFFFFF"/>
          <w:lang w:val="zh-CN"/>
        </w:rPr>
        <w:t>（三）人员概况。</w:t>
      </w:r>
    </w:p>
    <w:p w14:paraId="13809742">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截至202</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年末，在职职工</w:t>
      </w:r>
      <w:r>
        <w:rPr>
          <w:rFonts w:hint="eastAsia" w:ascii="Times New Roman" w:hAnsi="Times New Roman" w:eastAsia="仿宋_GB2312" w:cs="Times New Roman"/>
          <w:sz w:val="32"/>
          <w:szCs w:val="32"/>
          <w:lang w:val="en-US" w:eastAsia="zh-CN"/>
        </w:rPr>
        <w:t>8</w:t>
      </w:r>
      <w:r>
        <w:rPr>
          <w:rFonts w:ascii="Times New Roman" w:hAnsi="Times New Roman" w:eastAsia="仿宋_GB2312" w:cs="Times New Roman"/>
          <w:sz w:val="32"/>
          <w:szCs w:val="32"/>
        </w:rPr>
        <w:t>名</w:t>
      </w:r>
      <w:r>
        <w:rPr>
          <w:rFonts w:hint="eastAsia" w:ascii="Times New Roman" w:hAnsi="Times New Roman" w:eastAsia="仿宋_GB2312" w:cs="Times New Roman"/>
          <w:sz w:val="32"/>
          <w:szCs w:val="32"/>
          <w:lang w:eastAsia="zh-CN"/>
        </w:rPr>
        <w:t>，其中</w:t>
      </w:r>
      <w:r>
        <w:rPr>
          <w:rFonts w:hint="eastAsia" w:ascii="Times New Roman" w:hAnsi="Times New Roman" w:eastAsia="仿宋_GB2312" w:cs="Times New Roman"/>
          <w:sz w:val="32"/>
          <w:szCs w:val="32"/>
          <w:lang w:val="en-US" w:eastAsia="zh-CN"/>
        </w:rPr>
        <w:t>6名</w:t>
      </w:r>
      <w:r>
        <w:rPr>
          <w:rFonts w:ascii="Times New Roman" w:hAnsi="Times New Roman" w:eastAsia="仿宋_GB2312" w:cs="Times New Roman"/>
          <w:sz w:val="32"/>
          <w:szCs w:val="32"/>
        </w:rPr>
        <w:t>为参公管理</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正县级领导</w:t>
      </w: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名、副县级领导1名，正科级2名，三级主任科员1名</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2名为事业编</w:t>
      </w:r>
      <w:r>
        <w:rPr>
          <w:rFonts w:ascii="Times New Roman" w:hAnsi="Times New Roman" w:eastAsia="仿宋_GB2312" w:cs="Times New Roman"/>
          <w:sz w:val="32"/>
          <w:szCs w:val="32"/>
        </w:rPr>
        <w:t>。</w:t>
      </w:r>
    </w:p>
    <w:p w14:paraId="0580F078">
      <w:pPr>
        <w:widowControl/>
        <w:adjustRightInd w:val="0"/>
        <w:snapToGrid w:val="0"/>
        <w:spacing w:line="578" w:lineRule="exact"/>
        <w:ind w:firstLine="640" w:firstLineChars="200"/>
        <w:contextualSpacing/>
        <w:jc w:val="left"/>
        <w:rPr>
          <w:rFonts w:ascii="Times New Roman" w:hAnsi="Times New Roman" w:eastAsia="黑体" w:cs="Times New Roman"/>
          <w:color w:val="000000"/>
          <w:kern w:val="0"/>
          <w:sz w:val="32"/>
          <w:szCs w:val="32"/>
          <w:shd w:val="clear" w:color="auto" w:fill="FFFFFF"/>
        </w:rPr>
      </w:pPr>
      <w:r>
        <w:rPr>
          <w:rFonts w:ascii="Times New Roman" w:hAnsi="Times New Roman" w:eastAsia="黑体" w:cs="Times New Roman"/>
          <w:color w:val="000000"/>
          <w:kern w:val="0"/>
          <w:sz w:val="32"/>
          <w:szCs w:val="32"/>
          <w:shd w:val="clear" w:color="auto" w:fill="FFFFFF"/>
        </w:rPr>
        <w:t>二、部门资金收支情况</w:t>
      </w:r>
    </w:p>
    <w:p w14:paraId="1E6CDEC2">
      <w:pPr>
        <w:widowControl/>
        <w:adjustRightInd w:val="0"/>
        <w:snapToGrid w:val="0"/>
        <w:spacing w:line="578" w:lineRule="exact"/>
        <w:ind w:firstLine="643" w:firstLineChars="200"/>
        <w:contextualSpacing/>
        <w:jc w:val="left"/>
        <w:rPr>
          <w:rFonts w:ascii="Times New Roman" w:hAnsi="Times New Roman" w:eastAsia="楷体_GB2312" w:cs="Times New Roman"/>
          <w:b/>
          <w:bCs/>
          <w:color w:val="000000"/>
          <w:kern w:val="0"/>
          <w:sz w:val="32"/>
          <w:szCs w:val="32"/>
          <w:shd w:val="clear" w:color="auto" w:fill="FFFFFF"/>
          <w:lang w:val="zh-CN"/>
        </w:rPr>
      </w:pPr>
      <w:r>
        <w:rPr>
          <w:rFonts w:ascii="Times New Roman" w:hAnsi="Times New Roman" w:eastAsia="楷体_GB2312" w:cs="Times New Roman"/>
          <w:b/>
          <w:bCs/>
          <w:color w:val="000000"/>
          <w:kern w:val="0"/>
          <w:sz w:val="32"/>
          <w:szCs w:val="32"/>
          <w:shd w:val="clear" w:color="auto" w:fill="FFFFFF"/>
          <w:lang w:val="zh-CN"/>
        </w:rPr>
        <w:t>（一）收入情况。</w:t>
      </w:r>
    </w:p>
    <w:p w14:paraId="3760F3B2">
      <w:pPr>
        <w:widowControl/>
        <w:adjustRightInd w:val="0"/>
        <w:snapToGrid w:val="0"/>
        <w:spacing w:line="578" w:lineRule="exact"/>
        <w:ind w:firstLine="640" w:firstLineChars="200"/>
        <w:contextualSpacing/>
        <w:jc w:val="left"/>
        <w:rPr>
          <w:rFonts w:ascii="Times New Roman" w:hAnsi="Times New Roman" w:eastAsia="楷体_GB2312" w:cs="Times New Roman"/>
          <w:sz w:val="32"/>
          <w:lang w:val="en-US" w:eastAsia="zh-CN"/>
        </w:rPr>
      </w:pPr>
      <w:r>
        <w:rPr>
          <w:rFonts w:hint="eastAsia" w:ascii="Times New Roman" w:hAnsi="Times New Roman" w:eastAsia="仿宋_GB2312" w:cs="Times New Roman"/>
          <w:sz w:val="32"/>
          <w:szCs w:val="32"/>
          <w:lang w:val="en-US" w:eastAsia="zh-CN"/>
        </w:rPr>
        <w:t>2024年初预算125.04万元，其中人员经费107.08万元，日常公用经费17.96万元</w:t>
      </w:r>
      <w:r>
        <w:rPr>
          <w:rFonts w:hint="eastAsia" w:ascii="Times New Roman" w:hAnsi="Times New Roman" w:eastAsia="楷体_GB2312" w:cs="Times New Roman"/>
          <w:sz w:val="32"/>
          <w:lang w:val="en-US" w:eastAsia="zh-CN"/>
        </w:rPr>
        <w:t xml:space="preserve">，年中，增加人员经费12.73万元，日常公用经费6.59万元，合计预算144.36万元 。  </w:t>
      </w:r>
    </w:p>
    <w:p w14:paraId="36D63441">
      <w:pPr>
        <w:widowControl/>
        <w:numPr>
          <w:ilvl w:val="0"/>
          <w:numId w:val="2"/>
        </w:numPr>
        <w:adjustRightInd w:val="0"/>
        <w:snapToGrid w:val="0"/>
        <w:spacing w:line="578" w:lineRule="exact"/>
        <w:ind w:left="0" w:firstLine="643" w:firstLineChars="200"/>
        <w:contextualSpacing/>
        <w:jc w:val="left"/>
        <w:rPr>
          <w:rFonts w:hint="eastAsia" w:ascii="Times New Roman" w:hAnsi="Times New Roman" w:eastAsia="仿宋_GB2312" w:cs="Times New Roman"/>
          <w:sz w:val="32"/>
          <w:szCs w:val="32"/>
        </w:rPr>
      </w:pPr>
      <w:r>
        <w:rPr>
          <w:rFonts w:ascii="Times New Roman" w:hAnsi="Times New Roman" w:eastAsia="楷体_GB2312" w:cs="Times New Roman"/>
          <w:b/>
          <w:bCs/>
          <w:color w:val="000000"/>
          <w:kern w:val="0"/>
          <w:sz w:val="32"/>
          <w:szCs w:val="32"/>
          <w:shd w:val="clear" w:color="auto" w:fill="FFFFFF"/>
          <w:lang w:val="zh-CN"/>
        </w:rPr>
        <w:t>支出情况。</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年财政资金支出</w:t>
      </w:r>
      <w:r>
        <w:rPr>
          <w:rFonts w:hint="eastAsia" w:ascii="Times New Roman" w:hAnsi="Times New Roman" w:eastAsia="仿宋_GB2312" w:cs="Times New Roman"/>
          <w:sz w:val="32"/>
          <w:szCs w:val="32"/>
          <w:lang w:val="en-US" w:eastAsia="zh-CN"/>
        </w:rPr>
        <w:t>144.36</w:t>
      </w:r>
      <w:r>
        <w:rPr>
          <w:rFonts w:ascii="Times New Roman" w:hAnsi="Times New Roman" w:eastAsia="仿宋_GB2312" w:cs="Times New Roman"/>
          <w:sz w:val="32"/>
          <w:szCs w:val="32"/>
        </w:rPr>
        <w:t>万元，其中人员经费</w:t>
      </w:r>
      <w:r>
        <w:rPr>
          <w:rFonts w:hint="eastAsia" w:ascii="Times New Roman" w:hAnsi="Times New Roman" w:eastAsia="仿宋_GB2312" w:cs="Times New Roman"/>
          <w:sz w:val="32"/>
          <w:szCs w:val="32"/>
          <w:lang w:val="en-US" w:eastAsia="zh-CN"/>
        </w:rPr>
        <w:t>119.82</w:t>
      </w:r>
      <w:r>
        <w:rPr>
          <w:rFonts w:ascii="Times New Roman" w:hAnsi="Times New Roman" w:eastAsia="仿宋_GB2312" w:cs="Times New Roman"/>
          <w:sz w:val="32"/>
          <w:szCs w:val="32"/>
        </w:rPr>
        <w:t>万元，日常公用经费</w:t>
      </w:r>
      <w:r>
        <w:rPr>
          <w:rFonts w:hint="eastAsia" w:ascii="Times New Roman" w:hAnsi="Times New Roman" w:eastAsia="仿宋_GB2312" w:cs="Times New Roman"/>
          <w:sz w:val="32"/>
          <w:szCs w:val="32"/>
          <w:lang w:val="en-US" w:eastAsia="zh-CN"/>
        </w:rPr>
        <w:t>24.54</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w:t>
      </w:r>
    </w:p>
    <w:p w14:paraId="7615707F">
      <w:pPr>
        <w:widowControl/>
        <w:numPr>
          <w:ilvl w:val="0"/>
          <w:numId w:val="2"/>
        </w:numPr>
        <w:adjustRightInd w:val="0"/>
        <w:snapToGrid w:val="0"/>
        <w:spacing w:line="578" w:lineRule="exact"/>
        <w:ind w:left="0" w:firstLine="643" w:firstLineChars="200"/>
        <w:contextualSpacing/>
        <w:jc w:val="left"/>
        <w:rPr>
          <w:rFonts w:ascii="Times New Roman" w:hAnsi="Times New Roman" w:eastAsia="楷体_GB2312" w:cs="Times New Roman"/>
          <w:b/>
          <w:sz w:val="32"/>
          <w:szCs w:val="32"/>
        </w:rPr>
      </w:pPr>
      <w:r>
        <w:rPr>
          <w:rFonts w:ascii="Times New Roman" w:hAnsi="Times New Roman" w:eastAsia="楷体_GB2312" w:cs="Times New Roman"/>
          <w:b/>
          <w:sz w:val="32"/>
          <w:szCs w:val="32"/>
        </w:rPr>
        <w:t>结余分配和结转结余情况。</w:t>
      </w:r>
    </w:p>
    <w:p w14:paraId="7200C605">
      <w:pPr>
        <w:widowControl/>
        <w:adjustRightInd w:val="0"/>
        <w:snapToGrid w:val="0"/>
        <w:spacing w:line="578" w:lineRule="exact"/>
        <w:ind w:left="420" w:leftChars="200"/>
        <w:contextualSpacing/>
        <w:jc w:val="left"/>
        <w:rPr>
          <w:rFonts w:ascii="Times New Roman" w:hAnsi="Times New Roman" w:eastAsia="仿宋_GB2312" w:cs="Times New Roman"/>
          <w:color w:val="000000"/>
          <w:kern w:val="0"/>
          <w:sz w:val="32"/>
          <w:szCs w:val="32"/>
          <w:shd w:val="clear" w:color="auto" w:fill="FFFFFF"/>
          <w:lang w:val="zh-CN"/>
        </w:rPr>
      </w:pPr>
      <w:r>
        <w:rPr>
          <w:rFonts w:hint="eastAsia" w:ascii="Times New Roman" w:hAnsi="Times New Roman" w:eastAsia="仿宋_GB2312" w:cs="Times New Roman"/>
          <w:sz w:val="32"/>
          <w:szCs w:val="32"/>
          <w:lang w:eastAsia="zh-CN"/>
        </w:rPr>
        <w:t>全年预算无结余。</w:t>
      </w:r>
    </w:p>
    <w:p w14:paraId="04396CD0">
      <w:pPr>
        <w:widowControl/>
        <w:adjustRightInd w:val="0"/>
        <w:snapToGrid w:val="0"/>
        <w:spacing w:line="578" w:lineRule="exact"/>
        <w:ind w:firstLine="640" w:firstLineChars="200"/>
        <w:contextualSpacing/>
        <w:jc w:val="left"/>
        <w:rPr>
          <w:rFonts w:ascii="Times New Roman" w:hAnsi="Times New Roman" w:eastAsia="黑体" w:cs="Times New Roman"/>
          <w:color w:val="000000"/>
          <w:kern w:val="0"/>
          <w:sz w:val="32"/>
          <w:szCs w:val="32"/>
          <w:shd w:val="clear" w:color="auto" w:fill="FFFFFF"/>
        </w:rPr>
      </w:pPr>
      <w:r>
        <w:rPr>
          <w:rFonts w:ascii="Times New Roman" w:hAnsi="Times New Roman" w:eastAsia="黑体" w:cs="Times New Roman"/>
          <w:color w:val="000000"/>
          <w:kern w:val="0"/>
          <w:sz w:val="32"/>
          <w:szCs w:val="32"/>
          <w:shd w:val="clear" w:color="auto" w:fill="FFFFFF"/>
        </w:rPr>
        <w:t>三、部门预算绩效分析</w:t>
      </w:r>
    </w:p>
    <w:p w14:paraId="2256B2A5">
      <w:pPr>
        <w:adjustRightInd w:val="0"/>
        <w:snapToGrid w:val="0"/>
        <w:spacing w:line="578" w:lineRule="exact"/>
        <w:ind w:firstLine="643" w:firstLineChars="200"/>
        <w:contextualSpacing/>
        <w:jc w:val="left"/>
        <w:rPr>
          <w:rFonts w:ascii="Times New Roman" w:hAnsi="Times New Roman" w:eastAsia="仿宋_GB2312" w:cs="Times New Roman"/>
          <w:color w:val="000000"/>
          <w:kern w:val="0"/>
          <w:sz w:val="32"/>
          <w:szCs w:val="32"/>
          <w:shd w:val="clear" w:color="auto" w:fill="FFFFFF"/>
          <w:lang w:val="zh-CN"/>
        </w:rPr>
      </w:pPr>
      <w:r>
        <w:rPr>
          <w:rFonts w:ascii="Times New Roman" w:hAnsi="Times New Roman" w:eastAsia="楷体_GB2312" w:cs="Times New Roman"/>
          <w:b/>
          <w:bCs/>
          <w:color w:val="000000"/>
          <w:kern w:val="0"/>
          <w:sz w:val="32"/>
          <w:szCs w:val="32"/>
          <w:shd w:val="clear" w:color="auto" w:fill="FFFFFF"/>
          <w:lang w:val="zh-CN"/>
        </w:rPr>
        <w:t>（一）部门预算总体绩效分析。</w:t>
      </w:r>
    </w:p>
    <w:p w14:paraId="58CF52F6">
      <w:pPr>
        <w:adjustRightInd w:val="0"/>
        <w:snapToGrid w:val="0"/>
        <w:spacing w:line="578" w:lineRule="exact"/>
        <w:ind w:firstLine="640" w:firstLineChars="200"/>
        <w:contextualSpacing/>
        <w:jc w:val="left"/>
        <w:rPr>
          <w:rFonts w:ascii="Times New Roman" w:hAnsi="Times New Roman" w:eastAsia="楷体_GB2312" w:cs="Times New Roman"/>
          <w:color w:val="000000"/>
          <w:kern w:val="0"/>
          <w:sz w:val="32"/>
          <w:szCs w:val="32"/>
          <w:shd w:val="clear" w:color="auto" w:fill="FFFFFF"/>
          <w:lang w:val="zh-CN"/>
        </w:rPr>
      </w:pPr>
      <w:r>
        <w:rPr>
          <w:rFonts w:ascii="Times New Roman" w:hAnsi="Times New Roman" w:eastAsia="楷体_GB2312" w:cs="Times New Roman"/>
          <w:color w:val="000000"/>
          <w:kern w:val="0"/>
          <w:sz w:val="32"/>
          <w:szCs w:val="32"/>
          <w:shd w:val="clear" w:color="auto" w:fill="FFFFFF"/>
        </w:rPr>
        <w:t>1.</w:t>
      </w:r>
      <w:r>
        <w:rPr>
          <w:rFonts w:ascii="Times New Roman" w:hAnsi="Times New Roman" w:eastAsia="楷体_GB2312" w:cs="Times New Roman"/>
          <w:color w:val="000000"/>
          <w:kern w:val="0"/>
          <w:sz w:val="32"/>
          <w:szCs w:val="32"/>
          <w:shd w:val="clear" w:color="auto" w:fill="FFFFFF"/>
          <w:lang w:val="zh-CN"/>
        </w:rPr>
        <w:t>履职效能。</w:t>
      </w:r>
    </w:p>
    <w:p w14:paraId="308AD47D">
      <w:pPr>
        <w:adjustRightInd w:val="0"/>
        <w:snapToGrid w:val="0"/>
        <w:spacing w:line="578" w:lineRule="exact"/>
        <w:ind w:firstLine="640" w:firstLineChars="200"/>
        <w:contextualSpacing/>
        <w:jc w:val="left"/>
        <w:rPr>
          <w:rFonts w:hint="eastAsia" w:ascii="Times New Roman" w:hAnsi="Times New Roman" w:eastAsia="仿宋_GB2312" w:cs="Times New Roman"/>
          <w:color w:val="000000"/>
          <w:kern w:val="0"/>
          <w:sz w:val="32"/>
          <w:szCs w:val="32"/>
          <w:shd w:val="clear" w:color="auto" w:fill="FFFFFF"/>
          <w:lang w:val="en-US" w:eastAsia="zh-CN"/>
        </w:rPr>
      </w:pPr>
      <w:r>
        <w:rPr>
          <w:rFonts w:hint="eastAsia" w:ascii="Times New Roman" w:hAnsi="Times New Roman" w:eastAsia="楷体_GB2312" w:cs="Times New Roman"/>
          <w:color w:val="000000"/>
          <w:kern w:val="0"/>
          <w:sz w:val="32"/>
          <w:szCs w:val="32"/>
          <w:shd w:val="clear" w:color="auto" w:fill="FFFFFF"/>
          <w:lang w:val="zh-CN"/>
        </w:rPr>
        <w:t>（</w:t>
      </w:r>
      <w:r>
        <w:rPr>
          <w:rFonts w:hint="eastAsia" w:ascii="Times New Roman" w:hAnsi="Times New Roman" w:eastAsia="楷体_GB2312" w:cs="Times New Roman"/>
          <w:color w:val="000000"/>
          <w:kern w:val="0"/>
          <w:sz w:val="32"/>
          <w:szCs w:val="32"/>
          <w:shd w:val="clear" w:color="auto" w:fill="FFFFFF"/>
          <w:lang w:val="en-US" w:eastAsia="zh-CN"/>
        </w:rPr>
        <w:t>1</w:t>
      </w:r>
      <w:r>
        <w:rPr>
          <w:rFonts w:hint="eastAsia" w:ascii="Times New Roman" w:hAnsi="Times New Roman" w:eastAsia="楷体_GB2312" w:cs="Times New Roman"/>
          <w:color w:val="000000"/>
          <w:kern w:val="0"/>
          <w:sz w:val="32"/>
          <w:szCs w:val="32"/>
          <w:shd w:val="clear" w:color="auto" w:fill="FFFFFF"/>
          <w:lang w:val="zh-CN"/>
        </w:rPr>
        <w:t>）</w:t>
      </w:r>
      <w:r>
        <w:rPr>
          <w:rFonts w:hint="eastAsia" w:ascii="Times New Roman" w:hAnsi="Times New Roman" w:eastAsia="仿宋_GB2312" w:cs="Times New Roman"/>
          <w:sz w:val="32"/>
          <w:szCs w:val="32"/>
        </w:rPr>
        <w:t>救护培训提质增效。对外卖员、出租车司机、物管员、机关干部职工、学校师生等重点人群开展培训，不断增强全民急救意识及自救互救能力，全年培训持证红十字救护员2100人，普及培训25140人次，超额完成省上下达任务</w:t>
      </w:r>
      <w:r>
        <w:rPr>
          <w:rFonts w:hint="eastAsia" w:ascii="Times New Roman" w:hAnsi="Times New Roman" w:eastAsia="仿宋_GB2312" w:cs="Times New Roman"/>
          <w:color w:val="000000"/>
          <w:kern w:val="0"/>
          <w:sz w:val="32"/>
          <w:szCs w:val="32"/>
          <w:shd w:val="clear" w:color="auto" w:fill="FFFFFF"/>
          <w:lang w:val="en-US" w:eastAsia="zh-CN"/>
        </w:rPr>
        <w:t>。</w:t>
      </w:r>
    </w:p>
    <w:p w14:paraId="0672C7B5">
      <w:pPr>
        <w:adjustRightInd w:val="0"/>
        <w:snapToGrid w:val="0"/>
        <w:spacing w:line="578" w:lineRule="exact"/>
        <w:ind w:firstLine="640" w:firstLineChars="200"/>
        <w:contextualSpacing/>
        <w:jc w:val="left"/>
        <w:rPr>
          <w:rFonts w:hint="eastAsia" w:ascii="Times New Roman" w:hAnsi="Times New Roman" w:eastAsia="仿宋_GB2312" w:cs="Times New Roman"/>
          <w:color w:val="000000"/>
          <w:kern w:val="0"/>
          <w:sz w:val="32"/>
          <w:szCs w:val="32"/>
          <w:shd w:val="clear" w:color="auto" w:fill="FFFFFF"/>
          <w:lang w:val="en-US" w:eastAsia="zh-CN"/>
        </w:rPr>
      </w:pPr>
      <w:r>
        <w:rPr>
          <w:rFonts w:hint="eastAsia" w:ascii="Times New Roman" w:hAnsi="Times New Roman" w:eastAsia="仿宋_GB2312" w:cs="Times New Roman"/>
          <w:color w:val="000000"/>
          <w:kern w:val="0"/>
          <w:sz w:val="32"/>
          <w:szCs w:val="32"/>
          <w:shd w:val="clear" w:color="auto" w:fill="FFFFFF"/>
          <w:lang w:val="en-US" w:eastAsia="zh-CN"/>
        </w:rPr>
        <w:t>（2）“三献”工作成效突出。同卫健、民政、在攀高校等单位合力推动“三献”工作，全市采集造血干细胞血样553份，完成造血干细胞捐献8人，遗体和人体器官志愿捐献登记170人，实现遗体捐献5例、器官捐献4例，捐献数均超上年。2024年1月，市红十字会在中国红十字会来川调研“三献”工作座谈会上作交流发言，有关工作得到总会领导肯定。</w:t>
      </w:r>
    </w:p>
    <w:p w14:paraId="31441496">
      <w:pPr>
        <w:adjustRightInd w:val="0"/>
        <w:snapToGrid w:val="0"/>
        <w:spacing w:line="578" w:lineRule="exact"/>
        <w:ind w:firstLine="640" w:firstLineChars="200"/>
        <w:contextualSpacing/>
        <w:jc w:val="left"/>
        <w:rPr>
          <w:rFonts w:ascii="Times New Roman" w:hAnsi="Times New Roman" w:eastAsia="仿宋_GB2312" w:cs="Times New Roman"/>
          <w:sz w:val="32"/>
          <w:lang w:val="en-US" w:eastAsia="zh-CN"/>
        </w:rPr>
      </w:pPr>
      <w:r>
        <w:rPr>
          <w:rFonts w:hint="eastAsia" w:ascii="Times New Roman" w:hAnsi="Times New Roman" w:eastAsia="仿宋_GB2312" w:cs="Times New Roman"/>
          <w:color w:val="000000"/>
          <w:kern w:val="0"/>
          <w:sz w:val="32"/>
          <w:szCs w:val="32"/>
          <w:shd w:val="clear" w:color="auto" w:fill="FFFFFF"/>
          <w:lang w:val="en-US" w:eastAsia="zh-CN"/>
        </w:rPr>
        <w:t>（3）筹资救助有效开展。全市红十字系统共争取上级资金及社会捐赠200余万元，“博爱花城系列”项目获“攀枝花慈善奖”。发放款物31.3万元，对800多户群众开展救助慰问。获评省红十字会“中央专项彩票公益金大病儿童救助项目”执行情况先进单位。</w:t>
      </w:r>
    </w:p>
    <w:p w14:paraId="714E4479">
      <w:pPr>
        <w:adjustRightInd w:val="0"/>
        <w:snapToGrid w:val="0"/>
        <w:spacing w:line="578" w:lineRule="exact"/>
        <w:ind w:firstLine="640" w:firstLineChars="200"/>
        <w:contextualSpacing/>
        <w:jc w:val="left"/>
        <w:rPr>
          <w:rFonts w:hint="eastAsia" w:ascii="Times New Roman" w:hAnsi="Times New Roman" w:eastAsia="仿宋_GB2312" w:cs="Times New Roman"/>
          <w:sz w:val="32"/>
          <w:szCs w:val="32"/>
          <w:lang w:eastAsia="zh-CN"/>
        </w:rPr>
      </w:pPr>
      <w:r>
        <w:rPr>
          <w:rFonts w:ascii="Times New Roman" w:hAnsi="Times New Roman" w:eastAsia="楷体_GB2312" w:cs="Times New Roman"/>
          <w:color w:val="000000"/>
          <w:kern w:val="0"/>
          <w:sz w:val="32"/>
          <w:szCs w:val="32"/>
          <w:shd w:val="clear" w:color="auto" w:fill="FFFFFF"/>
        </w:rPr>
        <w:t>2.</w:t>
      </w:r>
      <w:r>
        <w:rPr>
          <w:rFonts w:ascii="Times New Roman" w:hAnsi="Times New Roman" w:eastAsia="楷体_GB2312" w:cs="Times New Roman"/>
          <w:color w:val="000000"/>
          <w:kern w:val="0"/>
          <w:sz w:val="32"/>
          <w:szCs w:val="32"/>
          <w:shd w:val="clear" w:color="auto" w:fill="FFFFFF"/>
          <w:lang w:val="zh-CN"/>
        </w:rPr>
        <w:t>预算管理。</w:t>
      </w:r>
      <w:r>
        <w:rPr>
          <w:rFonts w:ascii="Times New Roman" w:hAnsi="Times New Roman" w:eastAsia="仿宋_GB2312" w:cs="Times New Roman"/>
          <w:sz w:val="32"/>
          <w:szCs w:val="32"/>
        </w:rPr>
        <w:t>紧紧围绕部门预算绩效目标推进各项工作，实时监控部门预算执行情况，较好完成人员经费和公用经费绩效目标，</w:t>
      </w:r>
      <w:r>
        <w:rPr>
          <w:rFonts w:hint="eastAsia" w:ascii="Times New Roman" w:hAnsi="Times New Roman" w:eastAsia="仿宋_GB2312" w:cs="Times New Roman"/>
          <w:sz w:val="32"/>
          <w:szCs w:val="32"/>
          <w:lang w:eastAsia="zh-CN"/>
        </w:rPr>
        <w:t>年终无结余，</w:t>
      </w:r>
      <w:r>
        <w:rPr>
          <w:rFonts w:ascii="Times New Roman" w:hAnsi="Times New Roman" w:eastAsia="仿宋_GB2312" w:cs="Times New Roman"/>
          <w:sz w:val="32"/>
          <w:szCs w:val="32"/>
        </w:rPr>
        <w:t>资金总体执行情况良好</w:t>
      </w:r>
      <w:r>
        <w:rPr>
          <w:rFonts w:hint="eastAsia" w:ascii="Times New Roman" w:hAnsi="Times New Roman" w:eastAsia="仿宋_GB2312" w:cs="Times New Roman"/>
          <w:sz w:val="32"/>
          <w:szCs w:val="32"/>
          <w:lang w:eastAsia="zh-CN"/>
        </w:rPr>
        <w:t>。</w:t>
      </w:r>
    </w:p>
    <w:p w14:paraId="5E970397">
      <w:pPr>
        <w:adjustRightInd w:val="0"/>
        <w:snapToGrid w:val="0"/>
        <w:spacing w:line="578" w:lineRule="exact"/>
        <w:ind w:firstLine="640" w:firstLineChars="200"/>
        <w:contextualSpacing/>
        <w:jc w:val="left"/>
        <w:rPr>
          <w:rFonts w:ascii="Times New Roman" w:hAnsi="Times New Roman" w:eastAsia="楷体_GB2312" w:cs="Times New Roman"/>
          <w:color w:val="000000"/>
          <w:kern w:val="0"/>
          <w:sz w:val="32"/>
          <w:szCs w:val="32"/>
          <w:shd w:val="clear" w:color="auto" w:fill="FFFFFF"/>
          <w:lang w:val="zh-CN"/>
        </w:rPr>
      </w:pPr>
      <w:r>
        <w:rPr>
          <w:rFonts w:ascii="Times New Roman" w:hAnsi="Times New Roman" w:eastAsia="楷体_GB2312" w:cs="Times New Roman"/>
          <w:color w:val="000000"/>
          <w:kern w:val="0"/>
          <w:sz w:val="32"/>
          <w:szCs w:val="32"/>
          <w:shd w:val="clear" w:color="auto" w:fill="FFFFFF"/>
        </w:rPr>
        <w:t>3.</w:t>
      </w:r>
      <w:r>
        <w:rPr>
          <w:rFonts w:ascii="Times New Roman" w:hAnsi="Times New Roman" w:eastAsia="楷体_GB2312" w:cs="Times New Roman"/>
          <w:color w:val="000000"/>
          <w:kern w:val="0"/>
          <w:sz w:val="32"/>
          <w:szCs w:val="32"/>
          <w:shd w:val="clear" w:color="auto" w:fill="FFFFFF"/>
          <w:lang w:val="zh-CN"/>
        </w:rPr>
        <w:t>财务管理。</w:t>
      </w:r>
      <w:r>
        <w:rPr>
          <w:rFonts w:hint="eastAsia" w:ascii="Times New Roman" w:hAnsi="Times New Roman" w:eastAsia="仿宋_GB2312" w:cs="Times New Roman"/>
          <w:color w:val="000000"/>
          <w:kern w:val="0"/>
          <w:sz w:val="32"/>
          <w:szCs w:val="32"/>
          <w:shd w:val="clear" w:color="auto" w:fill="FFFFFF"/>
          <w:lang w:val="zh-CN"/>
        </w:rPr>
        <w:t>财务管理制度完善。根据工作需要，安排人员兼职财务岗位，确保日常财务工作合规、有序地开展</w:t>
      </w:r>
      <w:r>
        <w:rPr>
          <w:rFonts w:ascii="Times New Roman" w:hAnsi="Times New Roman" w:eastAsia="仿宋_GB2312" w:cs="Times New Roman"/>
          <w:color w:val="000000"/>
          <w:kern w:val="0"/>
          <w:sz w:val="32"/>
          <w:szCs w:val="32"/>
          <w:shd w:val="clear" w:color="auto" w:fill="FFFFFF"/>
          <w:lang w:val="zh-CN"/>
        </w:rPr>
        <w:t>。</w:t>
      </w:r>
      <w:r>
        <w:rPr>
          <w:rFonts w:hint="eastAsia" w:ascii="Times New Roman" w:hAnsi="Times New Roman" w:eastAsia="仿宋_GB2312" w:cs="Times New Roman"/>
          <w:color w:val="000000"/>
          <w:kern w:val="0"/>
          <w:sz w:val="32"/>
          <w:szCs w:val="32"/>
          <w:shd w:val="clear" w:color="auto" w:fill="FFFFFF"/>
          <w:lang w:val="zh-CN"/>
        </w:rPr>
        <w:t>严格按照财务管理制度使用资金，确保资金使用安全合规。</w:t>
      </w:r>
    </w:p>
    <w:p w14:paraId="152AA133">
      <w:pPr>
        <w:adjustRightInd w:val="0"/>
        <w:snapToGrid w:val="0"/>
        <w:spacing w:line="578" w:lineRule="exact"/>
        <w:ind w:firstLine="640" w:firstLineChars="200"/>
        <w:contextualSpacing/>
        <w:jc w:val="left"/>
        <w:rPr>
          <w:rFonts w:ascii="Times New Roman" w:hAnsi="Times New Roman" w:eastAsia="楷体_GB2312" w:cs="Times New Roman"/>
          <w:color w:val="000000"/>
          <w:kern w:val="0"/>
          <w:sz w:val="32"/>
          <w:szCs w:val="32"/>
          <w:shd w:val="clear" w:color="auto" w:fill="FFFFFF"/>
          <w:lang w:val="zh-CN"/>
        </w:rPr>
      </w:pPr>
      <w:r>
        <w:rPr>
          <w:rFonts w:ascii="Times New Roman" w:hAnsi="Times New Roman" w:eastAsia="楷体_GB2312" w:cs="Times New Roman"/>
          <w:color w:val="000000"/>
          <w:kern w:val="0"/>
          <w:sz w:val="32"/>
          <w:szCs w:val="32"/>
          <w:shd w:val="clear" w:color="auto" w:fill="FFFFFF"/>
        </w:rPr>
        <w:t>4.</w:t>
      </w:r>
      <w:r>
        <w:rPr>
          <w:rFonts w:ascii="Times New Roman" w:hAnsi="Times New Roman" w:eastAsia="楷体_GB2312" w:cs="Times New Roman"/>
          <w:color w:val="000000"/>
          <w:kern w:val="0"/>
          <w:sz w:val="32"/>
          <w:szCs w:val="32"/>
          <w:shd w:val="clear" w:color="auto" w:fill="FFFFFF"/>
          <w:lang w:val="zh-CN"/>
        </w:rPr>
        <w:t>资产管理</w:t>
      </w:r>
      <w:r>
        <w:rPr>
          <w:rFonts w:hint="eastAsia" w:ascii="Times New Roman" w:hAnsi="Times New Roman" w:eastAsia="楷体_GB2312" w:cs="Times New Roman"/>
          <w:color w:val="000000"/>
          <w:kern w:val="0"/>
          <w:sz w:val="32"/>
          <w:szCs w:val="32"/>
          <w:shd w:val="clear" w:color="auto" w:fill="FFFFFF"/>
          <w:lang w:val="zh-CN"/>
        </w:rPr>
        <w:t>。截至2024年12月31日，我单位资产总额</w:t>
      </w:r>
      <w:r>
        <w:rPr>
          <w:rFonts w:hint="eastAsia" w:ascii="Times New Roman" w:hAnsi="Times New Roman" w:eastAsia="楷体_GB2312" w:cs="Times New Roman"/>
          <w:color w:val="000000"/>
          <w:kern w:val="0"/>
          <w:sz w:val="32"/>
          <w:szCs w:val="32"/>
          <w:shd w:val="clear" w:color="auto" w:fill="FFFFFF"/>
          <w:lang w:val="en-US" w:eastAsia="zh-CN"/>
        </w:rPr>
        <w:t>37.64</w:t>
      </w:r>
      <w:r>
        <w:rPr>
          <w:rFonts w:hint="eastAsia" w:ascii="Times New Roman" w:hAnsi="Times New Roman" w:eastAsia="楷体_GB2312" w:cs="Times New Roman"/>
          <w:color w:val="000000"/>
          <w:kern w:val="0"/>
          <w:sz w:val="32"/>
          <w:szCs w:val="32"/>
          <w:shd w:val="clear" w:color="auto" w:fill="FFFFFF"/>
          <w:lang w:val="zh-CN"/>
        </w:rPr>
        <w:t>万元，较上年增长</w:t>
      </w:r>
      <w:r>
        <w:rPr>
          <w:rFonts w:hint="eastAsia" w:ascii="Times New Roman" w:hAnsi="Times New Roman" w:eastAsia="楷体_GB2312" w:cs="Times New Roman"/>
          <w:color w:val="000000"/>
          <w:kern w:val="0"/>
          <w:sz w:val="32"/>
          <w:szCs w:val="32"/>
          <w:shd w:val="clear" w:color="auto" w:fill="FFFFFF"/>
          <w:lang w:val="en-US" w:eastAsia="zh-CN"/>
        </w:rPr>
        <w:t>19.68%</w:t>
      </w:r>
      <w:r>
        <w:rPr>
          <w:rFonts w:hint="eastAsia" w:ascii="Times New Roman" w:hAnsi="Times New Roman" w:eastAsia="楷体_GB2312" w:cs="Times New Roman"/>
          <w:color w:val="000000"/>
          <w:kern w:val="0"/>
          <w:sz w:val="32"/>
          <w:szCs w:val="32"/>
          <w:shd w:val="clear" w:color="auto" w:fill="FFFFFF"/>
          <w:lang w:val="zh-CN"/>
        </w:rPr>
        <w:t>，资产占用率100%。</w:t>
      </w:r>
    </w:p>
    <w:p w14:paraId="422085BE">
      <w:pPr>
        <w:adjustRightInd w:val="0"/>
        <w:snapToGrid w:val="0"/>
        <w:spacing w:line="578" w:lineRule="exact"/>
        <w:ind w:firstLine="640" w:firstLineChars="200"/>
        <w:contextualSpacing/>
        <w:jc w:val="left"/>
        <w:rPr>
          <w:rFonts w:ascii="Times New Roman" w:hAnsi="Times New Roman" w:eastAsia="楷体_GB2312" w:cs="Times New Roman"/>
          <w:color w:val="000000"/>
          <w:kern w:val="0"/>
          <w:sz w:val="32"/>
          <w:szCs w:val="32"/>
          <w:shd w:val="clear" w:color="auto" w:fill="FFFFFF"/>
          <w:lang w:val="zh-CN"/>
        </w:rPr>
      </w:pPr>
      <w:r>
        <w:rPr>
          <w:rFonts w:ascii="Times New Roman" w:hAnsi="Times New Roman" w:eastAsia="楷体_GB2312" w:cs="Times New Roman"/>
          <w:color w:val="000000"/>
          <w:kern w:val="0"/>
          <w:sz w:val="32"/>
          <w:szCs w:val="32"/>
          <w:shd w:val="clear" w:color="auto" w:fill="FFFFFF"/>
        </w:rPr>
        <w:t>5.</w:t>
      </w:r>
      <w:r>
        <w:rPr>
          <w:rFonts w:ascii="Times New Roman" w:hAnsi="Times New Roman" w:eastAsia="楷体_GB2312" w:cs="Times New Roman"/>
          <w:color w:val="000000"/>
          <w:kern w:val="0"/>
          <w:sz w:val="32"/>
          <w:szCs w:val="32"/>
          <w:shd w:val="clear" w:color="auto" w:fill="FFFFFF"/>
          <w:lang w:val="zh-CN"/>
        </w:rPr>
        <w:t>采购管理。</w:t>
      </w:r>
      <w:r>
        <w:rPr>
          <w:rFonts w:hint="eastAsia" w:ascii="Times New Roman" w:hAnsi="Times New Roman" w:eastAsia="仿宋_GB2312" w:cs="Times New Roman"/>
          <w:color w:val="000000"/>
          <w:kern w:val="0"/>
          <w:sz w:val="32"/>
          <w:szCs w:val="32"/>
          <w:shd w:val="clear" w:color="auto" w:fill="FFFFFF"/>
          <w:lang w:val="zh-CN"/>
        </w:rPr>
        <w:t>2024年所有采购均支持中小企业发展，采购执行率100%</w:t>
      </w:r>
      <w:r>
        <w:rPr>
          <w:rFonts w:ascii="Times New Roman" w:hAnsi="Times New Roman" w:eastAsia="仿宋_GB2312" w:cs="Times New Roman"/>
          <w:color w:val="000000"/>
          <w:kern w:val="0"/>
          <w:sz w:val="32"/>
          <w:szCs w:val="32"/>
          <w:shd w:val="clear" w:color="auto" w:fill="FFFFFF"/>
          <w:lang w:val="zh-CN"/>
        </w:rPr>
        <w:t>。</w:t>
      </w:r>
    </w:p>
    <w:p w14:paraId="1F18102A">
      <w:pPr>
        <w:widowControl/>
        <w:adjustRightInd w:val="0"/>
        <w:snapToGrid w:val="0"/>
        <w:spacing w:line="578" w:lineRule="exact"/>
        <w:ind w:firstLine="643" w:firstLineChars="200"/>
        <w:contextualSpacing/>
        <w:jc w:val="left"/>
        <w:rPr>
          <w:rFonts w:ascii="Times New Roman" w:hAnsi="Times New Roman" w:eastAsia="仿宋_GB2312" w:cs="Times New Roman"/>
          <w:color w:val="000000"/>
          <w:kern w:val="0"/>
          <w:sz w:val="32"/>
          <w:szCs w:val="32"/>
          <w:shd w:val="clear" w:color="auto" w:fill="FFFFFF"/>
        </w:rPr>
      </w:pPr>
      <w:r>
        <w:rPr>
          <w:rFonts w:ascii="Times New Roman" w:hAnsi="Times New Roman" w:eastAsia="楷体_GB2312" w:cs="Times New Roman"/>
          <w:b/>
          <w:bCs/>
          <w:color w:val="000000"/>
          <w:kern w:val="0"/>
          <w:sz w:val="32"/>
          <w:szCs w:val="32"/>
          <w:shd w:val="clear" w:color="auto" w:fill="FFFFFF"/>
          <w:lang w:val="zh-CN"/>
        </w:rPr>
        <w:t>（二）部门预算项目绩效分析。</w:t>
      </w:r>
    </w:p>
    <w:p w14:paraId="20D676B7">
      <w:pPr>
        <w:adjustRightInd w:val="0"/>
        <w:snapToGrid w:val="0"/>
        <w:spacing w:line="578" w:lineRule="exact"/>
        <w:ind w:firstLine="640" w:firstLineChars="200"/>
        <w:contextualSpacing/>
        <w:jc w:val="left"/>
        <w:rPr>
          <w:rFonts w:ascii="Times New Roman" w:hAnsi="Times New Roman" w:eastAsia="仿宋_GB2312" w:cs="Times New Roman"/>
          <w:color w:val="000000"/>
          <w:kern w:val="0"/>
          <w:sz w:val="32"/>
          <w:szCs w:val="32"/>
          <w:shd w:val="clear" w:color="auto" w:fill="FFFFFF"/>
          <w:lang w:val="zh-CN"/>
        </w:rPr>
      </w:pPr>
      <w:r>
        <w:rPr>
          <w:rFonts w:ascii="Times New Roman" w:hAnsi="Times New Roman" w:eastAsia="仿宋_GB2312" w:cs="Times New Roman"/>
          <w:color w:val="000000"/>
          <w:kern w:val="0"/>
          <w:sz w:val="32"/>
          <w:szCs w:val="32"/>
          <w:shd w:val="clear" w:color="auto" w:fill="FFFFFF"/>
        </w:rPr>
        <w:t>常年项目绩效分析。</w:t>
      </w:r>
      <w:r>
        <w:rPr>
          <w:rFonts w:ascii="Times New Roman" w:hAnsi="Times New Roman" w:eastAsia="仿宋_GB2312" w:cs="Times New Roman"/>
          <w:color w:val="000000"/>
          <w:kern w:val="0"/>
          <w:sz w:val="32"/>
          <w:szCs w:val="32"/>
          <w:shd w:val="clear" w:color="auto" w:fill="FFFFFF"/>
          <w:lang w:val="zh-CN"/>
        </w:rPr>
        <w:t>该类项目总数</w:t>
      </w:r>
      <w:r>
        <w:rPr>
          <w:rFonts w:hint="eastAsia" w:ascii="Times New Roman" w:hAnsi="Times New Roman" w:eastAsia="仿宋_GB2312" w:cs="Times New Roman"/>
          <w:color w:val="000000"/>
          <w:kern w:val="0"/>
          <w:sz w:val="32"/>
          <w:szCs w:val="32"/>
          <w:shd w:val="clear" w:color="auto" w:fill="FFFFFF"/>
          <w:lang w:val="en-US" w:eastAsia="zh-CN"/>
        </w:rPr>
        <w:t>14</w:t>
      </w:r>
      <w:r>
        <w:rPr>
          <w:rFonts w:ascii="Times New Roman" w:hAnsi="Times New Roman" w:eastAsia="仿宋_GB2312" w:cs="Times New Roman"/>
          <w:color w:val="000000"/>
          <w:kern w:val="0"/>
          <w:sz w:val="32"/>
          <w:szCs w:val="32"/>
          <w:shd w:val="clear" w:color="auto" w:fill="FFFFFF"/>
          <w:lang w:val="zh-CN"/>
        </w:rPr>
        <w:t>个，涉及预算总金额</w:t>
      </w:r>
      <w:r>
        <w:rPr>
          <w:rFonts w:hint="eastAsia" w:ascii="Times New Roman" w:hAnsi="Times New Roman" w:eastAsia="仿宋_GB2312" w:cs="Times New Roman"/>
          <w:color w:val="000000"/>
          <w:kern w:val="0"/>
          <w:sz w:val="32"/>
          <w:szCs w:val="32"/>
          <w:shd w:val="clear" w:color="auto" w:fill="FFFFFF"/>
          <w:lang w:val="en-US" w:eastAsia="zh-CN"/>
        </w:rPr>
        <w:t>136.84</w:t>
      </w:r>
      <w:r>
        <w:rPr>
          <w:rFonts w:ascii="Times New Roman" w:hAnsi="Times New Roman" w:eastAsia="仿宋_GB2312" w:cs="Times New Roman"/>
          <w:color w:val="000000"/>
          <w:kern w:val="0"/>
          <w:sz w:val="32"/>
          <w:szCs w:val="32"/>
          <w:shd w:val="clear" w:color="auto" w:fill="FFFFFF"/>
          <w:lang w:val="zh-CN"/>
        </w:rPr>
        <w:t>万元，1</w:t>
      </w:r>
      <w:r>
        <w:rPr>
          <w:rFonts w:hint="eastAsia" w:ascii="Times New Roman" w:hAnsi="Times New Roman" w:eastAsia="仿宋_GB2312" w:cs="Times New Roman"/>
          <w:color w:val="000000"/>
          <w:kern w:val="0"/>
          <w:sz w:val="32"/>
          <w:szCs w:val="32"/>
          <w:shd w:val="clear" w:color="auto" w:fill="FFFFFF"/>
          <w:lang w:val="zh-CN"/>
        </w:rPr>
        <w:t>—</w:t>
      </w:r>
      <w:r>
        <w:rPr>
          <w:rFonts w:ascii="Times New Roman" w:hAnsi="Times New Roman" w:eastAsia="仿宋_GB2312" w:cs="Times New Roman"/>
          <w:color w:val="000000"/>
          <w:kern w:val="0"/>
          <w:sz w:val="32"/>
          <w:szCs w:val="32"/>
          <w:shd w:val="clear" w:color="auto" w:fill="FFFFFF"/>
          <w:lang w:val="zh-CN"/>
        </w:rPr>
        <w:t>1</w:t>
      </w:r>
      <w:r>
        <w:rPr>
          <w:rFonts w:ascii="Times New Roman" w:hAnsi="Times New Roman" w:eastAsia="仿宋_GB2312" w:cs="Times New Roman"/>
          <w:color w:val="000000"/>
          <w:kern w:val="0"/>
          <w:sz w:val="32"/>
          <w:szCs w:val="32"/>
          <w:shd w:val="clear" w:color="auto" w:fill="FFFFFF"/>
        </w:rPr>
        <w:t>2</w:t>
      </w:r>
      <w:r>
        <w:rPr>
          <w:rFonts w:ascii="Times New Roman" w:hAnsi="Times New Roman" w:eastAsia="仿宋_GB2312" w:cs="Times New Roman"/>
          <w:color w:val="000000"/>
          <w:kern w:val="0"/>
          <w:sz w:val="32"/>
          <w:szCs w:val="32"/>
          <w:shd w:val="clear" w:color="auto" w:fill="FFFFFF"/>
          <w:lang w:val="zh-CN"/>
        </w:rPr>
        <w:t>月预算执行总体进度</w:t>
      </w:r>
      <w:r>
        <w:rPr>
          <w:rFonts w:hint="eastAsia" w:ascii="Times New Roman" w:hAnsi="Times New Roman" w:eastAsia="仿宋_GB2312" w:cs="Times New Roman"/>
          <w:color w:val="000000"/>
          <w:kern w:val="0"/>
          <w:sz w:val="32"/>
          <w:szCs w:val="32"/>
          <w:shd w:val="clear" w:color="auto" w:fill="FFFFFF"/>
          <w:lang w:val="en-US" w:eastAsia="zh-CN"/>
        </w:rPr>
        <w:t>100</w:t>
      </w:r>
      <w:r>
        <w:rPr>
          <w:rFonts w:ascii="Times New Roman" w:hAnsi="Times New Roman" w:eastAsia="仿宋_GB2312" w:cs="Times New Roman"/>
          <w:color w:val="000000"/>
          <w:kern w:val="0"/>
          <w:sz w:val="32"/>
          <w:szCs w:val="32"/>
          <w:shd w:val="clear" w:color="auto" w:fill="FFFFFF"/>
          <w:lang w:val="zh-CN"/>
        </w:rPr>
        <w:t>%，其中：预算结余率大于</w:t>
      </w:r>
      <w:r>
        <w:rPr>
          <w:rFonts w:ascii="Times New Roman" w:hAnsi="Times New Roman" w:eastAsia="仿宋_GB2312" w:cs="Times New Roman"/>
          <w:color w:val="000000"/>
          <w:kern w:val="0"/>
          <w:sz w:val="32"/>
          <w:szCs w:val="32"/>
          <w:shd w:val="clear" w:color="auto" w:fill="FFFFFF"/>
        </w:rPr>
        <w:t>10%</w:t>
      </w:r>
      <w:r>
        <w:rPr>
          <w:rFonts w:ascii="Times New Roman" w:hAnsi="Times New Roman" w:eastAsia="仿宋_GB2312" w:cs="Times New Roman"/>
          <w:color w:val="000000"/>
          <w:kern w:val="0"/>
          <w:sz w:val="32"/>
          <w:szCs w:val="32"/>
          <w:shd w:val="clear" w:color="auto" w:fill="FFFFFF"/>
          <w:lang w:val="zh-CN"/>
        </w:rPr>
        <w:t>的项目共计</w:t>
      </w:r>
      <w:r>
        <w:rPr>
          <w:rFonts w:hint="eastAsia" w:ascii="Times New Roman" w:hAnsi="Times New Roman" w:eastAsia="仿宋_GB2312" w:cs="Times New Roman"/>
          <w:color w:val="000000"/>
          <w:kern w:val="0"/>
          <w:sz w:val="32"/>
          <w:szCs w:val="32"/>
          <w:shd w:val="clear" w:color="auto" w:fill="FFFFFF"/>
          <w:lang w:val="en-US" w:eastAsia="zh-CN"/>
        </w:rPr>
        <w:t>0</w:t>
      </w:r>
      <w:r>
        <w:rPr>
          <w:rFonts w:ascii="Times New Roman" w:hAnsi="Times New Roman" w:eastAsia="仿宋_GB2312" w:cs="Times New Roman"/>
          <w:color w:val="000000"/>
          <w:kern w:val="0"/>
          <w:sz w:val="32"/>
          <w:szCs w:val="32"/>
          <w:shd w:val="clear" w:color="auto" w:fill="FFFFFF"/>
          <w:lang w:val="zh-CN"/>
        </w:rPr>
        <w:t>个。</w:t>
      </w:r>
    </w:p>
    <w:p w14:paraId="5532E26D">
      <w:pPr>
        <w:adjustRightInd w:val="0"/>
        <w:snapToGrid w:val="0"/>
        <w:spacing w:line="578" w:lineRule="exact"/>
        <w:ind w:firstLine="640" w:firstLineChars="200"/>
        <w:contextualSpacing/>
        <w:jc w:val="left"/>
        <w:rPr>
          <w:rFonts w:ascii="Times New Roman" w:hAnsi="Times New Roman" w:eastAsia="仿宋_GB2312" w:cs="Times New Roman"/>
          <w:color w:val="000000"/>
          <w:kern w:val="0"/>
          <w:sz w:val="32"/>
          <w:szCs w:val="32"/>
          <w:shd w:val="clear" w:color="auto" w:fill="FFFFFF"/>
          <w:lang w:val="zh-CN"/>
        </w:rPr>
      </w:pPr>
      <w:r>
        <w:rPr>
          <w:rFonts w:ascii="Times New Roman" w:hAnsi="Times New Roman" w:eastAsia="仿宋_GB2312" w:cs="Times New Roman"/>
          <w:color w:val="000000"/>
          <w:kern w:val="0"/>
          <w:sz w:val="32"/>
          <w:szCs w:val="32"/>
          <w:shd w:val="clear" w:color="auto" w:fill="FFFFFF"/>
        </w:rPr>
        <w:t>阶段（</w:t>
      </w:r>
      <w:r>
        <w:rPr>
          <w:rFonts w:hint="eastAsia" w:ascii="Times New Roman" w:hAnsi="Times New Roman" w:eastAsia="仿宋_GB2312" w:cs="Times New Roman"/>
          <w:color w:val="000000"/>
          <w:kern w:val="0"/>
          <w:sz w:val="32"/>
          <w:szCs w:val="32"/>
          <w:shd w:val="clear" w:color="auto" w:fill="FFFFFF"/>
        </w:rPr>
        <w:t>含</w:t>
      </w:r>
      <w:r>
        <w:rPr>
          <w:rFonts w:ascii="Times New Roman" w:hAnsi="Times New Roman" w:eastAsia="仿宋_GB2312" w:cs="Times New Roman"/>
          <w:color w:val="000000"/>
          <w:kern w:val="0"/>
          <w:sz w:val="32"/>
          <w:szCs w:val="32"/>
          <w:shd w:val="clear" w:color="auto" w:fill="FFFFFF"/>
        </w:rPr>
        <w:t>一次性）项目绩效分析。</w:t>
      </w:r>
      <w:r>
        <w:rPr>
          <w:rFonts w:ascii="Times New Roman" w:hAnsi="Times New Roman" w:eastAsia="仿宋_GB2312" w:cs="Times New Roman"/>
          <w:color w:val="000000"/>
          <w:kern w:val="0"/>
          <w:sz w:val="32"/>
          <w:szCs w:val="32"/>
          <w:shd w:val="clear" w:color="auto" w:fill="FFFFFF"/>
          <w:lang w:val="zh-CN"/>
        </w:rPr>
        <w:t>该类项目总数</w:t>
      </w:r>
      <w:r>
        <w:rPr>
          <w:rFonts w:hint="eastAsia" w:ascii="Times New Roman" w:hAnsi="Times New Roman" w:eastAsia="仿宋_GB2312" w:cs="Times New Roman"/>
          <w:color w:val="000000"/>
          <w:kern w:val="0"/>
          <w:sz w:val="32"/>
          <w:szCs w:val="32"/>
          <w:shd w:val="clear" w:color="auto" w:fill="FFFFFF"/>
          <w:lang w:val="en-US" w:eastAsia="zh-CN"/>
        </w:rPr>
        <w:t>2</w:t>
      </w:r>
      <w:r>
        <w:rPr>
          <w:rFonts w:ascii="Times New Roman" w:hAnsi="Times New Roman" w:eastAsia="仿宋_GB2312" w:cs="Times New Roman"/>
          <w:color w:val="000000"/>
          <w:kern w:val="0"/>
          <w:sz w:val="32"/>
          <w:szCs w:val="32"/>
          <w:shd w:val="clear" w:color="auto" w:fill="FFFFFF"/>
          <w:lang w:val="zh-CN"/>
        </w:rPr>
        <w:t>个，涉及预算总金额</w:t>
      </w:r>
      <w:r>
        <w:rPr>
          <w:rFonts w:hint="eastAsia" w:ascii="Times New Roman" w:hAnsi="Times New Roman" w:eastAsia="仿宋_GB2312" w:cs="Times New Roman"/>
          <w:color w:val="000000"/>
          <w:kern w:val="0"/>
          <w:sz w:val="32"/>
          <w:szCs w:val="32"/>
          <w:shd w:val="clear" w:color="auto" w:fill="FFFFFF"/>
          <w:lang w:val="en-US" w:eastAsia="zh-CN"/>
        </w:rPr>
        <w:t>7.52</w:t>
      </w:r>
      <w:r>
        <w:rPr>
          <w:rFonts w:ascii="Times New Roman" w:hAnsi="Times New Roman" w:eastAsia="仿宋_GB2312" w:cs="Times New Roman"/>
          <w:color w:val="000000"/>
          <w:kern w:val="0"/>
          <w:sz w:val="32"/>
          <w:szCs w:val="32"/>
          <w:shd w:val="clear" w:color="auto" w:fill="FFFFFF"/>
          <w:lang w:val="zh-CN"/>
        </w:rPr>
        <w:t>万元，1</w:t>
      </w:r>
      <w:r>
        <w:rPr>
          <w:rFonts w:hint="eastAsia" w:ascii="Times New Roman" w:hAnsi="Times New Roman" w:eastAsia="仿宋_GB2312" w:cs="Times New Roman"/>
          <w:color w:val="000000"/>
          <w:kern w:val="0"/>
          <w:sz w:val="32"/>
          <w:szCs w:val="32"/>
          <w:shd w:val="clear" w:color="auto" w:fill="FFFFFF"/>
          <w:lang w:val="zh-CN"/>
        </w:rPr>
        <w:t>—</w:t>
      </w:r>
      <w:r>
        <w:rPr>
          <w:rFonts w:ascii="Times New Roman" w:hAnsi="Times New Roman" w:eastAsia="仿宋_GB2312" w:cs="Times New Roman"/>
          <w:color w:val="000000"/>
          <w:kern w:val="0"/>
          <w:sz w:val="32"/>
          <w:szCs w:val="32"/>
          <w:shd w:val="clear" w:color="auto" w:fill="FFFFFF"/>
          <w:lang w:val="zh-CN"/>
        </w:rPr>
        <w:t>1</w:t>
      </w:r>
      <w:r>
        <w:rPr>
          <w:rFonts w:ascii="Times New Roman" w:hAnsi="Times New Roman" w:eastAsia="仿宋_GB2312" w:cs="Times New Roman"/>
          <w:color w:val="000000"/>
          <w:kern w:val="0"/>
          <w:sz w:val="32"/>
          <w:szCs w:val="32"/>
          <w:shd w:val="clear" w:color="auto" w:fill="FFFFFF"/>
        </w:rPr>
        <w:t>2</w:t>
      </w:r>
      <w:r>
        <w:rPr>
          <w:rFonts w:ascii="Times New Roman" w:hAnsi="Times New Roman" w:eastAsia="仿宋_GB2312" w:cs="Times New Roman"/>
          <w:color w:val="000000"/>
          <w:kern w:val="0"/>
          <w:sz w:val="32"/>
          <w:szCs w:val="32"/>
          <w:shd w:val="clear" w:color="auto" w:fill="FFFFFF"/>
          <w:lang w:val="zh-CN"/>
        </w:rPr>
        <w:t>月预算执行总体进度为</w:t>
      </w:r>
      <w:r>
        <w:rPr>
          <w:rFonts w:hint="eastAsia" w:ascii="Times New Roman" w:hAnsi="Times New Roman" w:eastAsia="仿宋_GB2312" w:cs="Times New Roman"/>
          <w:color w:val="000000"/>
          <w:kern w:val="0"/>
          <w:sz w:val="32"/>
          <w:szCs w:val="32"/>
          <w:shd w:val="clear" w:color="auto" w:fill="FFFFFF"/>
          <w:lang w:val="en-US" w:eastAsia="zh-CN"/>
        </w:rPr>
        <w:t>100</w:t>
      </w:r>
      <w:r>
        <w:rPr>
          <w:rFonts w:ascii="Times New Roman" w:hAnsi="Times New Roman" w:eastAsia="仿宋_GB2312" w:cs="Times New Roman"/>
          <w:color w:val="000000"/>
          <w:kern w:val="0"/>
          <w:sz w:val="32"/>
          <w:szCs w:val="32"/>
          <w:shd w:val="clear" w:color="auto" w:fill="FFFFFF"/>
          <w:lang w:val="zh-CN"/>
        </w:rPr>
        <w:t>%，其中：预算结余率大于</w:t>
      </w:r>
      <w:r>
        <w:rPr>
          <w:rFonts w:ascii="Times New Roman" w:hAnsi="Times New Roman" w:eastAsia="仿宋_GB2312" w:cs="Times New Roman"/>
          <w:color w:val="000000"/>
          <w:kern w:val="0"/>
          <w:sz w:val="32"/>
          <w:szCs w:val="32"/>
          <w:shd w:val="clear" w:color="auto" w:fill="FFFFFF"/>
        </w:rPr>
        <w:t>10%</w:t>
      </w:r>
      <w:r>
        <w:rPr>
          <w:rFonts w:ascii="Times New Roman" w:hAnsi="Times New Roman" w:eastAsia="仿宋_GB2312" w:cs="Times New Roman"/>
          <w:color w:val="000000"/>
          <w:kern w:val="0"/>
          <w:sz w:val="32"/>
          <w:szCs w:val="32"/>
          <w:shd w:val="clear" w:color="auto" w:fill="FFFFFF"/>
          <w:lang w:val="zh-CN"/>
        </w:rPr>
        <w:t>的项目共计</w:t>
      </w:r>
      <w:r>
        <w:rPr>
          <w:rFonts w:hint="eastAsia" w:ascii="Times New Roman" w:hAnsi="Times New Roman" w:eastAsia="仿宋_GB2312" w:cs="Times New Roman"/>
          <w:color w:val="000000"/>
          <w:kern w:val="0"/>
          <w:sz w:val="32"/>
          <w:szCs w:val="32"/>
          <w:shd w:val="clear" w:color="auto" w:fill="FFFFFF"/>
          <w:lang w:val="en-US" w:eastAsia="zh-CN"/>
        </w:rPr>
        <w:t>0</w:t>
      </w:r>
      <w:r>
        <w:rPr>
          <w:rFonts w:ascii="Times New Roman" w:hAnsi="Times New Roman" w:eastAsia="仿宋_GB2312" w:cs="Times New Roman"/>
          <w:color w:val="000000"/>
          <w:kern w:val="0"/>
          <w:sz w:val="32"/>
          <w:szCs w:val="32"/>
          <w:shd w:val="clear" w:color="auto" w:fill="FFFFFF"/>
          <w:lang w:val="zh-CN"/>
        </w:rPr>
        <w:t>个。</w:t>
      </w:r>
    </w:p>
    <w:p w14:paraId="5B3ED308">
      <w:pPr>
        <w:adjustRightInd w:val="0"/>
        <w:snapToGrid w:val="0"/>
        <w:spacing w:line="578" w:lineRule="exact"/>
        <w:ind w:firstLine="640" w:firstLineChars="200"/>
        <w:contextualSpacing/>
        <w:jc w:val="left"/>
        <w:rPr>
          <w:rFonts w:ascii="Times New Roman" w:hAnsi="Times New Roman" w:eastAsia="楷体_GB2312" w:cs="Times New Roman"/>
          <w:color w:val="000000"/>
          <w:kern w:val="0"/>
          <w:sz w:val="32"/>
          <w:szCs w:val="32"/>
          <w:shd w:val="clear" w:color="auto" w:fill="FFFFFF"/>
          <w:lang w:val="zh-CN"/>
        </w:rPr>
      </w:pPr>
      <w:r>
        <w:rPr>
          <w:rFonts w:ascii="Times New Roman" w:hAnsi="Times New Roman" w:eastAsia="楷体_GB2312" w:cs="Times New Roman"/>
          <w:color w:val="000000"/>
          <w:kern w:val="0"/>
          <w:sz w:val="32"/>
          <w:szCs w:val="32"/>
          <w:shd w:val="clear" w:color="auto" w:fill="FFFFFF"/>
        </w:rPr>
        <w:t>1.</w:t>
      </w:r>
      <w:r>
        <w:rPr>
          <w:rFonts w:ascii="Times New Roman" w:hAnsi="Times New Roman" w:eastAsia="楷体_GB2312" w:cs="Times New Roman"/>
          <w:color w:val="000000"/>
          <w:kern w:val="0"/>
          <w:sz w:val="32"/>
          <w:szCs w:val="32"/>
          <w:shd w:val="clear" w:color="auto" w:fill="FFFFFF"/>
          <w:lang w:val="zh-CN"/>
        </w:rPr>
        <w:t>项目决策。</w:t>
      </w:r>
      <w:r>
        <w:rPr>
          <w:rFonts w:hint="eastAsia" w:ascii="Times New Roman" w:hAnsi="Times New Roman" w:eastAsia="楷体_GB2312" w:cs="Times New Roman"/>
          <w:color w:val="000000"/>
          <w:kern w:val="0"/>
          <w:sz w:val="32"/>
          <w:szCs w:val="32"/>
          <w:shd w:val="clear" w:color="auto" w:fill="FFFFFF"/>
          <w:lang w:val="zh-CN"/>
        </w:rPr>
        <w:t>我单位按规定严格履行项目决策程序，部门预算项目绩效目标与计划内的任务量、预算安排的资金量相匹配，绩效目标设置科学合理、规范完整</w:t>
      </w:r>
      <w:r>
        <w:rPr>
          <w:rFonts w:ascii="Times New Roman" w:hAnsi="Times New Roman" w:eastAsia="仿宋_GB2312" w:cs="Times New Roman"/>
          <w:color w:val="000000"/>
          <w:kern w:val="0"/>
          <w:sz w:val="32"/>
          <w:szCs w:val="32"/>
          <w:shd w:val="clear" w:color="auto" w:fill="FFFFFF"/>
          <w:lang w:val="zh-CN"/>
        </w:rPr>
        <w:t>。</w:t>
      </w:r>
    </w:p>
    <w:p w14:paraId="7F8C7335">
      <w:pPr>
        <w:adjustRightInd w:val="0"/>
        <w:snapToGrid w:val="0"/>
        <w:spacing w:line="578" w:lineRule="exact"/>
        <w:ind w:firstLine="640" w:firstLineChars="200"/>
        <w:contextualSpacing/>
        <w:jc w:val="left"/>
        <w:rPr>
          <w:rFonts w:ascii="Times New Roman" w:hAnsi="Times New Roman" w:eastAsia="楷体_GB2312" w:cs="Times New Roman"/>
          <w:color w:val="000000"/>
          <w:kern w:val="0"/>
          <w:sz w:val="32"/>
          <w:szCs w:val="32"/>
          <w:shd w:val="clear" w:color="auto" w:fill="FFFFFF"/>
          <w:lang w:val="zh-CN"/>
        </w:rPr>
      </w:pPr>
      <w:r>
        <w:rPr>
          <w:rFonts w:ascii="Times New Roman" w:hAnsi="Times New Roman" w:eastAsia="楷体_GB2312" w:cs="Times New Roman"/>
          <w:color w:val="000000"/>
          <w:kern w:val="0"/>
          <w:sz w:val="32"/>
          <w:szCs w:val="32"/>
          <w:shd w:val="clear" w:color="auto" w:fill="FFFFFF"/>
        </w:rPr>
        <w:t>2.项目执行</w:t>
      </w:r>
      <w:r>
        <w:rPr>
          <w:rFonts w:ascii="Times New Roman" w:hAnsi="Times New Roman" w:eastAsia="楷体_GB2312" w:cs="Times New Roman"/>
          <w:color w:val="000000"/>
          <w:kern w:val="0"/>
          <w:sz w:val="32"/>
          <w:szCs w:val="32"/>
          <w:shd w:val="clear" w:color="auto" w:fill="FFFFFF"/>
          <w:lang w:val="zh-CN"/>
        </w:rPr>
        <w:t>。</w:t>
      </w:r>
      <w:r>
        <w:rPr>
          <w:rFonts w:hint="eastAsia" w:ascii="Times New Roman" w:hAnsi="Times New Roman" w:eastAsia="楷体_GB2312" w:cs="Times New Roman"/>
          <w:color w:val="000000"/>
          <w:kern w:val="0"/>
          <w:sz w:val="32"/>
          <w:szCs w:val="32"/>
          <w:shd w:val="clear" w:color="auto" w:fill="FFFFFF"/>
          <w:lang w:val="zh-CN"/>
        </w:rPr>
        <w:t>我单位预算项目实际列支内容与绩效目标设置方向相符，项目预算执行率</w:t>
      </w:r>
      <w:r>
        <w:rPr>
          <w:rFonts w:hint="eastAsia" w:ascii="Times New Roman" w:hAnsi="Times New Roman" w:eastAsia="楷体_GB2312" w:cs="Times New Roman"/>
          <w:color w:val="000000"/>
          <w:kern w:val="0"/>
          <w:sz w:val="32"/>
          <w:szCs w:val="32"/>
          <w:shd w:val="clear" w:color="auto" w:fill="FFFFFF"/>
          <w:lang w:val="en-US" w:eastAsia="zh-CN"/>
        </w:rPr>
        <w:t>100%</w:t>
      </w:r>
      <w:r>
        <w:rPr>
          <w:rFonts w:ascii="Times New Roman" w:hAnsi="Times New Roman" w:eastAsia="仿宋_GB2312" w:cs="Times New Roman"/>
          <w:color w:val="000000"/>
          <w:kern w:val="0"/>
          <w:sz w:val="32"/>
          <w:szCs w:val="32"/>
          <w:shd w:val="clear" w:color="auto" w:fill="FFFFFF"/>
          <w:lang w:val="zh-CN"/>
        </w:rPr>
        <w:t>。</w:t>
      </w:r>
    </w:p>
    <w:p w14:paraId="7F30D690">
      <w:pPr>
        <w:adjustRightInd w:val="0"/>
        <w:snapToGrid w:val="0"/>
        <w:spacing w:line="578" w:lineRule="exact"/>
        <w:ind w:firstLine="640" w:firstLineChars="200"/>
        <w:contextualSpacing/>
        <w:jc w:val="left"/>
        <w:rPr>
          <w:rFonts w:ascii="Times New Roman" w:hAnsi="Times New Roman" w:eastAsia="仿宋_GB2312" w:cs="Times New Roman"/>
          <w:sz w:val="32"/>
          <w:szCs w:val="32"/>
        </w:rPr>
      </w:pPr>
      <w:r>
        <w:rPr>
          <w:rFonts w:ascii="Times New Roman" w:hAnsi="Times New Roman" w:eastAsia="楷体_GB2312" w:cs="Times New Roman"/>
          <w:color w:val="000000"/>
          <w:kern w:val="0"/>
          <w:sz w:val="32"/>
          <w:szCs w:val="32"/>
          <w:shd w:val="clear" w:color="auto" w:fill="FFFFFF"/>
        </w:rPr>
        <w:t>3.</w:t>
      </w:r>
      <w:r>
        <w:rPr>
          <w:rFonts w:ascii="Times New Roman" w:hAnsi="Times New Roman" w:eastAsia="楷体_GB2312" w:cs="Times New Roman"/>
          <w:color w:val="000000"/>
          <w:kern w:val="0"/>
          <w:sz w:val="32"/>
          <w:szCs w:val="32"/>
          <w:shd w:val="clear" w:color="auto" w:fill="FFFFFF"/>
          <w:lang w:val="zh-CN"/>
        </w:rPr>
        <w:t>目标实现。</w:t>
      </w:r>
      <w:r>
        <w:rPr>
          <w:rFonts w:ascii="Times New Roman" w:hAnsi="Times New Roman" w:eastAsia="仿宋_GB2312" w:cs="Times New Roman"/>
          <w:sz w:val="32"/>
          <w:szCs w:val="32"/>
        </w:rPr>
        <w:t>数量指标、质量指标、时效指标和成本指标均按要求完成，完成率100%</w:t>
      </w:r>
      <w:r>
        <w:rPr>
          <w:rFonts w:hint="eastAsia" w:ascii="Times New Roman" w:hAnsi="Times New Roman" w:eastAsia="仿宋_GB2312" w:cs="Times New Roman"/>
          <w:color w:val="000000"/>
          <w:kern w:val="0"/>
          <w:sz w:val="32"/>
          <w:szCs w:val="32"/>
          <w:shd w:val="clear" w:color="auto" w:fill="FFFFFF"/>
          <w:lang w:val="zh-CN"/>
        </w:rPr>
        <w:t>，实现程度与预期目标相匹配。</w:t>
      </w:r>
      <w:r>
        <w:rPr>
          <w:rFonts w:ascii="Times New Roman" w:hAnsi="Times New Roman" w:eastAsia="仿宋_GB2312" w:cs="Times New Roman"/>
          <w:sz w:val="32"/>
          <w:szCs w:val="32"/>
        </w:rPr>
        <w:t>社会效益和可持续影响指标均按要求完成，完成率100%。社会效益指标：全体干部职工</w:t>
      </w:r>
      <w:r>
        <w:rPr>
          <w:rFonts w:ascii="Times New Roman" w:hAnsi="Times New Roman" w:eastAsia="仿宋_GB2312" w:cs="Times New Roman"/>
          <w:snapToGrid w:val="0"/>
          <w:sz w:val="32"/>
          <w:szCs w:val="32"/>
        </w:rPr>
        <w:t>开拓创新、攻坚克难、锐意进取、苦干实干，</w:t>
      </w:r>
      <w:r>
        <w:rPr>
          <w:rFonts w:ascii="Times New Roman" w:hAnsi="Times New Roman" w:eastAsia="仿宋_GB2312" w:cs="Times New Roman"/>
          <w:bCs/>
          <w:sz w:val="32"/>
          <w:szCs w:val="32"/>
        </w:rPr>
        <w:t>自身建设和机关运转规范有</w:t>
      </w:r>
      <w:r>
        <w:rPr>
          <w:rFonts w:hint="eastAsia" w:ascii="仿宋_GB2312" w:hAnsi="Times New Roman" w:eastAsia="仿宋_GB2312" w:cs="Times New Roman"/>
          <w:bCs/>
          <w:sz w:val="32"/>
          <w:szCs w:val="32"/>
        </w:rPr>
        <w:t>序，</w:t>
      </w:r>
      <w:r>
        <w:rPr>
          <w:rFonts w:hint="eastAsia" w:ascii="仿宋_GB2312" w:hAnsi="Times New Roman" w:eastAsia="仿宋_GB2312" w:cs="Times New Roman"/>
          <w:sz w:val="32"/>
          <w:szCs w:val="32"/>
        </w:rPr>
        <w:t>“三救”“三献”核</w:t>
      </w:r>
      <w:r>
        <w:rPr>
          <w:rFonts w:ascii="Times New Roman" w:hAnsi="Times New Roman" w:eastAsia="仿宋_GB2312" w:cs="Times New Roman"/>
          <w:sz w:val="32"/>
          <w:szCs w:val="32"/>
        </w:rPr>
        <w:t>心业务工作</w:t>
      </w:r>
      <w:r>
        <w:rPr>
          <w:rFonts w:ascii="Times New Roman" w:hAnsi="Times New Roman" w:eastAsia="仿宋_GB2312" w:cs="Times New Roman"/>
          <w:bCs/>
          <w:sz w:val="32"/>
          <w:szCs w:val="32"/>
        </w:rPr>
        <w:t>提质增量，基层组织建设、红十字宣传阵地建设、志愿队伍和会员发展等工作亮点纷呈</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可持续影响指标：</w:t>
      </w:r>
      <w:r>
        <w:rPr>
          <w:rFonts w:ascii="Times New Roman" w:hAnsi="Times New Roman" w:eastAsia="仿宋_GB2312" w:cs="Times New Roman"/>
          <w:bCs/>
          <w:sz w:val="32"/>
          <w:szCs w:val="32"/>
        </w:rPr>
        <w:t>在惠民生、保安全、促发展中彰显红十字力量，</w:t>
      </w:r>
      <w:r>
        <w:rPr>
          <w:rFonts w:ascii="Times New Roman" w:hAnsi="Times New Roman" w:eastAsia="仿宋_GB2312" w:cs="Times New Roman"/>
          <w:snapToGrid w:val="0"/>
          <w:sz w:val="32"/>
          <w:szCs w:val="32"/>
        </w:rPr>
        <w:t>开创了</w:t>
      </w:r>
      <w:r>
        <w:rPr>
          <w:rFonts w:ascii="Times New Roman" w:hAnsi="Times New Roman" w:eastAsia="仿宋_GB2312" w:cs="Times New Roman"/>
          <w:sz w:val="32"/>
          <w:szCs w:val="32"/>
        </w:rPr>
        <w:t>我市</w:t>
      </w:r>
      <w:r>
        <w:rPr>
          <w:rFonts w:ascii="Times New Roman" w:hAnsi="Times New Roman" w:eastAsia="仿宋_GB2312" w:cs="Times New Roman"/>
          <w:snapToGrid w:val="0"/>
          <w:sz w:val="32"/>
          <w:szCs w:val="32"/>
        </w:rPr>
        <w:t>红十字事业发展新局面</w:t>
      </w:r>
      <w:r>
        <w:rPr>
          <w:rFonts w:ascii="Times New Roman" w:hAnsi="Times New Roman" w:eastAsia="仿宋_GB2312" w:cs="Times New Roman"/>
          <w:sz w:val="32"/>
          <w:szCs w:val="32"/>
        </w:rPr>
        <w:t>努力推动红十字事业发展</w:t>
      </w:r>
      <w:r>
        <w:rPr>
          <w:rFonts w:ascii="Times New Roman" w:hAnsi="Times New Roman" w:eastAsia="仿宋_GB2312" w:cs="Times New Roman"/>
          <w:color w:val="000000"/>
          <w:kern w:val="0"/>
          <w:sz w:val="32"/>
          <w:szCs w:val="32"/>
          <w:shd w:val="clear" w:color="auto" w:fill="FFFFFF"/>
          <w:lang w:val="zh-CN"/>
        </w:rPr>
        <w:t>。</w:t>
      </w:r>
    </w:p>
    <w:p w14:paraId="26A2ED41">
      <w:pPr>
        <w:numPr>
          <w:ilvl w:val="0"/>
          <w:numId w:val="3"/>
        </w:numPr>
        <w:snapToGrid w:val="0"/>
        <w:spacing w:line="600" w:lineRule="exact"/>
        <w:ind w:left="0" w:firstLine="643" w:firstLineChars="200"/>
        <w:rPr>
          <w:rFonts w:ascii="Times New Roman" w:hAnsi="Times New Roman" w:eastAsia="仿宋_GB2312" w:cs="Times New Roman"/>
          <w:b/>
          <w:sz w:val="32"/>
          <w:szCs w:val="32"/>
        </w:rPr>
      </w:pPr>
      <w:r>
        <w:rPr>
          <w:rFonts w:ascii="Times New Roman" w:hAnsi="Times New Roman" w:eastAsia="楷体_GB2312" w:cs="Times New Roman"/>
          <w:b/>
          <w:bCs/>
          <w:sz w:val="32"/>
          <w:szCs w:val="32"/>
          <w:lang w:val="zh-CN"/>
        </w:rPr>
        <w:t>绩效结果应用情况。</w:t>
      </w:r>
    </w:p>
    <w:p w14:paraId="15B1273C">
      <w:pPr>
        <w:snapToGrid w:val="0"/>
        <w:spacing w:line="600" w:lineRule="exact"/>
        <w:ind w:left="0" w:firstLine="640" w:firstLineChars="200"/>
        <w:rPr>
          <w:rFonts w:ascii="Times New Roman" w:hAnsi="Times New Roman" w:eastAsia="仿宋_GB2312" w:cs="Times New Roman"/>
          <w:b/>
          <w:sz w:val="32"/>
          <w:szCs w:val="32"/>
        </w:rPr>
      </w:pPr>
      <w:r>
        <w:rPr>
          <w:rFonts w:ascii="Times New Roman" w:hAnsi="Times New Roman" w:eastAsia="仿宋_GB2312" w:cs="Times New Roman"/>
          <w:sz w:val="32"/>
          <w:szCs w:val="32"/>
        </w:rPr>
        <w:t>结合绩效自评结果，在202</w:t>
      </w:r>
      <w:r>
        <w:rPr>
          <w:rFonts w:hint="eastAsia" w:ascii="Times New Roman" w:hAnsi="Times New Roman" w:eastAsia="仿宋_GB2312" w:cs="Times New Roman"/>
          <w:sz w:val="32"/>
          <w:szCs w:val="32"/>
          <w:lang w:val="en-US" w:eastAsia="zh-CN"/>
        </w:rPr>
        <w:t>5</w:t>
      </w:r>
      <w:r>
        <w:rPr>
          <w:rFonts w:ascii="Times New Roman" w:hAnsi="Times New Roman" w:eastAsia="仿宋_GB2312" w:cs="Times New Roman"/>
          <w:sz w:val="32"/>
          <w:szCs w:val="32"/>
        </w:rPr>
        <w:t>年资金使用过程中合理安排各项工作时间和项目执行进度，确保资金按计划完成并发挥相应效益。绩效自评情况拟在单位内部进行公开，并上报财政部门按要求进行公开</w:t>
      </w:r>
      <w:r>
        <w:rPr>
          <w:rFonts w:ascii="Times New Roman" w:hAnsi="Times New Roman" w:eastAsia="仿宋_GB2312" w:cs="Times New Roman"/>
          <w:color w:val="000000"/>
          <w:kern w:val="0"/>
          <w:sz w:val="32"/>
          <w:szCs w:val="32"/>
          <w:shd w:val="clear" w:color="auto" w:fill="FFFFFF"/>
          <w:lang w:val="zh-CN"/>
        </w:rPr>
        <w:t>。</w:t>
      </w:r>
    </w:p>
    <w:p w14:paraId="7792BF57">
      <w:pPr>
        <w:widowControl/>
        <w:adjustRightInd w:val="0"/>
        <w:snapToGrid w:val="0"/>
        <w:spacing w:line="578" w:lineRule="exact"/>
        <w:ind w:firstLine="640" w:firstLineChars="200"/>
        <w:contextualSpacing/>
        <w:jc w:val="left"/>
        <w:rPr>
          <w:rFonts w:ascii="Times New Roman" w:hAnsi="Times New Roman" w:eastAsia="黑体" w:cs="Times New Roman"/>
          <w:color w:val="000000"/>
          <w:kern w:val="0"/>
          <w:sz w:val="32"/>
          <w:szCs w:val="32"/>
          <w:shd w:val="clear" w:color="auto" w:fill="FFFFFF"/>
        </w:rPr>
      </w:pPr>
      <w:r>
        <w:rPr>
          <w:rFonts w:ascii="Times New Roman" w:hAnsi="Times New Roman" w:eastAsia="黑体" w:cs="Times New Roman"/>
          <w:color w:val="000000"/>
          <w:kern w:val="0"/>
          <w:sz w:val="32"/>
          <w:szCs w:val="32"/>
          <w:shd w:val="clear" w:color="auto" w:fill="FFFFFF"/>
        </w:rPr>
        <w:t>四、评价结论及建议</w:t>
      </w:r>
    </w:p>
    <w:p w14:paraId="2A34E3F9">
      <w:pPr>
        <w:widowControl/>
        <w:adjustRightInd w:val="0"/>
        <w:snapToGrid w:val="0"/>
        <w:spacing w:line="578" w:lineRule="exact"/>
        <w:ind w:firstLine="643" w:firstLineChars="200"/>
        <w:contextualSpacing/>
        <w:jc w:val="left"/>
        <w:rPr>
          <w:rFonts w:ascii="Times New Roman" w:hAnsi="Times New Roman" w:eastAsia="楷体_GB2312" w:cs="Times New Roman"/>
          <w:b/>
          <w:bCs/>
          <w:color w:val="000000"/>
          <w:kern w:val="0"/>
          <w:sz w:val="32"/>
          <w:szCs w:val="32"/>
          <w:shd w:val="clear" w:color="auto" w:fill="FFFFFF"/>
          <w:lang w:val="zh-CN"/>
        </w:rPr>
      </w:pPr>
      <w:r>
        <w:rPr>
          <w:rFonts w:ascii="Times New Roman" w:hAnsi="Times New Roman" w:eastAsia="楷体_GB2312" w:cs="Times New Roman"/>
          <w:b/>
          <w:bCs/>
          <w:color w:val="000000"/>
          <w:kern w:val="0"/>
          <w:sz w:val="32"/>
          <w:szCs w:val="32"/>
          <w:shd w:val="clear" w:color="auto" w:fill="FFFFFF"/>
          <w:lang w:val="zh-CN"/>
        </w:rPr>
        <w:t>（一）评价结论。</w:t>
      </w:r>
    </w:p>
    <w:p w14:paraId="76CA935D">
      <w:pPr>
        <w:widowControl/>
        <w:adjustRightInd w:val="0"/>
        <w:snapToGrid w:val="0"/>
        <w:spacing w:line="578" w:lineRule="exact"/>
        <w:ind w:firstLine="640" w:firstLineChars="200"/>
        <w:contextualSpacing/>
        <w:jc w:val="left"/>
        <w:rPr>
          <w:rFonts w:ascii="Times New Roman" w:hAnsi="Times New Roman" w:eastAsia="楷体_GB2312" w:cs="Times New Roman"/>
          <w:b/>
          <w:bCs/>
          <w:color w:val="000000"/>
          <w:kern w:val="0"/>
          <w:sz w:val="32"/>
          <w:szCs w:val="32"/>
          <w:shd w:val="clear" w:color="auto" w:fill="FFFFFF"/>
        </w:rPr>
      </w:pPr>
      <w:r>
        <w:rPr>
          <w:rFonts w:hint="eastAsia" w:ascii="Times New Roman" w:hAnsi="Times New Roman" w:eastAsia="仿宋_GB2312" w:cs="Times New Roman"/>
          <w:sz w:val="32"/>
          <w:szCs w:val="32"/>
          <w:lang w:val="en-US" w:eastAsia="zh-CN"/>
        </w:rPr>
        <w:t>2024</w:t>
      </w:r>
      <w:r>
        <w:rPr>
          <w:rFonts w:ascii="Times New Roman" w:hAnsi="Times New Roman" w:eastAsia="仿宋_GB2312" w:cs="Times New Roman"/>
          <w:sz w:val="32"/>
          <w:szCs w:val="32"/>
        </w:rPr>
        <w:t>年，市红十字会围绕部门预算和年度重点工作任务安排预算资金，预算管理科学性逐步提升、预算执行率</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方正仿宋_GBK" w:hAnsi="Times New Roman" w:eastAsia="方正仿宋_GBK" w:cs="Times New Roman"/>
          <w:sz w:val="32"/>
          <w:szCs w:val="32"/>
        </w:rPr>
        <w:t>“三公”</w:t>
      </w:r>
      <w:r>
        <w:rPr>
          <w:rFonts w:ascii="Times New Roman" w:hAnsi="Times New Roman" w:eastAsia="仿宋_GB2312" w:cs="Times New Roman"/>
          <w:sz w:val="32"/>
          <w:szCs w:val="32"/>
        </w:rPr>
        <w:t>经费控制有效，信息公开内容完整、及时规范，完成绩效管理工作；绝大部分绩效目标达到年初设定目标值。但存在预算绩效指标设置不够规范，基本运行绩效有提升空间。</w:t>
      </w:r>
      <w:r>
        <w:rPr>
          <w:rFonts w:hint="eastAsia" w:ascii="Times New Roman" w:hAnsi="Times New Roman" w:eastAsia="仿宋_GB2312" w:cs="Times New Roman"/>
          <w:sz w:val="32"/>
          <w:szCs w:val="32"/>
        </w:rPr>
        <w:t>总体评价得分9</w:t>
      </w:r>
      <w:r>
        <w:rPr>
          <w:rFonts w:hint="eastAsia" w:ascii="Times New Roman" w:hAnsi="Times New Roman" w:eastAsia="仿宋_GB2312" w:cs="Times New Roman"/>
          <w:sz w:val="32"/>
          <w:szCs w:val="32"/>
          <w:lang w:val="en-US" w:eastAsia="zh-CN"/>
        </w:rPr>
        <w:t>7.8</w:t>
      </w:r>
      <w:r>
        <w:rPr>
          <w:rFonts w:hint="eastAsia" w:ascii="Times New Roman" w:hAnsi="Times New Roman" w:eastAsia="仿宋_GB2312" w:cs="Times New Roman"/>
          <w:sz w:val="32"/>
          <w:szCs w:val="32"/>
        </w:rPr>
        <w:t>分</w:t>
      </w:r>
      <w:r>
        <w:rPr>
          <w:rFonts w:ascii="Times New Roman" w:hAnsi="Times New Roman" w:eastAsia="仿宋_GB2312" w:cs="Times New Roman"/>
          <w:kern w:val="0"/>
          <w:sz w:val="32"/>
          <w:szCs w:val="32"/>
        </w:rPr>
        <w:t>。</w:t>
      </w:r>
    </w:p>
    <w:p w14:paraId="3DFE2CD8">
      <w:pPr>
        <w:widowControl/>
        <w:numPr>
          <w:ilvl w:val="0"/>
          <w:numId w:val="4"/>
        </w:numPr>
        <w:adjustRightInd w:val="0"/>
        <w:snapToGrid w:val="0"/>
        <w:spacing w:line="578" w:lineRule="exact"/>
        <w:ind w:left="0" w:firstLine="643" w:firstLineChars="200"/>
        <w:contextualSpacing/>
        <w:jc w:val="left"/>
        <w:rPr>
          <w:rFonts w:ascii="Times New Roman" w:hAnsi="Times New Roman" w:eastAsia="仿宋_GB2312" w:cs="Times New Roman"/>
          <w:sz w:val="32"/>
        </w:rPr>
      </w:pPr>
      <w:r>
        <w:rPr>
          <w:rFonts w:ascii="Times New Roman" w:hAnsi="Times New Roman" w:eastAsia="楷体_GB2312" w:cs="Times New Roman"/>
          <w:b/>
          <w:bCs/>
          <w:color w:val="000000"/>
          <w:kern w:val="0"/>
          <w:sz w:val="32"/>
          <w:szCs w:val="32"/>
          <w:shd w:val="clear" w:color="auto" w:fill="FFFFFF"/>
          <w:lang w:val="zh-CN"/>
        </w:rPr>
        <w:t>存在问题。</w:t>
      </w:r>
    </w:p>
    <w:p w14:paraId="647A9D3C">
      <w:pPr>
        <w:widowControl/>
        <w:adjustRightInd w:val="0"/>
        <w:snapToGrid w:val="0"/>
        <w:spacing w:line="578" w:lineRule="exact"/>
        <w:ind w:left="0" w:firstLine="640" w:firstLineChars="200"/>
        <w:contextualSpacing/>
        <w:jc w:val="left"/>
        <w:rPr>
          <w:rFonts w:hint="eastAsia" w:ascii="Times New Roman" w:hAnsi="Times New Roman" w:eastAsia="楷体_GB2312" w:cs="Times New Roman"/>
          <w:b w:val="0"/>
          <w:bCs w:val="0"/>
          <w:color w:val="000000"/>
          <w:kern w:val="0"/>
          <w:sz w:val="32"/>
          <w:szCs w:val="32"/>
          <w:shd w:val="clear" w:color="auto" w:fill="FFFFFF"/>
          <w:lang w:val="en-US" w:eastAsia="zh-CN"/>
        </w:rPr>
      </w:pPr>
      <w:r>
        <w:rPr>
          <w:rFonts w:hint="eastAsia" w:ascii="Times New Roman" w:hAnsi="Times New Roman" w:eastAsia="楷体_GB2312" w:cs="Times New Roman"/>
          <w:b w:val="0"/>
          <w:bCs w:val="0"/>
          <w:color w:val="000000"/>
          <w:kern w:val="0"/>
          <w:sz w:val="32"/>
          <w:szCs w:val="32"/>
          <w:shd w:val="clear" w:color="auto" w:fill="FFFFFF"/>
          <w:lang w:val="en-US" w:eastAsia="zh-CN"/>
        </w:rPr>
        <w:t>1.</w:t>
      </w:r>
      <w:r>
        <w:rPr>
          <w:rFonts w:hint="eastAsia" w:ascii="Times New Roman" w:hAnsi="Times New Roman" w:eastAsia="楷体_GB2312" w:cs="Times New Roman"/>
          <w:b w:val="0"/>
          <w:bCs w:val="0"/>
          <w:color w:val="000000"/>
          <w:kern w:val="0"/>
          <w:sz w:val="32"/>
          <w:szCs w:val="32"/>
          <w:shd w:val="clear" w:color="auto" w:fill="FFFFFF"/>
          <w:lang w:val="zh-CN"/>
        </w:rPr>
        <w:t>人均资产变化率</w:t>
      </w:r>
      <w:r>
        <w:rPr>
          <w:rFonts w:hint="eastAsia" w:ascii="Times New Roman" w:hAnsi="Times New Roman" w:eastAsia="楷体_GB2312" w:cs="Times New Roman"/>
          <w:b w:val="0"/>
          <w:bCs w:val="0"/>
          <w:color w:val="000000"/>
          <w:kern w:val="0"/>
          <w:sz w:val="32"/>
          <w:szCs w:val="32"/>
          <w:shd w:val="clear" w:color="auto" w:fill="FFFFFF"/>
          <w:lang w:val="en-US" w:eastAsia="zh-CN"/>
        </w:rPr>
        <w:t>25.199%，</w:t>
      </w:r>
      <w:r>
        <w:rPr>
          <w:rFonts w:hint="eastAsia" w:ascii="Times New Roman" w:hAnsi="Times New Roman" w:eastAsia="楷体_GB2312" w:cs="Times New Roman"/>
          <w:b w:val="0"/>
          <w:bCs w:val="0"/>
          <w:color w:val="000000"/>
          <w:kern w:val="0"/>
          <w:sz w:val="32"/>
          <w:szCs w:val="32"/>
          <w:shd w:val="clear" w:color="auto" w:fill="FFFFFF"/>
          <w:lang w:val="zh-CN"/>
        </w:rPr>
        <w:t>大于市级行政事业单位人均资产变化率</w:t>
      </w:r>
      <w:r>
        <w:rPr>
          <w:rFonts w:hint="eastAsia" w:ascii="Times New Roman" w:hAnsi="Times New Roman" w:eastAsia="楷体_GB2312" w:cs="Times New Roman"/>
          <w:b w:val="0"/>
          <w:bCs w:val="0"/>
          <w:color w:val="000000"/>
          <w:kern w:val="0"/>
          <w:sz w:val="32"/>
          <w:szCs w:val="32"/>
          <w:shd w:val="clear" w:color="auto" w:fill="FFFFFF"/>
          <w:lang w:val="en-US" w:eastAsia="zh-CN"/>
        </w:rPr>
        <w:t>15.358%。</w:t>
      </w:r>
    </w:p>
    <w:p w14:paraId="00BC69D4">
      <w:pPr>
        <w:widowControl/>
        <w:adjustRightInd w:val="0"/>
        <w:snapToGrid w:val="0"/>
        <w:spacing w:line="578" w:lineRule="exact"/>
        <w:ind w:left="0" w:firstLine="640" w:firstLineChars="200"/>
        <w:contextualSpacing/>
        <w:jc w:val="left"/>
        <w:rPr>
          <w:rFonts w:ascii="Times New Roman" w:hAnsi="Times New Roman" w:eastAsia="楷体_GB2312" w:cs="Times New Roman"/>
          <w:sz w:val="32"/>
          <w:lang w:val="en-US" w:eastAsia="zh-CN"/>
        </w:rPr>
      </w:pPr>
      <w:r>
        <w:rPr>
          <w:rFonts w:hint="eastAsia" w:ascii="Times New Roman" w:hAnsi="Times New Roman" w:eastAsia="楷体_GB2312" w:cs="Times New Roman"/>
          <w:b w:val="0"/>
          <w:bCs w:val="0"/>
          <w:color w:val="000000"/>
          <w:kern w:val="0"/>
          <w:sz w:val="32"/>
          <w:szCs w:val="32"/>
          <w:shd w:val="clear" w:color="auto" w:fill="FFFFFF"/>
          <w:lang w:val="en-US" w:eastAsia="zh-CN"/>
        </w:rPr>
        <w:t>2.2024年无专职财务人员，由现有职工兼职完成财务工作。</w:t>
      </w:r>
    </w:p>
    <w:p w14:paraId="29601B37">
      <w:pPr>
        <w:widowControl/>
        <w:numPr>
          <w:ilvl w:val="0"/>
          <w:numId w:val="4"/>
        </w:numPr>
        <w:adjustRightInd w:val="0"/>
        <w:snapToGrid w:val="0"/>
        <w:spacing w:line="578" w:lineRule="exact"/>
        <w:ind w:left="0" w:firstLine="643" w:firstLineChars="200"/>
        <w:contextualSpacing/>
        <w:jc w:val="left"/>
        <w:rPr>
          <w:rFonts w:ascii="Times New Roman" w:hAnsi="Times New Roman" w:eastAsia="楷体_GB2312" w:cs="Times New Roman"/>
          <w:b/>
          <w:bCs/>
          <w:color w:val="000000"/>
          <w:kern w:val="0"/>
          <w:sz w:val="32"/>
          <w:szCs w:val="32"/>
          <w:shd w:val="clear" w:color="auto" w:fill="FFFFFF"/>
          <w:lang w:val="zh-CN"/>
        </w:rPr>
      </w:pPr>
      <w:r>
        <w:rPr>
          <w:rFonts w:ascii="Times New Roman" w:hAnsi="Times New Roman" w:eastAsia="楷体_GB2312" w:cs="Times New Roman"/>
          <w:b/>
          <w:bCs/>
          <w:color w:val="000000"/>
          <w:kern w:val="0"/>
          <w:sz w:val="32"/>
          <w:szCs w:val="32"/>
          <w:shd w:val="clear" w:color="auto" w:fill="FFFFFF"/>
          <w:lang w:val="zh-CN"/>
        </w:rPr>
        <w:t>改进建议。</w:t>
      </w:r>
    </w:p>
    <w:p w14:paraId="1BD533FD">
      <w:pPr>
        <w:widowControl/>
        <w:adjustRightInd w:val="0"/>
        <w:snapToGrid w:val="0"/>
        <w:spacing w:line="578" w:lineRule="exact"/>
        <w:ind w:left="0" w:firstLine="640" w:firstLineChars="200"/>
        <w:contextualSpacing/>
        <w:jc w:val="left"/>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lang w:val="en-US" w:eastAsia="zh-CN"/>
        </w:rPr>
        <w:t>1.2024年由于办公室搬迁且新增</w:t>
      </w:r>
      <w:r>
        <w:rPr>
          <w:rFonts w:hint="eastAsia" w:eastAsia="仿宋_GB2312" w:cs="Times New Roman"/>
          <w:kern w:val="0"/>
          <w:sz w:val="32"/>
          <w:szCs w:val="32"/>
          <w:lang w:val="en-US" w:eastAsia="zh-CN"/>
        </w:rPr>
        <w:t>3</w:t>
      </w:r>
      <w:r>
        <w:rPr>
          <w:rFonts w:hint="eastAsia" w:ascii="Times New Roman" w:hAnsi="Times New Roman" w:eastAsia="仿宋_GB2312" w:cs="Times New Roman"/>
          <w:kern w:val="0"/>
          <w:sz w:val="32"/>
          <w:szCs w:val="32"/>
          <w:lang w:val="en-US" w:eastAsia="zh-CN"/>
        </w:rPr>
        <w:t>名工作人员，导致人均资产由2023年的6.29万元降至4.705万元，变化率25.199%</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eastAsia="zh-CN"/>
        </w:rPr>
        <w:t>后续将加强资产管理。</w:t>
      </w:r>
    </w:p>
    <w:p w14:paraId="1C29A74E">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eastAsia" w:ascii="Times New Roman" w:hAnsi="Times New Roman" w:eastAsia="仿宋_GB2312" w:cs="Times New Roman"/>
          <w:sz w:val="32"/>
          <w:szCs w:val="32"/>
          <w:u w:val="none"/>
          <w:lang w:val="en" w:eastAsia="zh-CN" w:bidi="ar"/>
        </w:rPr>
      </w:pPr>
      <w:r>
        <w:rPr>
          <w:rFonts w:hint="eastAsia" w:ascii="Times New Roman" w:hAnsi="Times New Roman" w:eastAsia="仿宋_GB2312" w:cs="Times New Roman"/>
          <w:kern w:val="0"/>
          <w:sz w:val="32"/>
          <w:szCs w:val="32"/>
          <w:lang w:val="en-US" w:eastAsia="zh-CN"/>
        </w:rPr>
        <w:t>2.已通过公开招聘新增专职财务人员1名。在2025年将加强落实各项财务制度，确保资金使用符合各项制度规定</w:t>
      </w:r>
      <w:r>
        <w:rPr>
          <w:rFonts w:hint="eastAsia" w:ascii="Times New Roman" w:hAnsi="Times New Roman" w:eastAsia="仿宋_GB2312" w:cs="Times New Roman"/>
          <w:sz w:val="32"/>
          <w:szCs w:val="32"/>
          <w:u w:val="none"/>
          <w:lang w:val="en-US" w:eastAsia="zh-CN" w:bidi="ar"/>
        </w:rPr>
        <w:t>。</w:t>
      </w:r>
    </w:p>
    <w:bookmarkEnd w:id="50"/>
    <w:p w14:paraId="749EAD77">
      <w:pPr>
        <w:pStyle w:val="3"/>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Times New Roman" w:hAnsi="Times New Roman" w:eastAsia="仿宋_GB2312" w:cs="Times New Roman"/>
          <w:kern w:val="2"/>
          <w:sz w:val="32"/>
          <w:szCs w:val="32"/>
          <w:u w:val="none"/>
          <w:lang w:val="zh-CN" w:eastAsia="zh-CN" w:bidi="ar"/>
        </w:rPr>
      </w:pPr>
    </w:p>
    <w:p w14:paraId="206A9713">
      <w:pPr>
        <w:pStyle w:val="3"/>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Times New Roman" w:hAnsi="Times New Roman" w:eastAsia="仿宋_GB2312" w:cs="Times New Roman"/>
          <w:kern w:val="2"/>
          <w:sz w:val="32"/>
          <w:szCs w:val="32"/>
          <w:u w:val="none"/>
          <w:lang w:val="zh-CN" w:eastAsia="zh-CN" w:bidi="ar"/>
        </w:rPr>
      </w:pPr>
      <w:r>
        <w:rPr>
          <w:rFonts w:hint="eastAsia" w:ascii="Times New Roman" w:hAnsi="Times New Roman" w:eastAsia="仿宋_GB2312" w:cs="Times New Roman"/>
          <w:kern w:val="2"/>
          <w:sz w:val="32"/>
          <w:szCs w:val="32"/>
          <w:u w:val="none"/>
          <w:lang w:val="zh-CN" w:eastAsia="zh-CN" w:bidi="ar"/>
        </w:rPr>
        <w:t>附表：</w:t>
      </w:r>
      <w:r>
        <w:rPr>
          <w:rFonts w:hint="eastAsia" w:ascii="Times New Roman" w:hAnsi="Times New Roman" w:eastAsia="仿宋_GB2312" w:cs="Times New Roman"/>
          <w:kern w:val="2"/>
          <w:sz w:val="32"/>
          <w:szCs w:val="32"/>
          <w:u w:val="none"/>
          <w:lang w:val="en-US" w:eastAsia="zh-CN" w:bidi="ar"/>
        </w:rPr>
        <w:t>部门预算项目支出绩效自评表（2024年度）</w:t>
      </w:r>
    </w:p>
    <w:p w14:paraId="42E266C0">
      <w:pPr>
        <w:pStyle w:val="3"/>
        <w:keepNext w:val="0"/>
        <w:keepLines w:val="0"/>
        <w:pageBreakBefore w:val="0"/>
        <w:numPr>
          <w:ilvl w:val="0"/>
          <w:numId w:val="0"/>
        </w:numPr>
        <w:kinsoku/>
        <w:wordWrap/>
        <w:overflowPunct/>
        <w:topLinePunct w:val="0"/>
        <w:autoSpaceDE/>
        <w:autoSpaceDN/>
        <w:bidi w:val="0"/>
        <w:spacing w:line="560" w:lineRule="exact"/>
        <w:textAlignment w:val="auto"/>
        <w:rPr>
          <w:rFonts w:hint="eastAsia" w:ascii="Times New Roman" w:hAnsi="Times New Roman" w:cs="Times New Roman"/>
          <w:sz w:val="32"/>
          <w:szCs w:val="32"/>
          <w:highlight w:val="yellow"/>
          <w:lang w:val="zh-CN" w:eastAsia="zh-CN"/>
        </w:rPr>
      </w:pPr>
    </w:p>
    <w:p w14:paraId="617E0B06">
      <w:pPr>
        <w:pStyle w:val="3"/>
        <w:keepNext w:val="0"/>
        <w:keepLines w:val="0"/>
        <w:pageBreakBefore w:val="0"/>
        <w:numPr>
          <w:ilvl w:val="0"/>
          <w:numId w:val="0"/>
        </w:numPr>
        <w:kinsoku/>
        <w:wordWrap/>
        <w:overflowPunct/>
        <w:topLinePunct w:val="0"/>
        <w:autoSpaceDE/>
        <w:autoSpaceDN/>
        <w:bidi w:val="0"/>
        <w:spacing w:line="560" w:lineRule="exact"/>
        <w:textAlignment w:val="auto"/>
        <w:rPr>
          <w:rFonts w:hint="eastAsia" w:ascii="Times New Roman" w:hAnsi="Times New Roman" w:cs="Times New Roman"/>
          <w:sz w:val="32"/>
          <w:szCs w:val="32"/>
          <w:highlight w:val="yellow"/>
          <w:lang w:val="zh-CN" w:eastAsia="zh-CN"/>
        </w:rPr>
      </w:pPr>
    </w:p>
    <w:p w14:paraId="053982EF">
      <w:pPr>
        <w:pStyle w:val="3"/>
        <w:keepNext w:val="0"/>
        <w:keepLines w:val="0"/>
        <w:pageBreakBefore w:val="0"/>
        <w:numPr>
          <w:ilvl w:val="0"/>
          <w:numId w:val="0"/>
        </w:numPr>
        <w:kinsoku/>
        <w:wordWrap/>
        <w:overflowPunct/>
        <w:topLinePunct w:val="0"/>
        <w:autoSpaceDE/>
        <w:autoSpaceDN/>
        <w:bidi w:val="0"/>
        <w:spacing w:line="560" w:lineRule="exact"/>
        <w:textAlignment w:val="auto"/>
        <w:rPr>
          <w:rFonts w:hint="eastAsia" w:ascii="Times New Roman" w:hAnsi="Times New Roman" w:cs="Times New Roman"/>
          <w:sz w:val="32"/>
          <w:szCs w:val="32"/>
          <w:highlight w:val="yellow"/>
          <w:lang w:val="zh-CN" w:eastAsia="zh-CN"/>
        </w:rPr>
      </w:pPr>
    </w:p>
    <w:p w14:paraId="15B48B5B">
      <w:pPr>
        <w:pStyle w:val="3"/>
        <w:keepNext w:val="0"/>
        <w:keepLines w:val="0"/>
        <w:pageBreakBefore w:val="0"/>
        <w:numPr>
          <w:ilvl w:val="0"/>
          <w:numId w:val="0"/>
        </w:numPr>
        <w:kinsoku/>
        <w:wordWrap/>
        <w:overflowPunct/>
        <w:topLinePunct w:val="0"/>
        <w:autoSpaceDE/>
        <w:autoSpaceDN/>
        <w:bidi w:val="0"/>
        <w:spacing w:line="560" w:lineRule="exact"/>
        <w:textAlignment w:val="auto"/>
        <w:rPr>
          <w:rFonts w:hint="eastAsia" w:ascii="Times New Roman" w:hAnsi="Times New Roman" w:cs="Times New Roman"/>
          <w:sz w:val="32"/>
          <w:szCs w:val="32"/>
          <w:highlight w:val="yellow"/>
          <w:lang w:val="zh-CN" w:eastAsia="zh-CN"/>
        </w:rPr>
      </w:pPr>
    </w:p>
    <w:p w14:paraId="100B1805">
      <w:pPr>
        <w:pStyle w:val="3"/>
        <w:keepNext w:val="0"/>
        <w:keepLines w:val="0"/>
        <w:pageBreakBefore w:val="0"/>
        <w:numPr>
          <w:ilvl w:val="0"/>
          <w:numId w:val="0"/>
        </w:numPr>
        <w:kinsoku/>
        <w:wordWrap/>
        <w:overflowPunct/>
        <w:topLinePunct w:val="0"/>
        <w:autoSpaceDE/>
        <w:autoSpaceDN/>
        <w:bidi w:val="0"/>
        <w:spacing w:line="560" w:lineRule="exact"/>
        <w:textAlignment w:val="auto"/>
        <w:rPr>
          <w:rFonts w:hint="eastAsia" w:ascii="Times New Roman" w:hAnsi="Times New Roman" w:cs="Times New Roman"/>
          <w:sz w:val="32"/>
          <w:szCs w:val="32"/>
          <w:highlight w:val="yellow"/>
          <w:lang w:val="zh-CN" w:eastAsia="zh-CN"/>
        </w:rPr>
      </w:pPr>
    </w:p>
    <w:p w14:paraId="6ED1EC54">
      <w:pPr>
        <w:pStyle w:val="3"/>
        <w:keepNext w:val="0"/>
        <w:keepLines w:val="0"/>
        <w:pageBreakBefore w:val="0"/>
        <w:numPr>
          <w:ilvl w:val="0"/>
          <w:numId w:val="0"/>
        </w:numPr>
        <w:kinsoku/>
        <w:wordWrap/>
        <w:overflowPunct/>
        <w:topLinePunct w:val="0"/>
        <w:autoSpaceDE/>
        <w:autoSpaceDN/>
        <w:bidi w:val="0"/>
        <w:spacing w:line="560" w:lineRule="exact"/>
        <w:textAlignment w:val="auto"/>
        <w:rPr>
          <w:rFonts w:hint="eastAsia" w:ascii="Times New Roman" w:hAnsi="Times New Roman" w:cs="Times New Roman"/>
          <w:sz w:val="32"/>
          <w:szCs w:val="32"/>
          <w:highlight w:val="yellow"/>
          <w:lang w:val="zh-CN" w:eastAsia="zh-CN"/>
        </w:rPr>
      </w:pPr>
    </w:p>
    <w:p w14:paraId="22E08F18">
      <w:pPr>
        <w:pStyle w:val="3"/>
        <w:keepNext w:val="0"/>
        <w:keepLines w:val="0"/>
        <w:pageBreakBefore w:val="0"/>
        <w:numPr>
          <w:ilvl w:val="0"/>
          <w:numId w:val="0"/>
        </w:numPr>
        <w:kinsoku/>
        <w:wordWrap/>
        <w:overflowPunct/>
        <w:topLinePunct w:val="0"/>
        <w:autoSpaceDE/>
        <w:autoSpaceDN/>
        <w:bidi w:val="0"/>
        <w:spacing w:line="560" w:lineRule="exact"/>
        <w:textAlignment w:val="auto"/>
        <w:rPr>
          <w:rFonts w:hint="eastAsia" w:ascii="Times New Roman" w:hAnsi="Times New Roman" w:cs="Times New Roman"/>
          <w:sz w:val="32"/>
          <w:szCs w:val="32"/>
          <w:highlight w:val="yellow"/>
          <w:lang w:val="zh-CN" w:eastAsia="zh-CN"/>
        </w:rPr>
      </w:pPr>
    </w:p>
    <w:p w14:paraId="4A4068AE">
      <w:pPr>
        <w:pStyle w:val="3"/>
        <w:keepNext w:val="0"/>
        <w:keepLines w:val="0"/>
        <w:pageBreakBefore w:val="0"/>
        <w:numPr>
          <w:ilvl w:val="0"/>
          <w:numId w:val="0"/>
        </w:numPr>
        <w:kinsoku/>
        <w:wordWrap/>
        <w:overflowPunct/>
        <w:topLinePunct w:val="0"/>
        <w:autoSpaceDE/>
        <w:autoSpaceDN/>
        <w:bidi w:val="0"/>
        <w:spacing w:line="560" w:lineRule="exact"/>
        <w:textAlignment w:val="auto"/>
        <w:rPr>
          <w:rFonts w:hint="eastAsia" w:ascii="Times New Roman" w:hAnsi="Times New Roman" w:cs="Times New Roman"/>
          <w:sz w:val="32"/>
          <w:szCs w:val="32"/>
          <w:highlight w:val="yellow"/>
          <w:lang w:val="zh-CN" w:eastAsia="zh-CN"/>
        </w:rPr>
      </w:pPr>
    </w:p>
    <w:p w14:paraId="66EAB48D">
      <w:pPr>
        <w:pStyle w:val="3"/>
        <w:keepNext w:val="0"/>
        <w:keepLines w:val="0"/>
        <w:pageBreakBefore w:val="0"/>
        <w:numPr>
          <w:ilvl w:val="0"/>
          <w:numId w:val="0"/>
        </w:numPr>
        <w:kinsoku/>
        <w:wordWrap/>
        <w:overflowPunct/>
        <w:topLinePunct w:val="0"/>
        <w:autoSpaceDE/>
        <w:autoSpaceDN/>
        <w:bidi w:val="0"/>
        <w:spacing w:line="560" w:lineRule="exact"/>
        <w:textAlignment w:val="auto"/>
        <w:rPr>
          <w:rFonts w:hint="eastAsia" w:ascii="Times New Roman" w:hAnsi="Times New Roman" w:cs="Times New Roman"/>
          <w:sz w:val="32"/>
          <w:szCs w:val="32"/>
          <w:highlight w:val="yellow"/>
          <w:lang w:val="zh-CN" w:eastAsia="zh-CN"/>
        </w:rPr>
      </w:pPr>
    </w:p>
    <w:p w14:paraId="4169A858">
      <w:pPr>
        <w:pStyle w:val="3"/>
        <w:keepNext w:val="0"/>
        <w:keepLines w:val="0"/>
        <w:pageBreakBefore w:val="0"/>
        <w:numPr>
          <w:ilvl w:val="0"/>
          <w:numId w:val="0"/>
        </w:numPr>
        <w:kinsoku/>
        <w:wordWrap/>
        <w:overflowPunct/>
        <w:topLinePunct w:val="0"/>
        <w:autoSpaceDE/>
        <w:autoSpaceDN/>
        <w:bidi w:val="0"/>
        <w:spacing w:line="560" w:lineRule="exact"/>
        <w:textAlignment w:val="auto"/>
        <w:rPr>
          <w:rFonts w:hint="eastAsia" w:ascii="Times New Roman" w:hAnsi="Times New Roman" w:cs="Times New Roman"/>
          <w:sz w:val="32"/>
          <w:szCs w:val="32"/>
          <w:highlight w:val="yellow"/>
          <w:lang w:val="zh-CN" w:eastAsia="zh-CN"/>
        </w:rPr>
      </w:pPr>
    </w:p>
    <w:p w14:paraId="7FBF0C9F">
      <w:pPr>
        <w:pStyle w:val="3"/>
        <w:keepNext w:val="0"/>
        <w:keepLines w:val="0"/>
        <w:pageBreakBefore w:val="0"/>
        <w:numPr>
          <w:ilvl w:val="0"/>
          <w:numId w:val="0"/>
        </w:numPr>
        <w:kinsoku/>
        <w:wordWrap/>
        <w:overflowPunct/>
        <w:topLinePunct w:val="0"/>
        <w:autoSpaceDE/>
        <w:autoSpaceDN/>
        <w:bidi w:val="0"/>
        <w:spacing w:line="560" w:lineRule="exact"/>
        <w:textAlignment w:val="auto"/>
        <w:rPr>
          <w:rFonts w:hint="eastAsia" w:ascii="Times New Roman" w:hAnsi="Times New Roman" w:cs="Times New Roman"/>
          <w:sz w:val="32"/>
          <w:szCs w:val="32"/>
          <w:highlight w:val="yellow"/>
          <w:lang w:val="zh-CN" w:eastAsia="zh-CN"/>
        </w:rPr>
      </w:pPr>
    </w:p>
    <w:p w14:paraId="31C13532">
      <w:pPr>
        <w:pStyle w:val="3"/>
        <w:keepNext w:val="0"/>
        <w:keepLines w:val="0"/>
        <w:pageBreakBefore w:val="0"/>
        <w:numPr>
          <w:ilvl w:val="0"/>
          <w:numId w:val="0"/>
        </w:numPr>
        <w:kinsoku/>
        <w:wordWrap/>
        <w:overflowPunct/>
        <w:topLinePunct w:val="0"/>
        <w:autoSpaceDE/>
        <w:autoSpaceDN/>
        <w:bidi w:val="0"/>
        <w:spacing w:line="560" w:lineRule="exact"/>
        <w:textAlignment w:val="auto"/>
        <w:rPr>
          <w:rFonts w:hint="eastAsia" w:ascii="Times New Roman" w:hAnsi="Times New Roman" w:cs="Times New Roman"/>
          <w:sz w:val="32"/>
          <w:szCs w:val="32"/>
          <w:highlight w:val="yellow"/>
          <w:lang w:val="zh-CN" w:eastAsia="zh-CN"/>
        </w:rPr>
      </w:pPr>
    </w:p>
    <w:p w14:paraId="04040797">
      <w:pPr>
        <w:pStyle w:val="3"/>
        <w:keepNext w:val="0"/>
        <w:keepLines w:val="0"/>
        <w:pageBreakBefore w:val="0"/>
        <w:numPr>
          <w:ilvl w:val="0"/>
          <w:numId w:val="0"/>
        </w:numPr>
        <w:kinsoku/>
        <w:wordWrap/>
        <w:overflowPunct/>
        <w:topLinePunct w:val="0"/>
        <w:autoSpaceDE/>
        <w:autoSpaceDN/>
        <w:bidi w:val="0"/>
        <w:spacing w:line="560" w:lineRule="exact"/>
        <w:textAlignment w:val="auto"/>
        <w:rPr>
          <w:rFonts w:hint="eastAsia" w:ascii="Times New Roman" w:hAnsi="Times New Roman" w:cs="Times New Roman"/>
          <w:sz w:val="32"/>
          <w:szCs w:val="32"/>
          <w:highlight w:val="yellow"/>
          <w:lang w:val="zh-CN" w:eastAsia="zh-CN"/>
        </w:rPr>
      </w:pPr>
    </w:p>
    <w:p w14:paraId="03A99CCA">
      <w:pPr>
        <w:pStyle w:val="3"/>
        <w:keepNext w:val="0"/>
        <w:keepLines w:val="0"/>
        <w:pageBreakBefore w:val="0"/>
        <w:numPr>
          <w:ilvl w:val="0"/>
          <w:numId w:val="0"/>
        </w:numPr>
        <w:kinsoku/>
        <w:wordWrap/>
        <w:overflowPunct/>
        <w:topLinePunct w:val="0"/>
        <w:autoSpaceDE/>
        <w:autoSpaceDN/>
        <w:bidi w:val="0"/>
        <w:spacing w:line="560" w:lineRule="exact"/>
        <w:textAlignment w:val="auto"/>
        <w:rPr>
          <w:rFonts w:hint="eastAsia" w:ascii="Times New Roman" w:hAnsi="Times New Roman" w:cs="Times New Roman"/>
          <w:sz w:val="32"/>
          <w:szCs w:val="32"/>
          <w:highlight w:val="yellow"/>
          <w:lang w:val="zh-CN" w:eastAsia="zh-CN"/>
        </w:rPr>
        <w:sectPr>
          <w:footerReference r:id="rId10" w:type="first"/>
          <w:footerReference r:id="rId9" w:type="default"/>
          <w:pgSz w:w="11906" w:h="16838"/>
          <w:pgMar w:top="1440" w:right="1800" w:bottom="1440" w:left="1800" w:header="851" w:footer="992" w:gutter="0"/>
          <w:pgNumType w:fmt="numberInDash" w:start="1"/>
          <w:cols w:space="425" w:num="1"/>
          <w:docGrid w:type="lines" w:linePitch="312" w:charSpace="0"/>
        </w:sectPr>
      </w:pPr>
    </w:p>
    <w:tbl>
      <w:tblPr>
        <w:tblStyle w:val="16"/>
        <w:tblW w:w="1378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9"/>
        <w:gridCol w:w="2093"/>
        <w:gridCol w:w="1764"/>
        <w:gridCol w:w="2257"/>
        <w:gridCol w:w="524"/>
        <w:gridCol w:w="1317"/>
        <w:gridCol w:w="524"/>
        <w:gridCol w:w="1079"/>
        <w:gridCol w:w="510"/>
        <w:gridCol w:w="486"/>
        <w:gridCol w:w="2542"/>
      </w:tblGrid>
      <w:tr w14:paraId="45E78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trPr>
        <w:tc>
          <w:tcPr>
            <w:tcW w:w="1378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752AD212">
            <w:pPr>
              <w:keepNext w:val="0"/>
              <w:keepLines w:val="0"/>
              <w:widowControl/>
              <w:suppressLineNumbers w:val="0"/>
              <w:jc w:val="center"/>
              <w:textAlignment w:val="center"/>
              <w:rPr>
                <w:rFonts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452B2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2782" w:type="dxa"/>
            <w:gridSpan w:val="2"/>
            <w:tcBorders>
              <w:top w:val="nil"/>
              <w:left w:val="single" w:color="000000" w:sz="4" w:space="0"/>
              <w:bottom w:val="single" w:color="000000" w:sz="4" w:space="0"/>
              <w:right w:val="single" w:color="000000" w:sz="4" w:space="0"/>
            </w:tcBorders>
            <w:shd w:val="clear" w:color="auto" w:fill="auto"/>
            <w:vAlign w:val="center"/>
          </w:tcPr>
          <w:p w14:paraId="331D0B52">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11003" w:type="dxa"/>
            <w:gridSpan w:val="9"/>
            <w:tcBorders>
              <w:top w:val="nil"/>
              <w:left w:val="single" w:color="000000" w:sz="4" w:space="0"/>
              <w:bottom w:val="single" w:color="000000" w:sz="4" w:space="0"/>
              <w:right w:val="single" w:color="000000" w:sz="4" w:space="0"/>
            </w:tcBorders>
            <w:shd w:val="clear" w:color="auto" w:fill="auto"/>
            <w:vAlign w:val="center"/>
          </w:tcPr>
          <w:p w14:paraId="37FE12FE">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51040024T000011290701-应急救护知识普及项目</w:t>
            </w:r>
          </w:p>
        </w:tc>
      </w:tr>
      <w:tr w14:paraId="1FDF8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27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99B2F1">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638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57A655D">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攀枝花市红十字会部门</w:t>
            </w:r>
          </w:p>
        </w:tc>
        <w:tc>
          <w:tcPr>
            <w:tcW w:w="1079" w:type="dxa"/>
            <w:tcBorders>
              <w:top w:val="nil"/>
              <w:left w:val="nil"/>
              <w:bottom w:val="nil"/>
              <w:right w:val="nil"/>
            </w:tcBorders>
            <w:shd w:val="clear" w:color="auto" w:fill="auto"/>
            <w:vAlign w:val="center"/>
          </w:tcPr>
          <w:p w14:paraId="2B71FCD9">
            <w:pPr>
              <w:keepNext w:val="0"/>
              <w:keepLines w:val="0"/>
              <w:widowControl/>
              <w:suppressLineNumbers w:val="0"/>
              <w:jc w:val="left"/>
              <w:textAlignment w:val="center"/>
              <w:rPr>
                <w:rFonts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35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D33542">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攀枝花市红十字会</w:t>
            </w:r>
          </w:p>
        </w:tc>
      </w:tr>
      <w:tr w14:paraId="344A0B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5DE209">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20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309E42">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638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E686662">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46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A9C2F2A">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16177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E11294">
            <w:pPr>
              <w:rPr>
                <w:rFonts w:hint="eastAsia" w:ascii="宋体" w:hAnsi="宋体" w:eastAsia="宋体" w:cs="宋体"/>
                <w:i w:val="0"/>
                <w:iCs w:val="0"/>
                <w:color w:val="000000"/>
                <w:sz w:val="18"/>
                <w:szCs w:val="18"/>
                <w:u w:val="none"/>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212CF2">
            <w:pPr>
              <w:rPr>
                <w:rFonts w:hint="eastAsia" w:ascii="宋体" w:hAnsi="宋体" w:eastAsia="宋体" w:cs="宋体"/>
                <w:i w:val="0"/>
                <w:iCs w:val="0"/>
                <w:color w:val="000000"/>
                <w:sz w:val="18"/>
                <w:szCs w:val="18"/>
                <w:u w:val="none"/>
              </w:rPr>
            </w:pPr>
          </w:p>
        </w:tc>
        <w:tc>
          <w:tcPr>
            <w:tcW w:w="638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71AC224">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积极推进救护知识进学校、进企业、进社区、进农村，利用线上线下等多种渠道，普及应急救护知识，共完成持证救护员1600名，普及救护知识1.5万人次.</w:t>
            </w:r>
          </w:p>
        </w:tc>
        <w:tc>
          <w:tcPr>
            <w:tcW w:w="46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BA62780">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积极推进救护知识进学校、进企业、进社区、进农村，利用线上线下等多种渠道，普及应急救护知识，实际共完成持证救护员培训2100名，普及救护知识培训25140人次.</w:t>
            </w:r>
          </w:p>
        </w:tc>
      </w:tr>
      <w:tr w14:paraId="6A1C3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F2987A">
            <w:pPr>
              <w:rPr>
                <w:rFonts w:hint="eastAsia" w:ascii="宋体" w:hAnsi="宋体" w:eastAsia="宋体" w:cs="宋体"/>
                <w:i w:val="0"/>
                <w:iCs w:val="0"/>
                <w:color w:val="000000"/>
                <w:sz w:val="18"/>
                <w:szCs w:val="18"/>
                <w:u w:val="none"/>
              </w:rPr>
            </w:pPr>
          </w:p>
        </w:tc>
        <w:tc>
          <w:tcPr>
            <w:tcW w:w="2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38776">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11003"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A6ECCBF">
            <w:pPr>
              <w:rPr>
                <w:rFonts w:hint="eastAsia" w:ascii="宋体" w:hAnsi="宋体" w:eastAsia="宋体" w:cs="宋体"/>
                <w:i w:val="0"/>
                <w:iCs w:val="0"/>
                <w:color w:val="000000"/>
                <w:sz w:val="18"/>
                <w:szCs w:val="18"/>
                <w:u w:val="none"/>
              </w:rPr>
            </w:pPr>
          </w:p>
        </w:tc>
      </w:tr>
      <w:tr w14:paraId="71BCE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1"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5AB2AD">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2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A1A1F">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FA952">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0ADE5">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23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737799">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0B4F4">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CA22C">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07517">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8FC42">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2DC52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A9B614">
            <w:pPr>
              <w:jc w:val="center"/>
              <w:rPr>
                <w:rFonts w:hint="eastAsia" w:ascii="宋体" w:hAnsi="宋体" w:eastAsia="宋体" w:cs="宋体"/>
                <w:i w:val="0"/>
                <w:iCs w:val="0"/>
                <w:color w:val="000000"/>
                <w:sz w:val="18"/>
                <w:szCs w:val="18"/>
                <w:u w:val="none"/>
              </w:rPr>
            </w:pPr>
          </w:p>
        </w:tc>
        <w:tc>
          <w:tcPr>
            <w:tcW w:w="2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F76E1">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40C5C">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5.00</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6155E">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5.00</w:t>
            </w:r>
          </w:p>
        </w:tc>
        <w:tc>
          <w:tcPr>
            <w:tcW w:w="23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B5CE2A">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3051E">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5D422">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A9C45">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25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9CA17D">
            <w:pPr>
              <w:keepNext w:val="0"/>
              <w:keepLines w:val="0"/>
              <w:widowControl/>
              <w:suppressLineNumbers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1.预算执行率=预算执行数/调整后预算数，预算执行率未达到90%的需说明原因（100字以内）;2.年中发生预算调整的（追加或调减）,应单独说明理由；3.其他资金包括：社会投入资金、银行贷款.</w:t>
            </w:r>
          </w:p>
        </w:tc>
      </w:tr>
      <w:tr w14:paraId="31837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69505F">
            <w:pPr>
              <w:jc w:val="center"/>
              <w:rPr>
                <w:rFonts w:hint="eastAsia" w:ascii="宋体" w:hAnsi="宋体" w:eastAsia="宋体" w:cs="宋体"/>
                <w:i w:val="0"/>
                <w:iCs w:val="0"/>
                <w:color w:val="000000"/>
                <w:sz w:val="18"/>
                <w:szCs w:val="18"/>
                <w:u w:val="none"/>
              </w:rPr>
            </w:pPr>
          </w:p>
        </w:tc>
        <w:tc>
          <w:tcPr>
            <w:tcW w:w="2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B201D">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39184">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5.00</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95F66">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5.00</w:t>
            </w:r>
          </w:p>
        </w:tc>
        <w:tc>
          <w:tcPr>
            <w:tcW w:w="23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4B3CF6">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78191">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0DE3F">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B367F">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9400F1">
            <w:pPr>
              <w:rPr>
                <w:rFonts w:hint="eastAsia" w:ascii="黑体" w:hAnsi="黑体" w:eastAsia="黑体" w:cs="黑体"/>
                <w:i/>
                <w:iCs/>
                <w:color w:val="000000"/>
                <w:sz w:val="18"/>
                <w:szCs w:val="18"/>
                <w:u w:val="none"/>
              </w:rPr>
            </w:pPr>
          </w:p>
        </w:tc>
      </w:tr>
      <w:tr w14:paraId="7B7BD2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91F8C3">
            <w:pPr>
              <w:jc w:val="center"/>
              <w:rPr>
                <w:rFonts w:hint="eastAsia" w:ascii="宋体" w:hAnsi="宋体" w:eastAsia="宋体" w:cs="宋体"/>
                <w:i w:val="0"/>
                <w:iCs w:val="0"/>
                <w:color w:val="000000"/>
                <w:sz w:val="18"/>
                <w:szCs w:val="18"/>
                <w:u w:val="none"/>
              </w:rPr>
            </w:pPr>
          </w:p>
        </w:tc>
        <w:tc>
          <w:tcPr>
            <w:tcW w:w="2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D0FA2">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75AEC">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DA65F">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3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FEB177">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61755">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B40B4">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764B8">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68720D">
            <w:pPr>
              <w:rPr>
                <w:rFonts w:hint="eastAsia" w:ascii="黑体" w:hAnsi="黑体" w:eastAsia="黑体" w:cs="黑体"/>
                <w:i/>
                <w:iCs/>
                <w:color w:val="000000"/>
                <w:sz w:val="18"/>
                <w:szCs w:val="18"/>
                <w:u w:val="none"/>
              </w:rPr>
            </w:pPr>
          </w:p>
        </w:tc>
      </w:tr>
      <w:tr w14:paraId="21BE3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1"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8E73A1">
            <w:pPr>
              <w:jc w:val="center"/>
              <w:rPr>
                <w:rFonts w:hint="eastAsia" w:ascii="宋体" w:hAnsi="宋体" w:eastAsia="宋体" w:cs="宋体"/>
                <w:i w:val="0"/>
                <w:iCs w:val="0"/>
                <w:color w:val="000000"/>
                <w:sz w:val="18"/>
                <w:szCs w:val="18"/>
                <w:u w:val="none"/>
              </w:rPr>
            </w:pPr>
          </w:p>
        </w:tc>
        <w:tc>
          <w:tcPr>
            <w:tcW w:w="2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4CC80">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C8499">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37613">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3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39EB35">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08D57">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CCE68">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794DD">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66E0C3">
            <w:pPr>
              <w:rPr>
                <w:rFonts w:hint="eastAsia" w:ascii="黑体" w:hAnsi="黑体" w:eastAsia="黑体" w:cs="黑体"/>
                <w:i/>
                <w:iCs/>
                <w:color w:val="000000"/>
                <w:sz w:val="18"/>
                <w:szCs w:val="18"/>
                <w:u w:val="none"/>
              </w:rPr>
            </w:pPr>
          </w:p>
        </w:tc>
      </w:tr>
      <w:tr w14:paraId="021CF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69AF79">
            <w:pPr>
              <w:jc w:val="center"/>
              <w:rPr>
                <w:rFonts w:hint="eastAsia" w:ascii="宋体" w:hAnsi="宋体" w:eastAsia="宋体" w:cs="宋体"/>
                <w:i w:val="0"/>
                <w:iCs w:val="0"/>
                <w:color w:val="000000"/>
                <w:sz w:val="18"/>
                <w:szCs w:val="18"/>
                <w:u w:val="none"/>
              </w:rPr>
            </w:pPr>
          </w:p>
        </w:tc>
        <w:tc>
          <w:tcPr>
            <w:tcW w:w="2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BEB38">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CB87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0.00</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16E6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0.00</w:t>
            </w:r>
          </w:p>
        </w:tc>
        <w:tc>
          <w:tcPr>
            <w:tcW w:w="23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77B7C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6A12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F4D7E">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5D9A6">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770C1C">
            <w:pPr>
              <w:rPr>
                <w:rFonts w:hint="eastAsia" w:ascii="黑体" w:hAnsi="黑体" w:eastAsia="黑体" w:cs="黑体"/>
                <w:i/>
                <w:iCs/>
                <w:color w:val="000000"/>
                <w:sz w:val="18"/>
                <w:szCs w:val="18"/>
                <w:u w:val="none"/>
              </w:rPr>
            </w:pPr>
          </w:p>
        </w:tc>
      </w:tr>
      <w:tr w14:paraId="361B4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8FD84F">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2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88F72">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587BA">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C4DAF">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2A9ED">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1BC0A">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41653">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E6564">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2FA4F">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CFB0A">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5EE05">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26913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18370B">
            <w:pPr>
              <w:jc w:val="center"/>
              <w:rPr>
                <w:rFonts w:hint="eastAsia" w:ascii="宋体" w:hAnsi="宋体" w:eastAsia="宋体" w:cs="宋体"/>
                <w:i w:val="0"/>
                <w:iCs w:val="0"/>
                <w:color w:val="000000"/>
                <w:sz w:val="18"/>
                <w:szCs w:val="18"/>
                <w:u w:val="none"/>
              </w:rPr>
            </w:pPr>
          </w:p>
        </w:tc>
        <w:tc>
          <w:tcPr>
            <w:tcW w:w="20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7A0909">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17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03F4A8">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95307">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持证救护员</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EF13E">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C8DBC">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1600</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D84B1">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人/户</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4EC45">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2100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FEBC4">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38340">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25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8DAD4">
            <w:pPr>
              <w:jc w:val="center"/>
              <w:rPr>
                <w:rFonts w:hint="eastAsia" w:ascii="微软雅黑" w:hAnsi="微软雅黑" w:eastAsia="微软雅黑" w:cs="微软雅黑"/>
                <w:i w:val="0"/>
                <w:iCs w:val="0"/>
                <w:color w:val="000000"/>
                <w:sz w:val="16"/>
                <w:szCs w:val="16"/>
                <w:u w:val="none"/>
              </w:rPr>
            </w:pPr>
          </w:p>
        </w:tc>
      </w:tr>
      <w:tr w14:paraId="3C379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62A9FC">
            <w:pPr>
              <w:jc w:val="center"/>
              <w:rPr>
                <w:rFonts w:hint="eastAsia" w:ascii="宋体" w:hAnsi="宋体" w:eastAsia="宋体" w:cs="宋体"/>
                <w:i w:val="0"/>
                <w:iCs w:val="0"/>
                <w:color w:val="000000"/>
                <w:sz w:val="18"/>
                <w:szCs w:val="18"/>
                <w:u w:val="none"/>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532F7F">
            <w:pPr>
              <w:jc w:val="center"/>
              <w:rPr>
                <w:rFonts w:hint="eastAsia" w:ascii="宋体" w:hAnsi="宋体" w:eastAsia="宋体" w:cs="宋体"/>
                <w:i w:val="0"/>
                <w:iCs w:val="0"/>
                <w:color w:val="000000"/>
                <w:sz w:val="18"/>
                <w:szCs w:val="18"/>
                <w:u w:val="none"/>
              </w:rPr>
            </w:pPr>
          </w:p>
        </w:tc>
        <w:tc>
          <w:tcPr>
            <w:tcW w:w="17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807C9B">
            <w:pPr>
              <w:jc w:val="center"/>
              <w:rPr>
                <w:rFonts w:hint="eastAsia" w:ascii="宋体" w:hAnsi="宋体" w:eastAsia="宋体" w:cs="宋体"/>
                <w:i w:val="0"/>
                <w:iCs w:val="0"/>
                <w:color w:val="000000"/>
                <w:sz w:val="18"/>
                <w:szCs w:val="18"/>
                <w:u w:val="none"/>
              </w:rPr>
            </w:pP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814D9">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普及急救知识</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309C3">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DED34">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15000</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3BC68">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人/户</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2DE26">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25140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3EA45">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BD7D0">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25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13A0B">
            <w:pPr>
              <w:jc w:val="center"/>
              <w:rPr>
                <w:rFonts w:hint="eastAsia" w:ascii="微软雅黑" w:hAnsi="微软雅黑" w:eastAsia="微软雅黑" w:cs="微软雅黑"/>
                <w:i w:val="0"/>
                <w:iCs w:val="0"/>
                <w:color w:val="000000"/>
                <w:sz w:val="16"/>
                <w:szCs w:val="16"/>
                <w:u w:val="none"/>
              </w:rPr>
            </w:pPr>
          </w:p>
        </w:tc>
      </w:tr>
      <w:tr w14:paraId="69C34C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7E46B0">
            <w:pPr>
              <w:jc w:val="center"/>
              <w:rPr>
                <w:rFonts w:hint="eastAsia" w:ascii="宋体" w:hAnsi="宋体" w:eastAsia="宋体" w:cs="宋体"/>
                <w:i w:val="0"/>
                <w:iCs w:val="0"/>
                <w:color w:val="000000"/>
                <w:sz w:val="18"/>
                <w:szCs w:val="18"/>
                <w:u w:val="none"/>
              </w:rPr>
            </w:pPr>
          </w:p>
        </w:tc>
        <w:tc>
          <w:tcPr>
            <w:tcW w:w="2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5F5D6">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0B369">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18935">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提高公众应急救护能力</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503A6">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定性</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957CB">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提高</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186B4">
            <w:pPr>
              <w:jc w:val="center"/>
              <w:rPr>
                <w:rFonts w:hint="eastAsia" w:ascii="宋体" w:hAnsi="宋体" w:eastAsia="宋体" w:cs="宋体"/>
                <w:i w:val="0"/>
                <w:iCs w:val="0"/>
                <w:color w:val="000000"/>
                <w:sz w:val="18"/>
                <w:szCs w:val="18"/>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0749D">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提高</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EC671">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16661">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25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4AEA1">
            <w:pPr>
              <w:jc w:val="center"/>
              <w:rPr>
                <w:rFonts w:hint="eastAsia" w:ascii="微软雅黑" w:hAnsi="微软雅黑" w:eastAsia="微软雅黑" w:cs="微软雅黑"/>
                <w:i w:val="0"/>
                <w:iCs w:val="0"/>
                <w:color w:val="000000"/>
                <w:sz w:val="16"/>
                <w:szCs w:val="16"/>
                <w:u w:val="none"/>
              </w:rPr>
            </w:pPr>
          </w:p>
        </w:tc>
      </w:tr>
      <w:tr w14:paraId="454AC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71011D">
            <w:pPr>
              <w:jc w:val="center"/>
              <w:rPr>
                <w:rFonts w:hint="eastAsia" w:ascii="宋体" w:hAnsi="宋体" w:eastAsia="宋体" w:cs="宋体"/>
                <w:i w:val="0"/>
                <w:iCs w:val="0"/>
                <w:color w:val="000000"/>
                <w:sz w:val="18"/>
                <w:szCs w:val="18"/>
                <w:u w:val="none"/>
              </w:rPr>
            </w:pPr>
          </w:p>
        </w:tc>
        <w:tc>
          <w:tcPr>
            <w:tcW w:w="2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7838A">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满意度指标</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60B25">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服务对象满意度指标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5D754">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公众满意度</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D34D9">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35A35">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5C2BE">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F49BA">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A50BF">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4628F">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25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E3C90">
            <w:pPr>
              <w:jc w:val="center"/>
              <w:rPr>
                <w:rFonts w:hint="eastAsia" w:ascii="微软雅黑" w:hAnsi="微软雅黑" w:eastAsia="微软雅黑" w:cs="微软雅黑"/>
                <w:i w:val="0"/>
                <w:iCs w:val="0"/>
                <w:color w:val="000000"/>
                <w:sz w:val="16"/>
                <w:szCs w:val="16"/>
                <w:u w:val="none"/>
              </w:rPr>
            </w:pPr>
          </w:p>
        </w:tc>
      </w:tr>
      <w:tr w14:paraId="380E7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929E0E">
            <w:pPr>
              <w:jc w:val="center"/>
              <w:rPr>
                <w:rFonts w:hint="eastAsia" w:ascii="宋体" w:hAnsi="宋体" w:eastAsia="宋体" w:cs="宋体"/>
                <w:i w:val="0"/>
                <w:iCs w:val="0"/>
                <w:color w:val="000000"/>
                <w:sz w:val="18"/>
                <w:szCs w:val="18"/>
                <w:u w:val="none"/>
              </w:rPr>
            </w:pPr>
          </w:p>
        </w:tc>
        <w:tc>
          <w:tcPr>
            <w:tcW w:w="2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1CB6E">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成本指标</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DBD9F">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经济成本指标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0A703">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费用合计</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3E564">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BF49D">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50000</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3CE7E">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元/个</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24136">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50000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83FFF">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62984">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25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241F6">
            <w:pPr>
              <w:jc w:val="center"/>
              <w:rPr>
                <w:rFonts w:hint="eastAsia" w:ascii="微软雅黑" w:hAnsi="微软雅黑" w:eastAsia="微软雅黑" w:cs="微软雅黑"/>
                <w:i w:val="0"/>
                <w:iCs w:val="0"/>
                <w:color w:val="000000"/>
                <w:sz w:val="16"/>
                <w:szCs w:val="16"/>
                <w:u w:val="none"/>
              </w:rPr>
            </w:pPr>
          </w:p>
        </w:tc>
      </w:tr>
      <w:tr w14:paraId="38445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1024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8E62BBE">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51CEF">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F6F6B">
            <w:pPr>
              <w:keepNext w:val="0"/>
              <w:keepLines w:val="0"/>
              <w:widowControl/>
              <w:suppressLineNumbers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5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1C16D">
            <w:pPr>
              <w:rPr>
                <w:rFonts w:hint="eastAsia" w:ascii="宋体" w:hAnsi="宋体" w:eastAsia="宋体" w:cs="宋体"/>
                <w:i w:val="0"/>
                <w:iCs w:val="0"/>
                <w:color w:val="000000"/>
                <w:sz w:val="18"/>
                <w:szCs w:val="18"/>
                <w:u w:val="none"/>
              </w:rPr>
            </w:pPr>
          </w:p>
        </w:tc>
      </w:tr>
      <w:tr w14:paraId="222C5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7F7A2">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1309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4928EC3">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市红十字会2024年积极推进救护知识进学校、进企业、进社区、进农村，利用线上线下等多种渠道，普及应急救护知识，共完成持证救护员培训2100名，普及救护知识培训25140人，有效提高了公众应急救护能力，培训对象满意率100%，费用完成率100%。</w:t>
            </w:r>
          </w:p>
        </w:tc>
      </w:tr>
      <w:tr w14:paraId="40630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2"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4986A">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1309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AD3650F">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无</w:t>
            </w:r>
          </w:p>
        </w:tc>
      </w:tr>
      <w:tr w14:paraId="02171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B6367">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1309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266D710">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继续扩大培训覆盖面，做好培训工作</w:t>
            </w:r>
          </w:p>
        </w:tc>
      </w:tr>
      <w:tr w14:paraId="2336FF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732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78A7CCA">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项目负责人：游山</w:t>
            </w:r>
          </w:p>
        </w:tc>
        <w:tc>
          <w:tcPr>
            <w:tcW w:w="645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CBFE443">
            <w:pPr>
              <w:keepNext w:val="0"/>
              <w:keepLines w:val="0"/>
              <w:widowControl/>
              <w:suppressLineNumbers w:val="0"/>
              <w:jc w:val="left"/>
              <w:textAlignment w:val="center"/>
              <w:rPr>
                <w:rFonts w:ascii="方正兰亭黑_GBK" w:hAnsi="方正兰亭黑_GBK" w:eastAsia="方正兰亭黑_GBK" w:cs="方正兰亭黑_GBK"/>
                <w:i w:val="0"/>
                <w:iCs w:val="0"/>
                <w:color w:val="000000"/>
                <w:sz w:val="18"/>
                <w:szCs w:val="18"/>
                <w:u w:val="none"/>
              </w:rPr>
            </w:pPr>
            <w:r>
              <w:rPr>
                <w:rFonts w:hint="default" w:ascii="方正兰亭黑_GBK" w:hAnsi="方正兰亭黑_GBK" w:eastAsia="方正兰亭黑_GBK" w:cs="方正兰亭黑_GBK"/>
                <w:i w:val="0"/>
                <w:iCs w:val="0"/>
                <w:color w:val="000000"/>
                <w:kern w:val="0"/>
                <w:sz w:val="18"/>
                <w:szCs w:val="18"/>
                <w:u w:val="none"/>
                <w:lang w:val="en-US" w:eastAsia="zh-CN" w:bidi="ar"/>
              </w:rPr>
              <w:t>财务负责人：岑忠兰</w:t>
            </w:r>
          </w:p>
        </w:tc>
      </w:tr>
    </w:tbl>
    <w:p w14:paraId="68D18645">
      <w:pPr>
        <w:rPr>
          <w:rFonts w:hint="eastAsia" w:ascii="Times New Roman" w:hAnsi="Times New Roman" w:eastAsia="黑体" w:cs="黑体"/>
          <w:color w:val="auto"/>
          <w:kern w:val="0"/>
          <w:sz w:val="32"/>
          <w:szCs w:val="32"/>
          <w:highlight w:val="none"/>
          <w:shd w:val="clear" w:color="auto" w:fill="FFFFFF"/>
          <w:lang w:val="zh-CN"/>
        </w:rPr>
      </w:pPr>
    </w:p>
    <w:p w14:paraId="3D0C1A9F">
      <w:pPr>
        <w:rPr>
          <w:rFonts w:hint="eastAsia" w:ascii="Times New Roman" w:hAnsi="Times New Roman" w:eastAsia="黑体" w:cs="黑体"/>
          <w:color w:val="auto"/>
          <w:kern w:val="0"/>
          <w:sz w:val="32"/>
          <w:szCs w:val="32"/>
          <w:highlight w:val="none"/>
          <w:shd w:val="clear" w:color="auto" w:fill="FFFFFF"/>
          <w:lang w:val="zh-CN"/>
        </w:rPr>
      </w:pPr>
    </w:p>
    <w:p w14:paraId="269B6EB5">
      <w:pPr>
        <w:rPr>
          <w:rFonts w:hint="eastAsia" w:ascii="Times New Roman" w:hAnsi="Times New Roman" w:eastAsia="黑体" w:cs="黑体"/>
          <w:color w:val="auto"/>
          <w:kern w:val="0"/>
          <w:sz w:val="32"/>
          <w:szCs w:val="32"/>
          <w:highlight w:val="none"/>
          <w:shd w:val="clear" w:color="auto" w:fill="FFFFFF"/>
          <w:lang w:val="zh-CN"/>
        </w:rPr>
      </w:pPr>
    </w:p>
    <w:p w14:paraId="28D82FED">
      <w:pPr>
        <w:rPr>
          <w:rFonts w:hint="eastAsia" w:ascii="Times New Roman" w:hAnsi="Times New Roman" w:eastAsia="黑体" w:cs="黑体"/>
          <w:color w:val="auto"/>
          <w:kern w:val="0"/>
          <w:sz w:val="32"/>
          <w:szCs w:val="32"/>
          <w:highlight w:val="none"/>
          <w:shd w:val="clear" w:color="auto" w:fill="FFFFFF"/>
          <w:lang w:val="zh-CN"/>
        </w:rPr>
      </w:pPr>
    </w:p>
    <w:tbl>
      <w:tblPr>
        <w:tblStyle w:val="16"/>
        <w:tblW w:w="141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9"/>
        <w:gridCol w:w="2048"/>
        <w:gridCol w:w="1764"/>
        <w:gridCol w:w="2257"/>
        <w:gridCol w:w="524"/>
        <w:gridCol w:w="1675"/>
        <w:gridCol w:w="524"/>
        <w:gridCol w:w="1094"/>
        <w:gridCol w:w="510"/>
        <w:gridCol w:w="487"/>
        <w:gridCol w:w="2543"/>
      </w:tblGrid>
      <w:tr w14:paraId="0619C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trPr>
        <w:tc>
          <w:tcPr>
            <w:tcW w:w="1411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52A3ECF8">
            <w:pPr>
              <w:keepNext w:val="0"/>
              <w:keepLines w:val="0"/>
              <w:widowControl/>
              <w:suppressLineNumbers w:val="0"/>
              <w:jc w:val="center"/>
              <w:textAlignment w:val="center"/>
              <w:rPr>
                <w:rFonts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41D9E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2737" w:type="dxa"/>
            <w:gridSpan w:val="2"/>
            <w:tcBorders>
              <w:top w:val="nil"/>
              <w:left w:val="single" w:color="000000" w:sz="4" w:space="0"/>
              <w:bottom w:val="single" w:color="000000" w:sz="4" w:space="0"/>
              <w:right w:val="single" w:color="000000" w:sz="4" w:space="0"/>
            </w:tcBorders>
            <w:shd w:val="clear" w:color="auto" w:fill="auto"/>
            <w:vAlign w:val="center"/>
          </w:tcPr>
          <w:p w14:paraId="47B32FB4">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11378" w:type="dxa"/>
            <w:gridSpan w:val="9"/>
            <w:tcBorders>
              <w:top w:val="nil"/>
              <w:left w:val="single" w:color="000000" w:sz="4" w:space="0"/>
              <w:bottom w:val="single" w:color="000000" w:sz="4" w:space="0"/>
              <w:right w:val="single" w:color="000000" w:sz="4" w:space="0"/>
            </w:tcBorders>
            <w:shd w:val="clear" w:color="auto" w:fill="auto"/>
            <w:vAlign w:val="center"/>
          </w:tcPr>
          <w:p w14:paraId="30EF42A4">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51040024T000012079658-办公室搬迁</w:t>
            </w:r>
          </w:p>
        </w:tc>
      </w:tr>
      <w:tr w14:paraId="4A08F8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27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F4D52C">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674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113F40C">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攀枝花市红十字会部门</w:t>
            </w:r>
          </w:p>
        </w:tc>
        <w:tc>
          <w:tcPr>
            <w:tcW w:w="1094" w:type="dxa"/>
            <w:tcBorders>
              <w:top w:val="nil"/>
              <w:left w:val="nil"/>
              <w:bottom w:val="nil"/>
              <w:right w:val="nil"/>
            </w:tcBorders>
            <w:shd w:val="clear" w:color="auto" w:fill="auto"/>
            <w:vAlign w:val="center"/>
          </w:tcPr>
          <w:p w14:paraId="7C9DB6E0">
            <w:pPr>
              <w:keepNext w:val="0"/>
              <w:keepLines w:val="0"/>
              <w:widowControl/>
              <w:suppressLineNumbers w:val="0"/>
              <w:jc w:val="left"/>
              <w:textAlignment w:val="center"/>
              <w:rPr>
                <w:rFonts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35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3EF443">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攀枝花市红十字会</w:t>
            </w:r>
          </w:p>
        </w:tc>
      </w:tr>
      <w:tr w14:paraId="2E259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A8FE21">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20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60DC97">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674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A836971">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463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B71C507">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5AA7C3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45592A">
            <w:pPr>
              <w:rPr>
                <w:rFonts w:hint="eastAsia" w:ascii="宋体" w:hAnsi="宋体" w:eastAsia="宋体" w:cs="宋体"/>
                <w:i w:val="0"/>
                <w:iCs w:val="0"/>
                <w:color w:val="000000"/>
                <w:sz w:val="18"/>
                <w:szCs w:val="18"/>
                <w:u w:val="none"/>
              </w:rPr>
            </w:pPr>
          </w:p>
        </w:tc>
        <w:tc>
          <w:tcPr>
            <w:tcW w:w="20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F66910">
            <w:pPr>
              <w:rPr>
                <w:rFonts w:hint="eastAsia" w:ascii="宋体" w:hAnsi="宋体" w:eastAsia="宋体" w:cs="宋体"/>
                <w:i w:val="0"/>
                <w:iCs w:val="0"/>
                <w:color w:val="000000"/>
                <w:sz w:val="18"/>
                <w:szCs w:val="18"/>
                <w:u w:val="none"/>
              </w:rPr>
            </w:pPr>
          </w:p>
        </w:tc>
        <w:tc>
          <w:tcPr>
            <w:tcW w:w="674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F370613">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确保市红十字会办公用品、库房物品全部搬迁，搬迁后各项工作正常开展</w:t>
            </w:r>
          </w:p>
        </w:tc>
        <w:tc>
          <w:tcPr>
            <w:tcW w:w="463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0D23CCD">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已完成市红十字会办公用品、库房物品全部搬迁，搬迁后各项工作正常开展</w:t>
            </w:r>
          </w:p>
        </w:tc>
      </w:tr>
      <w:tr w14:paraId="6F70F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0012B6">
            <w:pPr>
              <w:rPr>
                <w:rFonts w:hint="eastAsia" w:ascii="宋体" w:hAnsi="宋体" w:eastAsia="宋体" w:cs="宋体"/>
                <w:i w:val="0"/>
                <w:iCs w:val="0"/>
                <w:color w:val="000000"/>
                <w:sz w:val="18"/>
                <w:szCs w:val="18"/>
                <w:u w:val="none"/>
              </w:rPr>
            </w:pP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88FA4">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11378"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4D423DE">
            <w:pPr>
              <w:rPr>
                <w:rFonts w:hint="eastAsia" w:ascii="宋体" w:hAnsi="宋体" w:eastAsia="宋体" w:cs="宋体"/>
                <w:i w:val="0"/>
                <w:iCs w:val="0"/>
                <w:color w:val="000000"/>
                <w:sz w:val="18"/>
                <w:szCs w:val="18"/>
                <w:u w:val="none"/>
              </w:rPr>
            </w:pPr>
          </w:p>
        </w:tc>
      </w:tr>
      <w:tr w14:paraId="764B2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1"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803AFE">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16480">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3C201">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0A707">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27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0BAD95">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8A236">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ACB7D">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FEDC0">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0B61C">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27E8E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FA7A1F">
            <w:pPr>
              <w:jc w:val="center"/>
              <w:rPr>
                <w:rFonts w:hint="eastAsia" w:ascii="宋体" w:hAnsi="宋体" w:eastAsia="宋体" w:cs="宋体"/>
                <w:i w:val="0"/>
                <w:iCs w:val="0"/>
                <w:color w:val="000000"/>
                <w:sz w:val="18"/>
                <w:szCs w:val="18"/>
                <w:u w:val="none"/>
              </w:rPr>
            </w:pP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2C104">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6B5D5">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CFCD2">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2.52</w:t>
            </w:r>
          </w:p>
        </w:tc>
        <w:tc>
          <w:tcPr>
            <w:tcW w:w="27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522AA9">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2.52</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457AE">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FA0AA">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C3A35">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25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806B46">
            <w:pPr>
              <w:keepNext w:val="0"/>
              <w:keepLines w:val="0"/>
              <w:widowControl/>
              <w:suppressLineNumbers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1.预算执行率=预算执行数/调整后预算数，预算执行率未达到90%的需说明原因（100字以内）;2.年中发生预算调整的（追加或调减）,应单独说明理由；3.其他资金包括：社会投入资金、银行贷款.</w:t>
            </w:r>
          </w:p>
        </w:tc>
      </w:tr>
      <w:tr w14:paraId="4244A1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A51886">
            <w:pPr>
              <w:jc w:val="center"/>
              <w:rPr>
                <w:rFonts w:hint="eastAsia" w:ascii="宋体" w:hAnsi="宋体" w:eastAsia="宋体" w:cs="宋体"/>
                <w:i w:val="0"/>
                <w:iCs w:val="0"/>
                <w:color w:val="000000"/>
                <w:sz w:val="18"/>
                <w:szCs w:val="18"/>
                <w:u w:val="none"/>
              </w:rPr>
            </w:pP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2FAC5">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A94F7">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6E846">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2.52</w:t>
            </w:r>
          </w:p>
        </w:tc>
        <w:tc>
          <w:tcPr>
            <w:tcW w:w="27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C95871">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2.52</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AF482">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7EC09">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0644C">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7ADCE9">
            <w:pPr>
              <w:rPr>
                <w:rFonts w:hint="eastAsia" w:ascii="黑体" w:hAnsi="黑体" w:eastAsia="黑体" w:cs="黑体"/>
                <w:i/>
                <w:iCs/>
                <w:color w:val="000000"/>
                <w:sz w:val="18"/>
                <w:szCs w:val="18"/>
                <w:u w:val="none"/>
              </w:rPr>
            </w:pPr>
          </w:p>
        </w:tc>
      </w:tr>
      <w:tr w14:paraId="295E9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2B2784">
            <w:pPr>
              <w:jc w:val="center"/>
              <w:rPr>
                <w:rFonts w:hint="eastAsia" w:ascii="宋体" w:hAnsi="宋体" w:eastAsia="宋体" w:cs="宋体"/>
                <w:i w:val="0"/>
                <w:iCs w:val="0"/>
                <w:color w:val="000000"/>
                <w:sz w:val="18"/>
                <w:szCs w:val="18"/>
                <w:u w:val="none"/>
              </w:rPr>
            </w:pP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C4068">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08C11">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4E450">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7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184AF6C">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B0994">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8180E">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A9D94">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E166CB">
            <w:pPr>
              <w:rPr>
                <w:rFonts w:hint="eastAsia" w:ascii="黑体" w:hAnsi="黑体" w:eastAsia="黑体" w:cs="黑体"/>
                <w:i/>
                <w:iCs/>
                <w:color w:val="000000"/>
                <w:sz w:val="18"/>
                <w:szCs w:val="18"/>
                <w:u w:val="none"/>
              </w:rPr>
            </w:pPr>
          </w:p>
        </w:tc>
      </w:tr>
      <w:tr w14:paraId="0273D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1"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7C09F8">
            <w:pPr>
              <w:jc w:val="center"/>
              <w:rPr>
                <w:rFonts w:hint="eastAsia" w:ascii="宋体" w:hAnsi="宋体" w:eastAsia="宋体" w:cs="宋体"/>
                <w:i w:val="0"/>
                <w:iCs w:val="0"/>
                <w:color w:val="000000"/>
                <w:sz w:val="18"/>
                <w:szCs w:val="18"/>
                <w:u w:val="none"/>
              </w:rPr>
            </w:pP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7EDC6">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A2A38">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F59E8">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7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DCD0F7">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039EF">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B8D15">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29AE3">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E7AE98">
            <w:pPr>
              <w:rPr>
                <w:rFonts w:hint="eastAsia" w:ascii="黑体" w:hAnsi="黑体" w:eastAsia="黑体" w:cs="黑体"/>
                <w:i/>
                <w:iCs/>
                <w:color w:val="000000"/>
                <w:sz w:val="18"/>
                <w:szCs w:val="18"/>
                <w:u w:val="none"/>
              </w:rPr>
            </w:pPr>
          </w:p>
        </w:tc>
      </w:tr>
      <w:tr w14:paraId="04660C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7E3E1A">
            <w:pPr>
              <w:jc w:val="center"/>
              <w:rPr>
                <w:rFonts w:hint="eastAsia" w:ascii="宋体" w:hAnsi="宋体" w:eastAsia="宋体" w:cs="宋体"/>
                <w:i w:val="0"/>
                <w:iCs w:val="0"/>
                <w:color w:val="000000"/>
                <w:sz w:val="18"/>
                <w:szCs w:val="18"/>
                <w:u w:val="none"/>
              </w:rPr>
            </w:pP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70FCE">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B2DA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0.00</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E434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0.00</w:t>
            </w:r>
          </w:p>
        </w:tc>
        <w:tc>
          <w:tcPr>
            <w:tcW w:w="27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B8F63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0.00</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6B68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756A3">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B3B39">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A1A4B4">
            <w:pPr>
              <w:rPr>
                <w:rFonts w:hint="eastAsia" w:ascii="黑体" w:hAnsi="黑体" w:eastAsia="黑体" w:cs="黑体"/>
                <w:i/>
                <w:iCs/>
                <w:color w:val="000000"/>
                <w:sz w:val="18"/>
                <w:szCs w:val="18"/>
                <w:u w:val="none"/>
              </w:rPr>
            </w:pPr>
          </w:p>
        </w:tc>
      </w:tr>
      <w:tr w14:paraId="74EA2E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4"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5032F2">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FB6F8">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FEB3E">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6C199">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2A192">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DD67B">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E14A7">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C6DB7">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566B9">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F8C85">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18DA7">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22E93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7235B9">
            <w:pPr>
              <w:jc w:val="center"/>
              <w:rPr>
                <w:rFonts w:hint="eastAsia" w:ascii="宋体" w:hAnsi="宋体" w:eastAsia="宋体" w:cs="宋体"/>
                <w:i w:val="0"/>
                <w:iCs w:val="0"/>
                <w:color w:val="000000"/>
                <w:sz w:val="18"/>
                <w:szCs w:val="18"/>
                <w:u w:val="none"/>
              </w:rPr>
            </w:pPr>
          </w:p>
        </w:tc>
        <w:tc>
          <w:tcPr>
            <w:tcW w:w="20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3245A1">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0E511">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2B08E">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全部设备设置和办公、库房物品</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FB3F5">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B080E">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6D1E3">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CCB3D">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24677">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E5B39">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C4AD1">
            <w:pPr>
              <w:jc w:val="center"/>
              <w:rPr>
                <w:rFonts w:hint="eastAsia" w:ascii="微软雅黑" w:hAnsi="微软雅黑" w:eastAsia="微软雅黑" w:cs="微软雅黑"/>
                <w:i/>
                <w:iCs/>
                <w:color w:val="000000"/>
                <w:sz w:val="16"/>
                <w:szCs w:val="16"/>
                <w:u w:val="none"/>
              </w:rPr>
            </w:pPr>
          </w:p>
        </w:tc>
      </w:tr>
      <w:tr w14:paraId="2F44B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55A9FD">
            <w:pPr>
              <w:jc w:val="center"/>
              <w:rPr>
                <w:rFonts w:hint="eastAsia" w:ascii="宋体" w:hAnsi="宋体" w:eastAsia="宋体" w:cs="宋体"/>
                <w:i w:val="0"/>
                <w:iCs w:val="0"/>
                <w:color w:val="000000"/>
                <w:sz w:val="18"/>
                <w:szCs w:val="18"/>
                <w:u w:val="none"/>
              </w:rPr>
            </w:pPr>
          </w:p>
        </w:tc>
        <w:tc>
          <w:tcPr>
            <w:tcW w:w="20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8CD09B">
            <w:pPr>
              <w:jc w:val="center"/>
              <w:rPr>
                <w:rFonts w:hint="eastAsia" w:ascii="宋体" w:hAnsi="宋体" w:eastAsia="宋体" w:cs="宋体"/>
                <w:i w:val="0"/>
                <w:iCs w:val="0"/>
                <w:color w:val="000000"/>
                <w:sz w:val="18"/>
                <w:szCs w:val="18"/>
                <w:u w:val="none"/>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13BB4">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质量指标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D8BAF">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设备设施物品完整率</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9BFB6">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45944">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89090">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9E797">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81859">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E2E49">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8DA74">
            <w:pPr>
              <w:jc w:val="center"/>
              <w:rPr>
                <w:rFonts w:hint="eastAsia" w:ascii="微软雅黑" w:hAnsi="微软雅黑" w:eastAsia="微软雅黑" w:cs="微软雅黑"/>
                <w:i/>
                <w:iCs/>
                <w:color w:val="000000"/>
                <w:sz w:val="16"/>
                <w:szCs w:val="16"/>
                <w:u w:val="none"/>
              </w:rPr>
            </w:pPr>
          </w:p>
        </w:tc>
      </w:tr>
      <w:tr w14:paraId="5C5B64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1BB589">
            <w:pPr>
              <w:jc w:val="center"/>
              <w:rPr>
                <w:rFonts w:hint="eastAsia" w:ascii="宋体" w:hAnsi="宋体" w:eastAsia="宋体" w:cs="宋体"/>
                <w:i w:val="0"/>
                <w:iCs w:val="0"/>
                <w:color w:val="000000"/>
                <w:sz w:val="18"/>
                <w:szCs w:val="18"/>
                <w:u w:val="none"/>
              </w:rPr>
            </w:pPr>
          </w:p>
        </w:tc>
        <w:tc>
          <w:tcPr>
            <w:tcW w:w="20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5B2D92">
            <w:pPr>
              <w:jc w:val="center"/>
              <w:rPr>
                <w:rFonts w:hint="eastAsia" w:ascii="宋体" w:hAnsi="宋体" w:eastAsia="宋体" w:cs="宋体"/>
                <w:i w:val="0"/>
                <w:iCs w:val="0"/>
                <w:color w:val="000000"/>
                <w:sz w:val="18"/>
                <w:szCs w:val="18"/>
                <w:u w:val="none"/>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46ABC">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时效指标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5B499">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6月16日前完成</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10F43">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定性</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95E9C">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E730B">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05D10">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完成</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652FF">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0F670">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1BBB2">
            <w:pPr>
              <w:jc w:val="center"/>
              <w:rPr>
                <w:rFonts w:hint="eastAsia" w:ascii="微软雅黑" w:hAnsi="微软雅黑" w:eastAsia="微软雅黑" w:cs="微软雅黑"/>
                <w:i/>
                <w:iCs/>
                <w:color w:val="000000"/>
                <w:sz w:val="16"/>
                <w:szCs w:val="16"/>
                <w:u w:val="none"/>
              </w:rPr>
            </w:pPr>
          </w:p>
        </w:tc>
      </w:tr>
      <w:tr w14:paraId="161513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6579C4">
            <w:pPr>
              <w:jc w:val="center"/>
              <w:rPr>
                <w:rFonts w:hint="eastAsia" w:ascii="宋体" w:hAnsi="宋体" w:eastAsia="宋体" w:cs="宋体"/>
                <w:i w:val="0"/>
                <w:iCs w:val="0"/>
                <w:color w:val="000000"/>
                <w:sz w:val="18"/>
                <w:szCs w:val="18"/>
                <w:u w:val="none"/>
              </w:rPr>
            </w:pPr>
          </w:p>
        </w:tc>
        <w:tc>
          <w:tcPr>
            <w:tcW w:w="20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17F132">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17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651354">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9E22A">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业务能力</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5E427">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定性</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39627">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FF8C6">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141BA">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项</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A5D02">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46EEC">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77170">
            <w:pPr>
              <w:jc w:val="center"/>
              <w:rPr>
                <w:rFonts w:hint="eastAsia" w:ascii="微软雅黑" w:hAnsi="微软雅黑" w:eastAsia="微软雅黑" w:cs="微软雅黑"/>
                <w:i/>
                <w:iCs/>
                <w:color w:val="000000"/>
                <w:sz w:val="16"/>
                <w:szCs w:val="16"/>
                <w:u w:val="none"/>
              </w:rPr>
            </w:pPr>
          </w:p>
        </w:tc>
      </w:tr>
      <w:tr w14:paraId="5A5E6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2A7402">
            <w:pPr>
              <w:jc w:val="center"/>
              <w:rPr>
                <w:rFonts w:hint="eastAsia" w:ascii="宋体" w:hAnsi="宋体" w:eastAsia="宋体" w:cs="宋体"/>
                <w:i w:val="0"/>
                <w:iCs w:val="0"/>
                <w:color w:val="000000"/>
                <w:sz w:val="18"/>
                <w:szCs w:val="18"/>
                <w:u w:val="none"/>
              </w:rPr>
            </w:pPr>
          </w:p>
        </w:tc>
        <w:tc>
          <w:tcPr>
            <w:tcW w:w="20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2127DE">
            <w:pPr>
              <w:jc w:val="center"/>
              <w:rPr>
                <w:rFonts w:hint="eastAsia" w:ascii="宋体" w:hAnsi="宋体" w:eastAsia="宋体" w:cs="宋体"/>
                <w:i w:val="0"/>
                <w:iCs w:val="0"/>
                <w:color w:val="000000"/>
                <w:sz w:val="18"/>
                <w:szCs w:val="18"/>
                <w:u w:val="none"/>
              </w:rPr>
            </w:pPr>
          </w:p>
        </w:tc>
        <w:tc>
          <w:tcPr>
            <w:tcW w:w="17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7ECDAA">
            <w:pPr>
              <w:jc w:val="center"/>
              <w:rPr>
                <w:rFonts w:hint="eastAsia" w:ascii="宋体" w:hAnsi="宋体" w:eastAsia="宋体" w:cs="宋体"/>
                <w:i w:val="0"/>
                <w:iCs w:val="0"/>
                <w:color w:val="000000"/>
                <w:sz w:val="18"/>
                <w:szCs w:val="18"/>
                <w:u w:val="none"/>
              </w:rPr>
            </w:pP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0E0BF">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搬迁后各项工作正常开展</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087E9">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68B69">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9000</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A8AC9">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04C76">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900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AE248">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7C758">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8DF40">
            <w:pPr>
              <w:jc w:val="center"/>
              <w:rPr>
                <w:rFonts w:hint="eastAsia" w:ascii="微软雅黑" w:hAnsi="微软雅黑" w:eastAsia="微软雅黑" w:cs="微软雅黑"/>
                <w:i/>
                <w:iCs/>
                <w:color w:val="000000"/>
                <w:sz w:val="16"/>
                <w:szCs w:val="16"/>
                <w:u w:val="none"/>
              </w:rPr>
            </w:pPr>
          </w:p>
        </w:tc>
      </w:tr>
      <w:tr w14:paraId="496956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47E110">
            <w:pPr>
              <w:jc w:val="center"/>
              <w:rPr>
                <w:rFonts w:hint="eastAsia" w:ascii="宋体" w:hAnsi="宋体" w:eastAsia="宋体" w:cs="宋体"/>
                <w:i w:val="0"/>
                <w:iCs w:val="0"/>
                <w:color w:val="000000"/>
                <w:sz w:val="18"/>
                <w:szCs w:val="18"/>
                <w:u w:val="none"/>
              </w:rPr>
            </w:pPr>
          </w:p>
        </w:tc>
        <w:tc>
          <w:tcPr>
            <w:tcW w:w="20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862F56">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满意度指标</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15DB4">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服务对象满意度指标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6717A">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职工满意度</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F7382">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F9DEA">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900</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7B4F4">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D5784">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90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295D8">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EBAE7">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282E3">
            <w:pPr>
              <w:jc w:val="center"/>
              <w:rPr>
                <w:rFonts w:hint="eastAsia" w:ascii="微软雅黑" w:hAnsi="微软雅黑" w:eastAsia="微软雅黑" w:cs="微软雅黑"/>
                <w:i/>
                <w:iCs/>
                <w:color w:val="000000"/>
                <w:sz w:val="16"/>
                <w:szCs w:val="16"/>
                <w:u w:val="none"/>
              </w:rPr>
            </w:pPr>
          </w:p>
        </w:tc>
      </w:tr>
      <w:tr w14:paraId="759F6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D0A3FB">
            <w:pPr>
              <w:jc w:val="center"/>
              <w:rPr>
                <w:rFonts w:hint="eastAsia" w:ascii="宋体" w:hAnsi="宋体" w:eastAsia="宋体" w:cs="宋体"/>
                <w:i w:val="0"/>
                <w:iCs w:val="0"/>
                <w:color w:val="000000"/>
                <w:sz w:val="18"/>
                <w:szCs w:val="18"/>
                <w:u w:val="none"/>
              </w:rPr>
            </w:pPr>
          </w:p>
        </w:tc>
        <w:tc>
          <w:tcPr>
            <w:tcW w:w="20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D4BEEF">
            <w:pPr>
              <w:jc w:val="center"/>
              <w:rPr>
                <w:rFonts w:hint="eastAsia" w:ascii="宋体" w:hAnsi="宋体" w:eastAsia="宋体" w:cs="宋体"/>
                <w:i w:val="0"/>
                <w:iCs w:val="0"/>
                <w:color w:val="000000"/>
                <w:sz w:val="18"/>
                <w:szCs w:val="18"/>
                <w:u w:val="none"/>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096A6">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帮扶对象满意度指标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B8D3C">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收益群体满意度</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D4984">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FE8D2">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4F718">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94A5A">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B6DBC">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94E64">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F5CBB">
            <w:pPr>
              <w:jc w:val="center"/>
              <w:rPr>
                <w:rFonts w:hint="eastAsia" w:ascii="微软雅黑" w:hAnsi="微软雅黑" w:eastAsia="微软雅黑" w:cs="微软雅黑"/>
                <w:i/>
                <w:iCs/>
                <w:color w:val="000000"/>
                <w:sz w:val="16"/>
                <w:szCs w:val="16"/>
                <w:u w:val="none"/>
              </w:rPr>
            </w:pPr>
          </w:p>
        </w:tc>
      </w:tr>
      <w:tr w14:paraId="58AB9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67834D">
            <w:pPr>
              <w:jc w:val="center"/>
              <w:rPr>
                <w:rFonts w:hint="eastAsia" w:ascii="宋体" w:hAnsi="宋体" w:eastAsia="宋体" w:cs="宋体"/>
                <w:i w:val="0"/>
                <w:iCs w:val="0"/>
                <w:color w:val="000000"/>
                <w:sz w:val="18"/>
                <w:szCs w:val="18"/>
                <w:u w:val="none"/>
              </w:rPr>
            </w:pP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23D30">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成本指标</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C9093">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经济成本指标</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6BCAC">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费用不超过预算</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2B373">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2FBC9">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25200</w:t>
            </w:r>
          </w:p>
        </w:tc>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24050">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元</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07181">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25370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6F6E1">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DE847">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67CBB">
            <w:pPr>
              <w:jc w:val="center"/>
              <w:rPr>
                <w:rFonts w:hint="eastAsia" w:ascii="微软雅黑" w:hAnsi="微软雅黑" w:eastAsia="微软雅黑" w:cs="微软雅黑"/>
                <w:i/>
                <w:iCs/>
                <w:color w:val="000000"/>
                <w:sz w:val="16"/>
                <w:szCs w:val="16"/>
                <w:u w:val="none"/>
              </w:rPr>
            </w:pPr>
          </w:p>
        </w:tc>
      </w:tr>
      <w:tr w14:paraId="79CDC3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1057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F7FF778">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EE114">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A2FBC">
            <w:pPr>
              <w:keepNext w:val="0"/>
              <w:keepLines w:val="0"/>
              <w:widowControl/>
              <w:suppressLineNumbers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3D445">
            <w:pPr>
              <w:rPr>
                <w:rFonts w:hint="eastAsia" w:ascii="宋体" w:hAnsi="宋体" w:eastAsia="宋体" w:cs="宋体"/>
                <w:i w:val="0"/>
                <w:iCs w:val="0"/>
                <w:color w:val="000000"/>
                <w:sz w:val="18"/>
                <w:szCs w:val="18"/>
                <w:u w:val="none"/>
              </w:rPr>
            </w:pPr>
          </w:p>
        </w:tc>
      </w:tr>
      <w:tr w14:paraId="01165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9FB17">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1342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A49E1D6">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已完成市红十字会办公用品、库房物品全部搬迁，搬迁后各项工作正常开展</w:t>
            </w:r>
          </w:p>
        </w:tc>
      </w:tr>
      <w:tr w14:paraId="459E5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2"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11059">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1342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BD1E467">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无</w:t>
            </w:r>
          </w:p>
        </w:tc>
      </w:tr>
      <w:tr w14:paraId="248929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2EBC3">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1342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5E69119">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无</w:t>
            </w:r>
          </w:p>
        </w:tc>
      </w:tr>
      <w:tr w14:paraId="0BF29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728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8075DED">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项目负责人：游山</w:t>
            </w:r>
          </w:p>
        </w:tc>
        <w:tc>
          <w:tcPr>
            <w:tcW w:w="683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74DE511">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财务负责人：岑忠兰</w:t>
            </w:r>
          </w:p>
        </w:tc>
      </w:tr>
    </w:tbl>
    <w:p w14:paraId="1BA2A416">
      <w:pPr>
        <w:rPr>
          <w:rFonts w:hint="eastAsia" w:ascii="Times New Roman" w:hAnsi="Times New Roman" w:eastAsia="黑体" w:cs="黑体"/>
          <w:color w:val="auto"/>
          <w:kern w:val="0"/>
          <w:sz w:val="32"/>
          <w:szCs w:val="32"/>
          <w:highlight w:val="none"/>
          <w:shd w:val="clear" w:color="auto" w:fill="FFFFFF"/>
          <w:lang w:val="zh-CN"/>
        </w:rPr>
      </w:pPr>
    </w:p>
    <w:p w14:paraId="3D263175">
      <w:pPr>
        <w:rPr>
          <w:rFonts w:hint="eastAsia" w:ascii="Times New Roman" w:hAnsi="Times New Roman" w:eastAsia="黑体" w:cs="黑体"/>
          <w:color w:val="auto"/>
          <w:kern w:val="0"/>
          <w:sz w:val="32"/>
          <w:szCs w:val="32"/>
          <w:highlight w:val="none"/>
          <w:shd w:val="clear" w:color="auto" w:fill="FFFFFF"/>
          <w:lang w:val="zh-CN"/>
        </w:rPr>
        <w:sectPr>
          <w:footerReference r:id="rId12" w:type="first"/>
          <w:footerReference r:id="rId11" w:type="default"/>
          <w:pgSz w:w="16838" w:h="11906" w:orient="landscape"/>
          <w:pgMar w:top="1800" w:right="1440" w:bottom="1800" w:left="1440" w:header="851" w:footer="992" w:gutter="0"/>
          <w:pgNumType w:fmt="numberInDash" w:start="21"/>
          <w:cols w:space="425" w:num="1"/>
          <w:titlePg/>
          <w:docGrid w:type="lines" w:linePitch="312" w:charSpace="0"/>
        </w:sectPr>
      </w:pPr>
    </w:p>
    <w:p w14:paraId="525A21C0">
      <w:pPr>
        <w:rPr>
          <w:rFonts w:hint="eastAsia" w:ascii="Times New Roman" w:hAnsi="Times New Roman" w:eastAsia="黑体" w:cs="黑体"/>
          <w:color w:val="auto"/>
          <w:sz w:val="32"/>
          <w:szCs w:val="32"/>
          <w:highlight w:val="none"/>
          <w:lang w:val="en-US" w:eastAsia="zh-CN"/>
        </w:rPr>
      </w:pPr>
      <w:r>
        <w:rPr>
          <w:rFonts w:hint="eastAsia" w:ascii="Times New Roman" w:hAnsi="Times New Roman" w:eastAsia="黑体" w:cs="黑体"/>
          <w:color w:val="auto"/>
          <w:kern w:val="0"/>
          <w:sz w:val="32"/>
          <w:szCs w:val="32"/>
          <w:highlight w:val="none"/>
          <w:shd w:val="clear" w:color="auto" w:fill="FFFFFF"/>
          <w:lang w:val="zh-CN"/>
        </w:rPr>
        <w:t>附件</w:t>
      </w:r>
      <w:r>
        <w:rPr>
          <w:rFonts w:hint="eastAsia" w:ascii="Times New Roman" w:hAnsi="Times New Roman" w:eastAsia="黑体" w:cs="黑体"/>
          <w:color w:val="auto"/>
          <w:kern w:val="0"/>
          <w:sz w:val="32"/>
          <w:szCs w:val="32"/>
          <w:highlight w:val="none"/>
          <w:shd w:val="clear" w:color="auto" w:fill="FFFFFF"/>
          <w:lang w:val="en-US" w:eastAsia="zh-CN"/>
        </w:rPr>
        <w:t>2</w:t>
      </w:r>
    </w:p>
    <w:p w14:paraId="7D37CC20">
      <w:pPr>
        <w:pStyle w:val="35"/>
        <w:keepNext w:val="0"/>
        <w:keepLines w:val="0"/>
        <w:pageBreakBefore w:val="0"/>
        <w:widowControl w:val="0"/>
        <w:kinsoku/>
        <w:wordWrap/>
        <w:overflowPunct/>
        <w:topLinePunct w:val="0"/>
        <w:autoSpaceDE/>
        <w:autoSpaceDN/>
        <w:bidi w:val="0"/>
        <w:spacing w:line="578" w:lineRule="exact"/>
        <w:ind w:left="0" w:leftChars="0"/>
        <w:jc w:val="center"/>
        <w:textAlignment w:val="auto"/>
        <w:rPr>
          <w:rFonts w:hint="eastAsia" w:ascii="Times New Roman" w:hAnsi="Times New Roman" w:eastAsia="方正小标宋简体" w:cs="方正小标宋简体"/>
          <w:color w:val="auto"/>
          <w:kern w:val="2"/>
          <w:sz w:val="44"/>
          <w:szCs w:val="44"/>
          <w:highlight w:val="none"/>
          <w:lang w:val="en-US" w:eastAsia="zh-CN"/>
        </w:rPr>
      </w:pPr>
    </w:p>
    <w:p w14:paraId="63010255">
      <w:pPr>
        <w:widowControl w:val="0"/>
        <w:spacing w:line="600" w:lineRule="exact"/>
        <w:jc w:val="center"/>
        <w:rPr>
          <w:rFonts w:hint="eastAsia" w:ascii="Times New Roman" w:hAnsi="Times New Roman" w:eastAsia="方正小标宋简体" w:cs="方正小标宋简体"/>
          <w:color w:val="auto"/>
          <w:kern w:val="2"/>
          <w:sz w:val="44"/>
          <w:szCs w:val="44"/>
          <w:highlight w:val="none"/>
          <w:lang w:val="en-US" w:eastAsia="zh-CN"/>
        </w:rPr>
      </w:pPr>
      <w:r>
        <w:rPr>
          <w:rFonts w:hint="eastAsia" w:ascii="Times New Roman" w:hAnsi="Times New Roman" w:eastAsia="方正小标宋简体" w:cs="方正小标宋简体"/>
          <w:color w:val="auto"/>
          <w:kern w:val="2"/>
          <w:sz w:val="44"/>
          <w:szCs w:val="44"/>
          <w:highlight w:val="none"/>
          <w:lang w:val="en-US" w:eastAsia="zh-CN"/>
        </w:rPr>
        <w:t>专项预算项目绩效评价报告</w:t>
      </w:r>
    </w:p>
    <w:p w14:paraId="0C78F78C">
      <w:pPr>
        <w:widowControl w:val="0"/>
        <w:spacing w:line="600" w:lineRule="exact"/>
        <w:jc w:val="center"/>
        <w:rPr>
          <w:rFonts w:hint="eastAsia" w:ascii="方正小标宋_GBK" w:hAnsi="黑体" w:eastAsia="方正小标宋_GBK" w:cs="黑体"/>
          <w:kern w:val="2"/>
          <w:sz w:val="36"/>
          <w:szCs w:val="36"/>
          <w:lang w:val="en-US" w:eastAsia="zh-CN" w:bidi="ar-SA"/>
        </w:rPr>
      </w:pPr>
      <w:r>
        <w:rPr>
          <w:rFonts w:hint="eastAsia" w:ascii="方正小标宋_GBK" w:hAnsi="黑体" w:eastAsia="方正小标宋_GBK" w:cs="黑体"/>
          <w:kern w:val="2"/>
          <w:sz w:val="36"/>
          <w:szCs w:val="36"/>
          <w:lang w:val="en-US" w:eastAsia="zh-CN" w:bidi="ar-SA"/>
        </w:rPr>
        <w:t>（应急救护培训）</w:t>
      </w:r>
    </w:p>
    <w:p w14:paraId="62773FA1">
      <w:pPr>
        <w:pStyle w:val="35"/>
        <w:keepNext w:val="0"/>
        <w:keepLines w:val="0"/>
        <w:pageBreakBefore w:val="0"/>
        <w:widowControl w:val="0"/>
        <w:kinsoku/>
        <w:wordWrap/>
        <w:overflowPunct/>
        <w:topLinePunct w:val="0"/>
        <w:autoSpaceDE/>
        <w:autoSpaceDN/>
        <w:bidi w:val="0"/>
        <w:spacing w:line="578" w:lineRule="exact"/>
        <w:ind w:left="0" w:leftChars="0"/>
        <w:jc w:val="center"/>
        <w:textAlignment w:val="auto"/>
        <w:rPr>
          <w:rFonts w:ascii="Times New Roman" w:hAnsi="Times New Roman"/>
          <w:color w:val="auto"/>
          <w:kern w:val="2"/>
          <w:sz w:val="32"/>
          <w:szCs w:val="32"/>
          <w:highlight w:val="none"/>
        </w:rPr>
      </w:pPr>
    </w:p>
    <w:p w14:paraId="0AFC30EC">
      <w:pPr>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ascii="Times New Roman" w:hAnsi="Times New Roman" w:eastAsia="黑体"/>
          <w:sz w:val="32"/>
          <w:szCs w:val="32"/>
          <w:highlight w:val="none"/>
          <w:lang w:val="zh-CN"/>
        </w:rPr>
      </w:pPr>
      <w:r>
        <w:rPr>
          <w:rFonts w:hint="eastAsia" w:ascii="Times New Roman" w:hAnsi="Times New Roman" w:eastAsia="黑体"/>
          <w:sz w:val="32"/>
          <w:szCs w:val="32"/>
          <w:highlight w:val="none"/>
        </w:rPr>
        <w:t>一、</w:t>
      </w:r>
      <w:r>
        <w:rPr>
          <w:rFonts w:hint="eastAsia" w:ascii="Times New Roman" w:hAnsi="Times New Roman" w:eastAsia="黑体"/>
          <w:sz w:val="32"/>
          <w:szCs w:val="32"/>
          <w:highlight w:val="none"/>
          <w:lang w:val="zh-CN"/>
        </w:rPr>
        <w:t>项目概况</w:t>
      </w:r>
    </w:p>
    <w:p w14:paraId="19CF53AD">
      <w:pPr>
        <w:adjustRightInd w:val="0"/>
        <w:snapToGrid w:val="0"/>
        <w:spacing w:line="600" w:lineRule="exact"/>
        <w:ind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（一）项目基本情况。</w:t>
      </w:r>
    </w:p>
    <w:p w14:paraId="2F067426">
      <w:pPr>
        <w:adjustRightInd w:val="0"/>
        <w:snapToGrid w:val="0"/>
        <w:spacing w:line="600" w:lineRule="exact"/>
        <w:ind w:firstLine="720"/>
        <w:rPr>
          <w:rFonts w:ascii="Times New Roman" w:hAnsi="Times New Roman" w:eastAsia="仿宋_GB2312" w:cs="Times New Roman"/>
          <w:sz w:val="32"/>
          <w:szCs w:val="32"/>
          <w:lang w:val="zh-CN"/>
        </w:rPr>
      </w:pPr>
      <w:r>
        <w:rPr>
          <w:rFonts w:ascii="Times New Roman" w:hAnsi="Times New Roman" w:eastAsia="仿宋_GB2312" w:cs="Times New Roman"/>
          <w:sz w:val="32"/>
          <w:szCs w:val="32"/>
          <w:lang w:val="zh-CN"/>
        </w:rPr>
        <w:t>1．</w:t>
      </w:r>
      <w:r>
        <w:rPr>
          <w:rFonts w:hint="eastAsia" w:ascii="Times New Roman" w:hAnsi="Times New Roman" w:eastAsia="仿宋_GB2312" w:cs="Times New Roman"/>
          <w:sz w:val="32"/>
          <w:szCs w:val="32"/>
          <w:lang w:val="zh-CN"/>
        </w:rPr>
        <w:t>主要职能</w:t>
      </w:r>
    </w:p>
    <w:p w14:paraId="5B945B8D">
      <w:pPr>
        <w:adjustRightInd w:val="0"/>
        <w:snapToGrid w:val="0"/>
        <w:spacing w:line="600" w:lineRule="exact"/>
        <w:ind w:firstLine="720"/>
        <w:rPr>
          <w:rFonts w:ascii="Times New Roman" w:hAnsi="Times New Roman" w:eastAsia="仿宋_GB2312" w:cs="Times New Roman"/>
          <w:sz w:val="32"/>
          <w:szCs w:val="32"/>
          <w:lang w:val="zh-CN"/>
        </w:rPr>
      </w:pPr>
      <w:r>
        <w:rPr>
          <w:rFonts w:hint="eastAsia" w:ascii="仿宋_GB2312" w:hAnsi="Times New Roman" w:eastAsia="仿宋_GB2312" w:cs="Times New Roman"/>
          <w:sz w:val="32"/>
          <w:szCs w:val="32"/>
        </w:rPr>
        <w:t>开展应急救护培训，普及应急救护、防灾避险和卫生健康知识，组织红十字志愿者参与现场救护</w:t>
      </w:r>
      <w:r>
        <w:rPr>
          <w:rFonts w:ascii="Times New Roman" w:hAnsi="Times New Roman" w:eastAsia="仿宋_GB2312" w:cs="Times New Roman"/>
          <w:sz w:val="32"/>
          <w:szCs w:val="32"/>
          <w:lang w:val="zh-CN"/>
        </w:rPr>
        <w:t>。</w:t>
      </w:r>
    </w:p>
    <w:p w14:paraId="0E8B5377">
      <w:pPr>
        <w:numPr>
          <w:ilvl w:val="0"/>
          <w:numId w:val="5"/>
        </w:numPr>
        <w:adjustRightInd w:val="0"/>
        <w:snapToGrid w:val="0"/>
        <w:spacing w:line="600" w:lineRule="exact"/>
        <w:ind w:left="0" w:firstLine="720"/>
        <w:rPr>
          <w:rFonts w:ascii="Times New Roman" w:hAnsi="Times New Roman" w:eastAsia="仿宋_GB2312" w:cs="Times New Roman"/>
          <w:sz w:val="32"/>
          <w:szCs w:val="32"/>
          <w:lang w:val="zh-CN"/>
        </w:rPr>
      </w:pPr>
      <w:r>
        <w:rPr>
          <w:rFonts w:ascii="Times New Roman" w:hAnsi="Times New Roman" w:eastAsia="仿宋_GB2312" w:cs="Times New Roman"/>
          <w:sz w:val="32"/>
          <w:szCs w:val="32"/>
          <w:lang w:val="zh-CN"/>
        </w:rPr>
        <w:t>项目立项、资金申报的依据</w:t>
      </w:r>
    </w:p>
    <w:p w14:paraId="43807E9D">
      <w:pPr>
        <w:adjustRightInd w:val="0"/>
        <w:snapToGrid w:val="0"/>
        <w:spacing w:line="600" w:lineRule="exact"/>
        <w:rPr>
          <w:rFonts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根据《中华人民共和国红十字会法》、《四川省</w:t>
      </w:r>
      <w:r>
        <w:rPr>
          <w:rFonts w:ascii="Times New Roman" w:hAnsi="Times New Roman" w:eastAsia="仿宋_GB2312" w:cs="Times New Roman"/>
          <w:sz w:val="32"/>
          <w:szCs w:val="32"/>
          <w:lang w:val="en-US" w:eastAsia="zh-CN"/>
        </w:rPr>
        <w:t>红十字会和</w:t>
      </w:r>
      <w:r>
        <w:rPr>
          <w:rFonts w:hint="eastAsia" w:ascii="Times New Roman" w:hAnsi="Times New Roman" w:eastAsia="仿宋_GB2312" w:cs="Times New Roman"/>
          <w:sz w:val="32"/>
          <w:szCs w:val="32"/>
          <w:lang w:val="en-US" w:eastAsia="zh-CN"/>
        </w:rPr>
        <w:t>“四川省红十字会20</w:t>
      </w:r>
      <w:r>
        <w:rPr>
          <w:rFonts w:ascii="Times New Roman" w:hAnsi="Times New Roman" w:eastAsia="仿宋_GB2312" w:cs="Times New Roman"/>
          <w:sz w:val="32"/>
          <w:szCs w:val="32"/>
          <w:lang w:val="en-US" w:eastAsia="zh-CN"/>
        </w:rPr>
        <w:t>24</w:t>
      </w:r>
      <w:r>
        <w:rPr>
          <w:rFonts w:hint="eastAsia" w:ascii="Times New Roman" w:hAnsi="Times New Roman" w:eastAsia="仿宋_GB2312" w:cs="Times New Roman"/>
          <w:sz w:val="32"/>
          <w:szCs w:val="32"/>
          <w:lang w:val="en-US" w:eastAsia="zh-CN"/>
        </w:rPr>
        <w:t>年</w:t>
      </w:r>
      <w:r>
        <w:rPr>
          <w:rFonts w:ascii="Times New Roman" w:hAnsi="Times New Roman" w:eastAsia="仿宋_GB2312" w:cs="Times New Roman"/>
          <w:sz w:val="32"/>
          <w:szCs w:val="32"/>
          <w:lang w:val="en-US" w:eastAsia="zh-CN"/>
        </w:rPr>
        <w:t>工作计划</w:t>
      </w:r>
      <w:r>
        <w:rPr>
          <w:rFonts w:hint="eastAsia" w:ascii="Times New Roman" w:hAnsi="Times New Roman" w:eastAsia="仿宋_GB2312" w:cs="Times New Roman"/>
          <w:sz w:val="32"/>
          <w:szCs w:val="32"/>
          <w:lang w:val="en-US" w:eastAsia="zh-CN"/>
        </w:rPr>
        <w:t>”，依法依规申报。</w:t>
      </w:r>
    </w:p>
    <w:p w14:paraId="5BF9F571">
      <w:pPr>
        <w:numPr>
          <w:ilvl w:val="0"/>
          <w:numId w:val="5"/>
        </w:numPr>
        <w:adjustRightInd w:val="0"/>
        <w:snapToGrid w:val="0"/>
        <w:spacing w:line="600" w:lineRule="exact"/>
        <w:ind w:left="0" w:firstLine="720"/>
        <w:rPr>
          <w:rFonts w:ascii="Times New Roman" w:hAnsi="Times New Roman" w:eastAsia="仿宋_GB2312" w:cs="Times New Roman"/>
          <w:sz w:val="32"/>
          <w:szCs w:val="32"/>
          <w:lang w:val="zh-CN"/>
        </w:rPr>
      </w:pPr>
      <w:r>
        <w:rPr>
          <w:rFonts w:ascii="Times New Roman" w:hAnsi="Times New Roman" w:eastAsia="仿宋_GB2312" w:cs="Times New Roman"/>
          <w:sz w:val="32"/>
          <w:szCs w:val="32"/>
          <w:lang w:val="zh-CN"/>
        </w:rPr>
        <w:t>资金管理办法制定情况，资金支持具体项目的条件、范围与支持方式概况。</w:t>
      </w:r>
    </w:p>
    <w:p w14:paraId="7F3E23F9">
      <w:pPr>
        <w:adjustRightInd w:val="0"/>
        <w:snapToGrid w:val="0"/>
        <w:spacing w:line="600" w:lineRule="exact"/>
        <w:ind w:left="720"/>
        <w:rPr>
          <w:rFonts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zh-CN"/>
        </w:rPr>
        <w:t>授权支付</w:t>
      </w:r>
      <w:r>
        <w:rPr>
          <w:rFonts w:ascii="Times New Roman" w:hAnsi="Times New Roman" w:eastAsia="仿宋_GB2312" w:cs="Times New Roman"/>
          <w:sz w:val="32"/>
          <w:szCs w:val="32"/>
          <w:lang w:val="zh-CN"/>
        </w:rPr>
        <w:t>。</w:t>
      </w:r>
    </w:p>
    <w:p w14:paraId="63F6D106">
      <w:pPr>
        <w:numPr>
          <w:ilvl w:val="0"/>
          <w:numId w:val="5"/>
        </w:numPr>
        <w:adjustRightInd w:val="0"/>
        <w:snapToGrid w:val="0"/>
        <w:spacing w:line="600" w:lineRule="exact"/>
        <w:ind w:left="0" w:firstLine="720"/>
        <w:rPr>
          <w:rFonts w:ascii="Times New Roman" w:hAnsi="Times New Roman" w:eastAsia="仿宋_GB2312" w:cs="Times New Roman"/>
          <w:sz w:val="32"/>
          <w:szCs w:val="32"/>
          <w:lang w:val="zh-CN"/>
        </w:rPr>
      </w:pPr>
      <w:r>
        <w:rPr>
          <w:rFonts w:ascii="Times New Roman" w:hAnsi="Times New Roman" w:eastAsia="仿宋_GB2312" w:cs="Times New Roman"/>
          <w:sz w:val="32"/>
          <w:szCs w:val="32"/>
          <w:lang w:val="zh-CN"/>
        </w:rPr>
        <w:t>资金分配的原则及考虑因素</w:t>
      </w:r>
    </w:p>
    <w:p w14:paraId="32C8BEA0">
      <w:pPr>
        <w:adjustRightInd w:val="0"/>
        <w:snapToGrid w:val="0"/>
        <w:spacing w:line="600" w:lineRule="exact"/>
        <w:ind w:left="720"/>
        <w:rPr>
          <w:rFonts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zh-CN"/>
        </w:rPr>
        <w:t>无下属单位</w:t>
      </w:r>
      <w:r>
        <w:rPr>
          <w:rFonts w:ascii="Times New Roman" w:hAnsi="Times New Roman" w:eastAsia="仿宋_GB2312" w:cs="Times New Roman"/>
          <w:sz w:val="32"/>
          <w:szCs w:val="32"/>
          <w:lang w:val="zh-CN"/>
        </w:rPr>
        <w:t>。</w:t>
      </w:r>
    </w:p>
    <w:p w14:paraId="312ACB99">
      <w:pPr>
        <w:adjustRightInd w:val="0"/>
        <w:snapToGrid w:val="0"/>
        <w:spacing w:line="600" w:lineRule="exact"/>
        <w:ind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（二）项目绩效目标。</w:t>
      </w:r>
    </w:p>
    <w:p w14:paraId="2468EE45">
      <w:pPr>
        <w:adjustRightInd w:val="0"/>
        <w:snapToGrid w:val="0"/>
        <w:spacing w:line="600" w:lineRule="exact"/>
        <w:ind w:firstLine="720"/>
        <w:rPr>
          <w:rFonts w:ascii="Times New Roman" w:hAnsi="Times New Roman" w:eastAsia="仿宋_GB2312" w:cs="Times New Roman"/>
          <w:sz w:val="32"/>
          <w:szCs w:val="32"/>
          <w:lang w:val="zh-CN"/>
        </w:rPr>
      </w:pPr>
      <w:r>
        <w:rPr>
          <w:rFonts w:ascii="Times New Roman" w:hAnsi="Times New Roman" w:eastAsia="仿宋_GB2312" w:cs="Times New Roman"/>
          <w:sz w:val="32"/>
          <w:szCs w:val="32"/>
          <w:lang w:val="zh-CN"/>
        </w:rPr>
        <w:t>1. 项目主要内容。</w:t>
      </w:r>
    </w:p>
    <w:p w14:paraId="3E60009E">
      <w:pPr>
        <w:adjustRightInd w:val="0"/>
        <w:snapToGrid w:val="0"/>
        <w:spacing w:line="600" w:lineRule="exact"/>
        <w:ind w:firstLine="720"/>
        <w:rPr>
          <w:rFonts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zh-CN"/>
        </w:rPr>
        <w:t>增强急救意识，提高广大人民群众自救互救能力，及时有效开展现场救护，我市各级红十字会在学校、机关、社区等广泛开展红十字应救急救员培训及群众应急救护知识的普及培训。</w:t>
      </w:r>
    </w:p>
    <w:p w14:paraId="0693CCB3">
      <w:pPr>
        <w:numPr>
          <w:ilvl w:val="0"/>
          <w:numId w:val="6"/>
        </w:numPr>
        <w:adjustRightInd w:val="0"/>
        <w:snapToGrid w:val="0"/>
        <w:spacing w:line="600" w:lineRule="exact"/>
        <w:ind w:left="0" w:firstLine="720"/>
        <w:rPr>
          <w:rFonts w:ascii="Times New Roman" w:hAnsi="Times New Roman" w:eastAsia="仿宋_GB2312" w:cs="Times New Roman"/>
          <w:sz w:val="32"/>
          <w:szCs w:val="32"/>
          <w:lang w:val="zh-CN"/>
        </w:rPr>
      </w:pPr>
      <w:r>
        <w:rPr>
          <w:rFonts w:ascii="Times New Roman" w:hAnsi="Times New Roman" w:eastAsia="仿宋_GB2312" w:cs="Times New Roman"/>
          <w:sz w:val="32"/>
          <w:szCs w:val="32"/>
          <w:lang w:val="zh-CN"/>
        </w:rPr>
        <w:t>项目应实现的具体绩效目标，包括目标的量化、细化情况以及项目实施进度计划等。</w:t>
      </w:r>
    </w:p>
    <w:p w14:paraId="497EF05B">
      <w:pPr>
        <w:widowControl w:val="0"/>
        <w:adjustRightInd w:val="0"/>
        <w:snapToGrid w:val="0"/>
        <w:spacing w:line="600" w:lineRule="exact"/>
        <w:jc w:val="both"/>
        <w:rPr>
          <w:rFonts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kern w:val="0"/>
          <w:sz w:val="32"/>
          <w:szCs w:val="32"/>
        </w:rPr>
        <w:t>计划举办</w:t>
      </w:r>
      <w:r>
        <w:rPr>
          <w:rFonts w:hint="eastAsia" w:ascii="Times New Roman" w:hAnsi="Times New Roman" w:eastAsia="仿宋_GB2312" w:cs="Times New Roman"/>
          <w:kern w:val="0"/>
          <w:sz w:val="32"/>
          <w:szCs w:val="32"/>
          <w:lang w:eastAsia="zh-CN"/>
        </w:rPr>
        <w:t>应</w:t>
      </w:r>
      <w:r>
        <w:rPr>
          <w:rFonts w:hint="eastAsia" w:ascii="Times New Roman" w:hAnsi="Times New Roman" w:eastAsia="仿宋_GB2312" w:cs="Times New Roman"/>
          <w:kern w:val="0"/>
          <w:sz w:val="32"/>
          <w:szCs w:val="32"/>
        </w:rPr>
        <w:t>急救员救护培训15-20期，培训获证急救员1</w:t>
      </w:r>
      <w:r>
        <w:rPr>
          <w:rFonts w:hint="eastAsia" w:ascii="Times New Roman" w:hAnsi="Times New Roman" w:eastAsia="仿宋_GB2312" w:cs="Times New Roman"/>
          <w:kern w:val="0"/>
          <w:sz w:val="32"/>
          <w:szCs w:val="32"/>
          <w:lang w:val="en-US" w:eastAsia="zh-CN"/>
        </w:rPr>
        <w:t>6</w:t>
      </w:r>
      <w:r>
        <w:rPr>
          <w:rFonts w:hint="eastAsia" w:ascii="Times New Roman" w:hAnsi="Times New Roman" w:eastAsia="仿宋_GB2312" w:cs="Times New Roman"/>
          <w:kern w:val="0"/>
          <w:sz w:val="32"/>
          <w:szCs w:val="32"/>
        </w:rPr>
        <w:t>00人，在全市社区、学校、厂矿企业等开展应急救护普训工作</w:t>
      </w:r>
      <w:r>
        <w:rPr>
          <w:rFonts w:hint="eastAsia" w:ascii="Times New Roman" w:hAnsi="Times New Roman" w:eastAsia="仿宋_GB2312" w:cs="Times New Roman"/>
          <w:kern w:val="0"/>
          <w:sz w:val="32"/>
          <w:szCs w:val="32"/>
          <w:lang w:eastAsia="zh-CN"/>
        </w:rPr>
        <w:t>，普训</w:t>
      </w:r>
      <w:r>
        <w:rPr>
          <w:rFonts w:hint="eastAsia" w:ascii="Times New Roman" w:hAnsi="Times New Roman" w:eastAsia="仿宋_GB2312" w:cs="Times New Roman"/>
          <w:kern w:val="0"/>
          <w:sz w:val="32"/>
          <w:szCs w:val="32"/>
          <w:lang w:val="en-US" w:eastAsia="zh-CN"/>
        </w:rPr>
        <w:t>15000人次，</w:t>
      </w:r>
      <w:r>
        <w:rPr>
          <w:rFonts w:hint="eastAsia" w:ascii="Times New Roman" w:hAnsi="Times New Roman" w:eastAsia="仿宋_GB2312" w:cs="Times New Roman"/>
          <w:kern w:val="0"/>
          <w:sz w:val="32"/>
          <w:szCs w:val="32"/>
          <w:lang w:eastAsia="zh-CN"/>
        </w:rPr>
        <w:t>项目</w:t>
      </w:r>
      <w:r>
        <w:rPr>
          <w:rFonts w:hint="eastAsia" w:ascii="Times New Roman" w:hAnsi="Times New Roman" w:eastAsia="仿宋_GB2312" w:cs="Times New Roman"/>
          <w:kern w:val="0"/>
          <w:sz w:val="32"/>
          <w:szCs w:val="32"/>
        </w:rPr>
        <w:t>全年预算5万。</w:t>
      </w:r>
    </w:p>
    <w:p w14:paraId="0EDE0ABC">
      <w:pPr>
        <w:numPr>
          <w:ilvl w:val="0"/>
          <w:numId w:val="6"/>
        </w:numPr>
        <w:adjustRightInd w:val="0"/>
        <w:snapToGrid w:val="0"/>
        <w:spacing w:line="600" w:lineRule="exact"/>
        <w:ind w:left="0" w:firstLine="720"/>
        <w:rPr>
          <w:rFonts w:ascii="Times New Roman" w:hAnsi="Times New Roman" w:eastAsia="仿宋_GB2312" w:cs="Times New Roman"/>
          <w:sz w:val="32"/>
          <w:szCs w:val="32"/>
          <w:lang w:val="zh-CN"/>
        </w:rPr>
      </w:pPr>
      <w:r>
        <w:rPr>
          <w:rFonts w:ascii="Times New Roman" w:hAnsi="Times New Roman" w:eastAsia="仿宋_GB2312" w:cs="Times New Roman"/>
          <w:sz w:val="32"/>
          <w:szCs w:val="32"/>
          <w:lang w:val="zh-CN"/>
        </w:rPr>
        <w:t>分析评价申报内容是否与实际相符，申报目标是否合理可行。</w:t>
      </w:r>
    </w:p>
    <w:p w14:paraId="4E0F97B3">
      <w:pPr>
        <w:adjustRightInd w:val="0"/>
        <w:snapToGrid w:val="0"/>
        <w:spacing w:line="600" w:lineRule="exact"/>
        <w:ind w:left="720"/>
        <w:rPr>
          <w:rFonts w:hint="eastAsia" w:ascii="Times New Roman" w:hAnsi="Times New Roman" w:eastAsia="仿宋_GB2312" w:cs="Times New Roman"/>
          <w:sz w:val="32"/>
          <w:szCs w:val="32"/>
          <w:lang w:val="zh-CN" w:eastAsia="zh-CN"/>
        </w:rPr>
      </w:pPr>
      <w:r>
        <w:rPr>
          <w:rFonts w:ascii="Times New Roman" w:hAnsi="Times New Roman" w:eastAsia="仿宋_GB2312" w:cs="Times New Roman"/>
          <w:kern w:val="0"/>
          <w:sz w:val="32"/>
          <w:szCs w:val="32"/>
        </w:rPr>
        <w:t>内容与实际相符</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 xml:space="preserve"> 申报目标合理可行</w:t>
      </w:r>
      <w:r>
        <w:rPr>
          <w:rFonts w:hint="eastAsia" w:ascii="Times New Roman" w:hAnsi="Times New Roman" w:eastAsia="仿宋_GB2312" w:cs="Times New Roman"/>
          <w:kern w:val="0"/>
          <w:sz w:val="32"/>
          <w:szCs w:val="32"/>
          <w:lang w:eastAsia="zh-CN"/>
        </w:rPr>
        <w:t>。</w:t>
      </w:r>
    </w:p>
    <w:p w14:paraId="5D787D95">
      <w:pPr>
        <w:adjustRightInd w:val="0"/>
        <w:snapToGrid w:val="0"/>
        <w:spacing w:line="600" w:lineRule="exact"/>
        <w:ind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（三）项目自评步骤及方法。</w:t>
      </w:r>
    </w:p>
    <w:p w14:paraId="41E64CD5">
      <w:pPr>
        <w:adjustRightInd w:val="0"/>
        <w:snapToGrid w:val="0"/>
        <w:spacing w:line="600" w:lineRule="exact"/>
        <w:ind w:firstLine="720"/>
        <w:rPr>
          <w:rFonts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zh-CN"/>
        </w:rPr>
        <w:t>统计全年获证急救员培训人数、普训人数及项目预算执行情况</w:t>
      </w:r>
      <w:r>
        <w:rPr>
          <w:rFonts w:ascii="Times New Roman" w:hAnsi="Times New Roman" w:eastAsia="仿宋_GB2312" w:cs="Times New Roman"/>
          <w:sz w:val="32"/>
          <w:szCs w:val="32"/>
          <w:lang w:val="zh-CN"/>
        </w:rPr>
        <w:t>。</w:t>
      </w:r>
    </w:p>
    <w:p w14:paraId="51909400">
      <w:pPr>
        <w:adjustRightInd w:val="0"/>
        <w:snapToGrid w:val="0"/>
        <w:spacing w:line="600" w:lineRule="exact"/>
        <w:ind w:firstLine="720"/>
        <w:rPr>
          <w:rFonts w:ascii="Times New Roman" w:hAnsi="Times New Roman" w:eastAsia="黑体" w:cs="Times New Roman"/>
          <w:sz w:val="32"/>
          <w:szCs w:val="32"/>
        </w:rPr>
      </w:pPr>
      <w:r>
        <w:rPr>
          <w:rFonts w:ascii="Times New Roman" w:hAnsi="Times New Roman" w:eastAsia="黑体" w:cs="Times New Roman"/>
          <w:sz w:val="32"/>
          <w:szCs w:val="32"/>
        </w:rPr>
        <w:t>二、项目资金申报及使用情况</w:t>
      </w:r>
    </w:p>
    <w:p w14:paraId="47CCE693">
      <w:pPr>
        <w:adjustRightInd w:val="0"/>
        <w:snapToGrid w:val="0"/>
        <w:spacing w:line="600" w:lineRule="exact"/>
        <w:ind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（一）项目资金申报及批复情况。</w:t>
      </w:r>
    </w:p>
    <w:p w14:paraId="2AA111D1">
      <w:pPr>
        <w:adjustRightInd w:val="0"/>
        <w:snapToGrid w:val="0"/>
        <w:spacing w:line="600" w:lineRule="exact"/>
        <w:ind w:firstLine="720"/>
        <w:rPr>
          <w:rFonts w:ascii="Times New Roman" w:hAnsi="Times New Roman" w:eastAsia="仿宋_GB2312" w:cs="Times New Roman"/>
          <w:sz w:val="32"/>
          <w:szCs w:val="32"/>
          <w:lang w:val="zh-CN"/>
        </w:rPr>
      </w:pPr>
      <w:r>
        <w:rPr>
          <w:rFonts w:hint="eastAsia" w:ascii="Times New Roman" w:hAnsi="Times New Roman" w:eastAsia="仿宋_GB2312" w:cs="Times New Roman"/>
          <w:kern w:val="0"/>
          <w:sz w:val="32"/>
          <w:szCs w:val="32"/>
        </w:rPr>
        <w:t>年初预算项目资金</w:t>
      </w:r>
      <w:r>
        <w:rPr>
          <w:rFonts w:hint="eastAsia" w:ascii="Times New Roman" w:hAnsi="Times New Roman" w:eastAsia="仿宋_GB2312" w:cs="Times New Roman"/>
          <w:kern w:val="0"/>
          <w:sz w:val="32"/>
          <w:szCs w:val="32"/>
          <w:lang w:val="en-US" w:eastAsia="zh-CN"/>
        </w:rPr>
        <w:t>5</w:t>
      </w:r>
      <w:r>
        <w:rPr>
          <w:rFonts w:hint="eastAsia" w:ascii="Times New Roman" w:hAnsi="Times New Roman" w:eastAsia="仿宋_GB2312" w:cs="Times New Roman"/>
          <w:kern w:val="0"/>
          <w:sz w:val="32"/>
          <w:szCs w:val="32"/>
        </w:rPr>
        <w:t>万元，财政下达</w:t>
      </w:r>
      <w:r>
        <w:rPr>
          <w:rFonts w:hint="eastAsia" w:ascii="Times New Roman" w:hAnsi="Times New Roman" w:eastAsia="仿宋_GB2312" w:cs="Times New Roman"/>
          <w:kern w:val="0"/>
          <w:sz w:val="32"/>
          <w:szCs w:val="32"/>
          <w:lang w:val="en-US" w:eastAsia="zh-CN"/>
        </w:rPr>
        <w:t>5</w:t>
      </w:r>
      <w:r>
        <w:rPr>
          <w:rFonts w:hint="eastAsia" w:ascii="Times New Roman" w:hAnsi="Times New Roman" w:eastAsia="仿宋_GB2312" w:cs="Times New Roman"/>
          <w:kern w:val="0"/>
          <w:sz w:val="32"/>
          <w:szCs w:val="32"/>
        </w:rPr>
        <w:t>万元，</w:t>
      </w:r>
      <w:r>
        <w:rPr>
          <w:rFonts w:hint="eastAsia" w:ascii="Times New Roman" w:hAnsi="Times New Roman" w:eastAsia="仿宋_GB2312" w:cs="Times New Roman"/>
          <w:kern w:val="0"/>
          <w:sz w:val="32"/>
          <w:szCs w:val="32"/>
          <w:lang w:eastAsia="zh-CN"/>
        </w:rPr>
        <w:t>全年预算</w:t>
      </w:r>
      <w:r>
        <w:rPr>
          <w:rFonts w:hint="eastAsia" w:ascii="Times New Roman" w:hAnsi="Times New Roman" w:eastAsia="仿宋_GB2312" w:cs="Times New Roman"/>
          <w:kern w:val="0"/>
          <w:sz w:val="32"/>
          <w:szCs w:val="32"/>
          <w:lang w:val="en-US" w:eastAsia="zh-CN"/>
        </w:rPr>
        <w:t>5万元</w:t>
      </w:r>
      <w:r>
        <w:rPr>
          <w:rFonts w:ascii="Times New Roman" w:hAnsi="Times New Roman" w:eastAsia="仿宋_GB2312" w:cs="Times New Roman"/>
          <w:sz w:val="32"/>
          <w:szCs w:val="32"/>
          <w:lang w:val="zh-CN"/>
        </w:rPr>
        <w:t>。</w:t>
      </w:r>
    </w:p>
    <w:p w14:paraId="2F1C9BF3">
      <w:pPr>
        <w:adjustRightInd w:val="0"/>
        <w:snapToGrid w:val="0"/>
        <w:spacing w:line="600" w:lineRule="exact"/>
        <w:ind w:firstLine="720"/>
        <w:rPr>
          <w:rFonts w:ascii="Times New Roman" w:hAnsi="Times New Roman" w:eastAsia="仿宋_GB2312" w:cs="Times New Roman"/>
          <w:sz w:val="32"/>
          <w:szCs w:val="32"/>
          <w:lang w:val="zh-CN"/>
        </w:rPr>
      </w:pPr>
      <w:r>
        <w:rPr>
          <w:rFonts w:ascii="Times New Roman" w:hAnsi="Times New Roman" w:eastAsia="楷体_GB2312" w:cs="Times New Roman"/>
          <w:b/>
          <w:sz w:val="32"/>
          <w:szCs w:val="32"/>
          <w:lang w:val="zh-CN"/>
        </w:rPr>
        <w:t>（二）资金计划、到位及使用情况（可用表格形式反映）。</w:t>
      </w:r>
    </w:p>
    <w:p w14:paraId="00B52AAD">
      <w:pPr>
        <w:adjustRightInd w:val="0"/>
        <w:snapToGrid w:val="0"/>
        <w:spacing w:line="600" w:lineRule="exact"/>
        <w:ind w:firstLine="720"/>
        <w:rPr>
          <w:rFonts w:ascii="Times New Roman" w:hAnsi="Times New Roman" w:eastAsia="楷体_GB2312" w:cs="Times New Roman"/>
          <w:sz w:val="32"/>
          <w:szCs w:val="32"/>
          <w:lang w:val="zh-CN"/>
        </w:rPr>
      </w:pPr>
      <w:r>
        <w:rPr>
          <w:rFonts w:ascii="Times New Roman" w:hAnsi="Times New Roman" w:eastAsia="楷体_GB2312" w:cs="Times New Roman"/>
          <w:sz w:val="32"/>
          <w:szCs w:val="32"/>
          <w:lang w:val="zh-CN"/>
        </w:rPr>
        <w:t>1．资金计划。</w:t>
      </w:r>
    </w:p>
    <w:p w14:paraId="3C0EA036">
      <w:pPr>
        <w:autoSpaceDE w:val="0"/>
        <w:autoSpaceDN w:val="0"/>
        <w:adjustRightInd w:val="0"/>
        <w:spacing w:line="600" w:lineRule="exact"/>
        <w:ind w:firstLine="640" w:firstLineChars="200"/>
        <w:jc w:val="left"/>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资金</w:t>
      </w:r>
      <w:r>
        <w:rPr>
          <w:rFonts w:hint="eastAsia" w:ascii="Times New Roman" w:hAnsi="Times New Roman" w:eastAsia="仿宋_GB2312" w:cs="Times New Roman"/>
          <w:kern w:val="0"/>
          <w:sz w:val="32"/>
          <w:szCs w:val="32"/>
          <w:lang w:eastAsia="zh-CN"/>
        </w:rPr>
        <w:t>计划</w:t>
      </w:r>
      <w:r>
        <w:rPr>
          <w:rFonts w:hint="eastAsia" w:ascii="Times New Roman" w:hAnsi="Times New Roman" w:eastAsia="仿宋_GB2312" w:cs="Times New Roman"/>
          <w:kern w:val="0"/>
          <w:sz w:val="32"/>
          <w:szCs w:val="32"/>
          <w:lang w:val="en-US" w:eastAsia="zh-CN"/>
        </w:rPr>
        <w:t>5万元</w:t>
      </w:r>
      <w:r>
        <w:rPr>
          <w:rFonts w:hint="eastAsia" w:ascii="Times New Roman" w:hAnsi="Times New Roman" w:eastAsia="仿宋_GB2312" w:cs="Times New Roman"/>
          <w:kern w:val="0"/>
          <w:sz w:val="32"/>
          <w:szCs w:val="32"/>
        </w:rPr>
        <w:t>。</w:t>
      </w:r>
    </w:p>
    <w:p w14:paraId="716917C2">
      <w:pPr>
        <w:numPr>
          <w:ilvl w:val="0"/>
          <w:numId w:val="7"/>
        </w:numPr>
        <w:adjustRightInd w:val="0"/>
        <w:snapToGrid w:val="0"/>
        <w:spacing w:line="600" w:lineRule="exact"/>
        <w:ind w:left="0" w:firstLine="720"/>
        <w:rPr>
          <w:rFonts w:ascii="Times New Roman" w:hAnsi="Times New Roman" w:eastAsia="仿宋_GB2312" w:cs="Times New Roman"/>
          <w:sz w:val="32"/>
          <w:szCs w:val="32"/>
          <w:lang w:val="zh-CN"/>
        </w:rPr>
      </w:pPr>
      <w:r>
        <w:rPr>
          <w:rFonts w:ascii="Times New Roman" w:hAnsi="Times New Roman" w:eastAsia="楷体_GB2312" w:cs="Times New Roman"/>
          <w:sz w:val="32"/>
          <w:szCs w:val="32"/>
          <w:lang w:val="zh-CN"/>
        </w:rPr>
        <w:t>资金到位</w:t>
      </w:r>
      <w:r>
        <w:rPr>
          <w:rFonts w:ascii="Times New Roman" w:hAnsi="Times New Roman" w:eastAsia="仿宋_GB2312" w:cs="Times New Roman"/>
          <w:sz w:val="32"/>
          <w:szCs w:val="32"/>
          <w:lang w:val="zh-CN"/>
        </w:rPr>
        <w:t>。</w:t>
      </w:r>
    </w:p>
    <w:p w14:paraId="674BDF4B">
      <w:pPr>
        <w:adjustRightInd w:val="0"/>
        <w:snapToGrid w:val="0"/>
        <w:spacing w:line="600" w:lineRule="exact"/>
        <w:rPr>
          <w:rFonts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资金到位5万元</w:t>
      </w:r>
    </w:p>
    <w:p w14:paraId="71FBEFFC">
      <w:pPr>
        <w:numPr>
          <w:ilvl w:val="0"/>
          <w:numId w:val="7"/>
        </w:numPr>
        <w:adjustRightInd w:val="0"/>
        <w:snapToGrid w:val="0"/>
        <w:spacing w:line="600" w:lineRule="exact"/>
        <w:ind w:left="0" w:firstLine="720"/>
        <w:rPr>
          <w:rFonts w:ascii="Times New Roman" w:hAnsi="Times New Roman" w:eastAsia="楷体_GB2312" w:cs="Times New Roman"/>
          <w:sz w:val="32"/>
          <w:szCs w:val="32"/>
          <w:lang w:val="zh-CN"/>
        </w:rPr>
      </w:pPr>
      <w:r>
        <w:rPr>
          <w:rFonts w:ascii="Times New Roman" w:hAnsi="Times New Roman" w:eastAsia="楷体_GB2312" w:cs="Times New Roman"/>
          <w:sz w:val="32"/>
          <w:szCs w:val="32"/>
          <w:lang w:val="zh-CN"/>
        </w:rPr>
        <w:t>资金使用。</w:t>
      </w:r>
    </w:p>
    <w:p w14:paraId="4AF04E73">
      <w:pPr>
        <w:autoSpaceDE w:val="0"/>
        <w:autoSpaceDN w:val="0"/>
        <w:adjustRightInd w:val="0"/>
        <w:spacing w:line="600" w:lineRule="exact"/>
        <w:ind w:firstLine="640" w:firstLineChars="200"/>
        <w:jc w:val="left"/>
        <w:rPr>
          <w:rFonts w:ascii="Times New Roman" w:hAnsi="Times New Roman" w:eastAsia="楷体_GB2312" w:cs="Times New Roman"/>
          <w:sz w:val="32"/>
          <w:szCs w:val="32"/>
          <w:lang w:val="zh-CN"/>
        </w:rPr>
      </w:pPr>
      <w:r>
        <w:rPr>
          <w:rFonts w:hint="eastAsia" w:ascii="Times New Roman" w:hAnsi="Times New Roman" w:eastAsia="仿宋_GB2312" w:cs="Times New Roman"/>
          <w:kern w:val="0"/>
          <w:sz w:val="32"/>
          <w:szCs w:val="32"/>
          <w:lang w:eastAsia="zh-CN"/>
        </w:rPr>
        <w:t>资金使用</w:t>
      </w:r>
      <w:r>
        <w:rPr>
          <w:rFonts w:hint="eastAsia" w:ascii="Times New Roman" w:hAnsi="Times New Roman" w:eastAsia="仿宋_GB2312" w:cs="Times New Roman"/>
          <w:kern w:val="0"/>
          <w:sz w:val="32"/>
          <w:szCs w:val="32"/>
          <w:lang w:val="en-US" w:eastAsia="zh-CN"/>
        </w:rPr>
        <w:t>5万元，</w:t>
      </w:r>
      <w:r>
        <w:rPr>
          <w:rFonts w:ascii="Times New Roman" w:hAnsi="Times New Roman" w:eastAsia="仿宋_GB2312" w:cs="Times New Roman"/>
          <w:kern w:val="0"/>
          <w:sz w:val="32"/>
          <w:szCs w:val="32"/>
        </w:rPr>
        <w:t>资金支付范围、支付标准、支付进度、支付依据等合规合法</w:t>
      </w:r>
      <w:r>
        <w:rPr>
          <w:rFonts w:hint="eastAsia" w:ascii="Times New Roman" w:hAnsi="Times New Roman" w:eastAsia="仿宋_GB2312" w:cs="Times New Roman"/>
          <w:kern w:val="0"/>
          <w:sz w:val="32"/>
          <w:szCs w:val="32"/>
        </w:rPr>
        <w:t>，与预算相符。</w:t>
      </w:r>
    </w:p>
    <w:p w14:paraId="10AED4D9">
      <w:pPr>
        <w:adjustRightInd w:val="0"/>
        <w:snapToGrid w:val="0"/>
        <w:spacing w:line="600" w:lineRule="exact"/>
        <w:ind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（三）项目财务管理情况。</w:t>
      </w:r>
    </w:p>
    <w:p w14:paraId="5F8C71BD">
      <w:pPr>
        <w:adjustRightInd w:val="0"/>
        <w:snapToGrid w:val="0"/>
        <w:spacing w:line="600" w:lineRule="exact"/>
        <w:ind w:firstLine="720"/>
        <w:rPr>
          <w:rFonts w:hint="eastAsia" w:ascii="Times New Roman" w:hAnsi="Times New Roman" w:eastAsia="仿宋_GB2312" w:cs="Times New Roman"/>
          <w:kern w:val="0"/>
          <w:sz w:val="32"/>
          <w:szCs w:val="32"/>
        </w:rPr>
      </w:pPr>
      <w:r>
        <w:rPr>
          <w:rFonts w:ascii="Times New Roman" w:hAnsi="Times New Roman" w:eastAsia="仿宋_GB2312" w:cs="Times New Roman"/>
          <w:kern w:val="0"/>
          <w:sz w:val="32"/>
          <w:szCs w:val="32"/>
        </w:rPr>
        <w:t>单位财务管理制度健全，严格执行财务管理制度，账务处理及时，会计核算规范</w:t>
      </w:r>
      <w:r>
        <w:rPr>
          <w:rFonts w:hint="eastAsia" w:ascii="Times New Roman" w:hAnsi="Times New Roman" w:eastAsia="仿宋_GB2312" w:cs="Times New Roman"/>
          <w:kern w:val="0"/>
          <w:sz w:val="32"/>
          <w:szCs w:val="32"/>
        </w:rPr>
        <w:t>。</w:t>
      </w:r>
    </w:p>
    <w:p w14:paraId="1D5AA01A">
      <w:pPr>
        <w:adjustRightInd w:val="0"/>
        <w:snapToGrid w:val="0"/>
        <w:spacing w:line="600" w:lineRule="exact"/>
        <w:ind w:firstLine="720"/>
        <w:rPr>
          <w:rFonts w:ascii="Times New Roman" w:hAnsi="Times New Roman" w:eastAsia="黑体" w:cs="Times New Roman"/>
          <w:sz w:val="32"/>
          <w:szCs w:val="32"/>
        </w:rPr>
      </w:pPr>
      <w:r>
        <w:rPr>
          <w:rFonts w:ascii="Times New Roman" w:hAnsi="Times New Roman" w:eastAsia="黑体" w:cs="Times New Roman"/>
          <w:sz w:val="32"/>
          <w:szCs w:val="32"/>
        </w:rPr>
        <w:t>三、项目实施及管理情况</w:t>
      </w:r>
    </w:p>
    <w:p w14:paraId="0E0C3F3B">
      <w:pPr>
        <w:adjustRightInd w:val="0"/>
        <w:snapToGrid w:val="0"/>
        <w:spacing w:line="600" w:lineRule="exact"/>
        <w:ind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（一）项目组织架构及实施流程。</w:t>
      </w:r>
    </w:p>
    <w:p w14:paraId="1142B798">
      <w:pPr>
        <w:adjustRightInd w:val="0"/>
        <w:snapToGrid w:val="0"/>
        <w:spacing w:line="600" w:lineRule="exact"/>
        <w:ind w:firstLine="720"/>
        <w:rPr>
          <w:rFonts w:ascii="Times New Roman" w:hAnsi="Times New Roman" w:eastAsia="楷体_GB2312" w:cs="Times New Roman"/>
          <w:b/>
          <w:sz w:val="32"/>
          <w:szCs w:val="32"/>
          <w:lang w:val="zh-CN"/>
        </w:rPr>
      </w:pPr>
      <w:r>
        <w:rPr>
          <w:rFonts w:hint="eastAsia" w:ascii="Times New Roman" w:hAnsi="Times New Roman" w:eastAsia="仿宋_GB2312" w:cs="Times New Roman"/>
          <w:kern w:val="0"/>
          <w:sz w:val="32"/>
          <w:szCs w:val="32"/>
        </w:rPr>
        <w:t>项目年初下达-申请计划-组织实施-项目完结。</w:t>
      </w:r>
    </w:p>
    <w:p w14:paraId="7EAF201F">
      <w:pPr>
        <w:numPr>
          <w:ilvl w:val="0"/>
          <w:numId w:val="8"/>
        </w:numPr>
        <w:adjustRightInd w:val="0"/>
        <w:snapToGrid w:val="0"/>
        <w:spacing w:line="600" w:lineRule="exact"/>
        <w:ind w:left="0"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项目管理情况。</w:t>
      </w:r>
    </w:p>
    <w:p w14:paraId="0B7D3454">
      <w:pPr>
        <w:autoSpaceDE w:val="0"/>
        <w:autoSpaceDN w:val="0"/>
        <w:adjustRightInd w:val="0"/>
        <w:spacing w:line="600" w:lineRule="exact"/>
        <w:ind w:firstLine="640" w:firstLineChars="200"/>
        <w:jc w:val="left"/>
        <w:rPr>
          <w:rFonts w:ascii="Times New Roman" w:hAnsi="Times New Roman" w:eastAsia="楷体_GB2312" w:cs="Times New Roman"/>
          <w:b/>
          <w:sz w:val="32"/>
          <w:szCs w:val="32"/>
          <w:lang w:val="zh-CN"/>
        </w:rPr>
      </w:pPr>
      <w:r>
        <w:rPr>
          <w:rFonts w:hint="eastAsia" w:ascii="Times New Roman" w:hAnsi="Times New Roman" w:eastAsia="仿宋_GB2312" w:cs="Times New Roman"/>
          <w:kern w:val="0"/>
          <w:sz w:val="32"/>
          <w:szCs w:val="32"/>
        </w:rPr>
        <w:t>本项目无</w:t>
      </w:r>
      <w:r>
        <w:rPr>
          <w:rFonts w:ascii="Times New Roman" w:hAnsi="Times New Roman" w:eastAsia="仿宋_GB2312" w:cs="Times New Roman"/>
          <w:kern w:val="0"/>
          <w:sz w:val="32"/>
          <w:szCs w:val="32"/>
        </w:rPr>
        <w:t>招投标、政府采购</w:t>
      </w:r>
      <w:r>
        <w:rPr>
          <w:rFonts w:hint="eastAsia" w:ascii="Times New Roman" w:hAnsi="Times New Roman" w:eastAsia="仿宋_GB2312" w:cs="Times New Roman"/>
          <w:kern w:val="0"/>
          <w:sz w:val="32"/>
          <w:szCs w:val="32"/>
        </w:rPr>
        <w:t>。</w:t>
      </w:r>
    </w:p>
    <w:p w14:paraId="4F3C90F5">
      <w:pPr>
        <w:numPr>
          <w:ilvl w:val="0"/>
          <w:numId w:val="8"/>
        </w:numPr>
        <w:adjustRightInd w:val="0"/>
        <w:snapToGrid w:val="0"/>
        <w:spacing w:line="600" w:lineRule="exact"/>
        <w:ind w:left="0"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项目监管情况。</w:t>
      </w:r>
    </w:p>
    <w:p w14:paraId="1AB67ED6">
      <w:pPr>
        <w:autoSpaceDE w:val="0"/>
        <w:autoSpaceDN w:val="0"/>
        <w:adjustRightInd w:val="0"/>
        <w:spacing w:line="600" w:lineRule="exact"/>
        <w:ind w:firstLine="640" w:firstLineChars="200"/>
        <w:jc w:val="left"/>
        <w:rPr>
          <w:rFonts w:ascii="Times New Roman" w:hAnsi="Times New Roman" w:eastAsia="楷体_GB2312" w:cs="Times New Roman"/>
          <w:b/>
          <w:sz w:val="32"/>
          <w:szCs w:val="32"/>
          <w:lang w:val="zh-CN"/>
        </w:rPr>
      </w:pPr>
      <w:r>
        <w:rPr>
          <w:rFonts w:hint="eastAsia" w:ascii="Times New Roman" w:hAnsi="Times New Roman" w:eastAsia="仿宋_GB2312" w:cs="Times New Roman"/>
          <w:kern w:val="0"/>
          <w:sz w:val="32"/>
          <w:szCs w:val="32"/>
        </w:rPr>
        <w:t>制定了相关政策，加强财务管理。</w:t>
      </w:r>
    </w:p>
    <w:p w14:paraId="3DB09F56">
      <w:pPr>
        <w:adjustRightInd w:val="0"/>
        <w:snapToGrid w:val="0"/>
        <w:spacing w:line="600" w:lineRule="exact"/>
        <w:ind w:firstLine="720"/>
        <w:rPr>
          <w:rFonts w:ascii="Times New Roman" w:hAnsi="Times New Roman" w:eastAsia="仿宋_GB2312" w:cs="Times New Roman"/>
          <w:sz w:val="32"/>
          <w:szCs w:val="32"/>
          <w:lang w:val="zh-CN"/>
        </w:rPr>
      </w:pPr>
      <w:r>
        <w:rPr>
          <w:rFonts w:ascii="Times New Roman" w:hAnsi="Times New Roman" w:eastAsia="黑体" w:cs="Times New Roman"/>
          <w:sz w:val="32"/>
          <w:szCs w:val="32"/>
        </w:rPr>
        <w:t>四、项目绩效情况</w:t>
      </w:r>
      <w:r>
        <w:rPr>
          <w:rFonts w:ascii="Times New Roman" w:hAnsi="Times New Roman" w:eastAsia="仿宋_GB2312" w:cs="Times New Roman"/>
          <w:sz w:val="32"/>
          <w:szCs w:val="32"/>
          <w:lang w:val="zh-CN"/>
        </w:rPr>
        <w:tab/>
      </w:r>
    </w:p>
    <w:p w14:paraId="3959AD2C">
      <w:pPr>
        <w:adjustRightInd w:val="0"/>
        <w:snapToGrid w:val="0"/>
        <w:spacing w:line="600" w:lineRule="exact"/>
        <w:ind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（一）项目完成情况。</w:t>
      </w:r>
    </w:p>
    <w:p w14:paraId="64E5CFC3">
      <w:pPr>
        <w:adjustRightInd w:val="0"/>
        <w:snapToGrid w:val="0"/>
        <w:spacing w:line="600" w:lineRule="exact"/>
        <w:ind w:firstLine="720"/>
        <w:rPr>
          <w:rFonts w:hint="eastAsia" w:ascii="Times New Roman" w:hAnsi="Times New Roman" w:eastAsia="仿宋_GB2312" w:cs="Times New Roman"/>
          <w:b/>
          <w:sz w:val="32"/>
          <w:szCs w:val="32"/>
          <w:lang w:val="zh-CN" w:eastAsia="zh-CN"/>
        </w:rPr>
      </w:pPr>
      <w:r>
        <w:rPr>
          <w:rFonts w:hint="eastAsia" w:ascii="Times New Roman" w:hAnsi="Times New Roman" w:eastAsia="仿宋_GB2312" w:cs="Times New Roman"/>
          <w:sz w:val="32"/>
          <w:szCs w:val="32"/>
          <w:lang w:val="zh-CN" w:eastAsia="zh-CN"/>
        </w:rPr>
        <w:t>培训持证救护员2100名，普及急救知识培训25</w:t>
      </w:r>
      <w:r>
        <w:rPr>
          <w:rFonts w:hint="eastAsia" w:ascii="Times New Roman" w:hAnsi="Times New Roman" w:eastAsia="仿宋_GB2312" w:cs="Times New Roman"/>
          <w:sz w:val="32"/>
          <w:szCs w:val="32"/>
          <w:lang w:val="en-US" w:eastAsia="zh-CN"/>
        </w:rPr>
        <w:t>140</w:t>
      </w:r>
      <w:r>
        <w:rPr>
          <w:rFonts w:hint="eastAsia" w:ascii="Times New Roman" w:hAnsi="Times New Roman" w:eastAsia="仿宋_GB2312" w:cs="Times New Roman"/>
          <w:sz w:val="32"/>
          <w:szCs w:val="32"/>
          <w:lang w:val="zh-CN" w:eastAsia="zh-CN"/>
        </w:rPr>
        <w:t>人次，</w:t>
      </w:r>
      <w:r>
        <w:rPr>
          <w:rFonts w:hint="eastAsia" w:ascii="Times New Roman" w:hAnsi="Times New Roman" w:eastAsia="仿宋_GB2312" w:cs="Times New Roman"/>
          <w:kern w:val="0"/>
          <w:sz w:val="32"/>
          <w:szCs w:val="32"/>
        </w:rPr>
        <w:t>按质按量超额完成项目目标计划，各项指标均已完成</w:t>
      </w:r>
      <w:r>
        <w:rPr>
          <w:rFonts w:hint="eastAsia" w:ascii="Times New Roman" w:hAnsi="Times New Roman" w:eastAsia="仿宋_GB2312" w:cs="Times New Roman"/>
          <w:kern w:val="0"/>
          <w:sz w:val="32"/>
          <w:szCs w:val="32"/>
          <w:lang w:eastAsia="zh-CN"/>
        </w:rPr>
        <w:t>。</w:t>
      </w:r>
    </w:p>
    <w:p w14:paraId="3B2230C3">
      <w:pPr>
        <w:adjustRightInd w:val="0"/>
        <w:snapToGrid w:val="0"/>
        <w:spacing w:line="600" w:lineRule="exact"/>
        <w:ind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（二）项目效益情况。</w:t>
      </w:r>
    </w:p>
    <w:p w14:paraId="71B5E440">
      <w:pPr>
        <w:widowControl w:val="0"/>
        <w:spacing w:line="600" w:lineRule="exact"/>
        <w:ind w:firstLine="640" w:firstLineChars="200"/>
        <w:jc w:val="left"/>
        <w:rPr>
          <w:rFonts w:ascii="Times New Roman" w:hAnsi="Times New Roman" w:eastAsia="楷体" w:cs="Times New Roman"/>
          <w:kern w:val="2"/>
          <w:sz w:val="32"/>
          <w:szCs w:val="32"/>
          <w:lang w:val="en-US" w:eastAsia="zh-CN" w:bidi="ar-SA"/>
        </w:rPr>
      </w:pPr>
      <w:r>
        <w:rPr>
          <w:rFonts w:ascii="Times New Roman" w:hAnsi="Times New Roman" w:eastAsia="仿宋_GB2312" w:cs="Times New Roman"/>
          <w:kern w:val="2"/>
          <w:sz w:val="32"/>
          <w:szCs w:val="32"/>
          <w:lang w:val="en-US" w:eastAsia="zh-CN" w:bidi="ar-SA"/>
        </w:rPr>
        <w:t>（1）产出指标完成情况分析。数量指标、质量指标、时效指标</w:t>
      </w:r>
      <w:r>
        <w:rPr>
          <w:rFonts w:hint="eastAsia" w:ascii="Times New Roman" w:hAnsi="Times New Roman" w:eastAsia="仿宋_GB2312" w:cs="Times New Roman"/>
          <w:kern w:val="2"/>
          <w:sz w:val="32"/>
          <w:szCs w:val="32"/>
          <w:lang w:val="en-US" w:eastAsia="zh-CN" w:bidi="ar-SA"/>
        </w:rPr>
        <w:t>和</w:t>
      </w:r>
      <w:r>
        <w:rPr>
          <w:rFonts w:ascii="Times New Roman" w:hAnsi="Times New Roman" w:eastAsia="仿宋_GB2312" w:cs="Times New Roman"/>
          <w:kern w:val="2"/>
          <w:sz w:val="32"/>
          <w:szCs w:val="32"/>
          <w:lang w:val="en-US" w:eastAsia="zh-CN" w:bidi="ar-SA"/>
        </w:rPr>
        <w:t>成本指标</w:t>
      </w:r>
      <w:r>
        <w:rPr>
          <w:rFonts w:hint="eastAsia" w:ascii="Times New Roman" w:hAnsi="Times New Roman" w:eastAsia="仿宋_GB2312" w:cs="Times New Roman"/>
          <w:kern w:val="2"/>
          <w:sz w:val="32"/>
          <w:szCs w:val="32"/>
          <w:lang w:val="en-US" w:eastAsia="zh-CN" w:bidi="ar-SA"/>
        </w:rPr>
        <w:t>均已完成。</w:t>
      </w:r>
    </w:p>
    <w:p w14:paraId="5EB7F9AF">
      <w:pPr>
        <w:widowControl w:val="0"/>
        <w:spacing w:line="600" w:lineRule="exact"/>
        <w:ind w:firstLine="640" w:firstLineChars="200"/>
        <w:jc w:val="left"/>
        <w:rPr>
          <w:rFonts w:ascii="Times New Roman" w:hAnsi="Times New Roman" w:eastAsia="楷体" w:cs="Times New Roman"/>
          <w:kern w:val="2"/>
          <w:sz w:val="32"/>
          <w:szCs w:val="32"/>
          <w:lang w:val="en-US" w:eastAsia="zh-CN" w:bidi="ar-SA"/>
        </w:rPr>
      </w:pPr>
      <w:r>
        <w:rPr>
          <w:rFonts w:ascii="Times New Roman" w:hAnsi="Times New Roman" w:eastAsia="仿宋_GB2312" w:cs="Times New Roman"/>
          <w:kern w:val="2"/>
          <w:sz w:val="32"/>
          <w:szCs w:val="32"/>
          <w:lang w:val="en-US" w:eastAsia="zh-CN" w:bidi="ar-SA"/>
        </w:rPr>
        <w:t>（2）效益指标完成情况分析。</w:t>
      </w:r>
      <w:r>
        <w:rPr>
          <w:rFonts w:hint="eastAsia" w:ascii="Times New Roman" w:hAnsi="Times New Roman" w:eastAsia="仿宋_GB2312" w:cs="Times New Roman"/>
          <w:kern w:val="2"/>
          <w:sz w:val="32"/>
          <w:szCs w:val="32"/>
          <w:lang w:val="en-US" w:eastAsia="zh-CN" w:bidi="ar-SA"/>
        </w:rPr>
        <w:t>2024年度设定目标无</w:t>
      </w:r>
      <w:r>
        <w:rPr>
          <w:rFonts w:ascii="Times New Roman" w:hAnsi="Times New Roman" w:eastAsia="仿宋_GB2312" w:cs="Times New Roman"/>
          <w:kern w:val="2"/>
          <w:sz w:val="32"/>
          <w:szCs w:val="32"/>
          <w:lang w:val="en-US" w:eastAsia="zh-CN" w:bidi="ar-SA"/>
        </w:rPr>
        <w:t>经济效益、生态效益。社会效益和可持续影响指标已完成</w:t>
      </w:r>
      <w:r>
        <w:rPr>
          <w:rFonts w:hint="eastAsia" w:ascii="Times New Roman" w:hAnsi="Times New Roman" w:eastAsia="仿宋_GB2312" w:cs="Times New Roman"/>
          <w:kern w:val="2"/>
          <w:sz w:val="32"/>
          <w:szCs w:val="32"/>
          <w:lang w:val="en-US" w:eastAsia="zh-CN" w:bidi="ar-SA"/>
        </w:rPr>
        <w:t>。</w:t>
      </w:r>
    </w:p>
    <w:p w14:paraId="43B7DFFF">
      <w:pPr>
        <w:widowControl w:val="0"/>
        <w:spacing w:line="600" w:lineRule="exact"/>
        <w:ind w:firstLine="640" w:firstLineChars="200"/>
        <w:jc w:val="left"/>
        <w:rPr>
          <w:rFonts w:ascii="Times New Roman" w:hAnsi="Times New Roman" w:eastAsia="楷体" w:cs="Times New Roman"/>
          <w:kern w:val="2"/>
          <w:sz w:val="32"/>
          <w:szCs w:val="32"/>
          <w:lang w:val="en-US" w:eastAsia="zh-CN" w:bidi="ar-SA"/>
        </w:rPr>
      </w:pPr>
      <w:r>
        <w:rPr>
          <w:rFonts w:ascii="Times New Roman" w:hAnsi="Times New Roman" w:eastAsia="仿宋_GB2312" w:cs="Times New Roman"/>
          <w:kern w:val="2"/>
          <w:sz w:val="32"/>
          <w:szCs w:val="32"/>
          <w:lang w:val="en-US" w:eastAsia="zh-CN" w:bidi="ar-SA"/>
        </w:rPr>
        <w:t>（3）满意度指标完成情况分析。据统计</w:t>
      </w:r>
      <w:r>
        <w:rPr>
          <w:rFonts w:hint="eastAsia" w:ascii="Times New Roman" w:hAnsi="Times New Roman" w:eastAsia="仿宋_GB2312" w:cs="Times New Roman"/>
          <w:kern w:val="2"/>
          <w:sz w:val="32"/>
          <w:szCs w:val="32"/>
          <w:lang w:val="en-US" w:eastAsia="zh-CN" w:bidi="ar-SA"/>
        </w:rPr>
        <w:t>，服务对象</w:t>
      </w:r>
      <w:r>
        <w:rPr>
          <w:rFonts w:ascii="Times New Roman" w:hAnsi="Times New Roman" w:eastAsia="仿宋_GB2312" w:cs="Times New Roman"/>
          <w:kern w:val="2"/>
          <w:sz w:val="32"/>
          <w:szCs w:val="32"/>
          <w:lang w:val="en-US" w:eastAsia="zh-CN" w:bidi="ar-SA"/>
        </w:rPr>
        <w:t>满意度</w:t>
      </w:r>
      <w:r>
        <w:rPr>
          <w:rFonts w:hint="eastAsia" w:ascii="Times New Roman" w:hAnsi="Times New Roman" w:eastAsia="仿宋_GB2312" w:cs="Times New Roman"/>
          <w:kern w:val="2"/>
          <w:sz w:val="32"/>
          <w:szCs w:val="32"/>
          <w:lang w:val="en-US" w:eastAsia="zh-CN" w:bidi="ar-SA"/>
        </w:rPr>
        <w:t>大于90%，已完成满意度指标。</w:t>
      </w:r>
    </w:p>
    <w:p w14:paraId="4CE74D8E">
      <w:pPr>
        <w:adjustRightInd w:val="0"/>
        <w:snapToGrid w:val="0"/>
        <w:spacing w:line="600" w:lineRule="exact"/>
        <w:ind w:firstLine="720"/>
        <w:rPr>
          <w:rFonts w:ascii="Times New Roman" w:hAnsi="Times New Roman" w:eastAsia="黑体" w:cs="Times New Roman"/>
          <w:sz w:val="32"/>
          <w:szCs w:val="32"/>
        </w:rPr>
      </w:pPr>
      <w:r>
        <w:rPr>
          <w:rFonts w:ascii="Times New Roman" w:hAnsi="Times New Roman" w:eastAsia="黑体" w:cs="Times New Roman"/>
          <w:sz w:val="32"/>
          <w:szCs w:val="32"/>
        </w:rPr>
        <w:t>五、评价结论及建议</w:t>
      </w:r>
    </w:p>
    <w:p w14:paraId="5BF9D4F3">
      <w:pPr>
        <w:adjustRightInd w:val="0"/>
        <w:snapToGrid w:val="0"/>
        <w:spacing w:line="600" w:lineRule="exact"/>
        <w:ind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（一）评价结论。</w:t>
      </w:r>
    </w:p>
    <w:p w14:paraId="7A0A3DD2">
      <w:pPr>
        <w:widowControl w:val="0"/>
        <w:spacing w:line="600" w:lineRule="exact"/>
        <w:ind w:firstLine="640" w:firstLineChars="200"/>
        <w:jc w:val="left"/>
        <w:rPr>
          <w:rFonts w:ascii="宋体" w:hAnsi="Courier New" w:eastAsia="仿宋_GB2312" w:cs="Times New Roman"/>
          <w:kern w:val="2"/>
          <w:sz w:val="32"/>
          <w:szCs w:val="32"/>
          <w:bdr w:val="single" w:color="auto" w:sz="4" w:space="0"/>
          <w:lang w:val="zh-CN" w:eastAsia="zh-CN" w:bidi="ar-SA"/>
        </w:rPr>
      </w:pPr>
      <w:r>
        <w:rPr>
          <w:rFonts w:ascii="Times New Roman" w:hAnsi="Times New Roman" w:eastAsia="仿宋_GB2312" w:cs="Times New Roman"/>
          <w:kern w:val="2"/>
          <w:sz w:val="32"/>
          <w:szCs w:val="32"/>
          <w:lang w:val="en-US" w:eastAsia="zh-CN" w:bidi="ar-SA"/>
        </w:rPr>
        <w:t>20</w:t>
      </w:r>
      <w:r>
        <w:rPr>
          <w:rFonts w:hint="eastAsia" w:ascii="Times New Roman" w:hAnsi="Times New Roman" w:eastAsia="仿宋_GB2312" w:cs="Times New Roman"/>
          <w:kern w:val="2"/>
          <w:sz w:val="32"/>
          <w:szCs w:val="32"/>
          <w:lang w:val="en-US" w:eastAsia="zh-CN" w:bidi="ar-SA"/>
        </w:rPr>
        <w:t>24</w:t>
      </w:r>
      <w:r>
        <w:rPr>
          <w:rFonts w:ascii="Times New Roman" w:hAnsi="Times New Roman" w:eastAsia="仿宋_GB2312" w:cs="Times New Roman"/>
          <w:kern w:val="2"/>
          <w:sz w:val="32"/>
          <w:szCs w:val="32"/>
          <w:lang w:val="en-US" w:eastAsia="zh-CN" w:bidi="ar-SA"/>
        </w:rPr>
        <w:t>年，市</w:t>
      </w:r>
      <w:r>
        <w:rPr>
          <w:rFonts w:hint="eastAsia" w:ascii="Times New Roman" w:hAnsi="Times New Roman" w:eastAsia="仿宋_GB2312" w:cs="Times New Roman"/>
          <w:kern w:val="2"/>
          <w:sz w:val="32"/>
          <w:szCs w:val="32"/>
          <w:lang w:val="en-US" w:eastAsia="zh-CN" w:bidi="ar-SA"/>
        </w:rPr>
        <w:t>红十字会</w:t>
      </w:r>
      <w:r>
        <w:rPr>
          <w:rFonts w:ascii="Times New Roman" w:hAnsi="Times New Roman" w:eastAsia="仿宋_GB2312" w:cs="Times New Roman"/>
          <w:kern w:val="2"/>
          <w:sz w:val="32"/>
          <w:szCs w:val="32"/>
          <w:lang w:val="en-US" w:eastAsia="zh-CN" w:bidi="ar-SA"/>
        </w:rPr>
        <w:t>紧紧围绕部门项目预算绩效目标推进</w:t>
      </w:r>
      <w:r>
        <w:rPr>
          <w:rFonts w:hint="eastAsia" w:ascii="Times New Roman" w:hAnsi="Times New Roman" w:eastAsia="仿宋_GB2312" w:cs="Times New Roman"/>
          <w:kern w:val="2"/>
          <w:sz w:val="32"/>
          <w:szCs w:val="32"/>
          <w:lang w:val="en-US" w:eastAsia="zh-CN" w:bidi="ar-SA"/>
        </w:rPr>
        <w:t>应急</w:t>
      </w:r>
      <w:r>
        <w:rPr>
          <w:rFonts w:ascii="Times New Roman" w:hAnsi="Times New Roman" w:eastAsia="仿宋_GB2312" w:cs="Times New Roman"/>
          <w:kern w:val="2"/>
          <w:sz w:val="32"/>
          <w:szCs w:val="32"/>
          <w:lang w:val="en-US" w:eastAsia="zh-CN" w:bidi="ar-SA"/>
        </w:rPr>
        <w:t>救护培训工作，</w:t>
      </w:r>
      <w:r>
        <w:rPr>
          <w:rFonts w:hint="eastAsia" w:ascii="Times New Roman" w:hAnsi="Times New Roman" w:eastAsia="仿宋_GB2312" w:cs="Times New Roman"/>
          <w:kern w:val="2"/>
          <w:sz w:val="32"/>
          <w:szCs w:val="32"/>
          <w:lang w:val="en-US" w:eastAsia="zh-CN" w:bidi="ar-SA"/>
        </w:rPr>
        <w:t>实</w:t>
      </w:r>
      <w:r>
        <w:rPr>
          <w:rFonts w:ascii="Times New Roman" w:hAnsi="Times New Roman" w:eastAsia="仿宋_GB2312" w:cs="Times New Roman"/>
          <w:kern w:val="2"/>
          <w:sz w:val="32"/>
          <w:szCs w:val="32"/>
          <w:lang w:val="en-US" w:eastAsia="zh-CN" w:bidi="ar-SA"/>
        </w:rPr>
        <w:t>时监控项目预算执行情况，顺利完成</w:t>
      </w:r>
      <w:r>
        <w:rPr>
          <w:rFonts w:hint="eastAsia" w:ascii="Times New Roman" w:hAnsi="Times New Roman" w:eastAsia="仿宋_GB2312" w:cs="Times New Roman"/>
          <w:kern w:val="2"/>
          <w:sz w:val="32"/>
          <w:szCs w:val="32"/>
          <w:lang w:val="en-US" w:eastAsia="zh-CN" w:bidi="ar-SA"/>
        </w:rPr>
        <w:t>项目</w:t>
      </w:r>
      <w:r>
        <w:rPr>
          <w:rFonts w:ascii="Times New Roman" w:hAnsi="Times New Roman" w:eastAsia="仿宋_GB2312" w:cs="Times New Roman"/>
          <w:kern w:val="2"/>
          <w:sz w:val="32"/>
          <w:szCs w:val="32"/>
          <w:lang w:val="en-US" w:eastAsia="zh-CN" w:bidi="ar-SA"/>
        </w:rPr>
        <w:t>年度绩效目标。</w:t>
      </w:r>
    </w:p>
    <w:p w14:paraId="48423A90">
      <w:pPr>
        <w:adjustRightInd w:val="0"/>
        <w:snapToGrid w:val="0"/>
        <w:spacing w:line="600" w:lineRule="exact"/>
        <w:ind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（二）存在的问题。</w:t>
      </w:r>
    </w:p>
    <w:p w14:paraId="041AE8CB">
      <w:pPr>
        <w:adjustRightInd w:val="0"/>
        <w:snapToGrid w:val="0"/>
        <w:spacing w:line="600" w:lineRule="exact"/>
        <w:ind w:firstLine="640" w:firstLineChars="200"/>
        <w:rPr>
          <w:rFonts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zh-CN"/>
        </w:rPr>
        <w:t>无</w:t>
      </w:r>
      <w:r>
        <w:rPr>
          <w:rFonts w:ascii="Times New Roman" w:hAnsi="Times New Roman" w:eastAsia="仿宋_GB2312" w:cs="Times New Roman"/>
          <w:sz w:val="32"/>
          <w:szCs w:val="32"/>
          <w:lang w:val="zh-CN"/>
        </w:rPr>
        <w:tab/>
      </w:r>
    </w:p>
    <w:p w14:paraId="47D4E6CC">
      <w:pPr>
        <w:adjustRightInd w:val="0"/>
        <w:snapToGrid w:val="0"/>
        <w:spacing w:line="600" w:lineRule="exact"/>
        <w:ind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（三）相关建议。</w:t>
      </w:r>
    </w:p>
    <w:p w14:paraId="5FE3E7F0">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zh-CN"/>
        </w:rPr>
        <w:t>无</w:t>
      </w:r>
    </w:p>
    <w:p w14:paraId="5C340D8E">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p>
    <w:p w14:paraId="5EFA93C0">
      <w:pPr>
        <w:pStyle w:val="2"/>
        <w:rPr>
          <w:rFonts w:hint="eastAsia" w:ascii="Times New Roman" w:hAnsi="Times New Roman" w:eastAsia="仿宋_GB2312" w:cs="仿宋_GB2312"/>
          <w:b w:val="0"/>
          <w:bCs w:val="0"/>
          <w:kern w:val="0"/>
          <w:position w:val="0"/>
          <w:sz w:val="32"/>
          <w:szCs w:val="32"/>
          <w:highlight w:val="none"/>
          <w:lang w:val="en-US" w:eastAsia="zh-CN" w:bidi="ar-SA"/>
        </w:rPr>
      </w:pPr>
    </w:p>
    <w:p w14:paraId="25C64CB1">
      <w:pPr>
        <w:pStyle w:val="3"/>
        <w:rPr>
          <w:rFonts w:hint="eastAsia" w:ascii="Times New Roman" w:hAnsi="Times New Roman" w:eastAsia="仿宋_GB2312" w:cs="仿宋_GB2312"/>
          <w:b w:val="0"/>
          <w:bCs w:val="0"/>
          <w:kern w:val="0"/>
          <w:position w:val="0"/>
          <w:sz w:val="32"/>
          <w:szCs w:val="32"/>
          <w:highlight w:val="none"/>
          <w:lang w:val="en-US" w:eastAsia="zh-CN" w:bidi="ar-SA"/>
        </w:rPr>
      </w:pPr>
    </w:p>
    <w:p w14:paraId="2A8E856F">
      <w:pPr>
        <w:pStyle w:val="3"/>
        <w:rPr>
          <w:rFonts w:hint="eastAsia" w:ascii="Times New Roman" w:hAnsi="Times New Roman" w:eastAsia="仿宋_GB2312" w:cs="仿宋_GB2312"/>
          <w:b w:val="0"/>
          <w:bCs w:val="0"/>
          <w:kern w:val="0"/>
          <w:position w:val="0"/>
          <w:sz w:val="32"/>
          <w:szCs w:val="32"/>
          <w:highlight w:val="none"/>
          <w:lang w:val="en-US" w:eastAsia="zh-CN" w:bidi="ar-SA"/>
        </w:rPr>
      </w:pPr>
    </w:p>
    <w:p w14:paraId="7BAF6039">
      <w:pPr>
        <w:pStyle w:val="3"/>
        <w:rPr>
          <w:rFonts w:hint="eastAsia" w:ascii="Times New Roman" w:hAnsi="Times New Roman" w:eastAsia="仿宋_GB2312" w:cs="仿宋_GB2312"/>
          <w:b w:val="0"/>
          <w:bCs w:val="0"/>
          <w:kern w:val="0"/>
          <w:position w:val="0"/>
          <w:sz w:val="32"/>
          <w:szCs w:val="32"/>
          <w:highlight w:val="none"/>
          <w:lang w:val="en-US" w:eastAsia="zh-CN" w:bidi="ar-SA"/>
        </w:rPr>
      </w:pPr>
    </w:p>
    <w:p w14:paraId="35F08177">
      <w:pPr>
        <w:pStyle w:val="3"/>
        <w:rPr>
          <w:rFonts w:hint="eastAsia" w:ascii="Times New Roman" w:hAnsi="Times New Roman" w:eastAsia="仿宋_GB2312" w:cs="仿宋_GB2312"/>
          <w:b w:val="0"/>
          <w:bCs w:val="0"/>
          <w:kern w:val="0"/>
          <w:position w:val="0"/>
          <w:sz w:val="32"/>
          <w:szCs w:val="32"/>
          <w:highlight w:val="none"/>
          <w:lang w:val="en-US" w:eastAsia="zh-CN" w:bidi="ar-SA"/>
        </w:rPr>
      </w:pPr>
    </w:p>
    <w:p w14:paraId="36CBBE45">
      <w:pPr>
        <w:pStyle w:val="3"/>
        <w:rPr>
          <w:rFonts w:hint="eastAsia" w:ascii="Times New Roman" w:hAnsi="Times New Roman" w:eastAsia="仿宋_GB2312" w:cs="仿宋_GB2312"/>
          <w:b w:val="0"/>
          <w:bCs w:val="0"/>
          <w:kern w:val="0"/>
          <w:position w:val="0"/>
          <w:sz w:val="32"/>
          <w:szCs w:val="32"/>
          <w:highlight w:val="none"/>
          <w:lang w:val="en-US" w:eastAsia="zh-CN" w:bidi="ar-SA"/>
        </w:rPr>
      </w:pPr>
    </w:p>
    <w:p w14:paraId="48D7E14D">
      <w:pPr>
        <w:pStyle w:val="3"/>
        <w:rPr>
          <w:rFonts w:hint="eastAsia" w:ascii="Times New Roman" w:hAnsi="Times New Roman" w:eastAsia="仿宋_GB2312" w:cs="仿宋_GB2312"/>
          <w:b w:val="0"/>
          <w:bCs w:val="0"/>
          <w:kern w:val="0"/>
          <w:position w:val="0"/>
          <w:sz w:val="32"/>
          <w:szCs w:val="32"/>
          <w:highlight w:val="none"/>
          <w:lang w:val="en-US" w:eastAsia="zh-CN" w:bidi="ar-SA"/>
        </w:rPr>
      </w:pPr>
    </w:p>
    <w:p w14:paraId="69148E5D">
      <w:pPr>
        <w:pStyle w:val="3"/>
        <w:rPr>
          <w:rFonts w:hint="eastAsia" w:ascii="Times New Roman" w:hAnsi="Times New Roman" w:eastAsia="仿宋_GB2312" w:cs="仿宋_GB2312"/>
          <w:b w:val="0"/>
          <w:bCs w:val="0"/>
          <w:kern w:val="0"/>
          <w:position w:val="0"/>
          <w:sz w:val="32"/>
          <w:szCs w:val="32"/>
          <w:highlight w:val="none"/>
          <w:lang w:val="en-US" w:eastAsia="zh-CN" w:bidi="ar-SA"/>
        </w:rPr>
      </w:pPr>
    </w:p>
    <w:p w14:paraId="141F88BA">
      <w:pPr>
        <w:pStyle w:val="3"/>
        <w:rPr>
          <w:rFonts w:hint="eastAsia" w:ascii="Times New Roman" w:hAnsi="Times New Roman" w:eastAsia="仿宋_GB2312" w:cs="仿宋_GB2312"/>
          <w:b w:val="0"/>
          <w:bCs w:val="0"/>
          <w:kern w:val="0"/>
          <w:position w:val="0"/>
          <w:sz w:val="32"/>
          <w:szCs w:val="32"/>
          <w:highlight w:val="none"/>
          <w:lang w:val="en-US" w:eastAsia="zh-CN" w:bidi="ar-SA"/>
        </w:rPr>
      </w:pPr>
    </w:p>
    <w:p w14:paraId="7682A53D">
      <w:pPr>
        <w:pStyle w:val="3"/>
        <w:rPr>
          <w:rFonts w:hint="eastAsia" w:ascii="Times New Roman" w:hAnsi="Times New Roman" w:eastAsia="仿宋_GB2312" w:cs="仿宋_GB2312"/>
          <w:b w:val="0"/>
          <w:bCs w:val="0"/>
          <w:kern w:val="0"/>
          <w:position w:val="0"/>
          <w:sz w:val="32"/>
          <w:szCs w:val="32"/>
          <w:highlight w:val="none"/>
          <w:lang w:val="en-US" w:eastAsia="zh-CN" w:bidi="ar-SA"/>
        </w:rPr>
      </w:pPr>
    </w:p>
    <w:p w14:paraId="346520F5">
      <w:pPr>
        <w:pStyle w:val="3"/>
        <w:rPr>
          <w:rFonts w:hint="eastAsia" w:ascii="Times New Roman" w:hAnsi="Times New Roman" w:eastAsia="仿宋_GB2312" w:cs="仿宋_GB2312"/>
          <w:b w:val="0"/>
          <w:bCs w:val="0"/>
          <w:kern w:val="0"/>
          <w:position w:val="0"/>
          <w:sz w:val="32"/>
          <w:szCs w:val="32"/>
          <w:highlight w:val="none"/>
          <w:lang w:val="en-US" w:eastAsia="zh-CN" w:bidi="ar-SA"/>
        </w:rPr>
      </w:pPr>
    </w:p>
    <w:p w14:paraId="7001AF24">
      <w:pPr>
        <w:pStyle w:val="3"/>
        <w:rPr>
          <w:rFonts w:hint="eastAsia" w:ascii="Times New Roman" w:hAnsi="Times New Roman" w:eastAsia="仿宋_GB2312" w:cs="仿宋_GB2312"/>
          <w:b w:val="0"/>
          <w:bCs w:val="0"/>
          <w:kern w:val="0"/>
          <w:position w:val="0"/>
          <w:sz w:val="32"/>
          <w:szCs w:val="32"/>
          <w:highlight w:val="none"/>
          <w:lang w:val="en-US" w:eastAsia="zh-CN" w:bidi="ar-SA"/>
        </w:rPr>
      </w:pPr>
    </w:p>
    <w:p w14:paraId="07383F59">
      <w:pPr>
        <w:widowControl w:val="0"/>
        <w:spacing w:line="600" w:lineRule="exact"/>
        <w:ind w:firstLine="880" w:firstLineChars="200"/>
        <w:jc w:val="center"/>
        <w:rPr>
          <w:rFonts w:hint="eastAsia" w:ascii="Times New Roman" w:hAnsi="Times New Roman" w:eastAsia="方正小标宋简体" w:cs="方正小标宋简体"/>
          <w:color w:val="auto"/>
          <w:kern w:val="2"/>
          <w:sz w:val="44"/>
          <w:szCs w:val="44"/>
          <w:highlight w:val="none"/>
          <w:lang w:val="en-US" w:eastAsia="zh-CN"/>
        </w:rPr>
      </w:pPr>
      <w:r>
        <w:rPr>
          <w:rFonts w:hint="eastAsia" w:ascii="Times New Roman" w:hAnsi="Times New Roman" w:eastAsia="方正小标宋简体" w:cs="方正小标宋简体"/>
          <w:color w:val="auto"/>
          <w:kern w:val="2"/>
          <w:sz w:val="44"/>
          <w:szCs w:val="44"/>
          <w:highlight w:val="none"/>
          <w:lang w:val="en-US" w:eastAsia="zh-CN"/>
        </w:rPr>
        <w:t>专项预算项目绩效评价报告</w:t>
      </w:r>
    </w:p>
    <w:p w14:paraId="3B8BD1E4">
      <w:pPr>
        <w:widowControl w:val="0"/>
        <w:spacing w:line="600" w:lineRule="exact"/>
        <w:ind w:firstLine="720" w:firstLineChars="200"/>
        <w:jc w:val="center"/>
        <w:rPr>
          <w:rFonts w:hint="eastAsia" w:ascii="方正大标宋简体" w:hAnsi="方正大标宋简体" w:eastAsia="方正大标宋简体" w:cs="方正大标宋简体"/>
          <w:kern w:val="2"/>
          <w:sz w:val="40"/>
          <w:szCs w:val="40"/>
          <w:lang w:val="en-US" w:eastAsia="zh-CN" w:bidi="ar-SA"/>
        </w:rPr>
      </w:pPr>
      <w:r>
        <w:rPr>
          <w:rFonts w:hint="eastAsia" w:ascii="方正小标宋_GBK" w:hAnsi="黑体" w:eastAsia="方正小标宋_GBK" w:cs="黑体"/>
          <w:kern w:val="2"/>
          <w:sz w:val="36"/>
          <w:szCs w:val="36"/>
          <w:lang w:val="en-US" w:eastAsia="zh-CN" w:bidi="ar-SA"/>
        </w:rPr>
        <w:t>（办公室搬迁）</w:t>
      </w:r>
    </w:p>
    <w:p w14:paraId="569A6DCC">
      <w:pPr>
        <w:widowControl w:val="0"/>
        <w:spacing w:line="600" w:lineRule="exact"/>
        <w:ind w:firstLine="640"/>
        <w:jc w:val="center"/>
        <w:rPr>
          <w:rFonts w:ascii="Times New Roman" w:hAnsi="Times New Roman" w:eastAsia="宋体" w:cs="Times New Roman"/>
          <w:color w:val="auto"/>
          <w:kern w:val="2"/>
          <w:sz w:val="32"/>
          <w:szCs w:val="32"/>
          <w:lang w:val="zh-CN" w:eastAsia="zh-CN" w:bidi="ar-SA"/>
        </w:rPr>
      </w:pPr>
    </w:p>
    <w:p w14:paraId="19AC15E7">
      <w:pPr>
        <w:adjustRightInd w:val="0"/>
        <w:snapToGrid w:val="0"/>
        <w:spacing w:line="600" w:lineRule="exact"/>
        <w:ind w:firstLine="720"/>
        <w:rPr>
          <w:rFonts w:ascii="Times New Roman" w:hAnsi="Times New Roman" w:eastAsia="黑体" w:cs="Times New Roman"/>
          <w:sz w:val="32"/>
          <w:szCs w:val="32"/>
          <w:lang w:val="zh-CN"/>
        </w:rPr>
      </w:pPr>
      <w:r>
        <w:rPr>
          <w:rFonts w:ascii="Times New Roman" w:hAnsi="Times New Roman" w:eastAsia="黑体" w:cs="Times New Roman"/>
          <w:sz w:val="32"/>
          <w:szCs w:val="32"/>
        </w:rPr>
        <w:t>一、</w:t>
      </w:r>
      <w:r>
        <w:rPr>
          <w:rFonts w:ascii="Times New Roman" w:hAnsi="Times New Roman" w:eastAsia="黑体" w:cs="Times New Roman"/>
          <w:sz w:val="32"/>
          <w:szCs w:val="32"/>
          <w:lang w:val="zh-CN"/>
        </w:rPr>
        <w:t>项目概况</w:t>
      </w:r>
    </w:p>
    <w:p w14:paraId="4379AE1B">
      <w:pPr>
        <w:adjustRightInd w:val="0"/>
        <w:snapToGrid w:val="0"/>
        <w:spacing w:line="600" w:lineRule="exact"/>
        <w:ind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（一）项目基本情况。</w:t>
      </w:r>
    </w:p>
    <w:p w14:paraId="4DB4E350">
      <w:pPr>
        <w:adjustRightInd w:val="0"/>
        <w:snapToGrid w:val="0"/>
        <w:spacing w:line="600" w:lineRule="exact"/>
        <w:ind w:firstLine="720"/>
        <w:rPr>
          <w:rFonts w:ascii="Times New Roman" w:hAnsi="Times New Roman" w:eastAsia="仿宋_GB2312" w:cs="Times New Roman"/>
          <w:sz w:val="32"/>
          <w:szCs w:val="32"/>
          <w:lang w:val="zh-CN"/>
        </w:rPr>
      </w:pPr>
      <w:r>
        <w:rPr>
          <w:rFonts w:ascii="Times New Roman" w:hAnsi="Times New Roman" w:eastAsia="仿宋_GB2312" w:cs="Times New Roman"/>
          <w:sz w:val="32"/>
          <w:szCs w:val="32"/>
          <w:lang w:val="zh-CN"/>
        </w:rPr>
        <w:t>1．</w:t>
      </w:r>
      <w:r>
        <w:rPr>
          <w:rFonts w:hint="eastAsia" w:ascii="Times New Roman" w:hAnsi="Times New Roman" w:eastAsia="仿宋_GB2312" w:cs="Times New Roman"/>
          <w:sz w:val="32"/>
          <w:szCs w:val="32"/>
          <w:lang w:val="zh-CN"/>
        </w:rPr>
        <w:t>主要</w:t>
      </w:r>
      <w:r>
        <w:rPr>
          <w:rFonts w:ascii="Times New Roman" w:hAnsi="Times New Roman" w:eastAsia="仿宋_GB2312" w:cs="Times New Roman"/>
          <w:sz w:val="32"/>
          <w:szCs w:val="32"/>
          <w:lang w:val="zh-CN"/>
        </w:rPr>
        <w:t>职能</w:t>
      </w:r>
    </w:p>
    <w:p w14:paraId="0377DE77">
      <w:pPr>
        <w:adjustRightInd w:val="0"/>
        <w:snapToGrid w:val="0"/>
        <w:spacing w:line="600" w:lineRule="exact"/>
        <w:ind w:firstLine="720"/>
        <w:rPr>
          <w:rFonts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zh-CN"/>
        </w:rPr>
        <w:t>确保市红十字会办公用品、库房物品全部搬迁，搬迁后各项工作正常开展</w:t>
      </w:r>
      <w:r>
        <w:rPr>
          <w:rFonts w:ascii="Times New Roman" w:hAnsi="Times New Roman" w:eastAsia="仿宋_GB2312" w:cs="Times New Roman"/>
          <w:sz w:val="32"/>
          <w:szCs w:val="32"/>
          <w:lang w:val="zh-CN"/>
        </w:rPr>
        <w:t>。</w:t>
      </w:r>
    </w:p>
    <w:p w14:paraId="5B7CCB91">
      <w:pPr>
        <w:numPr>
          <w:ilvl w:val="0"/>
          <w:numId w:val="9"/>
        </w:numPr>
        <w:adjustRightInd w:val="0"/>
        <w:snapToGrid w:val="0"/>
        <w:spacing w:line="600" w:lineRule="exact"/>
        <w:ind w:left="0" w:firstLine="720"/>
        <w:rPr>
          <w:rFonts w:ascii="Times New Roman" w:hAnsi="Times New Roman" w:eastAsia="仿宋_GB2312" w:cs="Times New Roman"/>
          <w:sz w:val="32"/>
          <w:szCs w:val="32"/>
          <w:lang w:val="zh-CN"/>
        </w:rPr>
      </w:pPr>
      <w:r>
        <w:rPr>
          <w:rFonts w:ascii="Times New Roman" w:hAnsi="Times New Roman" w:eastAsia="仿宋_GB2312" w:cs="Times New Roman"/>
          <w:sz w:val="32"/>
          <w:szCs w:val="32"/>
          <w:lang w:val="zh-CN"/>
        </w:rPr>
        <w:t>项目立项、资金申报的依据</w:t>
      </w:r>
    </w:p>
    <w:p w14:paraId="0FB25820">
      <w:pPr>
        <w:adjustRightInd w:val="0"/>
        <w:snapToGrid w:val="0"/>
        <w:spacing w:line="600" w:lineRule="exact"/>
        <w:rPr>
          <w:rFonts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根据办公场所实际安排情况</w:t>
      </w:r>
      <w:r>
        <w:rPr>
          <w:rFonts w:ascii="Times New Roman" w:hAnsi="Times New Roman" w:eastAsia="仿宋_GB2312" w:cs="Times New Roman"/>
          <w:sz w:val="32"/>
          <w:szCs w:val="32"/>
          <w:lang w:val="en-US" w:eastAsia="zh-CN"/>
        </w:rPr>
        <w:t>。</w:t>
      </w:r>
    </w:p>
    <w:p w14:paraId="04FA5CCE">
      <w:pPr>
        <w:numPr>
          <w:ilvl w:val="0"/>
          <w:numId w:val="9"/>
        </w:numPr>
        <w:adjustRightInd w:val="0"/>
        <w:snapToGrid w:val="0"/>
        <w:spacing w:line="600" w:lineRule="exact"/>
        <w:ind w:left="0" w:firstLine="720"/>
        <w:rPr>
          <w:rFonts w:ascii="Times New Roman" w:hAnsi="Times New Roman" w:eastAsia="仿宋_GB2312" w:cs="Times New Roman"/>
          <w:sz w:val="32"/>
          <w:szCs w:val="32"/>
          <w:lang w:val="zh-CN"/>
        </w:rPr>
      </w:pPr>
      <w:r>
        <w:rPr>
          <w:rFonts w:ascii="Times New Roman" w:hAnsi="Times New Roman" w:eastAsia="仿宋_GB2312" w:cs="Times New Roman"/>
          <w:sz w:val="32"/>
          <w:szCs w:val="32"/>
          <w:lang w:val="zh-CN"/>
        </w:rPr>
        <w:t>资金管理办法制定情况，资金支持具体项目的条件、范围与支持方式概况</w:t>
      </w:r>
    </w:p>
    <w:p w14:paraId="4DAC6983">
      <w:pPr>
        <w:adjustRightInd w:val="0"/>
        <w:snapToGrid w:val="0"/>
        <w:spacing w:line="600" w:lineRule="exact"/>
        <w:ind w:left="720"/>
        <w:rPr>
          <w:rFonts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zh-CN"/>
        </w:rPr>
        <w:t>授权支付</w:t>
      </w:r>
      <w:r>
        <w:rPr>
          <w:rFonts w:ascii="Times New Roman" w:hAnsi="Times New Roman" w:eastAsia="仿宋_GB2312" w:cs="Times New Roman"/>
          <w:sz w:val="32"/>
          <w:szCs w:val="32"/>
          <w:lang w:val="zh-CN"/>
        </w:rPr>
        <w:t>。</w:t>
      </w:r>
    </w:p>
    <w:p w14:paraId="60ADBFB4">
      <w:pPr>
        <w:numPr>
          <w:ilvl w:val="0"/>
          <w:numId w:val="9"/>
        </w:numPr>
        <w:adjustRightInd w:val="0"/>
        <w:snapToGrid w:val="0"/>
        <w:spacing w:line="600" w:lineRule="exact"/>
        <w:ind w:left="0" w:firstLine="720"/>
        <w:rPr>
          <w:rFonts w:ascii="Times New Roman" w:hAnsi="Times New Roman" w:eastAsia="仿宋_GB2312" w:cs="Times New Roman"/>
          <w:sz w:val="32"/>
          <w:szCs w:val="32"/>
          <w:lang w:val="zh-CN"/>
        </w:rPr>
      </w:pPr>
      <w:r>
        <w:rPr>
          <w:rFonts w:ascii="Times New Roman" w:hAnsi="Times New Roman" w:eastAsia="仿宋_GB2312" w:cs="Times New Roman"/>
          <w:sz w:val="32"/>
          <w:szCs w:val="32"/>
          <w:lang w:val="zh-CN"/>
        </w:rPr>
        <w:t>资金分配的原则及考虑因素</w:t>
      </w:r>
    </w:p>
    <w:p w14:paraId="6A218DDF">
      <w:pPr>
        <w:adjustRightInd w:val="0"/>
        <w:snapToGrid w:val="0"/>
        <w:spacing w:line="600" w:lineRule="exact"/>
        <w:ind w:left="720"/>
        <w:rPr>
          <w:rFonts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zh-CN"/>
        </w:rPr>
        <w:t>无下属单位</w:t>
      </w:r>
      <w:r>
        <w:rPr>
          <w:rFonts w:ascii="Times New Roman" w:hAnsi="Times New Roman" w:eastAsia="仿宋_GB2312" w:cs="Times New Roman"/>
          <w:sz w:val="32"/>
          <w:szCs w:val="32"/>
          <w:lang w:val="zh-CN"/>
        </w:rPr>
        <w:t>。</w:t>
      </w:r>
    </w:p>
    <w:p w14:paraId="4666CF3D">
      <w:pPr>
        <w:adjustRightInd w:val="0"/>
        <w:snapToGrid w:val="0"/>
        <w:spacing w:line="600" w:lineRule="exact"/>
        <w:ind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（二）项目绩效目标。</w:t>
      </w:r>
    </w:p>
    <w:p w14:paraId="3F1AAC22">
      <w:pPr>
        <w:adjustRightInd w:val="0"/>
        <w:snapToGrid w:val="0"/>
        <w:spacing w:line="600" w:lineRule="exact"/>
        <w:ind w:firstLine="720"/>
        <w:rPr>
          <w:rFonts w:ascii="Times New Roman" w:hAnsi="Times New Roman" w:eastAsia="仿宋_GB2312" w:cs="Times New Roman"/>
          <w:sz w:val="32"/>
          <w:szCs w:val="32"/>
          <w:lang w:val="zh-CN"/>
        </w:rPr>
      </w:pPr>
      <w:r>
        <w:rPr>
          <w:rFonts w:ascii="Times New Roman" w:hAnsi="Times New Roman" w:eastAsia="仿宋_GB2312" w:cs="Times New Roman"/>
          <w:sz w:val="32"/>
          <w:szCs w:val="32"/>
          <w:lang w:val="zh-CN"/>
        </w:rPr>
        <w:t>1. 项目主要内容。</w:t>
      </w:r>
    </w:p>
    <w:p w14:paraId="6727D6CE">
      <w:pPr>
        <w:adjustRightInd w:val="0"/>
        <w:snapToGrid w:val="0"/>
        <w:spacing w:line="600" w:lineRule="exact"/>
        <w:ind w:firstLine="720"/>
        <w:rPr>
          <w:rFonts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zh-CN"/>
        </w:rPr>
        <w:t>完成市红十字会办公用品、库房物品全部搬迁，搬迁后各项工作正常开展。</w:t>
      </w:r>
    </w:p>
    <w:p w14:paraId="75D18AF0">
      <w:pPr>
        <w:numPr>
          <w:ilvl w:val="0"/>
          <w:numId w:val="10"/>
        </w:numPr>
        <w:adjustRightInd w:val="0"/>
        <w:snapToGrid w:val="0"/>
        <w:spacing w:line="600" w:lineRule="exact"/>
        <w:ind w:left="0" w:firstLine="720"/>
        <w:rPr>
          <w:rFonts w:ascii="Times New Roman" w:hAnsi="Times New Roman" w:eastAsia="仿宋_GB2312" w:cs="Times New Roman"/>
          <w:sz w:val="32"/>
          <w:szCs w:val="32"/>
          <w:lang w:val="zh-CN"/>
        </w:rPr>
      </w:pPr>
      <w:r>
        <w:rPr>
          <w:rFonts w:ascii="Times New Roman" w:hAnsi="Times New Roman" w:eastAsia="仿宋_GB2312" w:cs="Times New Roman"/>
          <w:sz w:val="32"/>
          <w:szCs w:val="32"/>
          <w:lang w:val="zh-CN"/>
        </w:rPr>
        <w:t>项目应实现的具体绩效目标，包括目标的量化、细化情况以及项目实施进度计划等。</w:t>
      </w:r>
    </w:p>
    <w:p w14:paraId="1022AC16">
      <w:pPr>
        <w:adjustRightInd w:val="0"/>
        <w:snapToGrid w:val="0"/>
        <w:spacing w:line="600" w:lineRule="exact"/>
        <w:rPr>
          <w:rFonts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项目预算2.52万元，确保在预算范围内</w:t>
      </w:r>
      <w:r>
        <w:rPr>
          <w:rFonts w:hint="eastAsia" w:ascii="Times New Roman" w:hAnsi="Times New Roman" w:eastAsia="仿宋_GB2312" w:cs="Times New Roman"/>
          <w:sz w:val="32"/>
          <w:szCs w:val="32"/>
          <w:lang w:val="zh-CN"/>
        </w:rPr>
        <w:t>完成市红十字会办公用品、库房物品全部搬迁，搬迁后各项工作正常开展。</w:t>
      </w:r>
    </w:p>
    <w:p w14:paraId="3683F0F2">
      <w:pPr>
        <w:numPr>
          <w:ilvl w:val="0"/>
          <w:numId w:val="10"/>
        </w:numPr>
        <w:adjustRightInd w:val="0"/>
        <w:snapToGrid w:val="0"/>
        <w:spacing w:line="600" w:lineRule="exact"/>
        <w:ind w:left="0" w:firstLine="720"/>
        <w:rPr>
          <w:rFonts w:ascii="Times New Roman" w:hAnsi="Times New Roman" w:eastAsia="仿宋_GB2312" w:cs="Times New Roman"/>
          <w:sz w:val="32"/>
          <w:szCs w:val="32"/>
          <w:lang w:val="zh-CN"/>
        </w:rPr>
      </w:pPr>
      <w:r>
        <w:rPr>
          <w:rFonts w:ascii="Times New Roman" w:hAnsi="Times New Roman" w:eastAsia="仿宋_GB2312" w:cs="Times New Roman"/>
          <w:sz w:val="32"/>
          <w:szCs w:val="32"/>
          <w:lang w:val="zh-CN"/>
        </w:rPr>
        <w:t>分析评价申报内容是否与实际相符，申报目标是否合理可行。</w:t>
      </w:r>
    </w:p>
    <w:p w14:paraId="766BA138">
      <w:pPr>
        <w:adjustRightInd w:val="0"/>
        <w:snapToGrid w:val="0"/>
        <w:spacing w:line="600" w:lineRule="exact"/>
        <w:ind w:left="720"/>
        <w:rPr>
          <w:rFonts w:ascii="Times New Roman" w:hAnsi="Times New Roman" w:eastAsia="仿宋_GB2312" w:cs="Times New Roman"/>
          <w:sz w:val="32"/>
          <w:szCs w:val="32"/>
          <w:lang w:val="zh-CN"/>
        </w:rPr>
      </w:pPr>
      <w:r>
        <w:rPr>
          <w:rFonts w:ascii="Times New Roman" w:hAnsi="Times New Roman" w:eastAsia="仿宋_GB2312" w:cs="Times New Roman"/>
          <w:kern w:val="0"/>
          <w:sz w:val="32"/>
          <w:szCs w:val="32"/>
        </w:rPr>
        <w:t>内容与实际相符</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 xml:space="preserve"> 申报目标合理可行</w:t>
      </w:r>
      <w:r>
        <w:rPr>
          <w:rFonts w:hint="eastAsia" w:ascii="Times New Roman" w:hAnsi="Times New Roman" w:eastAsia="仿宋_GB2312" w:cs="Times New Roman"/>
          <w:kern w:val="0"/>
          <w:sz w:val="32"/>
          <w:szCs w:val="32"/>
          <w:lang w:eastAsia="zh-CN"/>
        </w:rPr>
        <w:t>。</w:t>
      </w:r>
    </w:p>
    <w:p w14:paraId="561CF2B3">
      <w:pPr>
        <w:adjustRightInd w:val="0"/>
        <w:snapToGrid w:val="0"/>
        <w:spacing w:line="600" w:lineRule="exact"/>
        <w:ind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（三）项目自评步骤及方法。</w:t>
      </w:r>
    </w:p>
    <w:p w14:paraId="5DF07448">
      <w:pPr>
        <w:adjustRightInd w:val="0"/>
        <w:snapToGrid w:val="0"/>
        <w:spacing w:line="600" w:lineRule="exact"/>
        <w:ind w:firstLine="720"/>
        <w:rPr>
          <w:rFonts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zh-CN"/>
        </w:rPr>
        <w:t>统计办公家具、物品搬迁情况，后续工作能否顺利开展及预算执行情况</w:t>
      </w:r>
      <w:r>
        <w:rPr>
          <w:rFonts w:ascii="Times New Roman" w:hAnsi="Times New Roman" w:eastAsia="仿宋_GB2312" w:cs="Times New Roman"/>
          <w:sz w:val="32"/>
          <w:szCs w:val="32"/>
          <w:lang w:val="zh-CN"/>
        </w:rPr>
        <w:t>。</w:t>
      </w:r>
    </w:p>
    <w:p w14:paraId="0CE46E88">
      <w:pPr>
        <w:adjustRightInd w:val="0"/>
        <w:snapToGrid w:val="0"/>
        <w:spacing w:line="600" w:lineRule="exact"/>
        <w:ind w:firstLine="720"/>
        <w:rPr>
          <w:rFonts w:ascii="Times New Roman" w:hAnsi="Times New Roman" w:eastAsia="黑体" w:cs="Times New Roman"/>
          <w:sz w:val="32"/>
          <w:szCs w:val="32"/>
        </w:rPr>
      </w:pPr>
      <w:r>
        <w:rPr>
          <w:rFonts w:ascii="Times New Roman" w:hAnsi="Times New Roman" w:eastAsia="黑体" w:cs="Times New Roman"/>
          <w:sz w:val="32"/>
          <w:szCs w:val="32"/>
        </w:rPr>
        <w:t>二、项目资金申报及使用情况</w:t>
      </w:r>
    </w:p>
    <w:p w14:paraId="765C810E">
      <w:pPr>
        <w:adjustRightInd w:val="0"/>
        <w:snapToGrid w:val="0"/>
        <w:spacing w:line="600" w:lineRule="exact"/>
        <w:ind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（一）项目资金申报及批复情况。</w:t>
      </w:r>
    </w:p>
    <w:p w14:paraId="2E59A478">
      <w:pPr>
        <w:adjustRightInd w:val="0"/>
        <w:snapToGrid w:val="0"/>
        <w:spacing w:line="600" w:lineRule="exact"/>
        <w:ind w:firstLine="720"/>
        <w:rPr>
          <w:rFonts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zh-CN"/>
        </w:rPr>
        <w:t>预算项目资金</w:t>
      </w:r>
      <w:r>
        <w:rPr>
          <w:rFonts w:hint="eastAsia" w:ascii="Times New Roman" w:hAnsi="Times New Roman" w:eastAsia="仿宋_GB2312" w:cs="Times New Roman"/>
          <w:sz w:val="32"/>
          <w:szCs w:val="32"/>
          <w:lang w:val="en-US" w:eastAsia="zh-CN"/>
        </w:rPr>
        <w:t>2.52万元，财政下达2.52万元</w:t>
      </w:r>
      <w:r>
        <w:rPr>
          <w:rFonts w:ascii="Times New Roman" w:hAnsi="Times New Roman" w:eastAsia="仿宋_GB2312" w:cs="Times New Roman"/>
          <w:sz w:val="32"/>
          <w:szCs w:val="32"/>
          <w:lang w:val="zh-CN"/>
        </w:rPr>
        <w:t>。</w:t>
      </w:r>
    </w:p>
    <w:p w14:paraId="3C04F02D">
      <w:pPr>
        <w:adjustRightInd w:val="0"/>
        <w:snapToGrid w:val="0"/>
        <w:spacing w:line="600" w:lineRule="exact"/>
        <w:ind w:firstLine="720"/>
        <w:rPr>
          <w:rFonts w:ascii="Times New Roman" w:hAnsi="Times New Roman" w:eastAsia="仿宋_GB2312" w:cs="Times New Roman"/>
          <w:sz w:val="32"/>
          <w:szCs w:val="32"/>
          <w:lang w:val="zh-CN"/>
        </w:rPr>
      </w:pPr>
      <w:r>
        <w:rPr>
          <w:rFonts w:ascii="Times New Roman" w:hAnsi="Times New Roman" w:eastAsia="楷体_GB2312" w:cs="Times New Roman"/>
          <w:b/>
          <w:sz w:val="32"/>
          <w:szCs w:val="32"/>
          <w:lang w:val="zh-CN"/>
        </w:rPr>
        <w:t>（二）资金计划、到位及使用情况（可用表格形式反映）。</w:t>
      </w:r>
    </w:p>
    <w:p w14:paraId="716ABED5">
      <w:pPr>
        <w:adjustRightInd w:val="0"/>
        <w:snapToGrid w:val="0"/>
        <w:spacing w:line="600" w:lineRule="exact"/>
        <w:ind w:firstLine="720"/>
        <w:rPr>
          <w:rFonts w:ascii="Times New Roman" w:hAnsi="Times New Roman" w:eastAsia="楷体_GB2312" w:cs="Times New Roman"/>
          <w:sz w:val="32"/>
          <w:szCs w:val="32"/>
          <w:lang w:val="zh-CN"/>
        </w:rPr>
      </w:pPr>
      <w:r>
        <w:rPr>
          <w:rFonts w:ascii="Times New Roman" w:hAnsi="Times New Roman" w:eastAsia="楷体_GB2312" w:cs="Times New Roman"/>
          <w:sz w:val="32"/>
          <w:szCs w:val="32"/>
          <w:lang w:val="zh-CN"/>
        </w:rPr>
        <w:t>1．资金计划。</w:t>
      </w:r>
    </w:p>
    <w:p w14:paraId="29BA5AFB">
      <w:pPr>
        <w:adjustRightInd w:val="0"/>
        <w:snapToGrid w:val="0"/>
        <w:spacing w:line="600" w:lineRule="exact"/>
        <w:ind w:firstLine="720"/>
        <w:rPr>
          <w:rFonts w:ascii="Times New Roman" w:hAnsi="Times New Roman" w:eastAsia="仿宋_GB2312" w:cs="Times New Roman"/>
          <w:sz w:val="32"/>
          <w:szCs w:val="32"/>
          <w:lang w:val="zh-CN"/>
        </w:rPr>
      </w:pPr>
      <w:r>
        <w:rPr>
          <w:rFonts w:hint="eastAsia" w:ascii="Times New Roman" w:hAnsi="Times New Roman" w:eastAsia="楷体_GB2312" w:cs="Times New Roman"/>
          <w:sz w:val="32"/>
          <w:szCs w:val="32"/>
          <w:lang w:val="zh-CN"/>
        </w:rPr>
        <w:t>资金计划</w:t>
      </w:r>
      <w:r>
        <w:rPr>
          <w:rFonts w:hint="eastAsia" w:ascii="Times New Roman" w:hAnsi="Times New Roman" w:eastAsia="楷体_GB2312" w:cs="Times New Roman"/>
          <w:sz w:val="32"/>
          <w:szCs w:val="32"/>
          <w:lang w:val="en-US" w:eastAsia="zh-CN"/>
        </w:rPr>
        <w:t>2.52万元</w:t>
      </w:r>
      <w:r>
        <w:rPr>
          <w:rFonts w:ascii="Times New Roman" w:hAnsi="Times New Roman" w:eastAsia="仿宋_GB2312" w:cs="Times New Roman"/>
          <w:sz w:val="32"/>
          <w:szCs w:val="32"/>
          <w:lang w:val="zh-CN"/>
        </w:rPr>
        <w:t>。</w:t>
      </w:r>
    </w:p>
    <w:p w14:paraId="1534225E">
      <w:pPr>
        <w:numPr>
          <w:ilvl w:val="0"/>
          <w:numId w:val="11"/>
        </w:numPr>
        <w:adjustRightInd w:val="0"/>
        <w:snapToGrid w:val="0"/>
        <w:spacing w:line="600" w:lineRule="exact"/>
        <w:ind w:left="0" w:firstLine="720"/>
        <w:rPr>
          <w:rFonts w:ascii="Times New Roman" w:hAnsi="Times New Roman" w:eastAsia="仿宋_GB2312" w:cs="Times New Roman"/>
          <w:sz w:val="32"/>
          <w:szCs w:val="32"/>
          <w:lang w:val="zh-CN"/>
        </w:rPr>
      </w:pPr>
      <w:r>
        <w:rPr>
          <w:rFonts w:ascii="Times New Roman" w:hAnsi="Times New Roman" w:eastAsia="楷体_GB2312" w:cs="Times New Roman"/>
          <w:sz w:val="32"/>
          <w:szCs w:val="32"/>
          <w:lang w:val="zh-CN"/>
        </w:rPr>
        <w:t>资金到位</w:t>
      </w:r>
      <w:r>
        <w:rPr>
          <w:rFonts w:ascii="Times New Roman" w:hAnsi="Times New Roman" w:eastAsia="仿宋_GB2312" w:cs="Times New Roman"/>
          <w:sz w:val="32"/>
          <w:szCs w:val="32"/>
          <w:lang w:val="zh-CN"/>
        </w:rPr>
        <w:t>。</w:t>
      </w:r>
    </w:p>
    <w:p w14:paraId="53FC4F0A">
      <w:pPr>
        <w:adjustRightInd w:val="0"/>
        <w:snapToGrid w:val="0"/>
        <w:spacing w:line="600" w:lineRule="exact"/>
        <w:ind w:firstLine="720"/>
        <w:rPr>
          <w:rFonts w:ascii="Times New Roman" w:hAnsi="Times New Roman" w:eastAsia="仿宋_GB2312" w:cs="Times New Roman"/>
          <w:sz w:val="32"/>
          <w:szCs w:val="32"/>
          <w:lang w:val="en-US" w:eastAsia="zh-CN"/>
        </w:rPr>
      </w:pPr>
      <w:r>
        <w:rPr>
          <w:rFonts w:hint="eastAsia" w:ascii="Times New Roman" w:hAnsi="Times New Roman" w:eastAsia="楷体_GB2312" w:cs="Times New Roman"/>
          <w:sz w:val="32"/>
          <w:szCs w:val="32"/>
          <w:lang w:val="zh-CN"/>
        </w:rPr>
        <w:t>资金到位</w:t>
      </w:r>
      <w:r>
        <w:rPr>
          <w:rFonts w:hint="eastAsia" w:ascii="Times New Roman" w:hAnsi="Times New Roman" w:eastAsia="楷体_GB2312" w:cs="Times New Roman"/>
          <w:sz w:val="32"/>
          <w:szCs w:val="32"/>
          <w:lang w:val="en-US" w:eastAsia="zh-CN"/>
        </w:rPr>
        <w:t>2.52万元</w:t>
      </w:r>
      <w:r>
        <w:rPr>
          <w:rFonts w:ascii="Times New Roman" w:hAnsi="Times New Roman" w:eastAsia="仿宋_GB2312" w:cs="Times New Roman"/>
          <w:sz w:val="32"/>
          <w:szCs w:val="32"/>
          <w:lang w:val="zh-CN"/>
        </w:rPr>
        <w:t>。</w:t>
      </w:r>
    </w:p>
    <w:p w14:paraId="366E8A0D">
      <w:pPr>
        <w:numPr>
          <w:ilvl w:val="0"/>
          <w:numId w:val="11"/>
        </w:numPr>
        <w:adjustRightInd w:val="0"/>
        <w:snapToGrid w:val="0"/>
        <w:spacing w:line="600" w:lineRule="exact"/>
        <w:ind w:left="0" w:firstLine="720"/>
        <w:rPr>
          <w:rFonts w:ascii="Times New Roman" w:hAnsi="Times New Roman" w:eastAsia="楷体_GB2312" w:cs="Times New Roman"/>
          <w:sz w:val="32"/>
          <w:szCs w:val="32"/>
          <w:lang w:val="zh-CN"/>
        </w:rPr>
      </w:pPr>
      <w:r>
        <w:rPr>
          <w:rFonts w:ascii="Times New Roman" w:hAnsi="Times New Roman" w:eastAsia="楷体_GB2312" w:cs="Times New Roman"/>
          <w:sz w:val="32"/>
          <w:szCs w:val="32"/>
          <w:lang w:val="zh-CN"/>
        </w:rPr>
        <w:t>资金使用。</w:t>
      </w:r>
    </w:p>
    <w:p w14:paraId="449B2DCE">
      <w:pPr>
        <w:autoSpaceDE w:val="0"/>
        <w:autoSpaceDN w:val="0"/>
        <w:adjustRightInd w:val="0"/>
        <w:spacing w:line="600" w:lineRule="exact"/>
        <w:ind w:firstLine="640" w:firstLineChars="200"/>
        <w:jc w:val="left"/>
        <w:rPr>
          <w:rFonts w:ascii="Times New Roman" w:hAnsi="Times New Roman" w:eastAsia="楷体_GB2312" w:cs="Times New Roman"/>
          <w:sz w:val="32"/>
          <w:szCs w:val="32"/>
          <w:lang w:val="zh-CN"/>
        </w:rPr>
      </w:pPr>
      <w:r>
        <w:rPr>
          <w:rFonts w:hint="eastAsia" w:ascii="Times New Roman" w:hAnsi="Times New Roman" w:eastAsia="仿宋_GB2312" w:cs="Times New Roman"/>
          <w:kern w:val="0"/>
          <w:sz w:val="32"/>
          <w:szCs w:val="32"/>
          <w:lang w:eastAsia="zh-CN"/>
        </w:rPr>
        <w:t>资金使用</w:t>
      </w:r>
      <w:r>
        <w:rPr>
          <w:rFonts w:hint="eastAsia" w:ascii="Times New Roman" w:hAnsi="Times New Roman" w:eastAsia="仿宋_GB2312" w:cs="Times New Roman"/>
          <w:kern w:val="0"/>
          <w:sz w:val="32"/>
          <w:szCs w:val="32"/>
          <w:lang w:val="en-US" w:eastAsia="zh-CN"/>
        </w:rPr>
        <w:t>2.5</w:t>
      </w:r>
      <w:r>
        <w:rPr>
          <w:rFonts w:ascii="Times New Roman" w:hAnsi="Times New Roman" w:eastAsia="仿宋_GB2312" w:cs="Times New Roman"/>
          <w:kern w:val="0"/>
          <w:sz w:val="32"/>
          <w:szCs w:val="32"/>
          <w:lang w:val="en-US" w:eastAsia="zh-CN"/>
        </w:rPr>
        <w:t>4</w:t>
      </w:r>
      <w:r>
        <w:rPr>
          <w:rFonts w:hint="eastAsia" w:ascii="Times New Roman" w:hAnsi="Times New Roman" w:eastAsia="仿宋_GB2312" w:cs="Times New Roman"/>
          <w:kern w:val="0"/>
          <w:sz w:val="32"/>
          <w:szCs w:val="32"/>
          <w:lang w:val="en-US" w:eastAsia="zh-CN"/>
        </w:rPr>
        <w:t>万元</w:t>
      </w:r>
      <w:r>
        <w:rPr>
          <w:rFonts w:ascii="Times New Roman" w:hAnsi="Times New Roman" w:eastAsia="仿宋_GB2312" w:cs="Times New Roman"/>
          <w:kern w:val="0"/>
          <w:sz w:val="32"/>
          <w:szCs w:val="32"/>
          <w:lang w:val="en-US" w:eastAsia="zh-CN"/>
        </w:rPr>
        <w:t>（由于增加空调接管费用，超支170元，由办公经费支付）</w:t>
      </w:r>
      <w:r>
        <w:rPr>
          <w:rFonts w:hint="eastAsia" w:ascii="Times New Roman" w:hAnsi="Times New Roman" w:eastAsia="仿宋_GB2312" w:cs="Times New Roman"/>
          <w:kern w:val="0"/>
          <w:sz w:val="32"/>
          <w:szCs w:val="32"/>
          <w:lang w:val="en-US" w:eastAsia="zh-CN"/>
        </w:rPr>
        <w:t>，</w:t>
      </w:r>
      <w:r>
        <w:rPr>
          <w:rFonts w:ascii="Times New Roman" w:hAnsi="Times New Roman" w:eastAsia="仿宋_GB2312" w:cs="Times New Roman"/>
          <w:kern w:val="0"/>
          <w:sz w:val="32"/>
          <w:szCs w:val="32"/>
        </w:rPr>
        <w:t>资金支付范围、支付标准、支付进度、支付依据等合规合法</w:t>
      </w:r>
      <w:r>
        <w:rPr>
          <w:rFonts w:hint="eastAsia" w:ascii="Times New Roman" w:hAnsi="Times New Roman" w:eastAsia="仿宋_GB2312" w:cs="Times New Roman"/>
          <w:kern w:val="0"/>
          <w:sz w:val="32"/>
          <w:szCs w:val="32"/>
        </w:rPr>
        <w:t>，与预算相符。</w:t>
      </w:r>
    </w:p>
    <w:p w14:paraId="22311388">
      <w:pPr>
        <w:adjustRightInd w:val="0"/>
        <w:snapToGrid w:val="0"/>
        <w:spacing w:line="600" w:lineRule="exact"/>
        <w:ind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（三）项目财务管理情况。</w:t>
      </w:r>
    </w:p>
    <w:p w14:paraId="30F9C128">
      <w:pPr>
        <w:adjustRightInd w:val="0"/>
        <w:snapToGrid w:val="0"/>
        <w:spacing w:line="600" w:lineRule="exact"/>
        <w:ind w:firstLine="720"/>
        <w:rPr>
          <w:rFonts w:hint="eastAsia" w:ascii="Times New Roman" w:hAnsi="Times New Roman" w:eastAsia="仿宋_GB2312" w:cs="Times New Roman"/>
          <w:kern w:val="0"/>
          <w:sz w:val="32"/>
          <w:szCs w:val="32"/>
        </w:rPr>
      </w:pPr>
      <w:r>
        <w:rPr>
          <w:rFonts w:ascii="Times New Roman" w:hAnsi="Times New Roman" w:eastAsia="仿宋_GB2312" w:cs="Times New Roman"/>
          <w:kern w:val="0"/>
          <w:sz w:val="32"/>
          <w:szCs w:val="32"/>
        </w:rPr>
        <w:t>单位财务管理制度健全，严格执行财务管理制度，账务处理及时，会计核算规范</w:t>
      </w:r>
      <w:r>
        <w:rPr>
          <w:rFonts w:hint="eastAsia" w:ascii="Times New Roman" w:hAnsi="Times New Roman" w:eastAsia="仿宋_GB2312" w:cs="Times New Roman"/>
          <w:kern w:val="0"/>
          <w:sz w:val="32"/>
          <w:szCs w:val="32"/>
        </w:rPr>
        <w:t>。</w:t>
      </w:r>
    </w:p>
    <w:p w14:paraId="7311262A">
      <w:pPr>
        <w:adjustRightInd w:val="0"/>
        <w:snapToGrid w:val="0"/>
        <w:spacing w:line="600" w:lineRule="exact"/>
        <w:ind w:firstLine="720"/>
        <w:rPr>
          <w:rFonts w:ascii="Times New Roman" w:hAnsi="Times New Roman" w:eastAsia="黑体" w:cs="Times New Roman"/>
          <w:sz w:val="32"/>
          <w:szCs w:val="32"/>
        </w:rPr>
      </w:pPr>
      <w:r>
        <w:rPr>
          <w:rFonts w:ascii="Times New Roman" w:hAnsi="Times New Roman" w:eastAsia="黑体" w:cs="Times New Roman"/>
          <w:sz w:val="32"/>
          <w:szCs w:val="32"/>
        </w:rPr>
        <w:t>三、项目实施及管理情况</w:t>
      </w:r>
    </w:p>
    <w:p w14:paraId="7FDF17FC">
      <w:pPr>
        <w:adjustRightInd w:val="0"/>
        <w:snapToGrid w:val="0"/>
        <w:spacing w:line="600" w:lineRule="exact"/>
        <w:ind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（一）项目组织架构及实施流程。</w:t>
      </w:r>
    </w:p>
    <w:p w14:paraId="731DD837">
      <w:pPr>
        <w:adjustRightInd w:val="0"/>
        <w:snapToGrid w:val="0"/>
        <w:spacing w:line="600" w:lineRule="exact"/>
        <w:ind w:firstLine="720"/>
        <w:rPr>
          <w:rFonts w:ascii="Times New Roman" w:hAnsi="Times New Roman" w:eastAsia="楷体_GB2312" w:cs="Times New Roman"/>
          <w:b/>
          <w:sz w:val="32"/>
          <w:szCs w:val="32"/>
          <w:lang w:val="zh-CN"/>
        </w:rPr>
      </w:pPr>
      <w:r>
        <w:rPr>
          <w:rFonts w:hint="eastAsia" w:ascii="Times New Roman" w:hAnsi="Times New Roman" w:eastAsia="仿宋_GB2312" w:cs="Times New Roman"/>
          <w:kern w:val="0"/>
          <w:sz w:val="32"/>
          <w:szCs w:val="32"/>
        </w:rPr>
        <w:t>项目年初下达-申请计划-组织实施-项目完结。</w:t>
      </w:r>
    </w:p>
    <w:p w14:paraId="674F24F0">
      <w:pPr>
        <w:numPr>
          <w:ilvl w:val="0"/>
          <w:numId w:val="12"/>
        </w:numPr>
        <w:adjustRightInd w:val="0"/>
        <w:snapToGrid w:val="0"/>
        <w:spacing w:line="600" w:lineRule="exact"/>
        <w:ind w:left="0"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项目管理情况。</w:t>
      </w:r>
    </w:p>
    <w:p w14:paraId="0DC1859B">
      <w:pPr>
        <w:adjustRightInd w:val="0"/>
        <w:snapToGrid w:val="0"/>
        <w:spacing w:line="600" w:lineRule="exact"/>
        <w:rPr>
          <w:rFonts w:ascii="Times New Roman" w:hAnsi="Times New Roman" w:eastAsia="楷体_GB2312" w:cs="Times New Roman"/>
          <w:b/>
          <w:sz w:val="32"/>
          <w:szCs w:val="32"/>
          <w:lang w:val="en-US" w:eastAsia="zh-CN"/>
        </w:rPr>
      </w:pPr>
      <w:r>
        <w:rPr>
          <w:rFonts w:hint="eastAsia" w:ascii="Times New Roman" w:hAnsi="Times New Roman" w:eastAsia="楷体_GB2312" w:cs="Times New Roman"/>
          <w:b/>
          <w:sz w:val="32"/>
          <w:szCs w:val="32"/>
          <w:lang w:val="en-US" w:eastAsia="zh-CN"/>
        </w:rPr>
        <w:t xml:space="preserve">     </w:t>
      </w:r>
      <w:r>
        <w:rPr>
          <w:rFonts w:hint="eastAsia" w:ascii="Times New Roman" w:hAnsi="Times New Roman" w:eastAsia="仿宋_GB2312" w:cs="Times New Roman"/>
          <w:kern w:val="0"/>
          <w:sz w:val="32"/>
          <w:szCs w:val="32"/>
        </w:rPr>
        <w:t>本项目无</w:t>
      </w:r>
      <w:r>
        <w:rPr>
          <w:rFonts w:ascii="Times New Roman" w:hAnsi="Times New Roman" w:eastAsia="仿宋_GB2312" w:cs="Times New Roman"/>
          <w:kern w:val="0"/>
          <w:sz w:val="32"/>
          <w:szCs w:val="32"/>
        </w:rPr>
        <w:t>招投标、政府采购</w:t>
      </w:r>
      <w:r>
        <w:rPr>
          <w:rFonts w:hint="eastAsia" w:ascii="Times New Roman" w:hAnsi="Times New Roman" w:eastAsia="仿宋_GB2312" w:cs="Times New Roman"/>
          <w:kern w:val="0"/>
          <w:sz w:val="32"/>
          <w:szCs w:val="32"/>
        </w:rPr>
        <w:t>。</w:t>
      </w:r>
    </w:p>
    <w:p w14:paraId="78681BD1">
      <w:pPr>
        <w:numPr>
          <w:ilvl w:val="0"/>
          <w:numId w:val="12"/>
        </w:numPr>
        <w:adjustRightInd w:val="0"/>
        <w:snapToGrid w:val="0"/>
        <w:spacing w:line="600" w:lineRule="exact"/>
        <w:ind w:left="0"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项目监管情况。</w:t>
      </w:r>
    </w:p>
    <w:p w14:paraId="78361433">
      <w:pPr>
        <w:adjustRightInd w:val="0"/>
        <w:snapToGrid w:val="0"/>
        <w:spacing w:line="600" w:lineRule="exact"/>
        <w:ind w:left="720"/>
        <w:rPr>
          <w:rFonts w:ascii="Times New Roman" w:hAnsi="Times New Roman" w:eastAsia="仿宋_GB2312" w:cs="Times New Roman"/>
          <w:sz w:val="32"/>
          <w:szCs w:val="32"/>
          <w:lang w:val="zh-CN"/>
        </w:rPr>
      </w:pPr>
      <w:r>
        <w:rPr>
          <w:rFonts w:hint="eastAsia" w:ascii="Times New Roman" w:hAnsi="Times New Roman" w:eastAsia="仿宋_GB2312" w:cs="Times New Roman"/>
          <w:kern w:val="0"/>
          <w:sz w:val="32"/>
          <w:szCs w:val="32"/>
        </w:rPr>
        <w:t>制定了相关政策，加强财务管理。</w:t>
      </w:r>
    </w:p>
    <w:p w14:paraId="49AB169A">
      <w:pPr>
        <w:adjustRightInd w:val="0"/>
        <w:snapToGrid w:val="0"/>
        <w:spacing w:line="600" w:lineRule="exact"/>
        <w:ind w:firstLine="720"/>
        <w:rPr>
          <w:rFonts w:ascii="Times New Roman" w:hAnsi="Times New Roman" w:eastAsia="仿宋_GB2312" w:cs="Times New Roman"/>
          <w:sz w:val="32"/>
          <w:szCs w:val="32"/>
          <w:lang w:val="zh-CN"/>
        </w:rPr>
      </w:pPr>
      <w:r>
        <w:rPr>
          <w:rFonts w:ascii="Times New Roman" w:hAnsi="Times New Roman" w:eastAsia="黑体" w:cs="Times New Roman"/>
          <w:sz w:val="32"/>
          <w:szCs w:val="32"/>
        </w:rPr>
        <w:t>四、项目绩效情况</w:t>
      </w:r>
      <w:r>
        <w:rPr>
          <w:rFonts w:ascii="Times New Roman" w:hAnsi="Times New Roman" w:eastAsia="仿宋_GB2312" w:cs="Times New Roman"/>
          <w:sz w:val="32"/>
          <w:szCs w:val="32"/>
          <w:lang w:val="zh-CN"/>
        </w:rPr>
        <w:tab/>
      </w:r>
    </w:p>
    <w:p w14:paraId="1B9C688D">
      <w:pPr>
        <w:adjustRightInd w:val="0"/>
        <w:snapToGrid w:val="0"/>
        <w:spacing w:line="600" w:lineRule="exact"/>
        <w:ind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（一）项目完成情况。</w:t>
      </w:r>
    </w:p>
    <w:p w14:paraId="7D1ED232">
      <w:pPr>
        <w:adjustRightInd w:val="0"/>
        <w:snapToGrid w:val="0"/>
        <w:spacing w:line="600" w:lineRule="exact"/>
        <w:ind w:firstLine="720"/>
        <w:rPr>
          <w:rFonts w:ascii="Times New Roman" w:hAnsi="Times New Roman" w:eastAsia="楷体_GB2312" w:cs="Times New Roman"/>
          <w:b/>
          <w:sz w:val="32"/>
          <w:szCs w:val="32"/>
          <w:lang w:val="zh-CN"/>
        </w:rPr>
      </w:pPr>
      <w:r>
        <w:rPr>
          <w:rFonts w:hint="eastAsia" w:ascii="Times New Roman" w:hAnsi="Times New Roman" w:eastAsia="仿宋_GB2312" w:cs="Times New Roman"/>
          <w:sz w:val="32"/>
          <w:szCs w:val="32"/>
          <w:lang w:val="zh-CN"/>
        </w:rPr>
        <w:t>已完成市红十字会办公用品、库房物品全部搬迁，搬迁后各项工作正常开展</w:t>
      </w:r>
      <w:r>
        <w:rPr>
          <w:rFonts w:ascii="Times New Roman" w:hAnsi="Times New Roman" w:eastAsia="仿宋_GB2312" w:cs="Times New Roman"/>
          <w:sz w:val="32"/>
          <w:szCs w:val="32"/>
          <w:lang w:val="zh-CN"/>
        </w:rPr>
        <w:t>。</w:t>
      </w:r>
    </w:p>
    <w:p w14:paraId="31A1C620">
      <w:pPr>
        <w:adjustRightInd w:val="0"/>
        <w:snapToGrid w:val="0"/>
        <w:spacing w:line="600" w:lineRule="exact"/>
        <w:ind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（二）项目效益情况。</w:t>
      </w:r>
    </w:p>
    <w:p w14:paraId="6F3993F0">
      <w:pPr>
        <w:widowControl w:val="0"/>
        <w:spacing w:line="600" w:lineRule="exact"/>
        <w:ind w:firstLine="640" w:firstLineChars="200"/>
        <w:jc w:val="left"/>
        <w:rPr>
          <w:rFonts w:ascii="Times New Roman" w:hAnsi="Times New Roman" w:eastAsia="楷体" w:cs="Times New Roman"/>
          <w:kern w:val="2"/>
          <w:sz w:val="32"/>
          <w:szCs w:val="32"/>
          <w:lang w:val="en-US" w:eastAsia="zh-CN" w:bidi="ar-SA"/>
        </w:rPr>
      </w:pPr>
      <w:r>
        <w:rPr>
          <w:rFonts w:ascii="Times New Roman" w:hAnsi="Times New Roman" w:eastAsia="仿宋_GB2312" w:cs="Times New Roman"/>
          <w:kern w:val="2"/>
          <w:sz w:val="32"/>
          <w:szCs w:val="32"/>
          <w:lang w:val="en-US" w:eastAsia="zh-CN" w:bidi="ar-SA"/>
        </w:rPr>
        <w:t>（1）产出指标完成情况分析。数量指标、质量指标、时效指标</w:t>
      </w:r>
      <w:r>
        <w:rPr>
          <w:rFonts w:hint="eastAsia" w:ascii="Times New Roman" w:hAnsi="Times New Roman" w:eastAsia="仿宋_GB2312" w:cs="Times New Roman"/>
          <w:kern w:val="2"/>
          <w:sz w:val="32"/>
          <w:szCs w:val="32"/>
          <w:lang w:val="en-US" w:eastAsia="zh-CN" w:bidi="ar-SA"/>
        </w:rPr>
        <w:t>和</w:t>
      </w:r>
      <w:r>
        <w:rPr>
          <w:rFonts w:ascii="Times New Roman" w:hAnsi="Times New Roman" w:eastAsia="仿宋_GB2312" w:cs="Times New Roman"/>
          <w:kern w:val="2"/>
          <w:sz w:val="32"/>
          <w:szCs w:val="32"/>
          <w:lang w:val="en-US" w:eastAsia="zh-CN" w:bidi="ar-SA"/>
        </w:rPr>
        <w:t>成本指标</w:t>
      </w:r>
      <w:r>
        <w:rPr>
          <w:rFonts w:hint="eastAsia" w:ascii="Times New Roman" w:hAnsi="Times New Roman" w:eastAsia="仿宋_GB2312" w:cs="Times New Roman"/>
          <w:kern w:val="2"/>
          <w:sz w:val="32"/>
          <w:szCs w:val="32"/>
          <w:lang w:val="en-US" w:eastAsia="zh-CN" w:bidi="ar-SA"/>
        </w:rPr>
        <w:t>均已完成。</w:t>
      </w:r>
    </w:p>
    <w:p w14:paraId="3FFF2B84">
      <w:pPr>
        <w:widowControl w:val="0"/>
        <w:spacing w:line="600" w:lineRule="exact"/>
        <w:ind w:firstLine="640" w:firstLineChars="200"/>
        <w:jc w:val="left"/>
        <w:rPr>
          <w:rFonts w:ascii="Times New Roman" w:hAnsi="Times New Roman" w:eastAsia="楷体" w:cs="Times New Roman"/>
          <w:kern w:val="2"/>
          <w:sz w:val="32"/>
          <w:szCs w:val="32"/>
          <w:lang w:val="en-US" w:eastAsia="zh-CN" w:bidi="ar-SA"/>
        </w:rPr>
      </w:pPr>
      <w:r>
        <w:rPr>
          <w:rFonts w:ascii="Times New Roman" w:hAnsi="Times New Roman" w:eastAsia="仿宋_GB2312" w:cs="Times New Roman"/>
          <w:kern w:val="2"/>
          <w:sz w:val="32"/>
          <w:szCs w:val="32"/>
          <w:lang w:val="en-US" w:eastAsia="zh-CN" w:bidi="ar-SA"/>
        </w:rPr>
        <w:t>（2）效益指标完成情况分析。</w:t>
      </w:r>
      <w:r>
        <w:rPr>
          <w:rFonts w:hint="eastAsia" w:ascii="Times New Roman" w:hAnsi="Times New Roman" w:eastAsia="仿宋_GB2312" w:cs="Times New Roman"/>
          <w:kern w:val="2"/>
          <w:sz w:val="32"/>
          <w:szCs w:val="32"/>
          <w:lang w:val="en-US" w:eastAsia="zh-CN" w:bidi="ar-SA"/>
        </w:rPr>
        <w:t>2024年度设定目标无</w:t>
      </w:r>
      <w:r>
        <w:rPr>
          <w:rFonts w:ascii="Times New Roman" w:hAnsi="Times New Roman" w:eastAsia="仿宋_GB2312" w:cs="Times New Roman"/>
          <w:kern w:val="2"/>
          <w:sz w:val="32"/>
          <w:szCs w:val="32"/>
          <w:lang w:val="en-US" w:eastAsia="zh-CN" w:bidi="ar-SA"/>
        </w:rPr>
        <w:t>经济效益、生态效益。社会效益和可持续影响指标已完成</w:t>
      </w:r>
      <w:r>
        <w:rPr>
          <w:rFonts w:hint="eastAsia" w:ascii="Times New Roman" w:hAnsi="Times New Roman" w:eastAsia="仿宋_GB2312" w:cs="Times New Roman"/>
          <w:kern w:val="2"/>
          <w:sz w:val="32"/>
          <w:szCs w:val="32"/>
          <w:lang w:val="en-US" w:eastAsia="zh-CN" w:bidi="ar-SA"/>
        </w:rPr>
        <w:t>。</w:t>
      </w:r>
    </w:p>
    <w:p w14:paraId="4FEAF1F4">
      <w:pPr>
        <w:adjustRightInd w:val="0"/>
        <w:snapToGrid w:val="0"/>
        <w:spacing w:line="600" w:lineRule="exact"/>
        <w:ind w:firstLine="720"/>
        <w:rPr>
          <w:rFonts w:ascii="Times New Roman" w:hAnsi="Times New Roman" w:eastAsia="仿宋_GB2312" w:cs="Times New Roman"/>
          <w:sz w:val="32"/>
          <w:szCs w:val="32"/>
          <w:lang w:val="zh-CN"/>
        </w:rPr>
      </w:pPr>
      <w:r>
        <w:rPr>
          <w:rFonts w:ascii="Times New Roman" w:hAnsi="Times New Roman" w:eastAsia="仿宋_GB2312" w:cs="Times New Roman"/>
          <w:sz w:val="32"/>
          <w:szCs w:val="32"/>
        </w:rPr>
        <w:t>（3）满意度指标完成情况分析。据统计</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员工</w:t>
      </w:r>
      <w:r>
        <w:rPr>
          <w:rFonts w:ascii="Times New Roman" w:hAnsi="Times New Roman" w:eastAsia="仿宋_GB2312" w:cs="Times New Roman"/>
          <w:sz w:val="32"/>
          <w:szCs w:val="32"/>
        </w:rPr>
        <w:t>满意度</w:t>
      </w:r>
      <w:r>
        <w:rPr>
          <w:rFonts w:hint="eastAsia" w:ascii="Times New Roman" w:hAnsi="Times New Roman" w:eastAsia="仿宋_GB2312" w:cs="Times New Roman"/>
          <w:sz w:val="32"/>
          <w:szCs w:val="32"/>
        </w:rPr>
        <w:t>大于90%，已完成满意度指标。</w:t>
      </w:r>
    </w:p>
    <w:p w14:paraId="5D712F50">
      <w:pPr>
        <w:adjustRightInd w:val="0"/>
        <w:snapToGrid w:val="0"/>
        <w:spacing w:line="600" w:lineRule="exact"/>
        <w:ind w:firstLine="720"/>
        <w:rPr>
          <w:rFonts w:ascii="Times New Roman" w:hAnsi="Times New Roman" w:eastAsia="黑体" w:cs="Times New Roman"/>
          <w:sz w:val="32"/>
          <w:szCs w:val="32"/>
        </w:rPr>
      </w:pPr>
      <w:r>
        <w:rPr>
          <w:rFonts w:ascii="Times New Roman" w:hAnsi="Times New Roman" w:eastAsia="黑体" w:cs="Times New Roman"/>
          <w:sz w:val="32"/>
          <w:szCs w:val="32"/>
        </w:rPr>
        <w:t>五、评价结论及建议</w:t>
      </w:r>
    </w:p>
    <w:p w14:paraId="58868441">
      <w:pPr>
        <w:adjustRightInd w:val="0"/>
        <w:snapToGrid w:val="0"/>
        <w:spacing w:line="600" w:lineRule="exact"/>
        <w:ind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（一）评价结论。</w:t>
      </w:r>
    </w:p>
    <w:p w14:paraId="2FCB83B1">
      <w:pPr>
        <w:adjustRightInd w:val="0"/>
        <w:snapToGrid w:val="0"/>
        <w:spacing w:line="600" w:lineRule="exact"/>
        <w:ind w:firstLine="720"/>
        <w:rPr>
          <w:rFonts w:ascii="Times New Roman" w:hAnsi="Times New Roman" w:eastAsia="仿宋_GB2312" w:cs="Times New Roman"/>
          <w:sz w:val="32"/>
          <w:szCs w:val="32"/>
        </w:rPr>
      </w:pP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2</w:t>
      </w: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年，市</w:t>
      </w:r>
      <w:r>
        <w:rPr>
          <w:rFonts w:hint="eastAsia" w:ascii="Times New Roman" w:hAnsi="Times New Roman" w:eastAsia="仿宋_GB2312" w:cs="Times New Roman"/>
          <w:sz w:val="32"/>
          <w:szCs w:val="32"/>
        </w:rPr>
        <w:t>红十字会</w:t>
      </w:r>
      <w:r>
        <w:rPr>
          <w:rFonts w:ascii="Times New Roman" w:hAnsi="Times New Roman" w:eastAsia="仿宋_GB2312" w:cs="Times New Roman"/>
          <w:sz w:val="32"/>
          <w:szCs w:val="32"/>
        </w:rPr>
        <w:t>紧紧围绕部门项目预算绩效目标推进</w:t>
      </w:r>
      <w:r>
        <w:rPr>
          <w:rFonts w:hint="eastAsia" w:ascii="Times New Roman" w:hAnsi="Times New Roman" w:eastAsia="仿宋_GB2312" w:cs="Times New Roman"/>
          <w:sz w:val="32"/>
          <w:szCs w:val="32"/>
          <w:lang w:eastAsia="zh-CN"/>
        </w:rPr>
        <w:t>办公室搬迁工作</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实</w:t>
      </w:r>
      <w:r>
        <w:rPr>
          <w:rFonts w:ascii="Times New Roman" w:hAnsi="Times New Roman" w:eastAsia="仿宋_GB2312" w:cs="Times New Roman"/>
          <w:sz w:val="32"/>
          <w:szCs w:val="32"/>
        </w:rPr>
        <w:t>时监控项目预算执行情况，顺利完成</w:t>
      </w:r>
      <w:r>
        <w:rPr>
          <w:rFonts w:hint="eastAsia" w:ascii="Times New Roman" w:hAnsi="Times New Roman" w:eastAsia="仿宋_GB2312" w:cs="Times New Roman"/>
          <w:sz w:val="32"/>
          <w:szCs w:val="32"/>
        </w:rPr>
        <w:t>项目</w:t>
      </w:r>
      <w:r>
        <w:rPr>
          <w:rFonts w:ascii="Times New Roman" w:hAnsi="Times New Roman" w:eastAsia="仿宋_GB2312" w:cs="Times New Roman"/>
          <w:sz w:val="32"/>
          <w:szCs w:val="32"/>
        </w:rPr>
        <w:t>年度绩效目标。</w:t>
      </w:r>
    </w:p>
    <w:p w14:paraId="0BBDD3B2">
      <w:pPr>
        <w:adjustRightInd w:val="0"/>
        <w:snapToGrid w:val="0"/>
        <w:spacing w:line="600" w:lineRule="exact"/>
        <w:ind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（二）存在的问题。</w:t>
      </w:r>
    </w:p>
    <w:p w14:paraId="2CC2E13B">
      <w:pPr>
        <w:adjustRightInd w:val="0"/>
        <w:snapToGrid w:val="0"/>
        <w:spacing w:line="600" w:lineRule="exact"/>
        <w:ind w:firstLine="640" w:firstLineChars="200"/>
        <w:rPr>
          <w:rFonts w:ascii="Times New Roman" w:hAnsi="Times New Roman" w:eastAsia="仿宋_GB2312" w:cs="Times New Roman"/>
          <w:sz w:val="32"/>
          <w:szCs w:val="32"/>
          <w:lang w:val="zh-CN"/>
        </w:rPr>
      </w:pPr>
      <w:r>
        <w:rPr>
          <w:rFonts w:hint="eastAsia" w:ascii="Times New Roman" w:hAnsi="Times New Roman" w:eastAsia="仿宋_GB2312" w:cs="Times New Roman"/>
          <w:sz w:val="32"/>
          <w:szCs w:val="32"/>
          <w:lang w:val="zh-CN"/>
        </w:rPr>
        <w:t>无</w:t>
      </w:r>
      <w:r>
        <w:rPr>
          <w:rFonts w:ascii="Times New Roman" w:hAnsi="Times New Roman" w:eastAsia="仿宋_GB2312" w:cs="Times New Roman"/>
          <w:sz w:val="32"/>
          <w:szCs w:val="32"/>
          <w:lang w:val="zh-CN"/>
        </w:rPr>
        <w:t>。</w:t>
      </w:r>
    </w:p>
    <w:p w14:paraId="07DD8EE7">
      <w:pPr>
        <w:adjustRightInd w:val="0"/>
        <w:snapToGrid w:val="0"/>
        <w:spacing w:line="600" w:lineRule="exact"/>
        <w:ind w:firstLine="720"/>
        <w:rPr>
          <w:rFonts w:ascii="Times New Roman" w:hAnsi="Times New Roman" w:eastAsia="楷体_GB2312" w:cs="Times New Roman"/>
          <w:b/>
          <w:sz w:val="32"/>
          <w:szCs w:val="32"/>
          <w:lang w:val="zh-CN"/>
        </w:rPr>
      </w:pPr>
      <w:r>
        <w:rPr>
          <w:rFonts w:ascii="Times New Roman" w:hAnsi="Times New Roman" w:eastAsia="楷体_GB2312" w:cs="Times New Roman"/>
          <w:b/>
          <w:sz w:val="32"/>
          <w:szCs w:val="32"/>
          <w:lang w:val="zh-CN"/>
        </w:rPr>
        <w:t>（三）相关建议。</w:t>
      </w:r>
    </w:p>
    <w:p w14:paraId="124CE7F0">
      <w:pPr>
        <w:rPr>
          <w:rFonts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无</w:t>
      </w:r>
      <w:r>
        <w:rPr>
          <w:rFonts w:ascii="Times New Roman" w:hAnsi="Times New Roman" w:eastAsia="仿宋_GB2312" w:cs="Times New Roman"/>
          <w:sz w:val="32"/>
          <w:szCs w:val="32"/>
          <w:lang w:val="en-US" w:eastAsia="zh-CN"/>
        </w:rPr>
        <w:t>。</w:t>
      </w:r>
    </w:p>
    <w:p w14:paraId="118C17A0">
      <w:pPr>
        <w:pStyle w:val="3"/>
        <w:rPr>
          <w:rFonts w:hint="eastAsia" w:ascii="Times New Roman" w:hAnsi="Times New Roman" w:eastAsia="仿宋_GB2312" w:cs="仿宋_GB2312"/>
          <w:b w:val="0"/>
          <w:bCs w:val="0"/>
          <w:kern w:val="0"/>
          <w:position w:val="0"/>
          <w:sz w:val="32"/>
          <w:szCs w:val="32"/>
          <w:highlight w:val="none"/>
          <w:lang w:val="en-US" w:eastAsia="zh-CN" w:bidi="ar-SA"/>
        </w:rPr>
      </w:pPr>
    </w:p>
    <w:p w14:paraId="6B643C01">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p>
    <w:p w14:paraId="3BD4E04F">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bookmarkStart w:id="51" w:name="_Toc15396618"/>
      <w:r>
        <w:rPr>
          <w:rFonts w:hint="eastAsia" w:ascii="Times New Roman" w:hAnsi="Times New Roman" w:eastAsia="仿宋_GB2312" w:cs="仿宋_GB2312"/>
          <w:b w:val="0"/>
          <w:bCs w:val="0"/>
          <w:kern w:val="0"/>
          <w:position w:val="0"/>
          <w:sz w:val="32"/>
          <w:szCs w:val="32"/>
          <w:highlight w:val="none"/>
          <w:lang w:val="en-US" w:eastAsia="zh-CN" w:bidi="ar-SA"/>
        </w:rPr>
        <w:br w:type="page"/>
      </w:r>
    </w:p>
    <w:p w14:paraId="4D6F76D8">
      <w:pPr>
        <w:widowControl/>
        <w:jc w:val="center"/>
        <w:rPr>
          <w:rFonts w:hint="eastAsia" w:ascii="Times New Roman" w:hAnsi="Times New Roman" w:eastAsia="仿宋"/>
          <w:b w:val="0"/>
          <w:color w:val="auto"/>
          <w:highlight w:val="none"/>
        </w:rPr>
      </w:pPr>
      <w:r>
        <w:rPr>
          <w:rFonts w:hint="eastAsia" w:ascii="Times New Roman" w:hAnsi="Times New Roman" w:eastAsia="黑体"/>
          <w:color w:val="auto"/>
          <w:sz w:val="44"/>
          <w:szCs w:val="44"/>
          <w:highlight w:val="none"/>
        </w:rPr>
        <w:t>第</w:t>
      </w:r>
      <w:r>
        <w:rPr>
          <w:rStyle w:val="29"/>
          <w:rFonts w:hint="eastAsia" w:ascii="Times New Roman" w:hAnsi="Times New Roman" w:eastAsia="黑体"/>
          <w:b w:val="0"/>
          <w:color w:val="auto"/>
          <w:highlight w:val="none"/>
        </w:rPr>
        <w:t>五部分 附表</w:t>
      </w:r>
      <w:bookmarkEnd w:id="48"/>
      <w:bookmarkEnd w:id="51"/>
      <w:bookmarkStart w:id="52" w:name="_Toc15396619"/>
    </w:p>
    <w:p w14:paraId="098C9F66">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p>
    <w:p w14:paraId="0137A81C">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一、收入支出决算总表</w:t>
      </w:r>
      <w:bookmarkEnd w:id="52"/>
    </w:p>
    <w:p w14:paraId="21D9CC22">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3" w:name="_Toc15396620"/>
      <w:r>
        <w:rPr>
          <w:rFonts w:hint="eastAsia" w:ascii="Times New Roman" w:hAnsi="Times New Roman" w:eastAsia="仿宋_GB2312" w:cs="仿宋_GB2312"/>
          <w:color w:val="auto"/>
          <w:sz w:val="32"/>
          <w:szCs w:val="32"/>
          <w:highlight w:val="none"/>
        </w:rPr>
        <w:t>二、收入决算表</w:t>
      </w:r>
      <w:bookmarkEnd w:id="53"/>
    </w:p>
    <w:p w14:paraId="5B480F35">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4" w:name="_Toc15396621"/>
      <w:r>
        <w:rPr>
          <w:rFonts w:hint="eastAsia" w:ascii="Times New Roman" w:hAnsi="Times New Roman" w:eastAsia="仿宋_GB2312" w:cs="仿宋_GB2312"/>
          <w:color w:val="auto"/>
          <w:sz w:val="32"/>
          <w:szCs w:val="32"/>
          <w:highlight w:val="none"/>
        </w:rPr>
        <w:t>三、支出决算表</w:t>
      </w:r>
      <w:bookmarkEnd w:id="54"/>
    </w:p>
    <w:p w14:paraId="6AE91618">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5" w:name="_Toc15396622"/>
      <w:r>
        <w:rPr>
          <w:rFonts w:hint="eastAsia" w:ascii="Times New Roman" w:hAnsi="Times New Roman" w:eastAsia="仿宋_GB2312" w:cs="仿宋_GB2312"/>
          <w:color w:val="auto"/>
          <w:sz w:val="32"/>
          <w:szCs w:val="32"/>
          <w:highlight w:val="none"/>
        </w:rPr>
        <w:t>四、财政拨款收入支出决算总表</w:t>
      </w:r>
      <w:bookmarkEnd w:id="55"/>
    </w:p>
    <w:p w14:paraId="27D6204A">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6" w:name="_Toc15396623"/>
      <w:r>
        <w:rPr>
          <w:rFonts w:hint="eastAsia" w:ascii="Times New Roman" w:hAnsi="Times New Roman" w:eastAsia="仿宋_GB2312" w:cs="仿宋_GB2312"/>
          <w:color w:val="auto"/>
          <w:sz w:val="32"/>
          <w:szCs w:val="32"/>
          <w:highlight w:val="none"/>
        </w:rPr>
        <w:t>五、财政拨款支出决算明细表</w:t>
      </w:r>
      <w:bookmarkEnd w:id="56"/>
      <w:bookmarkStart w:id="57" w:name="_Toc15396624"/>
    </w:p>
    <w:p w14:paraId="4D79AD41">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六、一般公共预算财政拨款支出决算表</w:t>
      </w:r>
      <w:bookmarkEnd w:id="57"/>
    </w:p>
    <w:p w14:paraId="50BB8B9A">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8" w:name="_Toc15396625"/>
      <w:r>
        <w:rPr>
          <w:rFonts w:hint="eastAsia" w:ascii="Times New Roman" w:hAnsi="Times New Roman" w:eastAsia="仿宋_GB2312" w:cs="仿宋_GB2312"/>
          <w:color w:val="auto"/>
          <w:sz w:val="32"/>
          <w:szCs w:val="32"/>
          <w:highlight w:val="none"/>
        </w:rPr>
        <w:t>七、一般公共预算财政拨款支出决算明细表</w:t>
      </w:r>
      <w:bookmarkEnd w:id="58"/>
    </w:p>
    <w:p w14:paraId="59A111F2">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9" w:name="_Toc15396626"/>
      <w:r>
        <w:rPr>
          <w:rFonts w:hint="eastAsia" w:ascii="Times New Roman" w:hAnsi="Times New Roman" w:eastAsia="仿宋_GB2312" w:cs="仿宋_GB2312"/>
          <w:color w:val="auto"/>
          <w:sz w:val="32"/>
          <w:szCs w:val="32"/>
          <w:highlight w:val="none"/>
        </w:rPr>
        <w:t>八、一般公共预算财政拨款基本支出决算表</w:t>
      </w:r>
      <w:bookmarkEnd w:id="59"/>
    </w:p>
    <w:p w14:paraId="164D2814">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0" w:name="_Toc15396627"/>
      <w:r>
        <w:rPr>
          <w:rFonts w:hint="eastAsia" w:ascii="Times New Roman" w:hAnsi="Times New Roman" w:eastAsia="仿宋_GB2312" w:cs="仿宋_GB2312"/>
          <w:color w:val="auto"/>
          <w:sz w:val="32"/>
          <w:szCs w:val="32"/>
          <w:highlight w:val="none"/>
        </w:rPr>
        <w:t>九、一般公共预算财政拨款项目支出决算表</w:t>
      </w:r>
      <w:bookmarkEnd w:id="60"/>
    </w:p>
    <w:p w14:paraId="6142C590">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1" w:name="_Toc15396628"/>
      <w:r>
        <w:rPr>
          <w:rFonts w:hint="eastAsia" w:ascii="Times New Roman" w:hAnsi="Times New Roman" w:eastAsia="仿宋_GB2312" w:cs="仿宋_GB2312"/>
          <w:color w:val="auto"/>
          <w:sz w:val="32"/>
          <w:szCs w:val="32"/>
          <w:highlight w:val="none"/>
        </w:rPr>
        <w:t>十、</w:t>
      </w:r>
      <w:bookmarkEnd w:id="61"/>
      <w:r>
        <w:rPr>
          <w:rFonts w:hint="eastAsia" w:ascii="Times New Roman" w:hAnsi="Times New Roman" w:eastAsia="仿宋_GB2312" w:cs="仿宋_GB2312"/>
          <w:color w:val="auto"/>
          <w:sz w:val="32"/>
          <w:szCs w:val="32"/>
          <w:highlight w:val="none"/>
        </w:rPr>
        <w:t>政府性基金预算财政拨款收入支出决算表</w:t>
      </w:r>
    </w:p>
    <w:p w14:paraId="5C09FBD2">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2" w:name="_Toc15396629"/>
      <w:r>
        <w:rPr>
          <w:rFonts w:hint="eastAsia" w:ascii="Times New Roman" w:hAnsi="Times New Roman" w:eastAsia="仿宋_GB2312" w:cs="仿宋_GB2312"/>
          <w:color w:val="auto"/>
          <w:sz w:val="32"/>
          <w:szCs w:val="32"/>
          <w:highlight w:val="none"/>
        </w:rPr>
        <w:t>十一、</w:t>
      </w:r>
      <w:bookmarkEnd w:id="62"/>
      <w:r>
        <w:rPr>
          <w:rFonts w:hint="eastAsia" w:ascii="Times New Roman" w:hAnsi="Times New Roman" w:eastAsia="仿宋_GB2312" w:cs="仿宋_GB2312"/>
          <w:color w:val="auto"/>
          <w:sz w:val="32"/>
          <w:szCs w:val="32"/>
          <w:highlight w:val="none"/>
        </w:rPr>
        <w:t>国有资本经营预算</w:t>
      </w:r>
      <w:r>
        <w:rPr>
          <w:rFonts w:hint="eastAsia" w:ascii="Times New Roman" w:hAnsi="Times New Roman" w:eastAsia="仿宋_GB2312" w:cs="仿宋_GB2312"/>
          <w:color w:val="auto"/>
          <w:sz w:val="32"/>
          <w:szCs w:val="32"/>
          <w:highlight w:val="none"/>
          <w:lang w:eastAsia="zh-CN"/>
        </w:rPr>
        <w:t>财政拨款收入</w:t>
      </w:r>
      <w:r>
        <w:rPr>
          <w:rFonts w:hint="eastAsia" w:ascii="Times New Roman" w:hAnsi="Times New Roman" w:eastAsia="仿宋_GB2312" w:cs="仿宋_GB2312"/>
          <w:color w:val="auto"/>
          <w:sz w:val="32"/>
          <w:szCs w:val="32"/>
          <w:highlight w:val="none"/>
        </w:rPr>
        <w:t>支出决算表</w:t>
      </w:r>
    </w:p>
    <w:p w14:paraId="6F5072E0">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3" w:name="_Toc15396630"/>
      <w:r>
        <w:rPr>
          <w:rFonts w:hint="eastAsia" w:ascii="Times New Roman" w:hAnsi="Times New Roman" w:eastAsia="仿宋_GB2312" w:cs="仿宋_GB2312"/>
          <w:color w:val="auto"/>
          <w:sz w:val="32"/>
          <w:szCs w:val="32"/>
          <w:highlight w:val="none"/>
        </w:rPr>
        <w:t>十二、</w:t>
      </w:r>
      <w:bookmarkEnd w:id="63"/>
      <w:r>
        <w:rPr>
          <w:rFonts w:hint="eastAsia" w:ascii="Times New Roman" w:hAnsi="Times New Roman" w:eastAsia="仿宋_GB2312" w:cs="仿宋_GB2312"/>
          <w:color w:val="auto"/>
          <w:sz w:val="32"/>
          <w:szCs w:val="32"/>
          <w:highlight w:val="none"/>
          <w:lang w:eastAsia="zh-CN"/>
        </w:rPr>
        <w:t>国有资本经营预算财政拨款支出决算表</w:t>
      </w:r>
    </w:p>
    <w:p w14:paraId="43B4302E">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lang w:eastAsia="zh-CN"/>
        </w:rPr>
      </w:pPr>
      <w:bookmarkStart w:id="64" w:name="_Toc15396631"/>
      <w:r>
        <w:rPr>
          <w:rFonts w:hint="eastAsia" w:ascii="Times New Roman" w:hAnsi="Times New Roman" w:eastAsia="仿宋_GB2312" w:cs="仿宋_GB2312"/>
          <w:color w:val="auto"/>
          <w:sz w:val="32"/>
          <w:szCs w:val="32"/>
          <w:highlight w:val="none"/>
        </w:rPr>
        <w:t>十三、</w:t>
      </w:r>
      <w:bookmarkEnd w:id="64"/>
      <w:r>
        <w:rPr>
          <w:rFonts w:hint="eastAsia" w:ascii="Times New Roman" w:hAnsi="Times New Roman" w:eastAsia="仿宋_GB2312" w:cs="仿宋_GB2312"/>
          <w:color w:val="auto"/>
          <w:sz w:val="32"/>
          <w:szCs w:val="32"/>
          <w:highlight w:val="none"/>
          <w:lang w:eastAsia="zh-CN"/>
        </w:rPr>
        <w:t>财政拨款“三公”经费支出决算表</w:t>
      </w:r>
    </w:p>
    <w:p w14:paraId="05D798DB">
      <w:pPr>
        <w:rPr>
          <w:rFonts w:hint="eastAsia" w:ascii="Times New Roman" w:hAnsi="Times New Roman"/>
          <w:lang w:eastAsia="zh-CN"/>
        </w:rPr>
      </w:pPr>
    </w:p>
    <w:sectPr>
      <w:footerReference r:id="rId14" w:type="first"/>
      <w:footerReference r:id="rId13" w:type="default"/>
      <w:pgSz w:w="11906" w:h="16838"/>
      <w:pgMar w:top="1440" w:right="1800" w:bottom="1440" w:left="1800" w:header="851" w:footer="992" w:gutter="0"/>
      <w:pgNumType w:fmt="numberInDash" w:start="25"/>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9D1F1B0-12F6-4C84-B2A4-241FCD2BBC6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BBDAC353-D292-40E9-8054-7B268C8F9434}"/>
  </w:font>
  <w:font w:name="仿宋">
    <w:panose1 w:val="02010609060101010101"/>
    <w:charset w:val="86"/>
    <w:family w:val="modern"/>
    <w:pitch w:val="default"/>
    <w:sig w:usb0="800002BF" w:usb1="38CF7CFA" w:usb2="00000016" w:usb3="00000000" w:csb0="00040001" w:csb1="00000000"/>
    <w:embedRegular r:id="rId3" w:fontKey="{27B86C4B-367D-4983-9597-6AC42AE61FD9}"/>
  </w:font>
  <w:font w:nam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embedRegular r:id="rId4" w:fontKey="{BF48FACC-D81C-4371-8C55-A2CFC3911E16}"/>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兰亭黑_GBK">
    <w:altName w:val="Arial Unicode MS"/>
    <w:panose1 w:val="02000000000000000000"/>
    <w:charset w:val="86"/>
    <w:family w:val="script"/>
    <w:pitch w:val="default"/>
    <w:sig w:usb0="00000000" w:usb1="00000000" w:usb2="00080016" w:usb3="00000000" w:csb0="00040001" w:csb1="00000000"/>
  </w:font>
  <w:font w:name="Arial Unicode MS">
    <w:panose1 w:val="020B0604020202020204"/>
    <w:charset w:val="86"/>
    <w:family w:val="auto"/>
    <w:pitch w:val="default"/>
    <w:sig w:usb0="FFFFFFFF" w:usb1="E9FFFFFF" w:usb2="0000003F" w:usb3="00000000" w:csb0="603F01FF" w:csb1="FFFF0000"/>
  </w:font>
  <w:font w:name="方正小标宋_GBK">
    <w:panose1 w:val="03000509000000000000"/>
    <w:charset w:val="86"/>
    <w:family w:val="script"/>
    <w:pitch w:val="default"/>
    <w:sig w:usb0="00000001" w:usb1="080E0000" w:usb2="00000000" w:usb3="00000000" w:csb0="00040000" w:csb1="00000000"/>
    <w:embedRegular r:id="rId5" w:fontKey="{F96238D4-65A2-460B-BEC7-53C1F490C3EE}"/>
  </w:font>
  <w:font w:name="楷体">
    <w:panose1 w:val="02010609060101010101"/>
    <w:charset w:val="86"/>
    <w:family w:val="modern"/>
    <w:pitch w:val="default"/>
    <w:sig w:usb0="800002BF" w:usb1="38CF7CFA" w:usb2="00000016" w:usb3="00000000" w:csb0="00040001" w:csb1="00000000"/>
    <w:embedRegular r:id="rId6" w:fontKey="{40831A81-EBEF-4166-AEDB-0E732B7165E2}"/>
  </w:font>
  <w:font w:name="方正大标宋简体">
    <w:panose1 w:val="02000000000000000000"/>
    <w:charset w:val="86"/>
    <w:family w:val="auto"/>
    <w:pitch w:val="default"/>
    <w:sig w:usb0="A00002BF" w:usb1="184F6CFA" w:usb2="00000012" w:usb3="00000000" w:csb0="00040001" w:csb1="00000000"/>
    <w:embedRegular r:id="rId7" w:fontKey="{EF6B8232-34A5-4BD0-9627-40D9D01DDDB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BBDE01">
    <w:pPr>
      <w:pStyle w:val="11"/>
      <w:jc w:val="center"/>
    </w:pPr>
  </w:p>
  <w:p w14:paraId="50C99067">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09592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AF702F">
                          <w:pPr>
                            <w:pStyle w:val="11"/>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33AF702F">
                    <w:pPr>
                      <w:pStyle w:val="11"/>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04B9C9">
    <w:pPr>
      <w:pStyle w:val="11"/>
      <w:jc w:val="center"/>
    </w:pPr>
  </w:p>
  <w:p w14:paraId="285ADAC2">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B45547">
    <w:pPr>
      <w:pStyle w:val="11"/>
      <w:jc w:val="center"/>
    </w:pPr>
  </w:p>
  <w:p w14:paraId="6D22040A">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608162">
    <w:pPr>
      <w:pStyle w:val="11"/>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A08AEB">
    <w:pPr>
      <w:pStyle w:val="11"/>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4795D3">
                          <w:pPr>
                            <w:pStyle w:val="11"/>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7C4795D3">
                    <w:pPr>
                      <w:pStyle w:val="11"/>
                    </w:pPr>
                    <w:r>
                      <w:fldChar w:fldCharType="begin"/>
                    </w:r>
                    <w:r>
                      <w:instrText xml:space="preserve"> PAGE  \* MERGEFORMAT </w:instrText>
                    </w:r>
                    <w:r>
                      <w:fldChar w:fldCharType="separate"/>
                    </w:r>
                    <w:r>
                      <w:t>- 2 -</w:t>
                    </w:r>
                    <w:r>
                      <w:fldChar w:fldCharType="end"/>
                    </w:r>
                  </w:p>
                </w:txbxContent>
              </v:textbox>
            </v:shape>
          </w:pict>
        </mc:Fallback>
      </mc:AlternateContent>
    </w:r>
  </w:p>
  <w:p w14:paraId="2FCF4513">
    <w:pPr>
      <w:pStyle w:val="11"/>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154BAE">
    <w:pPr>
      <w:pStyle w:val="11"/>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231AE7">
                          <w:pPr>
                            <w:pStyle w:val="11"/>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01231AE7">
                    <w:pPr>
                      <w:pStyle w:val="11"/>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B27032">
    <w:pPr>
      <w:pStyle w:val="11"/>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0691F0">
                          <w:pPr>
                            <w:pStyle w:val="11"/>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260691F0">
                    <w:pPr>
                      <w:pStyle w:val="11"/>
                    </w:pPr>
                    <w:r>
                      <w:fldChar w:fldCharType="begin"/>
                    </w:r>
                    <w:r>
                      <w:instrText xml:space="preserve"> PAGE  \* MERGEFORMAT </w:instrText>
                    </w:r>
                    <w:r>
                      <w:fldChar w:fldCharType="separate"/>
                    </w:r>
                    <w:r>
                      <w:t>- 2 -</w:t>
                    </w:r>
                    <w:r>
                      <w:fldChar w:fldCharType="end"/>
                    </w:r>
                  </w:p>
                </w:txbxContent>
              </v:textbox>
            </v:shape>
          </w:pict>
        </mc:Fallback>
      </mc:AlternateContent>
    </w:r>
  </w:p>
  <w:p w14:paraId="091F3CCA">
    <w:pPr>
      <w:pStyle w:val="11"/>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20EDE5">
    <w:pPr>
      <w:pStyle w:val="11"/>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C7BF46">
                          <w:pPr>
                            <w:pStyle w:val="11"/>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66C7BF46">
                    <w:pPr>
                      <w:pStyle w:val="11"/>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287052">
    <w:pPr>
      <w:pStyle w:val="11"/>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965E24">
                          <w:pPr>
                            <w:pStyle w:val="11"/>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7E965E24">
                    <w:pPr>
                      <w:pStyle w:val="11"/>
                    </w:pPr>
                    <w:r>
                      <w:fldChar w:fldCharType="begin"/>
                    </w:r>
                    <w:r>
                      <w:instrText xml:space="preserve"> PAGE  \* MERGEFORMAT </w:instrText>
                    </w:r>
                    <w:r>
                      <w:fldChar w:fldCharType="separate"/>
                    </w:r>
                    <w:r>
                      <w:t>- 2 -</w:t>
                    </w:r>
                    <w:r>
                      <w:fldChar w:fldCharType="end"/>
                    </w:r>
                  </w:p>
                </w:txbxContent>
              </v:textbox>
            </v:shape>
          </w:pict>
        </mc:Fallback>
      </mc:AlternateContent>
    </w:r>
  </w:p>
  <w:p w14:paraId="09263BF5">
    <w:pPr>
      <w:pStyle w:val="11"/>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2FF468">
    <w:pPr>
      <w:pStyle w:val="11"/>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BB7D4D">
                          <w:pPr>
                            <w:pStyle w:val="11"/>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56BB7D4D">
                    <w:pPr>
                      <w:pStyle w:val="11"/>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C314F">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E38F23"/>
    <w:multiLevelType w:val="singleLevel"/>
    <w:tmpl w:val="90E38F23"/>
    <w:lvl w:ilvl="0" w:tentative="0">
      <w:start w:val="2"/>
      <w:numFmt w:val="decimal"/>
      <w:suff w:val="nothing"/>
      <w:lvlText w:val="%1．"/>
      <w:lvlJc w:val="left"/>
    </w:lvl>
  </w:abstractNum>
  <w:abstractNum w:abstractNumId="1">
    <w:nsid w:val="B369AEB7"/>
    <w:multiLevelType w:val="singleLevel"/>
    <w:tmpl w:val="B369AEB7"/>
    <w:lvl w:ilvl="0" w:tentative="0">
      <w:start w:val="2"/>
      <w:numFmt w:val="chineseCounting"/>
      <w:suff w:val="nothing"/>
      <w:lvlText w:val="（%1）"/>
      <w:lvlJc w:val="left"/>
      <w:rPr>
        <w:rFonts w:hint="eastAsia"/>
      </w:rPr>
    </w:lvl>
  </w:abstractNum>
  <w:abstractNum w:abstractNumId="2">
    <w:nsid w:val="C27AEBFE"/>
    <w:multiLevelType w:val="singleLevel"/>
    <w:tmpl w:val="C27AEBFE"/>
    <w:lvl w:ilvl="0" w:tentative="0">
      <w:start w:val="2"/>
      <w:numFmt w:val="decimal"/>
      <w:suff w:val="space"/>
      <w:lvlText w:val="%1."/>
      <w:lvlJc w:val="left"/>
    </w:lvl>
  </w:abstractNum>
  <w:abstractNum w:abstractNumId="3">
    <w:nsid w:val="CCD7E3A3"/>
    <w:multiLevelType w:val="singleLevel"/>
    <w:tmpl w:val="CCD7E3A3"/>
    <w:lvl w:ilvl="0" w:tentative="0">
      <w:start w:val="3"/>
      <w:numFmt w:val="chineseCounting"/>
      <w:suff w:val="nothing"/>
      <w:lvlText w:val="（%1）"/>
      <w:lvlJc w:val="left"/>
      <w:rPr>
        <w:rFonts w:hint="eastAsia"/>
      </w:rPr>
    </w:lvl>
  </w:abstractNum>
  <w:abstractNum w:abstractNumId="4">
    <w:nsid w:val="D26BE9E5"/>
    <w:multiLevelType w:val="singleLevel"/>
    <w:tmpl w:val="D26BE9E5"/>
    <w:lvl w:ilvl="0" w:tentative="0">
      <w:start w:val="2"/>
      <w:numFmt w:val="decimal"/>
      <w:suff w:val="space"/>
      <w:lvlText w:val="%1."/>
      <w:lvlJc w:val="left"/>
    </w:lvl>
  </w:abstractNum>
  <w:abstractNum w:abstractNumId="5">
    <w:nsid w:val="EA23583E"/>
    <w:multiLevelType w:val="singleLevel"/>
    <w:tmpl w:val="EA23583E"/>
    <w:lvl w:ilvl="0" w:tentative="0">
      <w:start w:val="2"/>
      <w:numFmt w:val="decimal"/>
      <w:suff w:val="space"/>
      <w:lvlText w:val="%1."/>
      <w:lvlJc w:val="left"/>
    </w:lvl>
  </w:abstractNum>
  <w:abstractNum w:abstractNumId="6">
    <w:nsid w:val="19A2B2A5"/>
    <w:multiLevelType w:val="singleLevel"/>
    <w:tmpl w:val="19A2B2A5"/>
    <w:lvl w:ilvl="0" w:tentative="0">
      <w:start w:val="2"/>
      <w:numFmt w:val="decimal"/>
      <w:suff w:val="space"/>
      <w:lvlText w:val="%1."/>
      <w:lvlJc w:val="left"/>
    </w:lvl>
  </w:abstractNum>
  <w:abstractNum w:abstractNumId="7">
    <w:nsid w:val="5099BB41"/>
    <w:multiLevelType w:val="singleLevel"/>
    <w:tmpl w:val="5099BB41"/>
    <w:lvl w:ilvl="0" w:tentative="0">
      <w:start w:val="2"/>
      <w:numFmt w:val="chineseCounting"/>
      <w:suff w:val="nothing"/>
      <w:lvlText w:val="（%1）"/>
      <w:lvlJc w:val="left"/>
      <w:rPr>
        <w:rFonts w:hint="eastAsia"/>
      </w:rPr>
    </w:lvl>
  </w:abstractNum>
  <w:abstractNum w:abstractNumId="8">
    <w:nsid w:val="57128DB9"/>
    <w:multiLevelType w:val="singleLevel"/>
    <w:tmpl w:val="57128DB9"/>
    <w:lvl w:ilvl="0" w:tentative="0">
      <w:start w:val="2"/>
      <w:numFmt w:val="chineseCounting"/>
      <w:suff w:val="nothing"/>
      <w:lvlText w:val="（%1）"/>
      <w:lvlJc w:val="left"/>
      <w:rPr>
        <w:rFonts w:hint="eastAsia"/>
      </w:rPr>
    </w:lvl>
  </w:abstractNum>
  <w:abstractNum w:abstractNumId="9">
    <w:nsid w:val="5B2EE8F5"/>
    <w:multiLevelType w:val="singleLevel"/>
    <w:tmpl w:val="5B2EE8F5"/>
    <w:lvl w:ilvl="0" w:tentative="0">
      <w:start w:val="2"/>
      <w:numFmt w:val="chineseCounting"/>
      <w:suff w:val="nothing"/>
      <w:lvlText w:val="（%1）"/>
      <w:lvlJc w:val="left"/>
      <w:rPr>
        <w:rFonts w:hint="eastAsia"/>
      </w:rPr>
    </w:lvl>
  </w:abstractNum>
  <w:abstractNum w:abstractNumId="10">
    <w:nsid w:val="5E0A51FE"/>
    <w:multiLevelType w:val="singleLevel"/>
    <w:tmpl w:val="5E0A51FE"/>
    <w:lvl w:ilvl="0" w:tentative="0">
      <w:start w:val="1"/>
      <w:numFmt w:val="chineseCounting"/>
      <w:suff w:val="nothing"/>
      <w:lvlText w:val="%1、"/>
      <w:lvlJc w:val="left"/>
      <w:pPr>
        <w:ind w:left="420" w:firstLine="224"/>
      </w:pPr>
      <w:rPr>
        <w:rFonts w:hint="eastAsia"/>
      </w:rPr>
    </w:lvl>
  </w:abstractNum>
  <w:abstractNum w:abstractNumId="11">
    <w:nsid w:val="7EF935A8"/>
    <w:multiLevelType w:val="singleLevel"/>
    <w:tmpl w:val="7EF935A8"/>
    <w:lvl w:ilvl="0" w:tentative="0">
      <w:start w:val="2"/>
      <w:numFmt w:val="decimal"/>
      <w:suff w:val="nothing"/>
      <w:lvlText w:val="%1．"/>
      <w:lvlJc w:val="left"/>
    </w:lvl>
  </w:abstractNum>
  <w:num w:numId="1">
    <w:abstractNumId w:val="10"/>
  </w:num>
  <w:num w:numId="2">
    <w:abstractNumId w:val="1"/>
  </w:num>
  <w:num w:numId="3">
    <w:abstractNumId w:val="3"/>
  </w:num>
  <w:num w:numId="4">
    <w:abstractNumId w:val="7"/>
  </w:num>
  <w:num w:numId="5">
    <w:abstractNumId w:val="2"/>
  </w:num>
  <w:num w:numId="6">
    <w:abstractNumId w:val="4"/>
  </w:num>
  <w:num w:numId="7">
    <w:abstractNumId w:val="11"/>
  </w:num>
  <w:num w:numId="8">
    <w:abstractNumId w:val="9"/>
  </w:num>
  <w:num w:numId="9">
    <w:abstractNumId w:val="5"/>
  </w:num>
  <w:num w:numId="10">
    <w:abstractNumId w:val="6"/>
  </w:num>
  <w:num w:numId="11">
    <w:abstractNumId w:val="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2FEBE30"/>
    <w:rsid w:val="04916F1E"/>
    <w:rsid w:val="061E35DE"/>
    <w:rsid w:val="066E0107"/>
    <w:rsid w:val="07996F6E"/>
    <w:rsid w:val="07DFD8BA"/>
    <w:rsid w:val="08A603D1"/>
    <w:rsid w:val="09867E8F"/>
    <w:rsid w:val="0A2032A3"/>
    <w:rsid w:val="0CA8290A"/>
    <w:rsid w:val="0D35B1ED"/>
    <w:rsid w:val="0E254B6B"/>
    <w:rsid w:val="0F5651D3"/>
    <w:rsid w:val="0F98263C"/>
    <w:rsid w:val="101860EC"/>
    <w:rsid w:val="101F47CC"/>
    <w:rsid w:val="10C055FF"/>
    <w:rsid w:val="1138185B"/>
    <w:rsid w:val="11694EBD"/>
    <w:rsid w:val="11772AA4"/>
    <w:rsid w:val="118107EC"/>
    <w:rsid w:val="12E24EE2"/>
    <w:rsid w:val="13D50BC4"/>
    <w:rsid w:val="14A71A64"/>
    <w:rsid w:val="14B17F78"/>
    <w:rsid w:val="165E0673"/>
    <w:rsid w:val="16B831D5"/>
    <w:rsid w:val="16BB723D"/>
    <w:rsid w:val="17E50567"/>
    <w:rsid w:val="186504BB"/>
    <w:rsid w:val="196B3C81"/>
    <w:rsid w:val="19A445FC"/>
    <w:rsid w:val="1BE8440E"/>
    <w:rsid w:val="1D155CEE"/>
    <w:rsid w:val="1D1638FE"/>
    <w:rsid w:val="1E312DEB"/>
    <w:rsid w:val="1E740ACF"/>
    <w:rsid w:val="1FF35744"/>
    <w:rsid w:val="1FF6BC77"/>
    <w:rsid w:val="2186353C"/>
    <w:rsid w:val="235D7379"/>
    <w:rsid w:val="23860B96"/>
    <w:rsid w:val="240371BF"/>
    <w:rsid w:val="244F3473"/>
    <w:rsid w:val="24C97D99"/>
    <w:rsid w:val="25A718F0"/>
    <w:rsid w:val="25BB59F6"/>
    <w:rsid w:val="260F557C"/>
    <w:rsid w:val="267B1655"/>
    <w:rsid w:val="26970054"/>
    <w:rsid w:val="281408E2"/>
    <w:rsid w:val="29FD04D3"/>
    <w:rsid w:val="2BFF7BC6"/>
    <w:rsid w:val="2C8A61B5"/>
    <w:rsid w:val="2DF04E50"/>
    <w:rsid w:val="2E586DFA"/>
    <w:rsid w:val="2F040D46"/>
    <w:rsid w:val="2F6B035B"/>
    <w:rsid w:val="2FAE5751"/>
    <w:rsid w:val="2FB1A395"/>
    <w:rsid w:val="2FD9A7D8"/>
    <w:rsid w:val="2FDBF714"/>
    <w:rsid w:val="30AB6865"/>
    <w:rsid w:val="319F7F4E"/>
    <w:rsid w:val="32BD1EF1"/>
    <w:rsid w:val="3304709D"/>
    <w:rsid w:val="33A773CB"/>
    <w:rsid w:val="349D6851"/>
    <w:rsid w:val="3652172C"/>
    <w:rsid w:val="36AA5135"/>
    <w:rsid w:val="36BE0DA7"/>
    <w:rsid w:val="376B6AA6"/>
    <w:rsid w:val="376D39B2"/>
    <w:rsid w:val="37E16F03"/>
    <w:rsid w:val="37F53A3B"/>
    <w:rsid w:val="389B6C89"/>
    <w:rsid w:val="38D469F0"/>
    <w:rsid w:val="39627CCD"/>
    <w:rsid w:val="397BAF1F"/>
    <w:rsid w:val="3A706705"/>
    <w:rsid w:val="3AB79AF3"/>
    <w:rsid w:val="3AE834C0"/>
    <w:rsid w:val="3B7EF35A"/>
    <w:rsid w:val="3B9FDB6C"/>
    <w:rsid w:val="3BF5BC2F"/>
    <w:rsid w:val="3CEBA265"/>
    <w:rsid w:val="3D98207C"/>
    <w:rsid w:val="3DEE7CF3"/>
    <w:rsid w:val="3E740A63"/>
    <w:rsid w:val="3E78745D"/>
    <w:rsid w:val="3EE17838"/>
    <w:rsid w:val="3F55381A"/>
    <w:rsid w:val="3F7F7599"/>
    <w:rsid w:val="3FF4CAE0"/>
    <w:rsid w:val="3FF7B227"/>
    <w:rsid w:val="40105DD9"/>
    <w:rsid w:val="41550F05"/>
    <w:rsid w:val="44E268DA"/>
    <w:rsid w:val="450D13D7"/>
    <w:rsid w:val="45506656"/>
    <w:rsid w:val="45975C5F"/>
    <w:rsid w:val="486A6C7A"/>
    <w:rsid w:val="4A627F82"/>
    <w:rsid w:val="4B0E749A"/>
    <w:rsid w:val="4B2477C4"/>
    <w:rsid w:val="4B4F25DA"/>
    <w:rsid w:val="4BE068DB"/>
    <w:rsid w:val="4D577224"/>
    <w:rsid w:val="4DBF1CEB"/>
    <w:rsid w:val="4DF0007C"/>
    <w:rsid w:val="4EAB630A"/>
    <w:rsid w:val="4ECE2238"/>
    <w:rsid w:val="4F833267"/>
    <w:rsid w:val="4FE9BD67"/>
    <w:rsid w:val="4FFB052F"/>
    <w:rsid w:val="537E6D0A"/>
    <w:rsid w:val="53F74C96"/>
    <w:rsid w:val="54D1429C"/>
    <w:rsid w:val="55170BA8"/>
    <w:rsid w:val="553218C9"/>
    <w:rsid w:val="567E1AA5"/>
    <w:rsid w:val="56E47B74"/>
    <w:rsid w:val="57175D52"/>
    <w:rsid w:val="572604A2"/>
    <w:rsid w:val="57BD3DD4"/>
    <w:rsid w:val="5AF92295"/>
    <w:rsid w:val="5B250254"/>
    <w:rsid w:val="5BDD79E6"/>
    <w:rsid w:val="5BF561CA"/>
    <w:rsid w:val="5BFF5DFC"/>
    <w:rsid w:val="5CD71FC4"/>
    <w:rsid w:val="5D1F11B5"/>
    <w:rsid w:val="5D695134"/>
    <w:rsid w:val="5DAE1B18"/>
    <w:rsid w:val="5DE7D9E5"/>
    <w:rsid w:val="5ECEC941"/>
    <w:rsid w:val="5FBF9FF3"/>
    <w:rsid w:val="5FCD4E2C"/>
    <w:rsid w:val="5FEF394A"/>
    <w:rsid w:val="5FF67715"/>
    <w:rsid w:val="62BF3928"/>
    <w:rsid w:val="63B3701E"/>
    <w:rsid w:val="647F5392"/>
    <w:rsid w:val="65422410"/>
    <w:rsid w:val="65E66580"/>
    <w:rsid w:val="664B1D71"/>
    <w:rsid w:val="664B4E8E"/>
    <w:rsid w:val="67277B67"/>
    <w:rsid w:val="67AA3209"/>
    <w:rsid w:val="698D0931"/>
    <w:rsid w:val="6A7FE5F3"/>
    <w:rsid w:val="6B053271"/>
    <w:rsid w:val="6BDD78B3"/>
    <w:rsid w:val="6C4A05C8"/>
    <w:rsid w:val="6C8742B8"/>
    <w:rsid w:val="6DBF5E93"/>
    <w:rsid w:val="6DFF077E"/>
    <w:rsid w:val="6E714EF0"/>
    <w:rsid w:val="6E7E3605"/>
    <w:rsid w:val="6E7FDCC7"/>
    <w:rsid w:val="6ED6A62E"/>
    <w:rsid w:val="6EE00B15"/>
    <w:rsid w:val="6F6FB3EB"/>
    <w:rsid w:val="6F8731EA"/>
    <w:rsid w:val="6FCE6052"/>
    <w:rsid w:val="6FD57C00"/>
    <w:rsid w:val="6FEFFFD8"/>
    <w:rsid w:val="6FF5CC65"/>
    <w:rsid w:val="6FFB47EC"/>
    <w:rsid w:val="6FFF034A"/>
    <w:rsid w:val="70484440"/>
    <w:rsid w:val="712A28F1"/>
    <w:rsid w:val="715C0E4B"/>
    <w:rsid w:val="71992E7C"/>
    <w:rsid w:val="72233669"/>
    <w:rsid w:val="72734D90"/>
    <w:rsid w:val="73160E6D"/>
    <w:rsid w:val="7332FE48"/>
    <w:rsid w:val="73AB61DA"/>
    <w:rsid w:val="73AD73D5"/>
    <w:rsid w:val="73B6EB34"/>
    <w:rsid w:val="73FA497D"/>
    <w:rsid w:val="744731E5"/>
    <w:rsid w:val="74BBD01D"/>
    <w:rsid w:val="74ED5379"/>
    <w:rsid w:val="75DEEEC2"/>
    <w:rsid w:val="75E32345"/>
    <w:rsid w:val="76E3355F"/>
    <w:rsid w:val="76FF5125"/>
    <w:rsid w:val="776F6FFA"/>
    <w:rsid w:val="778769C8"/>
    <w:rsid w:val="77A75DCA"/>
    <w:rsid w:val="77DC22F5"/>
    <w:rsid w:val="783E271A"/>
    <w:rsid w:val="78616DE9"/>
    <w:rsid w:val="78E875D7"/>
    <w:rsid w:val="79086DAD"/>
    <w:rsid w:val="79D7FD79"/>
    <w:rsid w:val="79EE5BA4"/>
    <w:rsid w:val="7A894339"/>
    <w:rsid w:val="7AD284E8"/>
    <w:rsid w:val="7AFF7572"/>
    <w:rsid w:val="7B6C7DFB"/>
    <w:rsid w:val="7BBFBED0"/>
    <w:rsid w:val="7BC3E394"/>
    <w:rsid w:val="7C1F3737"/>
    <w:rsid w:val="7CBFC87B"/>
    <w:rsid w:val="7CFE0F48"/>
    <w:rsid w:val="7D272ABC"/>
    <w:rsid w:val="7D7EC23E"/>
    <w:rsid w:val="7E8ADEBF"/>
    <w:rsid w:val="7EEF11D3"/>
    <w:rsid w:val="7EFE4840"/>
    <w:rsid w:val="7F0971A6"/>
    <w:rsid w:val="7F1D62E7"/>
    <w:rsid w:val="7F3F679B"/>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nhideWhenUsed="0" w:uiPriority="0" w:semiHidden="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6">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7">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7">
    <w:name w:val="Default Paragraph Font"/>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unhideWhenUsed/>
    <w:qFormat/>
    <w:uiPriority w:val="99"/>
    <w:pPr>
      <w:ind w:firstLine="420" w:firstLineChars="200"/>
    </w:pPr>
  </w:style>
  <w:style w:type="paragraph" w:styleId="4">
    <w:name w:val="Body Text Indent"/>
    <w:basedOn w:val="1"/>
    <w:next w:val="3"/>
    <w:qFormat/>
    <w:uiPriority w:val="0"/>
    <w:pPr>
      <w:spacing w:after="120"/>
      <w:ind w:leftChars="200"/>
    </w:pPr>
    <w:rPr>
      <w:rFonts w:ascii="仿宋_GB2312"/>
      <w:szCs w:val="32"/>
    </w:rPr>
  </w:style>
  <w:style w:type="paragraph" w:styleId="8">
    <w:name w:val="Body Text"/>
    <w:basedOn w:val="1"/>
    <w:link w:val="26"/>
    <w:qFormat/>
    <w:uiPriority w:val="99"/>
    <w:pPr>
      <w:spacing w:beforeLines="30"/>
    </w:pPr>
    <w:rPr>
      <w:rFonts w:ascii="仿宋_GB2312" w:eastAsia="仿宋_GB2312"/>
      <w:kern w:val="0"/>
      <w:sz w:val="30"/>
    </w:r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2"/>
    <w:semiHidden/>
    <w:unhideWhenUsed/>
    <w:qFormat/>
    <w:uiPriority w:val="99"/>
    <w:rPr>
      <w:sz w:val="18"/>
      <w:szCs w:val="18"/>
    </w:rPr>
  </w:style>
  <w:style w:type="paragraph" w:styleId="11">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index 9"/>
    <w:next w:val="1"/>
    <w:qFormat/>
    <w:uiPriority w:val="0"/>
    <w:pPr>
      <w:widowControl w:val="0"/>
      <w:tabs>
        <w:tab w:val="left" w:pos="2"/>
      </w:tabs>
      <w:ind w:firstLine="629"/>
      <w:jc w:val="both"/>
    </w:pPr>
    <w:rPr>
      <w:rFonts w:ascii="Calibri" w:hAnsi="Calibri" w:eastAsia="宋体" w:cs="Times New Roman"/>
      <w:kern w:val="2"/>
      <w:sz w:val="21"/>
      <w:szCs w:val="24"/>
      <w:lang w:val="en-US" w:eastAsia="zh-CN" w:bidi="ar-SA"/>
    </w:rPr>
  </w:style>
  <w:style w:type="paragraph" w:styleId="15">
    <w:name w:val="toc 2"/>
    <w:basedOn w:val="1"/>
    <w:next w:val="1"/>
    <w:unhideWhenUsed/>
    <w:qFormat/>
    <w:uiPriority w:val="39"/>
    <w:pPr>
      <w:tabs>
        <w:tab w:val="right" w:leader="dot" w:pos="8296"/>
      </w:tabs>
      <w:ind w:left="420" w:left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paragraph" w:customStyle="1" w:styleId="20">
    <w:name w:val="标题 5（有编号）（绿盟科技）"/>
    <w:next w:val="1"/>
    <w:qFormat/>
    <w:uiPriority w:val="99"/>
    <w:pPr>
      <w:keepNext/>
      <w:keepLines/>
      <w:widowControl w:val="0"/>
      <w:spacing w:before="280" w:after="156" w:line="377" w:lineRule="auto"/>
      <w:jc w:val="left"/>
      <w:outlineLvl w:val="4"/>
    </w:pPr>
    <w:rPr>
      <w:rFonts w:ascii="Arial" w:hAnsi="Arial" w:eastAsia="黑体" w:cs="Times New Roman"/>
      <w:b/>
      <w:kern w:val="2"/>
      <w:sz w:val="24"/>
      <w:szCs w:val="28"/>
      <w:lang w:val="en-US" w:eastAsia="zh-CN" w:bidi="ar-SA"/>
    </w:rPr>
  </w:style>
  <w:style w:type="character" w:customStyle="1" w:styleId="21">
    <w:name w:val="Header Char"/>
    <w:basedOn w:val="17"/>
    <w:semiHidden/>
    <w:qFormat/>
    <w:uiPriority w:val="99"/>
    <w:rPr>
      <w:rFonts w:ascii="Times New Roman" w:hAnsi="Times New Roman"/>
      <w:sz w:val="18"/>
      <w:szCs w:val="18"/>
    </w:rPr>
  </w:style>
  <w:style w:type="character" w:customStyle="1" w:styleId="22">
    <w:name w:val="页眉 Char"/>
    <w:link w:val="12"/>
    <w:semiHidden/>
    <w:qFormat/>
    <w:locked/>
    <w:uiPriority w:val="99"/>
    <w:rPr>
      <w:sz w:val="18"/>
    </w:rPr>
  </w:style>
  <w:style w:type="character" w:customStyle="1" w:styleId="23">
    <w:name w:val="Footer Char"/>
    <w:basedOn w:val="17"/>
    <w:semiHidden/>
    <w:qFormat/>
    <w:uiPriority w:val="99"/>
    <w:rPr>
      <w:rFonts w:ascii="Times New Roman" w:hAnsi="Times New Roman"/>
      <w:sz w:val="18"/>
      <w:szCs w:val="18"/>
    </w:rPr>
  </w:style>
  <w:style w:type="character" w:customStyle="1" w:styleId="24">
    <w:name w:val="页脚 Char"/>
    <w:link w:val="11"/>
    <w:qFormat/>
    <w:locked/>
    <w:uiPriority w:val="99"/>
    <w:rPr>
      <w:sz w:val="18"/>
    </w:rPr>
  </w:style>
  <w:style w:type="character" w:customStyle="1" w:styleId="25">
    <w:name w:val="Body Text Char"/>
    <w:basedOn w:val="17"/>
    <w:semiHidden/>
    <w:qFormat/>
    <w:uiPriority w:val="99"/>
    <w:rPr>
      <w:rFonts w:ascii="Times New Roman" w:hAnsi="Times New Roman"/>
      <w:szCs w:val="24"/>
    </w:rPr>
  </w:style>
  <w:style w:type="character" w:customStyle="1" w:styleId="26">
    <w:name w:val="正文文本 Char"/>
    <w:link w:val="8"/>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qFormat/>
    <w:uiPriority w:val="34"/>
    <w:pPr>
      <w:ind w:firstLine="420" w:firstLineChars="200"/>
    </w:pPr>
  </w:style>
  <w:style w:type="character" w:customStyle="1" w:styleId="29">
    <w:name w:val="标题 1 Char"/>
    <w:basedOn w:val="17"/>
    <w:link w:val="5"/>
    <w:qFormat/>
    <w:uiPriority w:val="9"/>
    <w:rPr>
      <w:rFonts w:ascii="Times New Roman" w:hAnsi="Times New Roman"/>
      <w:b/>
      <w:bCs/>
      <w:kern w:val="44"/>
      <w:sz w:val="44"/>
      <w:szCs w:val="44"/>
    </w:rPr>
  </w:style>
  <w:style w:type="character" w:customStyle="1" w:styleId="30">
    <w:name w:val="标题 2 Char"/>
    <w:basedOn w:val="17"/>
    <w:link w:val="6"/>
    <w:qFormat/>
    <w:uiPriority w:val="9"/>
    <w:rPr>
      <w:rFonts w:asciiTheme="majorHAnsi" w:hAnsiTheme="majorHAnsi" w:eastAsiaTheme="majorEastAsia" w:cstheme="majorBidi"/>
      <w:b/>
      <w:bCs/>
      <w:kern w:val="2"/>
      <w:sz w:val="32"/>
      <w:szCs w:val="32"/>
    </w:rPr>
  </w:style>
  <w:style w:type="paragraph" w:customStyle="1" w:styleId="31">
    <w:name w:val="TOC 标题1"/>
    <w:basedOn w:val="5"/>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批注框文本 Char"/>
    <w:basedOn w:val="17"/>
    <w:link w:val="10"/>
    <w:semiHidden/>
    <w:qFormat/>
    <w:uiPriority w:val="99"/>
    <w:rPr>
      <w:rFonts w:ascii="Times New Roman" w:hAnsi="Times New Roman"/>
      <w:kern w:val="2"/>
      <w:sz w:val="18"/>
      <w:szCs w:val="18"/>
    </w:rPr>
  </w:style>
  <w:style w:type="character" w:customStyle="1" w:styleId="33">
    <w:name w:val="标题 3 Char"/>
    <w:basedOn w:val="17"/>
    <w:link w:val="7"/>
    <w:qFormat/>
    <w:uiPriority w:val="9"/>
    <w:rPr>
      <w:rFonts w:ascii="Times New Roman" w:hAnsi="Times New Roman"/>
      <w:b/>
      <w:bCs/>
      <w:kern w:val="2"/>
      <w:sz w:val="32"/>
      <w:szCs w:val="32"/>
    </w:rPr>
  </w:style>
  <w:style w:type="paragraph" w:customStyle="1" w:styleId="34">
    <w:name w:val="TOC Heading"/>
    <w:basedOn w:val="5"/>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5">
    <w:name w:val="四号正文"/>
    <w:basedOn w:val="1"/>
    <w:qFormat/>
    <w:uiPriority w:val="0"/>
    <w:pPr>
      <w:spacing w:line="360" w:lineRule="auto"/>
    </w:pPr>
    <w:rPr>
      <w:rFonts w:ascii="??" w:hAnsi="??" w:eastAsia="宋体"/>
      <w:color w:val="000000"/>
      <w:kern w:val="0"/>
      <w:sz w:val="28"/>
      <w:szCs w:val="21"/>
      <w:lang w:val="zh-CN" w:eastAsia="zh-CN"/>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chart" Target="charts/chart7.xml"/><Relationship Id="rId21" Type="http://schemas.openxmlformats.org/officeDocument/2006/relationships/chart" Target="charts/chart6.xml"/><Relationship Id="rId20" Type="http://schemas.openxmlformats.org/officeDocument/2006/relationships/chart" Target="charts/chart5.xml"/><Relationship Id="rId2" Type="http://schemas.openxmlformats.org/officeDocument/2006/relationships/settings" Target="settings.xml"/><Relationship Id="rId19" Type="http://schemas.openxmlformats.org/officeDocument/2006/relationships/chart" Target="charts/chart4.xml"/><Relationship Id="rId18" Type="http://schemas.openxmlformats.org/officeDocument/2006/relationships/chart" Target="charts/chart3.xml"/><Relationship Id="rId17" Type="http://schemas.openxmlformats.org/officeDocument/2006/relationships/chart" Target="charts/chart2.xml"/><Relationship Id="rId16" Type="http://schemas.openxmlformats.org/officeDocument/2006/relationships/chart" Target="charts/chart1.xml"/><Relationship Id="rId15" Type="http://schemas.openxmlformats.org/officeDocument/2006/relationships/theme" Target="theme/theme1.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2023</c:v>
                </c:pt>
              </c:strCache>
            </c:strRef>
          </c:tx>
          <c:spPr>
            <a:solidFill>
              <a:schemeClr val="accent1"/>
            </a:solidFill>
            <a:ln>
              <a:noFill/>
            </a:ln>
            <a:effectLst/>
          </c:spPr>
          <c:invertIfNegative val="0"/>
          <c:dLbls>
            <c:delete val="1"/>
          </c:dLbls>
          <c:cat>
            <c:numRef>
              <c:extLst>
                <c:ext xmlns:c15="http://schemas.microsoft.com/office/drawing/2012/chart" uri="{02D57815-91ED-43cb-92C2-25804820EDAC}">
                  <c15:fullRef>
                    <c15:sqref>Sheet1!$A$2</c15:sqref>
                  </c15:fullRef>
                </c:ext>
              </c:extLst>
              <c:f>Sheet1!$A$2</c:f>
              <c:numCache>
                <c:formatCode>General</c:formatCode>
                <c:ptCount val="1"/>
              </c:numCache>
            </c:numRef>
          </c:cat>
          <c:val>
            <c:numRef>
              <c:extLst>
                <c:ext xmlns:c15="http://schemas.microsoft.com/office/drawing/2012/chart" uri="{02D57815-91ED-43cb-92C2-25804820EDAC}">
                  <c15:fullRef>
                    <c15:sqref>Sheet1!$B$2</c15:sqref>
                  </c15:fullRef>
                </c:ext>
              </c:extLst>
              <c:f>Sheet1!$B$2</c:f>
              <c:numCache>
                <c:formatCode>General</c:formatCode>
                <c:ptCount val="1"/>
                <c:pt idx="0">
                  <c:v>126.41</c:v>
                </c:pt>
              </c:numCache>
            </c:numRef>
          </c:val>
        </c:ser>
        <c:ser>
          <c:idx val="1"/>
          <c:order val="1"/>
          <c:tx>
            <c:strRef>
              <c:f>Sheet1!$C$1</c:f>
              <c:strCache>
                <c:ptCount val="1"/>
                <c:pt idx="0">
                  <c:v>2024</c:v>
                </c:pt>
              </c:strCache>
            </c:strRef>
          </c:tx>
          <c:spPr>
            <a:solidFill>
              <a:schemeClr val="accent2"/>
            </a:solidFill>
            <a:ln>
              <a:noFill/>
            </a:ln>
            <a:effectLst/>
          </c:spPr>
          <c:invertIfNegative val="0"/>
          <c:dLbls>
            <c:delete val="1"/>
          </c:dLbls>
          <c:cat>
            <c:numRef>
              <c:extLst>
                <c:ext xmlns:c15="http://schemas.microsoft.com/office/drawing/2012/chart" uri="{02D57815-91ED-43cb-92C2-25804820EDAC}">
                  <c15:fullRef>
                    <c15:sqref>Sheet1!$A$2</c15:sqref>
                  </c15:fullRef>
                </c:ext>
              </c:extLst>
              <c:f>Sheet1!$A$2</c:f>
              <c:numCache>
                <c:formatCode>General</c:formatCode>
                <c:ptCount val="1"/>
              </c:numCache>
            </c:numRef>
          </c:cat>
          <c:val>
            <c:numRef>
              <c:extLst>
                <c:ext xmlns:c15="http://schemas.microsoft.com/office/drawing/2012/chart" uri="{02D57815-91ED-43cb-92C2-25804820EDAC}">
                  <c15:fullRef>
                    <c15:sqref>Sheet1!$C$2</c15:sqref>
                  </c15:fullRef>
                </c:ext>
              </c:extLst>
              <c:f>Sheet1!$C$2</c:f>
              <c:numCache>
                <c:formatCode>General</c:formatCode>
                <c:ptCount val="1"/>
                <c:pt idx="0">
                  <c:v>144.36</c:v>
                </c:pt>
              </c:numCache>
            </c:numRef>
          </c:val>
        </c:ser>
        <c:dLbls>
          <c:showLegendKey val="0"/>
          <c:showVal val="0"/>
          <c:showCatName val="0"/>
          <c:showSerName val="0"/>
          <c:showPercent val="0"/>
          <c:showBubbleSize val="0"/>
        </c:dLbls>
        <c:gapWidth val="150"/>
        <c:overlap val="0"/>
        <c:axId val="196917209"/>
        <c:axId val="88758592"/>
        <c:extLst>
          <c:ext xmlns:c15="http://schemas.microsoft.com/office/drawing/2012/chart" uri="{02D57815-91ED-43cb-92C2-25804820EDAC}">
            <c15:filteredBarSeries>
              <c15:ser>
                <c:idx val="2"/>
                <c:order val="2"/>
                <c:tx>
                  <c:strRef>
                    <c:extLst>
                      <c:ext uri="{02D57815-91ED-43cb-92C2-25804820EDAC}">
                        <c15:formulaRef>
                          <c15:sqref>Sheet1!#REF!</c15:sqref>
                        </c15:formulaRef>
                      </c:ext>
                    </c:extLst>
                    <c:strCache>
                      <c:ptCount val="1"/>
                      <c:pt idx="0">
                        <c:v/>
                      </c:pt>
                    </c:strCache>
                  </c:strRef>
                </c:tx>
                <c:spPr>
                  <a:solidFill>
                    <a:schemeClr val="accent3"/>
                  </a:solidFill>
                  <a:ln>
                    <a:noFill/>
                  </a:ln>
                  <a:effectLst/>
                </c:spPr>
                <c:invertIfNegative val="0"/>
                <c:dLbls>
                  <c:delete val="1"/>
                </c:dLbls>
                <c:cat>
                  <c:numRef>
                    <c:extLst>
                      <c:ext uri="{02D57815-91ED-43cb-92C2-25804820EDAC}">
                        <c15:fullRef>
                          <c15:sqref>Sheet1!$A$2</c15:sqref>
                        </c15:fullRef>
                        <c15:formulaRef>
                          <c15:sqref>Sheet1!$A$2</c15:sqref>
                        </c15:formulaRef>
                      </c:ext>
                    </c:extLst>
                    <c:numCache>
                      <c:formatCode>General</c:formatCode>
                      <c:ptCount val="1"/>
                    </c:numCache>
                  </c:numRef>
                </c:cat>
              </c15:ser>
            </c15:filteredBarSeries>
          </c:ext>
        </c:extLst>
      </c:barChart>
      <c:catAx>
        <c:axId val="196917209"/>
        <c:scaling>
          <c:orientation val="minMax"/>
        </c:scaling>
        <c:delete val="0"/>
        <c:axPos val="b"/>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8758592"/>
        <c:crosses val="autoZero"/>
        <c:auto val="1"/>
        <c:lblAlgn val="ctr"/>
        <c:lblOffset val="100"/>
        <c:noMultiLvlLbl val="0"/>
      </c:catAx>
      <c:valAx>
        <c:axId val="88758592"/>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6917209"/>
        <c:crosses val="autoZero"/>
        <c:crossBetween val="between"/>
      </c:valAx>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563812e2-0e8b-4280-a95f-84097afdd14a}"/>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a:solidFill>
                  <a:schemeClr val="bg1"/>
                </a:solidFill>
              </a:ln>
              <a:effectLst/>
            </c:spPr>
          </c:dPt>
          <c:dLbls>
            <c:delete val="1"/>
          </c:dLbls>
          <c:cat>
            <c:strRef>
              <c:extLst>
                <c:ext xmlns:c15="http://schemas.microsoft.com/office/drawing/2012/chart" uri="{02D57815-91ED-43cb-92C2-25804820EDAC}">
                  <c15:fullRef>
                    <c15:sqref>Sheet1!$A$2:$A$5</c15:sqref>
                  </c15:fullRef>
                  <c15:levelRef>
                    <c15:sqref>Sheet1!$A$2</c15:sqref>
                  </c15:levelRef>
                </c:ext>
              </c:extLst>
              <c:f>Sheet1!$A$2</c:f>
              <c:strCache>
                <c:ptCount val="1"/>
                <c:pt idx="0">
                  <c:v>一般公共预算财政拨款</c:v>
                </c:pt>
              </c:strCache>
            </c:strRef>
          </c:cat>
          <c:val>
            <c:numRef>
              <c:extLst>
                <c:ext xmlns:c15="http://schemas.microsoft.com/office/drawing/2012/chart" uri="{02D57815-91ED-43cb-92C2-25804820EDAC}">
                  <c15:fullRef>
                    <c15:sqref>Sheet1!$B$2:$B$5</c15:sqref>
                  </c15:fullRef>
                </c:ext>
              </c:extLst>
              <c:f>Sheet1!$B$2</c:f>
              <c:numCache>
                <c:formatCode>General</c:formatCode>
                <c:ptCount val="1"/>
                <c:pt idx="0">
                  <c:v>8.2</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46781009197117"/>
          <c:y val="0.466323296354992"/>
          <c:w val="0.320904797414865"/>
          <c:h val="0.139064976228209"/>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f162c980-1427-4586-a87f-d75cc20d2e30}"/>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a:solidFill>
                  <a:schemeClr val="bg1"/>
                </a:solidFill>
              </a:ln>
              <a:effectLst/>
            </c:spPr>
          </c:dPt>
          <c:dLbls>
            <c:delete val="1"/>
          </c:dLbls>
          <c:cat>
            <c:strRef>
              <c:extLst>
                <c:ext xmlns:c15="http://schemas.microsoft.com/office/drawing/2012/chart" uri="{02D57815-91ED-43cb-92C2-25804820EDAC}">
                  <c15:fullRef>
                    <c15:sqref>Sheet1!$A$2:$A$5</c15:sqref>
                  </c15:fullRef>
                </c:ext>
              </c:extLst>
              <c:f>Sheet1!$A$2</c:f>
              <c:strCache>
                <c:ptCount val="1"/>
                <c:pt idx="0">
                  <c:v>基本支出</c:v>
                </c:pt>
              </c:strCache>
            </c:strRef>
          </c:cat>
          <c:val>
            <c:numRef>
              <c:extLst>
                <c:ext xmlns:c15="http://schemas.microsoft.com/office/drawing/2012/chart" uri="{02D57815-91ED-43cb-92C2-25804820EDAC}">
                  <c15:fullRef>
                    <c15:sqref>Sheet1!$B$2:$B$5</c15:sqref>
                  </c15:fullRef>
                </c:ext>
              </c:extLst>
              <c:f>Sheet1!$B$2</c:f>
              <c:numCache>
                <c:formatCode>General</c:formatCode>
                <c:ptCount val="1"/>
                <c:pt idx="0">
                  <c:v>8.2</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46781009197117"/>
          <c:y val="0.466323296354992"/>
          <c:w val="0.320904797414865"/>
          <c:h val="0.139064976228209"/>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1e316a70-a1c4-4ddd-9874-1a16cb97f932}"/>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2023</c:v>
                </c:pt>
              </c:strCache>
            </c:strRef>
          </c:tx>
          <c:spPr>
            <a:solidFill>
              <a:schemeClr val="accent1"/>
            </a:solidFill>
            <a:ln>
              <a:noFill/>
            </a:ln>
            <a:effectLst/>
          </c:spPr>
          <c:invertIfNegative val="0"/>
          <c:dLbls>
            <c:delete val="1"/>
          </c:dLbls>
          <c:cat>
            <c:numRef>
              <c:extLst>
                <c:ext xmlns:c15="http://schemas.microsoft.com/office/drawing/2012/chart" uri="{02D57815-91ED-43cb-92C2-25804820EDAC}">
                  <c15:fullRef>
                    <c15:sqref>Sheet1!$A$2</c15:sqref>
                  </c15:fullRef>
                </c:ext>
              </c:extLst>
              <c:f>Sheet1!$A$2</c:f>
              <c:numCache>
                <c:formatCode>General</c:formatCode>
                <c:ptCount val="1"/>
              </c:numCache>
            </c:numRef>
          </c:cat>
          <c:val>
            <c:numRef>
              <c:extLst>
                <c:ext xmlns:c15="http://schemas.microsoft.com/office/drawing/2012/chart" uri="{02D57815-91ED-43cb-92C2-25804820EDAC}">
                  <c15:fullRef>
                    <c15:sqref>Sheet1!$B$2</c15:sqref>
                  </c15:fullRef>
                </c:ext>
              </c:extLst>
              <c:f>Sheet1!$B$2</c:f>
              <c:numCache>
                <c:formatCode>General</c:formatCode>
                <c:ptCount val="1"/>
                <c:pt idx="0">
                  <c:v>126.41</c:v>
                </c:pt>
              </c:numCache>
            </c:numRef>
          </c:val>
        </c:ser>
        <c:ser>
          <c:idx val="1"/>
          <c:order val="1"/>
          <c:tx>
            <c:strRef>
              <c:f>Sheet1!$C$1</c:f>
              <c:strCache>
                <c:ptCount val="1"/>
                <c:pt idx="0">
                  <c:v>2024</c:v>
                </c:pt>
              </c:strCache>
            </c:strRef>
          </c:tx>
          <c:spPr>
            <a:solidFill>
              <a:schemeClr val="accent2"/>
            </a:solidFill>
            <a:ln>
              <a:noFill/>
            </a:ln>
            <a:effectLst/>
          </c:spPr>
          <c:invertIfNegative val="0"/>
          <c:dLbls>
            <c:delete val="1"/>
          </c:dLbls>
          <c:cat>
            <c:numRef>
              <c:extLst>
                <c:ext xmlns:c15="http://schemas.microsoft.com/office/drawing/2012/chart" uri="{02D57815-91ED-43cb-92C2-25804820EDAC}">
                  <c15:fullRef>
                    <c15:sqref>Sheet1!$A$2</c15:sqref>
                  </c15:fullRef>
                </c:ext>
              </c:extLst>
              <c:f>Sheet1!$A$2</c:f>
              <c:numCache>
                <c:formatCode>General</c:formatCode>
                <c:ptCount val="1"/>
              </c:numCache>
            </c:numRef>
          </c:cat>
          <c:val>
            <c:numRef>
              <c:extLst>
                <c:ext xmlns:c15="http://schemas.microsoft.com/office/drawing/2012/chart" uri="{02D57815-91ED-43cb-92C2-25804820EDAC}">
                  <c15:fullRef>
                    <c15:sqref>Sheet1!$C$2</c15:sqref>
                  </c15:fullRef>
                </c:ext>
              </c:extLst>
              <c:f>Sheet1!$C$2</c:f>
              <c:numCache>
                <c:formatCode>General</c:formatCode>
                <c:ptCount val="1"/>
                <c:pt idx="0">
                  <c:v>144.36</c:v>
                </c:pt>
              </c:numCache>
            </c:numRef>
          </c:val>
        </c:ser>
        <c:dLbls>
          <c:showLegendKey val="0"/>
          <c:showVal val="0"/>
          <c:showCatName val="0"/>
          <c:showSerName val="0"/>
          <c:showPercent val="0"/>
          <c:showBubbleSize val="0"/>
        </c:dLbls>
        <c:gapWidth val="150"/>
        <c:overlap val="0"/>
        <c:axId val="196917209"/>
        <c:axId val="88758592"/>
        <c:extLst>
          <c:ext xmlns:c15="http://schemas.microsoft.com/office/drawing/2012/chart" uri="{02D57815-91ED-43cb-92C2-25804820EDAC}">
            <c15:filteredBarSeries>
              <c15:ser>
                <c:idx val="2"/>
                <c:order val="2"/>
                <c:tx>
                  <c:strRef>
                    <c:extLst>
                      <c:ext uri="{02D57815-91ED-43cb-92C2-25804820EDAC}">
                        <c15:formulaRef>
                          <c15:sqref>Sheet1!#REF!</c15:sqref>
                        </c15:formulaRef>
                      </c:ext>
                    </c:extLst>
                    <c:strCache>
                      <c:ptCount val="1"/>
                      <c:pt idx="0">
                        <c:v/>
                      </c:pt>
                    </c:strCache>
                  </c:strRef>
                </c:tx>
                <c:spPr>
                  <a:solidFill>
                    <a:schemeClr val="accent3"/>
                  </a:solidFill>
                  <a:ln>
                    <a:noFill/>
                  </a:ln>
                  <a:effectLst/>
                </c:spPr>
                <c:invertIfNegative val="0"/>
                <c:dLbls>
                  <c:delete val="1"/>
                </c:dLbls>
                <c:cat>
                  <c:numRef>
                    <c:extLst>
                      <c:ext uri="{02D57815-91ED-43cb-92C2-25804820EDAC}">
                        <c15:fullRef>
                          <c15:sqref>Sheet1!$A$2</c15:sqref>
                        </c15:fullRef>
                        <c15:formulaRef>
                          <c15:sqref>Sheet1!$A$2</c15:sqref>
                        </c15:formulaRef>
                      </c:ext>
                    </c:extLst>
                    <c:numCache>
                      <c:formatCode>General</c:formatCode>
                      <c:ptCount val="1"/>
                    </c:numCache>
                  </c:numRef>
                </c:cat>
              </c15:ser>
            </c15:filteredBarSeries>
          </c:ext>
        </c:extLst>
      </c:barChart>
      <c:catAx>
        <c:axId val="196917209"/>
        <c:scaling>
          <c:orientation val="minMax"/>
        </c:scaling>
        <c:delete val="0"/>
        <c:axPos val="b"/>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8758592"/>
        <c:crosses val="autoZero"/>
        <c:auto val="1"/>
        <c:lblAlgn val="ctr"/>
        <c:lblOffset val="100"/>
        <c:noMultiLvlLbl val="0"/>
      </c:catAx>
      <c:valAx>
        <c:axId val="88758592"/>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6917209"/>
        <c:crosses val="autoZero"/>
        <c:crossBetween val="between"/>
      </c:valAx>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563812e2-0e8b-4280-a95f-84097afdd14a}"/>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2023</c:v>
                </c:pt>
              </c:strCache>
            </c:strRef>
          </c:tx>
          <c:spPr>
            <a:solidFill>
              <a:schemeClr val="accent1"/>
            </a:solidFill>
            <a:ln>
              <a:noFill/>
            </a:ln>
            <a:effectLst/>
          </c:spPr>
          <c:invertIfNegative val="0"/>
          <c:dLbls>
            <c:delete val="1"/>
          </c:dLbls>
          <c:cat>
            <c:numRef>
              <c:extLst>
                <c:ext xmlns:c15="http://schemas.microsoft.com/office/drawing/2012/chart" uri="{02D57815-91ED-43cb-92C2-25804820EDAC}">
                  <c15:fullRef>
                    <c15:sqref>Sheet1!$A$2</c15:sqref>
                  </c15:fullRef>
                </c:ext>
              </c:extLst>
              <c:f>Sheet1!$A$2</c:f>
              <c:numCache>
                <c:formatCode>General</c:formatCode>
                <c:ptCount val="1"/>
              </c:numCache>
            </c:numRef>
          </c:cat>
          <c:val>
            <c:numRef>
              <c:extLst>
                <c:ext xmlns:c15="http://schemas.microsoft.com/office/drawing/2012/chart" uri="{02D57815-91ED-43cb-92C2-25804820EDAC}">
                  <c15:fullRef>
                    <c15:sqref>Sheet1!$B$2</c15:sqref>
                  </c15:fullRef>
                </c:ext>
              </c:extLst>
              <c:f>Sheet1!$B$2</c:f>
              <c:numCache>
                <c:formatCode>General</c:formatCode>
                <c:ptCount val="1"/>
                <c:pt idx="0">
                  <c:v>126.41</c:v>
                </c:pt>
              </c:numCache>
            </c:numRef>
          </c:val>
        </c:ser>
        <c:ser>
          <c:idx val="1"/>
          <c:order val="1"/>
          <c:tx>
            <c:strRef>
              <c:f>Sheet1!$C$1</c:f>
              <c:strCache>
                <c:ptCount val="1"/>
                <c:pt idx="0">
                  <c:v>2024</c:v>
                </c:pt>
              </c:strCache>
            </c:strRef>
          </c:tx>
          <c:spPr>
            <a:solidFill>
              <a:schemeClr val="accent2"/>
            </a:solidFill>
            <a:ln>
              <a:noFill/>
            </a:ln>
            <a:effectLst/>
          </c:spPr>
          <c:invertIfNegative val="0"/>
          <c:dLbls>
            <c:delete val="1"/>
          </c:dLbls>
          <c:cat>
            <c:numRef>
              <c:extLst>
                <c:ext xmlns:c15="http://schemas.microsoft.com/office/drawing/2012/chart" uri="{02D57815-91ED-43cb-92C2-25804820EDAC}">
                  <c15:fullRef>
                    <c15:sqref>Sheet1!$A$2</c15:sqref>
                  </c15:fullRef>
                </c:ext>
              </c:extLst>
              <c:f>Sheet1!$A$2</c:f>
              <c:numCache>
                <c:formatCode>General</c:formatCode>
                <c:ptCount val="1"/>
              </c:numCache>
            </c:numRef>
          </c:cat>
          <c:val>
            <c:numRef>
              <c:extLst>
                <c:ext xmlns:c15="http://schemas.microsoft.com/office/drawing/2012/chart" uri="{02D57815-91ED-43cb-92C2-25804820EDAC}">
                  <c15:fullRef>
                    <c15:sqref>Sheet1!$C$2</c15:sqref>
                  </c15:fullRef>
                </c:ext>
              </c:extLst>
              <c:f>Sheet1!$C$2</c:f>
              <c:numCache>
                <c:formatCode>General</c:formatCode>
                <c:ptCount val="1"/>
                <c:pt idx="0">
                  <c:v>144.36</c:v>
                </c:pt>
              </c:numCache>
            </c:numRef>
          </c:val>
        </c:ser>
        <c:dLbls>
          <c:showLegendKey val="0"/>
          <c:showVal val="0"/>
          <c:showCatName val="0"/>
          <c:showSerName val="0"/>
          <c:showPercent val="0"/>
          <c:showBubbleSize val="0"/>
        </c:dLbls>
        <c:gapWidth val="150"/>
        <c:overlap val="0"/>
        <c:axId val="196917209"/>
        <c:axId val="88758592"/>
        <c:extLst>
          <c:ext xmlns:c15="http://schemas.microsoft.com/office/drawing/2012/chart" uri="{02D57815-91ED-43cb-92C2-25804820EDAC}">
            <c15:filteredBarSeries>
              <c15:ser>
                <c:idx val="2"/>
                <c:order val="2"/>
                <c:tx>
                  <c:strRef>
                    <c:extLst>
                      <c:ext uri="{02D57815-91ED-43cb-92C2-25804820EDAC}">
                        <c15:formulaRef>
                          <c15:sqref>Sheet1!#REF!</c15:sqref>
                        </c15:formulaRef>
                      </c:ext>
                    </c:extLst>
                    <c:strCache>
                      <c:ptCount val="1"/>
                      <c:pt idx="0">
                        <c:v/>
                      </c:pt>
                    </c:strCache>
                  </c:strRef>
                </c:tx>
                <c:spPr>
                  <a:solidFill>
                    <a:schemeClr val="accent3"/>
                  </a:solidFill>
                  <a:ln>
                    <a:noFill/>
                  </a:ln>
                  <a:effectLst/>
                </c:spPr>
                <c:invertIfNegative val="0"/>
                <c:dLbls>
                  <c:delete val="1"/>
                </c:dLbls>
                <c:cat>
                  <c:numRef>
                    <c:extLst>
                      <c:ext uri="{02D57815-91ED-43cb-92C2-25804820EDAC}">
                        <c15:fullRef>
                          <c15:sqref>Sheet1!$A$2</c15:sqref>
                        </c15:fullRef>
                        <c15:formulaRef>
                          <c15:sqref>Sheet1!$A$2</c15:sqref>
                        </c15:formulaRef>
                      </c:ext>
                    </c:extLst>
                    <c:numCache>
                      <c:formatCode>General</c:formatCode>
                      <c:ptCount val="1"/>
                    </c:numCache>
                  </c:numRef>
                </c:cat>
              </c15:ser>
            </c15:filteredBarSeries>
          </c:ext>
        </c:extLst>
      </c:barChart>
      <c:catAx>
        <c:axId val="196917209"/>
        <c:scaling>
          <c:orientation val="minMax"/>
        </c:scaling>
        <c:delete val="0"/>
        <c:axPos val="b"/>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8758592"/>
        <c:crosses val="autoZero"/>
        <c:auto val="1"/>
        <c:lblAlgn val="ctr"/>
        <c:lblOffset val="100"/>
        <c:noMultiLvlLbl val="0"/>
      </c:catAx>
      <c:valAx>
        <c:axId val="88758592"/>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6917209"/>
        <c:crosses val="autoZero"/>
        <c:crossBetween val="between"/>
      </c:valAx>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563812e2-0e8b-4280-a95f-84097afdd14a}"/>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Lbls>
            <c:delete val="1"/>
          </c:dLbls>
          <c:cat>
            <c:strRef>
              <c:f>Sheet1!$A$2:$A$4</c:f>
              <c:strCache>
                <c:ptCount val="3"/>
                <c:pt idx="0">
                  <c:v>社会保障和就业支出</c:v>
                </c:pt>
                <c:pt idx="1">
                  <c:v>卫生健康支出</c:v>
                </c:pt>
                <c:pt idx="2">
                  <c:v>住房保障支出</c:v>
                </c:pt>
              </c:strCache>
            </c:strRef>
          </c:cat>
          <c:val>
            <c:numRef>
              <c:f>Sheet1!$B$2:$B$4</c:f>
              <c:numCache>
                <c:formatCode>General</c:formatCode>
                <c:ptCount val="3"/>
                <c:pt idx="0">
                  <c:v>125.6</c:v>
                </c:pt>
                <c:pt idx="1">
                  <c:v>8.21</c:v>
                </c:pt>
                <c:pt idx="2">
                  <c:v>10.55</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1e316a70-a1c4-4ddd-9874-1a16cb97f932}"/>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Lbls>
            <c:delete val="1"/>
          </c:dLbls>
          <c:cat>
            <c:strRef>
              <c:f>Sheet1!$A$2:$A$4</c:f>
              <c:strCache>
                <c:ptCount val="3"/>
                <c:pt idx="0">
                  <c:v>因公出国（境）费用</c:v>
                </c:pt>
                <c:pt idx="1">
                  <c:v>公务车购置及运行维护费</c:v>
                </c:pt>
                <c:pt idx="2">
                  <c:v>公务接待费</c:v>
                </c:pt>
              </c:strCache>
            </c:strRef>
          </c:cat>
          <c:val>
            <c:numRef>
              <c:f>Sheet1!$B$2:$B$4</c:f>
              <c:numCache>
                <c:formatCode>General</c:formatCode>
                <c:ptCount val="3"/>
                <c:pt idx="0">
                  <c:v>0</c:v>
                </c:pt>
                <c:pt idx="1">
                  <c:v>0.54</c:v>
                </c:pt>
                <c:pt idx="2">
                  <c:v>0.1</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1e316a70-a1c4-4ddd-9874-1a16cb97f932}"/>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36</Pages>
  <Words>7783</Words>
  <Characters>9391</Characters>
  <Lines>61</Lines>
  <Paragraphs>17</Paragraphs>
  <TotalTime>0</TotalTime>
  <ScaleCrop>false</ScaleCrop>
  <LinksUpToDate>false</LinksUpToDate>
  <CharactersWithSpaces>9419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2020-08-09T09:49:00Z</dcterms:created>
  <dc:creator>曹颖</dc:creator>
  <cp:lastModifiedBy>秦韵月</cp:lastModifiedBy>
  <cp:lastPrinted>2025-08-06T17:34:00Z</cp:lastPrinted>
  <dcterms:modified xsi:type="dcterms:W3CDTF">2025-09-11T08:18:09Z</dcterms:modified>
  <dc:title>四川省***</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04787F2533EB45DC91BCDE4AB213247F</vt:lpwstr>
  </property>
  <property fmtid="{D5CDD505-2E9C-101B-9397-08002B2CF9AE}" pid="4" name="KSOTemplateDocerSaveRecord">
    <vt:lpwstr>eyJoZGlkIjoiZWU4OWUwYzEyY2UzOGJmZjNmZWM5ZDI0OTY1ZmEwNmYiLCJ1c2VySWQiOiIxNTk4Mzc5NjQ1In0=</vt:lpwstr>
  </property>
</Properties>
</file>