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93"/>
        <w:rPr>
          <w:rFonts w:ascii="Times New Roman" w:eastAsia="方正小标宋简体"/>
          <w:kern w:val="2"/>
          <w:sz w:val="72"/>
          <w:szCs w:val="72"/>
        </w:rPr>
      </w:pPr>
      <w:bookmarkStart w:id="0" w:name="_Toc15377193"/>
      <w:bookmarkStart w:id="1" w:name="_Toc15377425"/>
      <w:bookmarkStart w:id="2" w:name="_Toc15378441"/>
      <w:bookmarkStart w:id="3" w:name="_Toc15396597"/>
      <w:bookmarkStart w:id="4" w:name="_Toc15396475"/>
      <w:bookmarkStart w:id="5" w:name="_Toc15306267"/>
    </w:p>
    <w:p>
      <w:pPr>
        <w:pStyle w:val="8"/>
        <w:spacing w:before="93"/>
        <w:rPr>
          <w:rFonts w:ascii="Times New Roman" w:eastAsia="方正小标宋简体"/>
          <w:kern w:val="2"/>
          <w:sz w:val="72"/>
          <w:szCs w:val="72"/>
        </w:rPr>
      </w:pPr>
    </w:p>
    <w:p>
      <w:pPr>
        <w:pStyle w:val="8"/>
        <w:spacing w:before="93"/>
        <w:rPr>
          <w:rFonts w:ascii="Times New Roman" w:eastAsia="方正小标宋简体"/>
          <w:kern w:val="2"/>
          <w:sz w:val="72"/>
          <w:szCs w:val="72"/>
        </w:rPr>
      </w:pPr>
    </w:p>
    <w:p>
      <w:pPr>
        <w:pStyle w:val="8"/>
        <w:spacing w:before="93"/>
        <w:jc w:val="center"/>
        <w:rPr>
          <w:rFonts w:ascii="Times New Roman" w:eastAsia="方正小标宋简体"/>
          <w:kern w:val="2"/>
          <w:sz w:val="44"/>
          <w:szCs w:val="44"/>
        </w:rPr>
      </w:pPr>
      <w:r>
        <w:rPr>
          <w:rFonts w:ascii="Times New Roman" w:eastAsia="方正小标宋简体"/>
          <w:kern w:val="2"/>
          <w:sz w:val="44"/>
          <w:szCs w:val="44"/>
        </w:rPr>
        <w:t>2024年度市级单位决算公开文字说明</w:t>
      </w:r>
    </w:p>
    <w:p>
      <w:pPr>
        <w:spacing w:line="600" w:lineRule="exact"/>
        <w:jc w:val="center"/>
        <w:outlineLvl w:val="0"/>
        <w:rPr>
          <w:rFonts w:eastAsia="方正小标宋简体"/>
          <w:sz w:val="72"/>
          <w:szCs w:val="72"/>
        </w:rPr>
      </w:pPr>
    </w:p>
    <w:p>
      <w:pPr>
        <w:pStyle w:val="19"/>
        <w:rPr>
          <w:rFonts w:ascii="Times New Roman" w:hAnsi="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p>
      <w:pPr>
        <w:pStyle w:val="8"/>
        <w:spacing w:before="93"/>
        <w:jc w:val="center"/>
        <w:rPr>
          <w:rFonts w:ascii="Times New Roman" w:eastAsia="方正小标宋简体"/>
          <w:kern w:val="2"/>
          <w:sz w:val="44"/>
          <w:szCs w:val="44"/>
        </w:rPr>
      </w:pPr>
    </w:p>
    <w:p>
      <w:pPr>
        <w:pStyle w:val="8"/>
        <w:spacing w:before="93"/>
        <w:jc w:val="center"/>
        <w:rPr>
          <w:rFonts w:ascii="Times New Roman" w:eastAsia="方正小标宋简体"/>
          <w:kern w:val="2"/>
          <w:sz w:val="44"/>
          <w:szCs w:val="44"/>
        </w:rPr>
      </w:pPr>
    </w:p>
    <w:p>
      <w:pPr>
        <w:pStyle w:val="8"/>
        <w:spacing w:before="93"/>
        <w:jc w:val="center"/>
        <w:rPr>
          <w:rFonts w:ascii="Times New Roman" w:eastAsia="方正小标宋简体"/>
          <w:kern w:val="2"/>
          <w:sz w:val="44"/>
          <w:szCs w:val="44"/>
        </w:rPr>
      </w:pPr>
    </w:p>
    <w:p>
      <w:pPr>
        <w:pStyle w:val="8"/>
        <w:spacing w:before="93"/>
        <w:jc w:val="center"/>
        <w:rPr>
          <w:rFonts w:ascii="Times New Roman" w:eastAsia="方正小标宋简体"/>
          <w:kern w:val="2"/>
          <w:sz w:val="44"/>
          <w:szCs w:val="44"/>
        </w:rPr>
      </w:pPr>
    </w:p>
    <w:bookmarkEnd w:id="0"/>
    <w:bookmarkEnd w:id="1"/>
    <w:bookmarkEnd w:id="2"/>
    <w:bookmarkEnd w:id="3"/>
    <w:bookmarkEnd w:id="4"/>
    <w:p>
      <w:pPr>
        <w:pStyle w:val="8"/>
        <w:spacing w:before="93"/>
        <w:jc w:val="center"/>
        <w:rPr>
          <w:rFonts w:ascii="Times New Roman" w:eastAsia="方正小标宋简体"/>
          <w:kern w:val="2"/>
          <w:sz w:val="44"/>
          <w:szCs w:val="44"/>
        </w:rPr>
      </w:pPr>
      <w:bookmarkStart w:id="6" w:name="_Toc15396476"/>
      <w:bookmarkStart w:id="7" w:name="_Toc15377426"/>
      <w:bookmarkStart w:id="8" w:name="_Toc15378442"/>
      <w:bookmarkStart w:id="9" w:name="_Toc15396598"/>
      <w:bookmarkStart w:id="10" w:name="_Toc15377194"/>
      <w:r>
        <w:rPr>
          <w:rFonts w:ascii="Times New Roman" w:eastAsia="方正小标宋简体"/>
          <w:kern w:val="2"/>
          <w:sz w:val="44"/>
          <w:szCs w:val="44"/>
        </w:rPr>
        <w:t>2024年度四川省</w:t>
      </w:r>
      <w:bookmarkEnd w:id="5"/>
      <w:bookmarkStart w:id="11" w:name="_Toc15306268"/>
      <w:r>
        <w:rPr>
          <w:rFonts w:ascii="Times New Roman" w:eastAsia="方正小标宋简体"/>
          <w:kern w:val="2"/>
          <w:sz w:val="44"/>
          <w:szCs w:val="44"/>
        </w:rPr>
        <w:t>攀枝花市委党史研究室</w:t>
      </w:r>
    </w:p>
    <w:p>
      <w:pPr>
        <w:pStyle w:val="8"/>
        <w:spacing w:before="93"/>
        <w:jc w:val="center"/>
        <w:rPr>
          <w:rFonts w:ascii="Times New Roman" w:eastAsia="方正小标宋简体"/>
          <w:kern w:val="2"/>
          <w:sz w:val="44"/>
          <w:szCs w:val="44"/>
        </w:rPr>
      </w:pPr>
      <w:r>
        <w:rPr>
          <w:rFonts w:ascii="Times New Roman" w:eastAsia="方正小标宋简体"/>
          <w:kern w:val="2"/>
          <w:sz w:val="44"/>
          <w:szCs w:val="44"/>
        </w:rPr>
        <w:t>单位决算</w:t>
      </w:r>
      <w:bookmarkEnd w:id="6"/>
      <w:bookmarkEnd w:id="7"/>
      <w:bookmarkEnd w:id="8"/>
      <w:bookmarkEnd w:id="9"/>
      <w:bookmarkEnd w:id="10"/>
      <w:bookmarkEnd w:id="11"/>
    </w:p>
    <w:p>
      <w:pPr>
        <w:pStyle w:val="14"/>
        <w:adjustRightInd w:val="0"/>
        <w:snapToGrid w:val="0"/>
        <w:spacing w:line="560" w:lineRule="exact"/>
        <w:jc w:val="left"/>
        <w:rPr>
          <w:rFonts w:eastAsia="仿宋_GB2312"/>
          <w:sz w:val="32"/>
          <w:szCs w:val="32"/>
        </w:rPr>
      </w:pPr>
    </w:p>
    <w:p>
      <w:pPr>
        <w:widowControl/>
        <w:jc w:val="center"/>
        <w:rPr>
          <w:rFonts w:eastAsia="黑体"/>
          <w:sz w:val="48"/>
          <w:szCs w:val="48"/>
        </w:rPr>
      </w:pPr>
      <w:r>
        <w:rPr>
          <w:rFonts w:eastAsia="方正小标宋简体"/>
          <w:sz w:val="36"/>
          <w:szCs w:val="36"/>
        </w:rPr>
        <w:br w:type="page"/>
      </w:r>
      <w:r>
        <w:rPr>
          <w:rFonts w:eastAsia="黑体"/>
          <w:sz w:val="48"/>
          <w:szCs w:val="48"/>
        </w:rPr>
        <w:t>目录</w:t>
      </w:r>
    </w:p>
    <w:p>
      <w:pPr>
        <w:widowControl/>
        <w:jc w:val="center"/>
        <w:rPr>
          <w:rFonts w:eastAsia="黑体"/>
          <w:sz w:val="28"/>
          <w:szCs w:val="28"/>
        </w:rPr>
      </w:pPr>
    </w:p>
    <w:p>
      <w:pPr>
        <w:pStyle w:val="13"/>
        <w:rPr>
          <w:rFonts w:ascii="Times New Roman" w:hAnsi="Times New Roman" w:eastAsia="仿宋_GB2312"/>
          <w:sz w:val="32"/>
          <w:szCs w:val="32"/>
        </w:rPr>
      </w:pPr>
      <w:r>
        <w:rPr>
          <w:rFonts w:ascii="Times New Roman" w:hAnsi="Times New Roman" w:eastAsia="仿宋_GB2312"/>
          <w:sz w:val="32"/>
          <w:szCs w:val="32"/>
        </w:rPr>
        <w:t xml:space="preserve">公开时间：2025年 9月 </w:t>
      </w:r>
      <w:r>
        <w:rPr>
          <w:rFonts w:hint="eastAsia" w:ascii="Times New Roman" w:hAnsi="Times New Roman" w:eastAsia="仿宋_GB2312"/>
          <w:sz w:val="32"/>
          <w:szCs w:val="32"/>
          <w:lang w:val="en-US" w:eastAsia="zh-CN"/>
        </w:rPr>
        <w:t>15</w:t>
      </w:r>
      <w:r>
        <w:rPr>
          <w:rFonts w:ascii="Times New Roman" w:hAnsi="Times New Roman" w:eastAsia="仿宋_GB2312"/>
          <w:sz w:val="32"/>
          <w:szCs w:val="32"/>
        </w:rPr>
        <w:t>日</w:t>
      </w:r>
      <w:bookmarkStart w:id="127" w:name="_GoBack"/>
      <w:bookmarkEnd w:id="127"/>
    </w:p>
    <w:p/>
    <w:sdt>
      <w:sdtPr>
        <w:id w:val="924529856"/>
        <w:docPartObj>
          <w:docPartGallery w:val="Table of Contents"/>
          <w:docPartUnique/>
        </w:docPartObj>
      </w:sdtPr>
      <w:sdtEndPr>
        <w:rPr>
          <w:sz w:val="20"/>
          <w:szCs w:val="20"/>
        </w:rPr>
      </w:sdtEndPr>
      <w:sdtContent>
        <w:p>
          <w:pPr>
            <w:jc w:val="center"/>
          </w:pPr>
        </w:p>
        <w:p>
          <w:pPr>
            <w:pStyle w:val="35"/>
            <w:tabs>
              <w:tab w:val="right" w:leader="dot" w:pos="8306"/>
            </w:tabs>
          </w:pPr>
          <w:r>
            <w:fldChar w:fldCharType="begin"/>
          </w:r>
          <w:r>
            <w:instrText xml:space="preserve"> HYPERLINK \l "_Toc1985826711_WPSOffice_Level1" </w:instrText>
          </w:r>
          <w:r>
            <w:fldChar w:fldCharType="separate"/>
          </w:r>
          <w:r>
            <w:rPr>
              <w:rFonts w:eastAsia="方正小标宋简体"/>
              <w:b/>
              <w:bCs/>
            </w:rPr>
            <w:t>第一部分  部门概况</w:t>
          </w:r>
          <w:r>
            <w:rPr>
              <w:b/>
              <w:bCs/>
            </w:rPr>
            <w:tab/>
          </w:r>
          <w:bookmarkStart w:id="12" w:name="_Toc1985826711_WPSOffice_Level1Page"/>
          <w:r>
            <w:rPr>
              <w:b/>
              <w:bCs/>
            </w:rPr>
            <w:t>4</w:t>
          </w:r>
          <w:bookmarkEnd w:id="12"/>
          <w:r>
            <w:rPr>
              <w:b/>
              <w:bCs/>
            </w:rPr>
            <w:fldChar w:fldCharType="end"/>
          </w:r>
        </w:p>
        <w:p>
          <w:pPr>
            <w:pStyle w:val="36"/>
            <w:tabs>
              <w:tab w:val="right" w:leader="dot" w:pos="8306"/>
            </w:tabs>
            <w:ind w:left="420"/>
          </w:pPr>
          <w:r>
            <w:fldChar w:fldCharType="begin"/>
          </w:r>
          <w:r>
            <w:instrText xml:space="preserve"> HYPERLINK \l "_Toc1064646921_WPSOffice_Level2" </w:instrText>
          </w:r>
          <w:r>
            <w:fldChar w:fldCharType="separate"/>
          </w:r>
          <w:r>
            <w:rPr>
              <w:rFonts w:eastAsia="黑体"/>
            </w:rPr>
            <w:t>一、 部门职责</w:t>
          </w:r>
          <w:r>
            <w:tab/>
          </w:r>
          <w:bookmarkStart w:id="13" w:name="_Toc1064646921_WPSOffice_Level2Page"/>
          <w:r>
            <w:t>4</w:t>
          </w:r>
          <w:bookmarkEnd w:id="13"/>
          <w:r>
            <w:fldChar w:fldCharType="end"/>
          </w:r>
        </w:p>
        <w:p>
          <w:pPr>
            <w:pStyle w:val="36"/>
            <w:tabs>
              <w:tab w:val="right" w:leader="dot" w:pos="8306"/>
            </w:tabs>
            <w:ind w:left="420"/>
          </w:pPr>
          <w:r>
            <w:fldChar w:fldCharType="begin"/>
          </w:r>
          <w:r>
            <w:instrText xml:space="preserve"> HYPERLINK \l "_Toc636653710_WPSOffice_Level2" </w:instrText>
          </w:r>
          <w:r>
            <w:fldChar w:fldCharType="separate"/>
          </w:r>
          <w:r>
            <w:rPr>
              <w:rFonts w:eastAsia="黑体"/>
            </w:rPr>
            <w:t>二、机构设置</w:t>
          </w:r>
          <w:r>
            <w:tab/>
          </w:r>
          <w:bookmarkStart w:id="14" w:name="_Toc636653710_WPSOffice_Level2Page"/>
          <w:r>
            <w:t>4</w:t>
          </w:r>
          <w:bookmarkEnd w:id="14"/>
          <w:r>
            <w:fldChar w:fldCharType="end"/>
          </w:r>
        </w:p>
        <w:p>
          <w:pPr>
            <w:pStyle w:val="35"/>
            <w:tabs>
              <w:tab w:val="right" w:leader="dot" w:pos="8306"/>
            </w:tabs>
          </w:pPr>
          <w:r>
            <w:fldChar w:fldCharType="begin"/>
          </w:r>
          <w:r>
            <w:instrText xml:space="preserve"> HYPERLINK \l "_Toc1064646921_WPSOffice_Level1" </w:instrText>
          </w:r>
          <w:r>
            <w:fldChar w:fldCharType="separate"/>
          </w:r>
          <w:r>
            <w:rPr>
              <w:rFonts w:eastAsia="方正小标宋简体"/>
              <w:b/>
              <w:bCs/>
            </w:rPr>
            <w:t>第二部分  2024年度部门决算情况说明</w:t>
          </w:r>
          <w:r>
            <w:rPr>
              <w:b/>
              <w:bCs/>
            </w:rPr>
            <w:tab/>
          </w:r>
          <w:bookmarkStart w:id="15" w:name="_Toc1064646921_WPSOffice_Level1Page"/>
          <w:r>
            <w:rPr>
              <w:b/>
              <w:bCs/>
            </w:rPr>
            <w:t>1</w:t>
          </w:r>
          <w:bookmarkEnd w:id="15"/>
          <w:r>
            <w:rPr>
              <w:b/>
              <w:bCs/>
            </w:rPr>
            <w:fldChar w:fldCharType="end"/>
          </w:r>
        </w:p>
        <w:p>
          <w:pPr>
            <w:pStyle w:val="36"/>
            <w:tabs>
              <w:tab w:val="right" w:leader="dot" w:pos="8306"/>
            </w:tabs>
            <w:ind w:left="420"/>
          </w:pPr>
          <w:r>
            <w:fldChar w:fldCharType="begin"/>
          </w:r>
          <w:r>
            <w:instrText xml:space="preserve"> HYPERLINK \l "_Toc1773043400_WPSOffice_Level2" </w:instrText>
          </w:r>
          <w:r>
            <w:fldChar w:fldCharType="separate"/>
          </w:r>
          <w:r>
            <w:rPr>
              <w:rFonts w:eastAsia="黑体"/>
            </w:rPr>
            <w:t>一、收入支出决算总体情况说明</w:t>
          </w:r>
          <w:r>
            <w:tab/>
          </w:r>
          <w:bookmarkStart w:id="16" w:name="_Toc1773043400_WPSOffice_Level2Page"/>
          <w:r>
            <w:t>1</w:t>
          </w:r>
          <w:bookmarkEnd w:id="16"/>
          <w:r>
            <w:fldChar w:fldCharType="end"/>
          </w:r>
        </w:p>
        <w:p>
          <w:pPr>
            <w:pStyle w:val="36"/>
            <w:tabs>
              <w:tab w:val="right" w:leader="dot" w:pos="8306"/>
            </w:tabs>
            <w:ind w:left="420"/>
          </w:pPr>
          <w:r>
            <w:fldChar w:fldCharType="begin"/>
          </w:r>
          <w:r>
            <w:instrText xml:space="preserve"> HYPERLINK \l "_Toc294668580_WPSOffice_Level2" </w:instrText>
          </w:r>
          <w:r>
            <w:fldChar w:fldCharType="separate"/>
          </w:r>
          <w:r>
            <w:rPr>
              <w:rFonts w:eastAsia="黑体"/>
            </w:rPr>
            <w:t>二、收入决算情况说明</w:t>
          </w:r>
          <w:r>
            <w:tab/>
          </w:r>
          <w:bookmarkStart w:id="17" w:name="_Toc294668580_WPSOffice_Level2Page"/>
          <w:r>
            <w:t>1</w:t>
          </w:r>
          <w:bookmarkEnd w:id="17"/>
          <w:r>
            <w:fldChar w:fldCharType="end"/>
          </w:r>
        </w:p>
        <w:p>
          <w:pPr>
            <w:pStyle w:val="36"/>
            <w:tabs>
              <w:tab w:val="right" w:leader="dot" w:pos="8306"/>
            </w:tabs>
            <w:ind w:left="420"/>
          </w:pPr>
          <w:r>
            <w:fldChar w:fldCharType="begin"/>
          </w:r>
          <w:r>
            <w:instrText xml:space="preserve"> HYPERLINK \l "_Toc2143276018_WPSOffice_Level2" </w:instrText>
          </w:r>
          <w:r>
            <w:fldChar w:fldCharType="separate"/>
          </w:r>
          <w:r>
            <w:rPr>
              <w:rFonts w:eastAsia="黑体"/>
            </w:rPr>
            <w:t>三、支出决算情况说明</w:t>
          </w:r>
          <w:r>
            <w:tab/>
          </w:r>
          <w:bookmarkStart w:id="18" w:name="_Toc2143276018_WPSOffice_Level2Page"/>
          <w:r>
            <w:t>2</w:t>
          </w:r>
          <w:bookmarkEnd w:id="18"/>
          <w:r>
            <w:fldChar w:fldCharType="end"/>
          </w:r>
        </w:p>
        <w:p>
          <w:pPr>
            <w:pStyle w:val="36"/>
            <w:tabs>
              <w:tab w:val="right" w:leader="dot" w:pos="8306"/>
            </w:tabs>
            <w:ind w:left="420"/>
          </w:pPr>
          <w:r>
            <w:fldChar w:fldCharType="begin"/>
          </w:r>
          <w:r>
            <w:instrText xml:space="preserve"> HYPERLINK \l "_Toc583913365_WPSOffice_Level2" </w:instrText>
          </w:r>
          <w:r>
            <w:fldChar w:fldCharType="separate"/>
          </w:r>
          <w:r>
            <w:rPr>
              <w:rFonts w:eastAsia="黑体"/>
            </w:rPr>
            <w:t>四、财政拨款收入支出决算总体情况说明</w:t>
          </w:r>
          <w:r>
            <w:tab/>
          </w:r>
          <w:bookmarkStart w:id="19" w:name="_Toc583913365_WPSOffice_Level2Page"/>
          <w:r>
            <w:t>3</w:t>
          </w:r>
          <w:bookmarkEnd w:id="19"/>
          <w:r>
            <w:fldChar w:fldCharType="end"/>
          </w:r>
        </w:p>
        <w:p>
          <w:pPr>
            <w:pStyle w:val="36"/>
            <w:tabs>
              <w:tab w:val="right" w:leader="dot" w:pos="8306"/>
            </w:tabs>
            <w:ind w:left="420"/>
          </w:pPr>
          <w:r>
            <w:fldChar w:fldCharType="begin"/>
          </w:r>
          <w:r>
            <w:instrText xml:space="preserve"> HYPERLINK \l "_Toc1263152264_WPSOffice_Level2" </w:instrText>
          </w:r>
          <w:r>
            <w:fldChar w:fldCharType="separate"/>
          </w:r>
          <w:r>
            <w:rPr>
              <w:rFonts w:eastAsia="黑体"/>
            </w:rPr>
            <w:t>五、一般公共预算财政拨款支出决算情况说明</w:t>
          </w:r>
          <w:r>
            <w:tab/>
          </w:r>
          <w:bookmarkStart w:id="20" w:name="_Toc1263152264_WPSOffice_Level2Page"/>
          <w:r>
            <w:t>3</w:t>
          </w:r>
          <w:bookmarkEnd w:id="20"/>
          <w:r>
            <w:fldChar w:fldCharType="end"/>
          </w:r>
        </w:p>
        <w:p>
          <w:pPr>
            <w:pStyle w:val="36"/>
            <w:tabs>
              <w:tab w:val="right" w:leader="dot" w:pos="8306"/>
            </w:tabs>
            <w:ind w:left="420"/>
          </w:pPr>
          <w:r>
            <w:fldChar w:fldCharType="begin"/>
          </w:r>
          <w:r>
            <w:instrText xml:space="preserve"> HYPERLINK \l "_Toc1382191495_WPSOffice_Level2" </w:instrText>
          </w:r>
          <w:r>
            <w:fldChar w:fldCharType="separate"/>
          </w:r>
          <w:r>
            <w:rPr>
              <w:rFonts w:eastAsia="黑体"/>
            </w:rPr>
            <w:t>六、一般公共预算财政拨款基本支出决算情况说明</w:t>
          </w:r>
          <w:r>
            <w:tab/>
          </w:r>
          <w:bookmarkStart w:id="21" w:name="_Toc1382191495_WPSOffice_Level2Page"/>
          <w:r>
            <w:t>6</w:t>
          </w:r>
          <w:bookmarkEnd w:id="21"/>
          <w:r>
            <w:fldChar w:fldCharType="end"/>
          </w:r>
        </w:p>
        <w:p>
          <w:pPr>
            <w:pStyle w:val="36"/>
            <w:tabs>
              <w:tab w:val="right" w:leader="dot" w:pos="8306"/>
            </w:tabs>
            <w:ind w:left="420"/>
          </w:pPr>
          <w:r>
            <w:fldChar w:fldCharType="begin"/>
          </w:r>
          <w:r>
            <w:instrText xml:space="preserve"> HYPERLINK \l "_Toc1770514447_WPSOffice_Level2" </w:instrText>
          </w:r>
          <w:r>
            <w:fldChar w:fldCharType="separate"/>
          </w:r>
          <w:r>
            <w:rPr>
              <w:rFonts w:eastAsia="黑体"/>
            </w:rPr>
            <w:t>七、财政拨款“三公”经费支出决算情况说明</w:t>
          </w:r>
          <w:r>
            <w:tab/>
          </w:r>
          <w:bookmarkStart w:id="22" w:name="_Toc1770514447_WPSOffice_Level2Page"/>
          <w:r>
            <w:t>7</w:t>
          </w:r>
          <w:bookmarkEnd w:id="22"/>
          <w:r>
            <w:fldChar w:fldCharType="end"/>
          </w:r>
        </w:p>
        <w:p>
          <w:pPr>
            <w:pStyle w:val="36"/>
            <w:tabs>
              <w:tab w:val="right" w:leader="dot" w:pos="8306"/>
            </w:tabs>
            <w:ind w:left="420"/>
          </w:pPr>
          <w:r>
            <w:fldChar w:fldCharType="begin"/>
          </w:r>
          <w:r>
            <w:instrText xml:space="preserve"> HYPERLINK \l "_Toc236183393_WPSOffice_Level2" </w:instrText>
          </w:r>
          <w:r>
            <w:fldChar w:fldCharType="separate"/>
          </w:r>
          <w:r>
            <w:rPr>
              <w:rFonts w:eastAsia="黑体"/>
            </w:rPr>
            <w:t>八、政府性基金预算支出决算情况说明</w:t>
          </w:r>
          <w:r>
            <w:tab/>
          </w:r>
          <w:bookmarkStart w:id="23" w:name="_Toc236183393_WPSOffice_Level2Page"/>
          <w:r>
            <w:t>8</w:t>
          </w:r>
          <w:bookmarkEnd w:id="23"/>
          <w:r>
            <w:fldChar w:fldCharType="end"/>
          </w:r>
        </w:p>
        <w:p>
          <w:pPr>
            <w:pStyle w:val="36"/>
            <w:tabs>
              <w:tab w:val="right" w:leader="dot" w:pos="8306"/>
            </w:tabs>
            <w:ind w:left="420"/>
          </w:pPr>
          <w:r>
            <w:fldChar w:fldCharType="begin"/>
          </w:r>
          <w:r>
            <w:instrText xml:space="preserve"> HYPERLINK \l "_Toc783472064_WPSOffice_Level2" </w:instrText>
          </w:r>
          <w:r>
            <w:fldChar w:fldCharType="separate"/>
          </w:r>
          <w:r>
            <w:rPr>
              <w:rFonts w:eastAsia="黑体"/>
            </w:rPr>
            <w:t>九、国有资本经营预算支出决算情况说明</w:t>
          </w:r>
          <w:r>
            <w:tab/>
          </w:r>
          <w:bookmarkStart w:id="24" w:name="_Toc783472064_WPSOffice_Level2Page"/>
          <w:r>
            <w:t>8</w:t>
          </w:r>
          <w:bookmarkEnd w:id="24"/>
          <w:r>
            <w:fldChar w:fldCharType="end"/>
          </w:r>
        </w:p>
        <w:p>
          <w:pPr>
            <w:pStyle w:val="36"/>
            <w:tabs>
              <w:tab w:val="right" w:leader="dot" w:pos="8306"/>
            </w:tabs>
            <w:ind w:left="420"/>
          </w:pPr>
          <w:r>
            <w:fldChar w:fldCharType="begin"/>
          </w:r>
          <w:r>
            <w:instrText xml:space="preserve"> HYPERLINK \l "_Toc801683299_WPSOffice_Level2" </w:instrText>
          </w:r>
          <w:r>
            <w:fldChar w:fldCharType="separate"/>
          </w:r>
          <w:r>
            <w:rPr>
              <w:rFonts w:eastAsia="黑体"/>
            </w:rPr>
            <w:t>十、其他重要事项的情况说明</w:t>
          </w:r>
          <w:r>
            <w:tab/>
          </w:r>
          <w:bookmarkStart w:id="25" w:name="_Toc801683299_WPSOffice_Level2Page"/>
          <w:r>
            <w:t>9</w:t>
          </w:r>
          <w:bookmarkEnd w:id="25"/>
          <w:r>
            <w:fldChar w:fldCharType="end"/>
          </w:r>
        </w:p>
        <w:p>
          <w:pPr>
            <w:pStyle w:val="35"/>
            <w:tabs>
              <w:tab w:val="right" w:leader="dot" w:pos="8306"/>
            </w:tabs>
          </w:pPr>
          <w:r>
            <w:fldChar w:fldCharType="begin"/>
          </w:r>
          <w:r>
            <w:instrText xml:space="preserve"> HYPERLINK \l "_Toc636653710_WPSOffice_Level1" </w:instrText>
          </w:r>
          <w:r>
            <w:fldChar w:fldCharType="separate"/>
          </w:r>
          <w:r>
            <w:rPr>
              <w:rFonts w:eastAsia="黑体"/>
              <w:b/>
              <w:bCs/>
            </w:rPr>
            <w:t>第三部分  名词解释</w:t>
          </w:r>
          <w:r>
            <w:rPr>
              <w:b/>
              <w:bCs/>
            </w:rPr>
            <w:tab/>
          </w:r>
          <w:bookmarkStart w:id="26" w:name="_Toc636653710_WPSOffice_Level1Page"/>
          <w:r>
            <w:rPr>
              <w:b/>
              <w:bCs/>
            </w:rPr>
            <w:t>10</w:t>
          </w:r>
          <w:bookmarkEnd w:id="26"/>
          <w:r>
            <w:rPr>
              <w:b/>
              <w:bCs/>
            </w:rPr>
            <w:fldChar w:fldCharType="end"/>
          </w:r>
        </w:p>
        <w:p>
          <w:pPr>
            <w:pStyle w:val="35"/>
            <w:tabs>
              <w:tab w:val="right" w:leader="dot" w:pos="8306"/>
            </w:tabs>
          </w:pPr>
          <w:r>
            <w:fldChar w:fldCharType="begin"/>
          </w:r>
          <w:r>
            <w:instrText xml:space="preserve"> HYPERLINK \l "_Toc1773043400_WPSOffice_Level1" </w:instrText>
          </w:r>
          <w:r>
            <w:fldChar w:fldCharType="separate"/>
          </w:r>
          <w:r>
            <w:rPr>
              <w:rFonts w:eastAsia="黑体"/>
              <w:b/>
              <w:bCs/>
            </w:rPr>
            <w:t>第四部分  附件</w:t>
          </w:r>
          <w:r>
            <w:rPr>
              <w:b/>
              <w:bCs/>
            </w:rPr>
            <w:tab/>
          </w:r>
          <w:bookmarkStart w:id="27" w:name="_Toc1773043400_WPSOffice_Level1Page"/>
          <w:r>
            <w:rPr>
              <w:b/>
              <w:bCs/>
            </w:rPr>
            <w:t>13</w:t>
          </w:r>
          <w:bookmarkEnd w:id="27"/>
          <w:r>
            <w:rPr>
              <w:b/>
              <w:bCs/>
            </w:rPr>
            <w:fldChar w:fldCharType="end"/>
          </w:r>
        </w:p>
        <w:p>
          <w:pPr>
            <w:pStyle w:val="35"/>
            <w:tabs>
              <w:tab w:val="right" w:leader="dot" w:pos="8306"/>
            </w:tabs>
          </w:pPr>
          <w:r>
            <w:fldChar w:fldCharType="begin"/>
          </w:r>
          <w:r>
            <w:instrText xml:space="preserve"> HYPERLINK \l "_Toc294668580_WPSOffice_Level1" </w:instrText>
          </w:r>
          <w:r>
            <w:fldChar w:fldCharType="separate"/>
          </w:r>
          <w:r>
            <w:rPr>
              <w:rFonts w:eastAsia="黑体"/>
              <w:b/>
              <w:bCs/>
            </w:rPr>
            <w:t>第五部分 附表</w:t>
          </w:r>
          <w:r>
            <w:rPr>
              <w:b/>
              <w:bCs/>
            </w:rPr>
            <w:tab/>
          </w:r>
          <w:bookmarkStart w:id="28" w:name="_Toc294668580_WPSOffice_Level1Page"/>
          <w:r>
            <w:rPr>
              <w:b/>
              <w:bCs/>
            </w:rPr>
            <w:t>14</w:t>
          </w:r>
          <w:bookmarkEnd w:id="28"/>
          <w:r>
            <w:rPr>
              <w:b/>
              <w:bCs/>
            </w:rPr>
            <w:fldChar w:fldCharType="end"/>
          </w:r>
        </w:p>
        <w:p>
          <w:pPr>
            <w:pStyle w:val="36"/>
            <w:tabs>
              <w:tab w:val="right" w:leader="dot" w:pos="8306"/>
            </w:tabs>
            <w:ind w:left="420"/>
          </w:pPr>
          <w:r>
            <w:fldChar w:fldCharType="begin"/>
          </w:r>
          <w:r>
            <w:instrText xml:space="preserve"> HYPERLINK \l "_Toc1620863996_WPSOffice_Level2" </w:instrText>
          </w:r>
          <w:r>
            <w:fldChar w:fldCharType="separate"/>
          </w:r>
          <w:r>
            <w:rPr>
              <w:rFonts w:eastAsia="仿宋_GB2312"/>
            </w:rPr>
            <w:t>一、收入支出决算总表</w:t>
          </w:r>
          <w:r>
            <w:tab/>
          </w:r>
          <w:bookmarkStart w:id="29" w:name="_Toc1620863996_WPSOffice_Level2Page"/>
          <w:r>
            <w:t>14</w:t>
          </w:r>
          <w:bookmarkEnd w:id="29"/>
          <w:r>
            <w:fldChar w:fldCharType="end"/>
          </w:r>
        </w:p>
        <w:p>
          <w:pPr>
            <w:pStyle w:val="36"/>
            <w:tabs>
              <w:tab w:val="right" w:leader="dot" w:pos="8306"/>
            </w:tabs>
            <w:ind w:left="420"/>
          </w:pPr>
          <w:r>
            <w:fldChar w:fldCharType="begin"/>
          </w:r>
          <w:r>
            <w:instrText xml:space="preserve"> HYPERLINK \l "_Toc845801962_WPSOffice_Level2" </w:instrText>
          </w:r>
          <w:r>
            <w:fldChar w:fldCharType="separate"/>
          </w:r>
          <w:r>
            <w:rPr>
              <w:rFonts w:eastAsia="仿宋_GB2312"/>
            </w:rPr>
            <w:t>二、收入决算表</w:t>
          </w:r>
          <w:r>
            <w:tab/>
          </w:r>
          <w:bookmarkStart w:id="30" w:name="_Toc845801962_WPSOffice_Level2Page"/>
          <w:r>
            <w:t>14</w:t>
          </w:r>
          <w:bookmarkEnd w:id="30"/>
          <w:r>
            <w:fldChar w:fldCharType="end"/>
          </w:r>
        </w:p>
        <w:p>
          <w:pPr>
            <w:pStyle w:val="36"/>
            <w:tabs>
              <w:tab w:val="right" w:leader="dot" w:pos="8306"/>
            </w:tabs>
            <w:ind w:left="420"/>
          </w:pPr>
          <w:r>
            <w:fldChar w:fldCharType="begin"/>
          </w:r>
          <w:r>
            <w:instrText xml:space="preserve"> HYPERLINK \l "_Toc441183701_WPSOffice_Level2" </w:instrText>
          </w:r>
          <w:r>
            <w:fldChar w:fldCharType="separate"/>
          </w:r>
          <w:r>
            <w:rPr>
              <w:rFonts w:eastAsia="仿宋_GB2312"/>
            </w:rPr>
            <w:t>三、支出决算表</w:t>
          </w:r>
          <w:r>
            <w:tab/>
          </w:r>
          <w:bookmarkStart w:id="31" w:name="_Toc441183701_WPSOffice_Level2Page"/>
          <w:r>
            <w:t>14</w:t>
          </w:r>
          <w:bookmarkEnd w:id="31"/>
          <w:r>
            <w:fldChar w:fldCharType="end"/>
          </w:r>
        </w:p>
        <w:p>
          <w:pPr>
            <w:pStyle w:val="36"/>
            <w:tabs>
              <w:tab w:val="right" w:leader="dot" w:pos="8306"/>
            </w:tabs>
            <w:ind w:left="420"/>
          </w:pPr>
          <w:r>
            <w:fldChar w:fldCharType="begin"/>
          </w:r>
          <w:r>
            <w:instrText xml:space="preserve"> HYPERLINK \l "_Toc859930946_WPSOffice_Level2" </w:instrText>
          </w:r>
          <w:r>
            <w:fldChar w:fldCharType="separate"/>
          </w:r>
          <w:r>
            <w:rPr>
              <w:rFonts w:eastAsia="仿宋_GB2312"/>
            </w:rPr>
            <w:t>四、财政拨款收入支出决算总表</w:t>
          </w:r>
          <w:r>
            <w:tab/>
          </w:r>
          <w:bookmarkStart w:id="32" w:name="_Toc859930946_WPSOffice_Level2Page"/>
          <w:r>
            <w:t>14</w:t>
          </w:r>
          <w:bookmarkEnd w:id="32"/>
          <w:r>
            <w:fldChar w:fldCharType="end"/>
          </w:r>
        </w:p>
        <w:p>
          <w:pPr>
            <w:pStyle w:val="36"/>
            <w:tabs>
              <w:tab w:val="right" w:leader="dot" w:pos="8306"/>
            </w:tabs>
            <w:ind w:left="420"/>
          </w:pPr>
          <w:r>
            <w:fldChar w:fldCharType="begin"/>
          </w:r>
          <w:r>
            <w:instrText xml:space="preserve"> HYPERLINK \l "_Toc1490965329_WPSOffice_Level2" </w:instrText>
          </w:r>
          <w:r>
            <w:fldChar w:fldCharType="separate"/>
          </w:r>
          <w:r>
            <w:rPr>
              <w:rFonts w:eastAsia="仿宋_GB2312"/>
            </w:rPr>
            <w:t>五、财政拨款支出决算明细表</w:t>
          </w:r>
          <w:r>
            <w:tab/>
          </w:r>
          <w:bookmarkStart w:id="33" w:name="_Toc1490965329_WPSOffice_Level2Page"/>
          <w:r>
            <w:t>14</w:t>
          </w:r>
          <w:bookmarkEnd w:id="33"/>
          <w:r>
            <w:fldChar w:fldCharType="end"/>
          </w:r>
        </w:p>
        <w:p>
          <w:pPr>
            <w:pStyle w:val="36"/>
            <w:tabs>
              <w:tab w:val="right" w:leader="dot" w:pos="8306"/>
            </w:tabs>
            <w:ind w:left="420"/>
          </w:pPr>
          <w:r>
            <w:fldChar w:fldCharType="begin"/>
          </w:r>
          <w:r>
            <w:instrText xml:space="preserve"> HYPERLINK \l "_Toc295254572_WPSOffice_Level2" </w:instrText>
          </w:r>
          <w:r>
            <w:fldChar w:fldCharType="separate"/>
          </w:r>
          <w:r>
            <w:rPr>
              <w:rFonts w:eastAsia="仿宋_GB2312"/>
            </w:rPr>
            <w:t>六、一般公共预算财政拨款支出决算表</w:t>
          </w:r>
          <w:r>
            <w:tab/>
          </w:r>
          <w:bookmarkStart w:id="34" w:name="_Toc295254572_WPSOffice_Level2Page"/>
          <w:r>
            <w:t>14</w:t>
          </w:r>
          <w:bookmarkEnd w:id="34"/>
          <w:r>
            <w:fldChar w:fldCharType="end"/>
          </w:r>
        </w:p>
        <w:p>
          <w:pPr>
            <w:pStyle w:val="36"/>
            <w:tabs>
              <w:tab w:val="right" w:leader="dot" w:pos="8306"/>
            </w:tabs>
            <w:ind w:left="420"/>
          </w:pPr>
          <w:r>
            <w:fldChar w:fldCharType="begin"/>
          </w:r>
          <w:r>
            <w:instrText xml:space="preserve"> HYPERLINK \l "_Toc21393269_WPSOffice_Level2" </w:instrText>
          </w:r>
          <w:r>
            <w:fldChar w:fldCharType="separate"/>
          </w:r>
          <w:r>
            <w:rPr>
              <w:rFonts w:eastAsia="仿宋_GB2312"/>
            </w:rPr>
            <w:t>七、一般公共预算财政拨款支出决算明细表</w:t>
          </w:r>
          <w:r>
            <w:tab/>
          </w:r>
          <w:bookmarkStart w:id="35" w:name="_Toc21393269_WPSOffice_Level2Page"/>
          <w:r>
            <w:t>14</w:t>
          </w:r>
          <w:bookmarkEnd w:id="35"/>
          <w:r>
            <w:fldChar w:fldCharType="end"/>
          </w:r>
        </w:p>
        <w:p>
          <w:pPr>
            <w:pStyle w:val="36"/>
            <w:tabs>
              <w:tab w:val="right" w:leader="dot" w:pos="8306"/>
            </w:tabs>
            <w:ind w:left="420"/>
          </w:pPr>
          <w:r>
            <w:fldChar w:fldCharType="begin"/>
          </w:r>
          <w:r>
            <w:instrText xml:space="preserve"> HYPERLINK \l "_Toc1508164549_WPSOffice_Level2" </w:instrText>
          </w:r>
          <w:r>
            <w:fldChar w:fldCharType="separate"/>
          </w:r>
          <w:r>
            <w:rPr>
              <w:rFonts w:eastAsia="仿宋_GB2312"/>
            </w:rPr>
            <w:t>八、一般公共预算财政拨款基本支出决算表</w:t>
          </w:r>
          <w:r>
            <w:tab/>
          </w:r>
          <w:bookmarkStart w:id="36" w:name="_Toc1508164549_WPSOffice_Level2Page"/>
          <w:r>
            <w:t>14</w:t>
          </w:r>
          <w:bookmarkEnd w:id="36"/>
          <w:r>
            <w:fldChar w:fldCharType="end"/>
          </w:r>
        </w:p>
        <w:p>
          <w:pPr>
            <w:pStyle w:val="36"/>
            <w:tabs>
              <w:tab w:val="right" w:leader="dot" w:pos="8306"/>
            </w:tabs>
            <w:ind w:left="420"/>
          </w:pPr>
          <w:r>
            <w:fldChar w:fldCharType="begin"/>
          </w:r>
          <w:r>
            <w:instrText xml:space="preserve"> HYPERLINK \l "_Toc1542642849_WPSOffice_Level2" </w:instrText>
          </w:r>
          <w:r>
            <w:fldChar w:fldCharType="separate"/>
          </w:r>
          <w:r>
            <w:rPr>
              <w:rFonts w:eastAsia="仿宋_GB2312"/>
            </w:rPr>
            <w:t>九、一般公共预算财政拨款项目支出决算表</w:t>
          </w:r>
          <w:r>
            <w:tab/>
          </w:r>
          <w:bookmarkStart w:id="37" w:name="_Toc1542642849_WPSOffice_Level2Page"/>
          <w:r>
            <w:t>14</w:t>
          </w:r>
          <w:bookmarkEnd w:id="37"/>
          <w:r>
            <w:fldChar w:fldCharType="end"/>
          </w:r>
        </w:p>
        <w:p>
          <w:pPr>
            <w:pStyle w:val="36"/>
            <w:tabs>
              <w:tab w:val="right" w:leader="dot" w:pos="8306"/>
            </w:tabs>
            <w:ind w:left="420"/>
          </w:pPr>
          <w:r>
            <w:fldChar w:fldCharType="begin"/>
          </w:r>
          <w:r>
            <w:instrText xml:space="preserve"> HYPERLINK \l "_Toc1414771700_WPSOffice_Level2" </w:instrText>
          </w:r>
          <w:r>
            <w:fldChar w:fldCharType="separate"/>
          </w:r>
          <w:r>
            <w:rPr>
              <w:rFonts w:eastAsia="仿宋_GB2312"/>
            </w:rPr>
            <w:t>十、政府性基金预算财政拨款收入支出决算表</w:t>
          </w:r>
          <w:r>
            <w:tab/>
          </w:r>
          <w:bookmarkStart w:id="38" w:name="_Toc1414771700_WPSOffice_Level2Page"/>
          <w:r>
            <w:t>14</w:t>
          </w:r>
          <w:bookmarkEnd w:id="38"/>
          <w:r>
            <w:fldChar w:fldCharType="end"/>
          </w:r>
        </w:p>
        <w:p>
          <w:pPr>
            <w:pStyle w:val="36"/>
            <w:tabs>
              <w:tab w:val="right" w:leader="dot" w:pos="8306"/>
            </w:tabs>
            <w:ind w:left="420"/>
          </w:pPr>
          <w:r>
            <w:fldChar w:fldCharType="begin"/>
          </w:r>
          <w:r>
            <w:instrText xml:space="preserve"> HYPERLINK \l "_Toc1210977862_WPSOffice_Level2" </w:instrText>
          </w:r>
          <w:r>
            <w:fldChar w:fldCharType="separate"/>
          </w:r>
          <w:r>
            <w:rPr>
              <w:rFonts w:eastAsia="仿宋_GB2312"/>
            </w:rPr>
            <w:t>十一、国有资本经营预算财政拨款收入支出决算表</w:t>
          </w:r>
          <w:r>
            <w:tab/>
          </w:r>
          <w:bookmarkStart w:id="39" w:name="_Toc1210977862_WPSOffice_Level2Page"/>
          <w:r>
            <w:t>14</w:t>
          </w:r>
          <w:bookmarkEnd w:id="39"/>
          <w:r>
            <w:fldChar w:fldCharType="end"/>
          </w:r>
        </w:p>
        <w:p>
          <w:pPr>
            <w:pStyle w:val="36"/>
            <w:tabs>
              <w:tab w:val="right" w:leader="dot" w:pos="8306"/>
            </w:tabs>
            <w:ind w:left="420"/>
          </w:pPr>
          <w:r>
            <w:fldChar w:fldCharType="begin"/>
          </w:r>
          <w:r>
            <w:instrText xml:space="preserve"> HYPERLINK \l "_Toc1990415529_WPSOffice_Level2" </w:instrText>
          </w:r>
          <w:r>
            <w:fldChar w:fldCharType="separate"/>
          </w:r>
          <w:r>
            <w:rPr>
              <w:rFonts w:eastAsia="仿宋_GB2312"/>
            </w:rPr>
            <w:t>十二、国有资本经营预算财政拨款支出决算表</w:t>
          </w:r>
          <w:r>
            <w:tab/>
          </w:r>
          <w:bookmarkStart w:id="40" w:name="_Toc1990415529_WPSOffice_Level2Page"/>
          <w:r>
            <w:t>14</w:t>
          </w:r>
          <w:bookmarkEnd w:id="40"/>
          <w:r>
            <w:fldChar w:fldCharType="end"/>
          </w:r>
        </w:p>
        <w:p>
          <w:pPr>
            <w:pStyle w:val="36"/>
            <w:tabs>
              <w:tab w:val="right" w:leader="dot" w:pos="8306"/>
            </w:tabs>
            <w:ind w:left="420"/>
          </w:pPr>
          <w:r>
            <w:fldChar w:fldCharType="begin"/>
          </w:r>
          <w:r>
            <w:instrText xml:space="preserve"> HYPERLINK \l "_Toc148645905_WPSOffice_Level2" </w:instrText>
          </w:r>
          <w:r>
            <w:fldChar w:fldCharType="separate"/>
          </w:r>
          <w:r>
            <w:rPr>
              <w:rFonts w:eastAsia="仿宋_GB2312"/>
            </w:rPr>
            <w:t>十三、财政拨款“三公”经费支出决算表</w:t>
          </w:r>
          <w:r>
            <w:tab/>
          </w:r>
          <w:bookmarkStart w:id="41" w:name="_Toc148645905_WPSOffice_Level2Page"/>
          <w:r>
            <w:t>14</w:t>
          </w:r>
          <w:bookmarkEnd w:id="41"/>
          <w:r>
            <w:fldChar w:fldCharType="end"/>
          </w:r>
        </w:p>
      </w:sdtContent>
    </w:sdt>
    <w:p>
      <w:pPr>
        <w:pStyle w:val="13"/>
        <w:adjustRightInd w:val="0"/>
        <w:snapToGrid w:val="0"/>
        <w:spacing w:before="0" w:line="560" w:lineRule="exact"/>
        <w:jc w:val="left"/>
        <w:rPr>
          <w:rFonts w:ascii="Times New Roman" w:hAnsi="Times New Roman" w:eastAsia="黑体"/>
          <w:sz w:val="32"/>
          <w:szCs w:val="32"/>
        </w:rPr>
      </w:pPr>
    </w:p>
    <w:p>
      <w:pPr>
        <w:widowControl/>
        <w:spacing w:line="560" w:lineRule="exact"/>
        <w:jc w:val="left"/>
        <w:rPr>
          <w:rFonts w:eastAsia="仿宋_GB2312"/>
          <w:bCs/>
          <w:kern w:val="44"/>
          <w:sz w:val="32"/>
          <w:szCs w:val="32"/>
        </w:rPr>
      </w:pPr>
      <w:bookmarkStart w:id="42" w:name="_Toc15377196"/>
      <w:bookmarkStart w:id="43" w:name="_Toc15396599"/>
      <w:r>
        <w:rPr>
          <w:rFonts w:eastAsia="仿宋_GB2312"/>
          <w:b/>
          <w:sz w:val="32"/>
          <w:szCs w:val="32"/>
        </w:rPr>
        <w:br w:type="page"/>
      </w:r>
    </w:p>
    <w:p>
      <w:pPr>
        <w:pStyle w:val="5"/>
        <w:jc w:val="center"/>
        <w:rPr>
          <w:rStyle w:val="28"/>
          <w:rFonts w:eastAsia="方正小标宋简体"/>
          <w:b/>
          <w:bCs w:val="0"/>
        </w:rPr>
      </w:pPr>
      <w:bookmarkStart w:id="44" w:name="_Toc1985826711_WPSOffice_Level1"/>
      <w:r>
        <w:rPr>
          <w:rFonts w:eastAsia="方正小标宋简体"/>
          <w:b w:val="0"/>
        </w:rPr>
        <w:t xml:space="preserve">第一部分  </w:t>
      </w:r>
      <w:r>
        <w:rPr>
          <w:rStyle w:val="28"/>
          <w:rFonts w:eastAsia="方正小标宋简体"/>
          <w:b w:val="0"/>
          <w:bCs w:val="0"/>
        </w:rPr>
        <w:t>部门概况</w:t>
      </w:r>
      <w:bookmarkEnd w:id="42"/>
      <w:bookmarkEnd w:id="43"/>
      <w:bookmarkEnd w:id="44"/>
    </w:p>
    <w:p>
      <w:pPr>
        <w:widowControl/>
        <w:jc w:val="left"/>
        <w:rPr>
          <w:rFonts w:eastAsia="黑体"/>
          <w:sz w:val="32"/>
          <w:szCs w:val="32"/>
        </w:rPr>
      </w:pPr>
    </w:p>
    <w:p>
      <w:pPr>
        <w:pStyle w:val="6"/>
        <w:numPr>
          <w:ilvl w:val="0"/>
          <w:numId w:val="1"/>
        </w:numPr>
        <w:rPr>
          <w:rFonts w:ascii="Times New Roman" w:hAnsi="Times New Roman" w:eastAsia="黑体" w:cs="Times New Roman"/>
          <w:b w:val="0"/>
        </w:rPr>
      </w:pPr>
      <w:bookmarkStart w:id="45" w:name="_Toc1064646921_WPSOffice_Level2"/>
      <w:r>
        <w:rPr>
          <w:rFonts w:ascii="Times New Roman" w:hAnsi="Times New Roman" w:eastAsia="黑体" w:cs="Times New Roman"/>
          <w:b w:val="0"/>
        </w:rPr>
        <w:t>单位职责</w:t>
      </w:r>
      <w:bookmarkEnd w:id="45"/>
    </w:p>
    <w:p>
      <w:pPr>
        <w:widowControl/>
        <w:ind w:firstLine="640" w:firstLineChars="200"/>
        <w:jc w:val="left"/>
        <w:rPr>
          <w:rFonts w:eastAsia="仿宋_GB2312"/>
          <w:sz w:val="32"/>
          <w:szCs w:val="32"/>
        </w:rPr>
      </w:pPr>
      <w:r>
        <w:rPr>
          <w:rFonts w:eastAsia="仿宋_GB2312"/>
          <w:sz w:val="32"/>
          <w:szCs w:val="32"/>
        </w:rPr>
        <w:t>本室的主要职责是：贯彻落实省委有关党史工作的方针、政策和市委关于党史</w:t>
      </w:r>
      <w:r>
        <w:rPr>
          <w:rFonts w:hint="eastAsia" w:eastAsia="仿宋_GB2312"/>
          <w:sz w:val="32"/>
          <w:szCs w:val="32"/>
        </w:rPr>
        <w:t>工作</w:t>
      </w:r>
      <w:r>
        <w:rPr>
          <w:rFonts w:eastAsia="仿宋_GB2312"/>
          <w:sz w:val="32"/>
          <w:szCs w:val="32"/>
        </w:rPr>
        <w:t>的</w:t>
      </w:r>
      <w:r>
        <w:rPr>
          <w:rFonts w:hint="eastAsia" w:eastAsia="仿宋_GB2312"/>
          <w:sz w:val="32"/>
          <w:szCs w:val="32"/>
        </w:rPr>
        <w:t>部署安排</w:t>
      </w:r>
      <w:r>
        <w:rPr>
          <w:rFonts w:eastAsia="仿宋_GB2312"/>
          <w:sz w:val="32"/>
          <w:szCs w:val="32"/>
        </w:rPr>
        <w:t>；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pPr>
        <w:pStyle w:val="6"/>
        <w:rPr>
          <w:rStyle w:val="29"/>
          <w:rFonts w:ascii="Times New Roman" w:hAnsi="Times New Roman" w:cs="Times New Roman"/>
          <w:b w:val="0"/>
          <w:bCs w:val="0"/>
        </w:rPr>
      </w:pPr>
      <w:bookmarkStart w:id="46" w:name="_Toc636653710_WPSOffice_Level2"/>
      <w:bookmarkStart w:id="47" w:name="_Toc15377200"/>
      <w:bookmarkStart w:id="48" w:name="_Toc15396601"/>
      <w:r>
        <w:rPr>
          <w:rFonts w:ascii="Times New Roman" w:hAnsi="Times New Roman" w:eastAsia="黑体" w:cs="Times New Roman"/>
          <w:b w:val="0"/>
        </w:rPr>
        <w:t>二、机</w:t>
      </w:r>
      <w:r>
        <w:rPr>
          <w:rStyle w:val="29"/>
          <w:rFonts w:ascii="Times New Roman" w:hAnsi="Times New Roman" w:eastAsia="黑体" w:cs="Times New Roman"/>
          <w:b w:val="0"/>
          <w:bCs w:val="0"/>
        </w:rPr>
        <w:t>构设置</w:t>
      </w:r>
      <w:bookmarkEnd w:id="46"/>
      <w:bookmarkEnd w:id="47"/>
      <w:bookmarkEnd w:id="48"/>
    </w:p>
    <w:p>
      <w:pPr>
        <w:widowControl/>
        <w:ind w:firstLine="640" w:firstLineChars="200"/>
        <w:jc w:val="left"/>
        <w:rPr>
          <w:rFonts w:eastAsia="仿宋_GB2312"/>
          <w:sz w:val="32"/>
          <w:szCs w:val="32"/>
        </w:rPr>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pPr>
      <w:r>
        <w:rPr>
          <w:rFonts w:eastAsia="仿宋_GB2312"/>
          <w:sz w:val="32"/>
          <w:szCs w:val="32"/>
        </w:rPr>
        <w:t>四川省攀枝花市委党史研究室</w:t>
      </w:r>
      <w:r>
        <w:rPr>
          <w:rFonts w:eastAsia="仿宋"/>
          <w:sz w:val="32"/>
          <w:szCs w:val="32"/>
        </w:rPr>
        <w:t>为参照公务员法管理事业单位,无</w:t>
      </w:r>
      <w:r>
        <w:rPr>
          <w:rFonts w:eastAsia="仿宋_GB2312"/>
          <w:sz w:val="32"/>
          <w:szCs w:val="32"/>
        </w:rPr>
        <w:t>下属二级预算单位。</w:t>
      </w:r>
    </w:p>
    <w:p>
      <w:pPr>
        <w:pStyle w:val="5"/>
        <w:jc w:val="center"/>
        <w:rPr>
          <w:rFonts w:eastAsia="方正小标宋简体"/>
          <w:b w:val="0"/>
        </w:rPr>
      </w:pPr>
      <w:bookmarkStart w:id="49" w:name="_Toc15377204"/>
      <w:bookmarkStart w:id="50" w:name="_Toc15396602"/>
      <w:bookmarkStart w:id="51" w:name="_Toc1064646921_WPSOffice_Level1"/>
      <w:r>
        <w:rPr>
          <w:rFonts w:eastAsia="方正小标宋简体"/>
          <w:b w:val="0"/>
        </w:rPr>
        <w:t>第二部分  2024年度单位决算情况说明</w:t>
      </w:r>
      <w:bookmarkEnd w:id="49"/>
      <w:bookmarkEnd w:id="50"/>
      <w:bookmarkEnd w:id="51"/>
    </w:p>
    <w:p/>
    <w:p>
      <w:pPr>
        <w:pStyle w:val="27"/>
        <w:spacing w:line="600" w:lineRule="exact"/>
        <w:ind w:firstLine="640"/>
        <w:outlineLvl w:val="1"/>
        <w:rPr>
          <w:rStyle w:val="29"/>
          <w:rFonts w:ascii="Times New Roman" w:hAnsi="Times New Roman" w:eastAsia="黑体" w:cs="Times New Roman"/>
          <w:b w:val="0"/>
        </w:rPr>
      </w:pPr>
      <w:bookmarkStart w:id="52" w:name="_Toc15377205"/>
      <w:bookmarkStart w:id="53" w:name="_Toc15396603"/>
      <w:bookmarkStart w:id="54" w:name="_Toc1773043400_WPSOffice_Level2"/>
      <w:r>
        <w:rPr>
          <w:rFonts w:eastAsia="黑体"/>
          <w:sz w:val="32"/>
          <w:szCs w:val="32"/>
        </w:rPr>
        <w:t>一、收</w:t>
      </w:r>
      <w:r>
        <w:rPr>
          <w:rStyle w:val="29"/>
          <w:rFonts w:ascii="Times New Roman" w:hAnsi="Times New Roman" w:eastAsia="黑体" w:cs="Times New Roman"/>
          <w:b w:val="0"/>
        </w:rPr>
        <w:t>入支出决算总体情况说明</w:t>
      </w:r>
      <w:bookmarkEnd w:id="52"/>
      <w:bookmarkEnd w:id="53"/>
      <w:bookmarkEnd w:id="54"/>
    </w:p>
    <w:p>
      <w:pPr>
        <w:pStyle w:val="27"/>
        <w:spacing w:line="600" w:lineRule="exact"/>
        <w:ind w:firstLine="640"/>
        <w:outlineLvl w:val="1"/>
        <w:rPr>
          <w:rFonts w:eastAsia="仿宋_GB2312"/>
          <w:sz w:val="32"/>
          <w:szCs w:val="32"/>
        </w:rPr>
      </w:pPr>
      <w:r>
        <w:rPr>
          <w:rFonts w:eastAsia="仿宋_GB2312"/>
          <w:sz w:val="32"/>
          <w:szCs w:val="32"/>
        </w:rPr>
        <w:t>2024年度收入、支出总计均为307.96万元。与2023年度相比，收入、支出总计各增加65.4万元，增长26.96%。主要变动原因是编纂出版经费等项目支出增加。</w:t>
      </w:r>
    </w:p>
    <w:p>
      <w:pPr>
        <w:rPr>
          <w:rFonts w:eastAsia="仿宋_GB2312"/>
          <w:sz w:val="32"/>
          <w:szCs w:val="32"/>
        </w:rPr>
      </w:pPr>
      <w:r>
        <w:rPr>
          <w:rFonts w:eastAsia="仿宋_GB2312"/>
          <w:sz w:val="32"/>
          <w:szCs w:val="32"/>
        </w:rPr>
        <w:drawing>
          <wp:inline distT="0" distB="0" distL="114300" distR="114300">
            <wp:extent cx="4984750" cy="2247265"/>
            <wp:effectExtent l="5080" t="4445" r="20320" b="1524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eastAsia="仿宋_GB2312"/>
          <w:sz w:val="32"/>
          <w:szCs w:val="32"/>
        </w:rPr>
        <w:t xml:space="preserve">   （图1：收入、支出决算总计变动情况图）</w:t>
      </w:r>
    </w:p>
    <w:p>
      <w:pPr>
        <w:pStyle w:val="2"/>
      </w:pPr>
    </w:p>
    <w:p>
      <w:pPr>
        <w:pStyle w:val="27"/>
        <w:spacing w:line="600" w:lineRule="exact"/>
        <w:ind w:firstLine="640"/>
        <w:outlineLvl w:val="1"/>
        <w:rPr>
          <w:rFonts w:eastAsia="黑体"/>
          <w:sz w:val="32"/>
          <w:szCs w:val="32"/>
        </w:rPr>
      </w:pPr>
      <w:bookmarkStart w:id="55" w:name="_Toc15396604"/>
      <w:bookmarkStart w:id="56" w:name="_Toc15377206"/>
      <w:bookmarkStart w:id="57" w:name="_Toc294668580_WPSOffice_Level2"/>
      <w:r>
        <w:rPr>
          <w:rFonts w:eastAsia="黑体"/>
          <w:sz w:val="32"/>
          <w:szCs w:val="32"/>
        </w:rPr>
        <w:t>二、收入决算情况说明</w:t>
      </w:r>
      <w:bookmarkEnd w:id="55"/>
      <w:bookmarkEnd w:id="56"/>
      <w:bookmarkEnd w:id="57"/>
    </w:p>
    <w:p>
      <w:pPr>
        <w:pStyle w:val="27"/>
        <w:spacing w:line="600" w:lineRule="exact"/>
        <w:ind w:firstLine="640"/>
        <w:jc w:val="left"/>
        <w:outlineLvl w:val="1"/>
        <w:rPr>
          <w:rFonts w:eastAsia="仿宋_GB2312"/>
          <w:b/>
          <w:bCs/>
          <w:sz w:val="32"/>
          <w:szCs w:val="32"/>
        </w:rPr>
      </w:pPr>
      <w:r>
        <w:rPr>
          <w:rFonts w:eastAsia="仿宋_GB2312"/>
          <w:sz w:val="32"/>
          <w:szCs w:val="32"/>
        </w:rPr>
        <w:t>2024年度本年收入合计307.96万元，其中：一般公共预算财政拨款收入307.96万元，占100%；政府性基金预算财政拨款收入0万元，占0%%；国有资本经营预算财政拨款收入0万元，占0%；上级补助收入0万元，占0%；事业收入0万元，占0%；经营收入0万元，占0%；附属单位上缴收入0万元，占0%；其他收入0万元，占0%。</w:t>
      </w:r>
    </w:p>
    <w:p>
      <w:pPr>
        <w:rPr>
          <w:rFonts w:eastAsia="仿宋_GB2312"/>
          <w:sz w:val="32"/>
          <w:szCs w:val="32"/>
        </w:rPr>
      </w:pPr>
      <w:r>
        <w:rPr>
          <w:rFonts w:eastAsia="仿宋_GB2312"/>
          <w:sz w:val="32"/>
          <w:szCs w:val="32"/>
        </w:rPr>
        <w:drawing>
          <wp:inline distT="0" distB="0" distL="114300" distR="114300">
            <wp:extent cx="5051425" cy="2686685"/>
            <wp:effectExtent l="4445" t="4445" r="11430" b="1397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ind w:firstLine="800" w:firstLineChars="250"/>
        <w:rPr>
          <w:rFonts w:eastAsia="仿宋_GB2312"/>
          <w:sz w:val="32"/>
          <w:szCs w:val="32"/>
        </w:rPr>
      </w:pPr>
      <w:r>
        <w:rPr>
          <w:rFonts w:eastAsia="仿宋_GB2312"/>
          <w:sz w:val="32"/>
          <w:szCs w:val="32"/>
        </w:rPr>
        <w:t>（图2：收入决算结构图）</w:t>
      </w:r>
    </w:p>
    <w:p>
      <w:pPr>
        <w:pStyle w:val="2"/>
      </w:pPr>
    </w:p>
    <w:p>
      <w:pPr>
        <w:pStyle w:val="27"/>
        <w:spacing w:line="600" w:lineRule="exact"/>
        <w:ind w:firstLine="640"/>
        <w:outlineLvl w:val="1"/>
        <w:rPr>
          <w:rStyle w:val="29"/>
          <w:rFonts w:ascii="Times New Roman" w:hAnsi="Times New Roman" w:eastAsia="黑体" w:cs="Times New Roman"/>
          <w:b w:val="0"/>
        </w:rPr>
      </w:pPr>
      <w:bookmarkStart w:id="58" w:name="_Toc15377207"/>
      <w:bookmarkStart w:id="59" w:name="_Toc15396605"/>
      <w:bookmarkStart w:id="60" w:name="_Toc2143276018_WPSOffice_Level2"/>
      <w:r>
        <w:rPr>
          <w:rFonts w:eastAsia="黑体"/>
          <w:sz w:val="32"/>
          <w:szCs w:val="32"/>
        </w:rPr>
        <w:t>三、支</w:t>
      </w:r>
      <w:r>
        <w:rPr>
          <w:rStyle w:val="29"/>
          <w:rFonts w:ascii="Times New Roman" w:hAnsi="Times New Roman" w:eastAsia="黑体" w:cs="Times New Roman"/>
          <w:b w:val="0"/>
        </w:rPr>
        <w:t>出决算情况说明</w:t>
      </w:r>
      <w:bookmarkEnd w:id="58"/>
      <w:bookmarkEnd w:id="59"/>
      <w:bookmarkEnd w:id="60"/>
    </w:p>
    <w:p>
      <w:pPr>
        <w:pStyle w:val="27"/>
        <w:spacing w:line="600" w:lineRule="exact"/>
        <w:ind w:firstLine="640"/>
        <w:jc w:val="left"/>
        <w:outlineLvl w:val="1"/>
        <w:rPr>
          <w:rFonts w:eastAsia="仿宋_GB2312"/>
          <w:sz w:val="32"/>
          <w:szCs w:val="32"/>
        </w:rPr>
      </w:pPr>
      <w:r>
        <w:rPr>
          <w:rFonts w:eastAsia="仿宋_GB2312"/>
          <w:sz w:val="32"/>
          <w:szCs w:val="32"/>
        </w:rPr>
        <w:t>2024年度本年支出合计307.96万元，其中：基本支出222.21万元，占72.15%；项目支出85.75万元，占27.84%；上缴上级支出0万元，占0%；经营支出0万元，占0%；对附属单位补助支出0万元，占0%%。</w:t>
      </w:r>
    </w:p>
    <w:p>
      <w:pPr>
        <w:rPr>
          <w:rFonts w:eastAsia="仿宋_GB2312"/>
          <w:sz w:val="32"/>
          <w:szCs w:val="32"/>
        </w:rPr>
      </w:pPr>
      <w:r>
        <w:rPr>
          <w:rFonts w:eastAsia="仿宋_GB2312"/>
          <w:sz w:val="32"/>
          <w:szCs w:val="32"/>
        </w:rPr>
        <w:drawing>
          <wp:inline distT="0" distB="0" distL="114300" distR="114300">
            <wp:extent cx="4984750" cy="2676525"/>
            <wp:effectExtent l="4445" t="4445" r="20955" b="508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ind w:firstLine="800" w:firstLineChars="250"/>
        <w:rPr>
          <w:rFonts w:eastAsia="仿宋_GB2312"/>
          <w:sz w:val="32"/>
          <w:szCs w:val="32"/>
        </w:rPr>
      </w:pPr>
      <w:r>
        <w:rPr>
          <w:rFonts w:eastAsia="仿宋_GB2312"/>
          <w:sz w:val="32"/>
          <w:szCs w:val="32"/>
        </w:rPr>
        <w:t>（图3：支出决算结构图）</w:t>
      </w:r>
    </w:p>
    <w:p>
      <w:pPr>
        <w:ind w:firstLine="800" w:firstLineChars="250"/>
        <w:rPr>
          <w:rFonts w:eastAsia="仿宋_GB2312"/>
          <w:sz w:val="32"/>
          <w:szCs w:val="32"/>
        </w:rPr>
      </w:pPr>
    </w:p>
    <w:p>
      <w:pPr>
        <w:spacing w:line="600" w:lineRule="exact"/>
        <w:ind w:firstLine="640" w:firstLineChars="200"/>
        <w:outlineLvl w:val="1"/>
        <w:rPr>
          <w:rStyle w:val="29"/>
          <w:rFonts w:ascii="Times New Roman" w:hAnsi="Times New Roman" w:eastAsia="黑体" w:cs="Times New Roman"/>
          <w:b w:val="0"/>
        </w:rPr>
      </w:pPr>
      <w:bookmarkStart w:id="61" w:name="_Toc583913365_WPSOffice_Level2"/>
      <w:bookmarkStart w:id="62" w:name="_Toc15396606"/>
      <w:bookmarkStart w:id="63" w:name="_Toc15377208"/>
      <w:r>
        <w:rPr>
          <w:rFonts w:eastAsia="黑体"/>
          <w:sz w:val="32"/>
          <w:szCs w:val="32"/>
        </w:rPr>
        <w:t>四、财</w:t>
      </w:r>
      <w:r>
        <w:rPr>
          <w:rStyle w:val="29"/>
          <w:rFonts w:ascii="Times New Roman" w:hAnsi="Times New Roman" w:eastAsia="黑体" w:cs="Times New Roman"/>
          <w:b w:val="0"/>
        </w:rPr>
        <w:t>政拨款收入支出决算总体情况说明</w:t>
      </w:r>
      <w:bookmarkEnd w:id="61"/>
      <w:bookmarkEnd w:id="62"/>
      <w:bookmarkEnd w:id="63"/>
    </w:p>
    <w:p>
      <w:pPr>
        <w:spacing w:line="600" w:lineRule="exact"/>
        <w:ind w:firstLine="640"/>
        <w:rPr>
          <w:rFonts w:eastAsia="仿宋_GB2312"/>
          <w:sz w:val="32"/>
          <w:szCs w:val="32"/>
        </w:rPr>
      </w:pPr>
      <w:r>
        <w:rPr>
          <w:rFonts w:eastAsia="仿宋_GB2312"/>
          <w:sz w:val="32"/>
          <w:szCs w:val="32"/>
        </w:rPr>
        <w:t>2024年度财政拨款收入、支出总计均为307.96万元。与2023年度相比，财政拨款收入总计、支出总计各增加65.4万元，增长26.96%。主要变动原因是编纂出版经费等项目经费增加。</w:t>
      </w:r>
    </w:p>
    <w:p>
      <w:pPr>
        <w:spacing w:line="600" w:lineRule="exact"/>
        <w:ind w:firstLine="640" w:firstLineChars="200"/>
        <w:rPr>
          <w:rFonts w:eastAsia="仿宋_GB2312"/>
          <w:sz w:val="32"/>
          <w:szCs w:val="32"/>
        </w:rPr>
      </w:pPr>
    </w:p>
    <w:p>
      <w:pPr>
        <w:spacing w:line="600" w:lineRule="exact"/>
        <w:ind w:firstLine="640" w:firstLineChars="200"/>
        <w:rPr>
          <w:rFonts w:eastAsia="仿宋_GB2312"/>
          <w:sz w:val="32"/>
          <w:szCs w:val="32"/>
        </w:rPr>
      </w:pPr>
    </w:p>
    <w:p>
      <w:pPr>
        <w:spacing w:line="600" w:lineRule="exact"/>
        <w:ind w:firstLine="640" w:firstLineChars="200"/>
        <w:rPr>
          <w:rFonts w:eastAsia="仿宋_GB2312"/>
          <w:sz w:val="32"/>
          <w:szCs w:val="32"/>
        </w:rPr>
      </w:pPr>
    </w:p>
    <w:p>
      <w:pPr>
        <w:spacing w:line="600" w:lineRule="exact"/>
        <w:rPr>
          <w:rFonts w:eastAsia="仿宋_GB2312"/>
          <w:sz w:val="32"/>
          <w:szCs w:val="32"/>
        </w:rPr>
      </w:pPr>
    </w:p>
    <w:p>
      <w:pPr>
        <w:spacing w:line="600" w:lineRule="exact"/>
        <w:ind w:firstLine="640" w:firstLineChars="200"/>
        <w:rPr>
          <w:rFonts w:eastAsia="仿宋_GB2312"/>
          <w:sz w:val="32"/>
          <w:szCs w:val="32"/>
        </w:rPr>
      </w:pPr>
    </w:p>
    <w:p>
      <w:pPr>
        <w:spacing w:line="600" w:lineRule="exact"/>
        <w:ind w:firstLine="640" w:firstLineChars="200"/>
        <w:rPr>
          <w:rFonts w:eastAsia="仿宋_GB2312"/>
          <w:sz w:val="32"/>
          <w:szCs w:val="32"/>
        </w:rPr>
      </w:pPr>
      <w:r>
        <w:rPr>
          <w:rFonts w:eastAsia="仿宋_GB2312"/>
          <w:sz w:val="32"/>
          <w:szCs w:val="32"/>
        </w:rPr>
        <w:drawing>
          <wp:anchor distT="0" distB="0" distL="114300" distR="114300" simplePos="0" relativeHeight="251659264" behindDoc="0" locked="0" layoutInCell="1" allowOverlap="1">
            <wp:simplePos x="0" y="0"/>
            <wp:positionH relativeFrom="column">
              <wp:posOffset>411480</wp:posOffset>
            </wp:positionH>
            <wp:positionV relativeFrom="paragraph">
              <wp:posOffset>-1862455</wp:posOffset>
            </wp:positionV>
            <wp:extent cx="4794885" cy="2153285"/>
            <wp:effectExtent l="5080" t="4445" r="19685" b="1397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firstLine="640" w:firstLineChars="200"/>
        <w:rPr>
          <w:rFonts w:eastAsia="仿宋_GB2312"/>
          <w:sz w:val="32"/>
          <w:szCs w:val="32"/>
        </w:rPr>
      </w:pPr>
      <w:r>
        <w:rPr>
          <w:rFonts w:eastAsia="仿宋_GB2312"/>
          <w:sz w:val="32"/>
          <w:szCs w:val="32"/>
        </w:rPr>
        <w:t>（图4：财政拨款收、支决算总计变动情况）</w:t>
      </w:r>
    </w:p>
    <w:p>
      <w:pPr>
        <w:spacing w:line="600" w:lineRule="exact"/>
        <w:ind w:firstLine="640"/>
        <w:rPr>
          <w:rFonts w:eastAsia="仿宋_GB2312"/>
          <w:sz w:val="32"/>
          <w:szCs w:val="32"/>
        </w:rPr>
      </w:pPr>
    </w:p>
    <w:p>
      <w:pPr>
        <w:spacing w:line="600" w:lineRule="exact"/>
        <w:ind w:firstLine="640" w:firstLineChars="200"/>
        <w:outlineLvl w:val="1"/>
        <w:rPr>
          <w:rStyle w:val="29"/>
          <w:rFonts w:ascii="Times New Roman" w:hAnsi="Times New Roman" w:eastAsia="黑体" w:cs="Times New Roman"/>
          <w:b w:val="0"/>
        </w:rPr>
      </w:pPr>
      <w:bookmarkStart w:id="64" w:name="_Toc15377209"/>
      <w:bookmarkStart w:id="65" w:name="_Toc15396607"/>
      <w:bookmarkStart w:id="66" w:name="_Toc1263152264_WPSOffice_Level2"/>
      <w:r>
        <w:rPr>
          <w:rFonts w:eastAsia="黑体"/>
          <w:sz w:val="32"/>
          <w:szCs w:val="32"/>
        </w:rPr>
        <w:t>五、</w:t>
      </w:r>
      <w:r>
        <w:rPr>
          <w:rFonts w:eastAsia="黑体"/>
          <w:b/>
          <w:sz w:val="32"/>
          <w:szCs w:val="32"/>
        </w:rPr>
        <w:t>一</w:t>
      </w:r>
      <w:r>
        <w:rPr>
          <w:rStyle w:val="29"/>
          <w:rFonts w:ascii="Times New Roman" w:hAnsi="Times New Roman" w:eastAsia="黑体" w:cs="Times New Roman"/>
          <w:b w:val="0"/>
        </w:rPr>
        <w:t>般公共预算财政拨款支出决算情况说明</w:t>
      </w:r>
      <w:bookmarkEnd w:id="64"/>
      <w:bookmarkEnd w:id="65"/>
      <w:bookmarkEnd w:id="66"/>
    </w:p>
    <w:p>
      <w:pPr>
        <w:spacing w:line="600" w:lineRule="exact"/>
        <w:ind w:firstLine="642" w:firstLineChars="200"/>
        <w:outlineLvl w:val="2"/>
        <w:rPr>
          <w:rFonts w:eastAsia="楷体_GB2312"/>
          <w:b/>
          <w:sz w:val="32"/>
          <w:szCs w:val="32"/>
        </w:rPr>
      </w:pPr>
      <w:bookmarkStart w:id="67" w:name="_Toc15377210"/>
      <w:r>
        <w:rPr>
          <w:rFonts w:eastAsia="楷体_GB2312"/>
          <w:b/>
          <w:sz w:val="32"/>
          <w:szCs w:val="32"/>
        </w:rPr>
        <w:t>（一）一般公共预算财政拨款支出决算总体情况</w:t>
      </w:r>
      <w:bookmarkEnd w:id="67"/>
    </w:p>
    <w:p>
      <w:pPr>
        <w:spacing w:line="600" w:lineRule="exact"/>
        <w:ind w:firstLine="640"/>
        <w:rPr>
          <w:rFonts w:eastAsia="仿宋_GB2312"/>
          <w:sz w:val="32"/>
          <w:szCs w:val="32"/>
        </w:rPr>
      </w:pPr>
      <w:r>
        <w:rPr>
          <w:rFonts w:eastAsia="仿宋_GB2312"/>
          <w:sz w:val="32"/>
          <w:szCs w:val="32"/>
        </w:rPr>
        <w:t>2024年度一般公共预算财政拨款支出307.96万元，占本年支出合计的100%。与2023年度相比，一般公共预算财政拨款支出增加65.4万元，增长26.96%。主要变动原因是编纂出版经费等项目经费支出增加。</w:t>
      </w:r>
    </w:p>
    <w:p>
      <w:pPr>
        <w:spacing w:line="600" w:lineRule="exact"/>
        <w:ind w:firstLine="640"/>
        <w:rPr>
          <w:rFonts w:eastAsia="仿宋_GB2312"/>
          <w:sz w:val="32"/>
          <w:szCs w:val="32"/>
        </w:rPr>
      </w:pPr>
    </w:p>
    <w:p>
      <w:pPr>
        <w:pStyle w:val="2"/>
        <w:rPr>
          <w:rFonts w:eastAsia="仿宋_GB2312"/>
          <w:sz w:val="32"/>
          <w:szCs w:val="32"/>
        </w:rPr>
      </w:pPr>
    </w:p>
    <w:p>
      <w:pPr>
        <w:pStyle w:val="3"/>
        <w:ind w:left="420" w:firstLine="640"/>
        <w:rPr>
          <w:rFonts w:ascii="Times New Roman" w:eastAsia="仿宋_GB2312"/>
          <w:sz w:val="32"/>
        </w:rPr>
      </w:pPr>
    </w:p>
    <w:p>
      <w:pPr>
        <w:pStyle w:val="3"/>
        <w:ind w:left="420" w:firstLine="640"/>
        <w:rPr>
          <w:rFonts w:ascii="Times New Roman" w:eastAsia="仿宋_GB2312"/>
          <w:sz w:val="32"/>
        </w:rPr>
      </w:pPr>
    </w:p>
    <w:p>
      <w:pPr>
        <w:pStyle w:val="3"/>
        <w:ind w:left="420" w:firstLine="640"/>
        <w:rPr>
          <w:rFonts w:ascii="Times New Roman" w:eastAsia="仿宋_GB2312"/>
          <w:sz w:val="32"/>
        </w:rPr>
      </w:pPr>
    </w:p>
    <w:p>
      <w:pPr>
        <w:pStyle w:val="2"/>
      </w:pPr>
      <w:r>
        <w:drawing>
          <wp:inline distT="0" distB="0" distL="114300" distR="114300">
            <wp:extent cx="5362575" cy="2227580"/>
            <wp:effectExtent l="4445" t="4445" r="5080" b="1587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2"/>
      </w:pPr>
    </w:p>
    <w:p>
      <w:pPr>
        <w:spacing w:line="600" w:lineRule="exact"/>
        <w:ind w:firstLine="640"/>
        <w:rPr>
          <w:rFonts w:eastAsia="仿宋_GB2312"/>
          <w:sz w:val="32"/>
          <w:szCs w:val="32"/>
        </w:rPr>
      </w:pPr>
      <w:r>
        <w:rPr>
          <w:rFonts w:eastAsia="仿宋_GB2312"/>
          <w:sz w:val="32"/>
          <w:szCs w:val="32"/>
        </w:rPr>
        <w:t>（图5：一般公共预算财政拨款支出决算变动情况）</w:t>
      </w:r>
    </w:p>
    <w:p>
      <w:pPr>
        <w:spacing w:line="600" w:lineRule="exact"/>
        <w:ind w:firstLine="640"/>
        <w:rPr>
          <w:rFonts w:eastAsia="仿宋_GB2312"/>
          <w:sz w:val="32"/>
          <w:szCs w:val="32"/>
        </w:rPr>
      </w:pPr>
    </w:p>
    <w:p>
      <w:pPr>
        <w:spacing w:line="600" w:lineRule="exact"/>
        <w:ind w:firstLine="642" w:firstLineChars="200"/>
        <w:outlineLvl w:val="2"/>
        <w:rPr>
          <w:rFonts w:eastAsia="楷体_GB2312"/>
          <w:b/>
          <w:sz w:val="32"/>
          <w:szCs w:val="32"/>
        </w:rPr>
      </w:pPr>
      <w:bookmarkStart w:id="68" w:name="_Toc15377211"/>
      <w:r>
        <w:rPr>
          <w:rFonts w:eastAsia="楷体_GB2312"/>
          <w:b/>
          <w:sz w:val="32"/>
          <w:szCs w:val="32"/>
        </w:rPr>
        <w:t>（二）一般公共预算财政拨款支出决算结构情况</w:t>
      </w:r>
      <w:bookmarkEnd w:id="68"/>
    </w:p>
    <w:p>
      <w:pPr>
        <w:spacing w:line="600" w:lineRule="exact"/>
        <w:ind w:firstLine="640"/>
        <w:rPr>
          <w:rFonts w:eastAsia="仿宋_GB2312"/>
          <w:sz w:val="32"/>
          <w:szCs w:val="32"/>
        </w:rPr>
      </w:pPr>
      <w:r>
        <w:rPr>
          <w:rFonts w:eastAsia="仿宋_GB2312"/>
          <w:sz w:val="32"/>
          <w:szCs w:val="32"/>
        </w:rPr>
        <w:t>2024年度一般公共预算财政拨款支出307.96万元，主要用于以下方面：一般公共服务支出1.25万元，占0.41%；科学技术支出229.59万元，占74.55%；社会保障和就业支出51.52万元，占16.73%；卫生健康支出11.48万元，占3.73%；住房保障支出14.12万元，占4.59%。</w:t>
      </w:r>
    </w:p>
    <w:p>
      <w:pPr>
        <w:pStyle w:val="3"/>
        <w:ind w:left="0" w:leftChars="0" w:firstLine="0" w:firstLineChars="0"/>
        <w:rPr>
          <w:rFonts w:ascii="Times New Roman" w:eastAsia="仿宋_GB2312"/>
          <w:sz w:val="32"/>
        </w:rPr>
      </w:pPr>
      <w:r>
        <w:rPr>
          <w:rFonts w:ascii="Times New Roman" w:eastAsia="仿宋_GB2312"/>
          <w:sz w:val="32"/>
        </w:rPr>
        <w:drawing>
          <wp:inline distT="0" distB="0" distL="114300" distR="114300">
            <wp:extent cx="5041265" cy="2291080"/>
            <wp:effectExtent l="4445" t="4445" r="21590" b="952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0"/>
        <w:rPr>
          <w:rFonts w:eastAsia="仿宋_GB2312"/>
          <w:sz w:val="32"/>
          <w:szCs w:val="32"/>
        </w:rPr>
      </w:pPr>
      <w:r>
        <w:rPr>
          <w:rFonts w:eastAsia="仿宋_GB2312"/>
          <w:sz w:val="32"/>
          <w:szCs w:val="32"/>
        </w:rPr>
        <w:t>（图6：一般公共预算财政拨款支出决算结构）</w:t>
      </w:r>
    </w:p>
    <w:p>
      <w:pPr>
        <w:spacing w:line="600" w:lineRule="exact"/>
        <w:ind w:firstLine="640"/>
        <w:rPr>
          <w:rFonts w:eastAsia="仿宋_GB2312"/>
          <w:sz w:val="32"/>
          <w:szCs w:val="32"/>
        </w:rPr>
      </w:pPr>
    </w:p>
    <w:p>
      <w:pPr>
        <w:spacing w:line="600" w:lineRule="exact"/>
        <w:ind w:firstLine="642" w:firstLineChars="200"/>
        <w:outlineLvl w:val="2"/>
        <w:rPr>
          <w:rFonts w:eastAsia="楷体_GB2312"/>
          <w:b/>
          <w:sz w:val="32"/>
          <w:szCs w:val="32"/>
        </w:rPr>
      </w:pPr>
      <w:bookmarkStart w:id="69" w:name="_Toc15377212"/>
      <w:r>
        <w:rPr>
          <w:rFonts w:eastAsia="楷体_GB2312"/>
          <w:b/>
          <w:sz w:val="32"/>
          <w:szCs w:val="32"/>
        </w:rPr>
        <w:t>（三）一般公共预算财政拨款支出决算具体情况</w:t>
      </w:r>
      <w:bookmarkEnd w:id="69"/>
    </w:p>
    <w:p>
      <w:pPr>
        <w:spacing w:line="600" w:lineRule="exact"/>
        <w:ind w:firstLine="640"/>
        <w:rPr>
          <w:rFonts w:eastAsia="仿宋_GB2312"/>
          <w:sz w:val="32"/>
          <w:szCs w:val="32"/>
        </w:rPr>
      </w:pPr>
      <w:bookmarkStart w:id="70" w:name="_Toc15377213"/>
      <w:bookmarkStart w:id="71" w:name="_Toc15377444"/>
      <w:bookmarkStart w:id="72" w:name="_Toc15378460"/>
      <w:r>
        <w:rPr>
          <w:rFonts w:eastAsia="仿宋_GB2312"/>
          <w:sz w:val="32"/>
          <w:szCs w:val="32"/>
        </w:rPr>
        <w:t>2024年度一般公共预算财政拨款支出决算数为307.96，完成预算</w:t>
      </w:r>
      <w:r>
        <w:rPr>
          <w:rFonts w:hint="eastAsia" w:eastAsia="仿宋_GB2312"/>
          <w:sz w:val="32"/>
          <w:szCs w:val="32"/>
        </w:rPr>
        <w:t>100</w:t>
      </w:r>
      <w:r>
        <w:rPr>
          <w:rFonts w:eastAsia="仿宋_GB2312"/>
          <w:sz w:val="32"/>
          <w:szCs w:val="32"/>
        </w:rPr>
        <w:t>%。其中：</w:t>
      </w:r>
      <w:bookmarkEnd w:id="70"/>
      <w:bookmarkEnd w:id="71"/>
      <w:bookmarkEnd w:id="72"/>
    </w:p>
    <w:p>
      <w:pPr>
        <w:spacing w:line="600" w:lineRule="exact"/>
        <w:ind w:firstLine="640"/>
        <w:rPr>
          <w:rFonts w:eastAsia="仿宋_GB2312"/>
          <w:sz w:val="32"/>
          <w:szCs w:val="32"/>
        </w:rPr>
      </w:pPr>
      <w:r>
        <w:rPr>
          <w:rFonts w:eastAsia="仿宋_GB2312"/>
          <w:sz w:val="32"/>
          <w:szCs w:val="32"/>
        </w:rPr>
        <w:t>1.一般公共服务（类）组织事务（款）其他组织事务（项）：支出决算为1.25万元，完成预算100%，决算数等于预算数。</w:t>
      </w:r>
    </w:p>
    <w:p>
      <w:pPr>
        <w:spacing w:line="600" w:lineRule="exact"/>
        <w:ind w:firstLine="640"/>
        <w:rPr>
          <w:rFonts w:eastAsia="仿宋_GB2312"/>
          <w:sz w:val="32"/>
          <w:szCs w:val="32"/>
        </w:rPr>
      </w:pPr>
      <w:r>
        <w:rPr>
          <w:rFonts w:eastAsia="仿宋_GB2312"/>
          <w:sz w:val="32"/>
          <w:szCs w:val="32"/>
        </w:rPr>
        <w:t>2.科学技术（类）科学技术管理事务（款）行政运行（项）：支出决算为144.06万元，完成预算100%，决算数等于预算数。</w:t>
      </w:r>
    </w:p>
    <w:p>
      <w:pPr>
        <w:spacing w:line="600" w:lineRule="exact"/>
        <w:ind w:firstLine="640"/>
      </w:pPr>
      <w:r>
        <w:rPr>
          <w:rFonts w:eastAsia="仿宋_GB2312"/>
          <w:sz w:val="32"/>
          <w:szCs w:val="32"/>
        </w:rPr>
        <w:t>3.科学技术（类）社会科学（款）其他社会科学支出（项）：支出决算为85.53万元，完成预算100%，决算数等于预算数。</w:t>
      </w:r>
    </w:p>
    <w:p>
      <w:pPr>
        <w:spacing w:line="600" w:lineRule="exact"/>
        <w:ind w:firstLine="640"/>
        <w:rPr>
          <w:rFonts w:eastAsia="仿宋_GB2312"/>
          <w:sz w:val="32"/>
          <w:szCs w:val="32"/>
        </w:rPr>
      </w:pPr>
      <w:r>
        <w:rPr>
          <w:rFonts w:eastAsia="仿宋_GB2312"/>
          <w:sz w:val="32"/>
          <w:szCs w:val="32"/>
        </w:rPr>
        <w:t>4.社会保障和就业（类）行政事业单位养老支出（款）行政单位离退休（项）：支出决算为34.2万元，完成预算100%，决算数等于预算数。</w:t>
      </w:r>
    </w:p>
    <w:p>
      <w:pPr>
        <w:spacing w:line="600" w:lineRule="exact"/>
        <w:ind w:firstLine="640"/>
      </w:pPr>
      <w:r>
        <w:rPr>
          <w:rFonts w:eastAsia="仿宋_GB2312"/>
          <w:sz w:val="32"/>
          <w:szCs w:val="32"/>
        </w:rPr>
        <w:t>5.社会保障和就业（类）行政事业单位养老支出（款）机关事业单位基本养老保险缴费支出（项）：支出决算为17.1万元，完成预算100%，决算数等于预算数。</w:t>
      </w:r>
    </w:p>
    <w:p>
      <w:pPr>
        <w:spacing w:line="600" w:lineRule="exact"/>
        <w:ind w:firstLine="640"/>
        <w:rPr>
          <w:rFonts w:eastAsia="仿宋_GB2312"/>
          <w:sz w:val="32"/>
          <w:szCs w:val="32"/>
        </w:rPr>
      </w:pPr>
      <w:r>
        <w:rPr>
          <w:rFonts w:eastAsia="仿宋_GB2312"/>
          <w:sz w:val="32"/>
          <w:szCs w:val="32"/>
        </w:rPr>
        <w:t>6.卫生健康（类）行政事业单位医疗（款）行政单位医疗（项）：支出决算为9.08万元，完成预算100%，决算数等于预算数。</w:t>
      </w:r>
    </w:p>
    <w:p>
      <w:pPr>
        <w:spacing w:line="600" w:lineRule="exact"/>
        <w:ind w:firstLine="640"/>
        <w:rPr>
          <w:rFonts w:eastAsia="仿宋_GB2312"/>
          <w:sz w:val="32"/>
          <w:szCs w:val="32"/>
        </w:rPr>
      </w:pPr>
      <w:r>
        <w:rPr>
          <w:rFonts w:eastAsia="仿宋_GB2312"/>
          <w:sz w:val="32"/>
          <w:szCs w:val="32"/>
        </w:rPr>
        <w:t>7.卫生健康（类）行政事业单位医疗（款）公务员医疗补助（项）：支出决算为1.02万元，完成预算100%，决算数等于预算数。</w:t>
      </w:r>
    </w:p>
    <w:p>
      <w:pPr>
        <w:spacing w:line="600" w:lineRule="exact"/>
        <w:ind w:firstLine="640"/>
        <w:rPr>
          <w:rFonts w:eastAsia="仿宋_GB2312"/>
          <w:sz w:val="32"/>
          <w:szCs w:val="32"/>
        </w:rPr>
      </w:pPr>
      <w:r>
        <w:rPr>
          <w:rFonts w:eastAsia="仿宋_GB2312"/>
          <w:sz w:val="32"/>
          <w:szCs w:val="32"/>
        </w:rPr>
        <w:t>8.卫生健康（类）行政事业单位医疗（款）其他行政事业单位医疗支出（项）：支出决算为1.3万元，完成预算100%，决算数等于预算数。</w:t>
      </w:r>
    </w:p>
    <w:p>
      <w:pPr>
        <w:spacing w:line="600" w:lineRule="exact"/>
        <w:ind w:firstLine="640"/>
        <w:rPr>
          <w:rFonts w:eastAsia="仿宋_GB2312"/>
          <w:sz w:val="32"/>
          <w:szCs w:val="32"/>
        </w:rPr>
      </w:pPr>
      <w:r>
        <w:rPr>
          <w:rFonts w:eastAsia="仿宋_GB2312"/>
          <w:sz w:val="32"/>
          <w:szCs w:val="32"/>
        </w:rPr>
        <w:t>9.卫生健康（类）其他卫生健康支出（款）其他卫生健康支出（项）：支出决算为0.08万元，完成预算100%，决算数等于预算数。</w:t>
      </w:r>
    </w:p>
    <w:p>
      <w:pPr>
        <w:spacing w:line="600" w:lineRule="exact"/>
        <w:ind w:firstLine="640"/>
        <w:rPr>
          <w:rFonts w:eastAsia="仿宋_GB2312"/>
          <w:sz w:val="32"/>
          <w:szCs w:val="32"/>
        </w:rPr>
      </w:pPr>
      <w:r>
        <w:rPr>
          <w:rFonts w:eastAsia="仿宋_GB2312"/>
          <w:sz w:val="32"/>
          <w:szCs w:val="32"/>
        </w:rPr>
        <w:t>10.住房保障支出（类）住房改革支出（款）住房公积金（项）：支出决算为14.12万元，完成预算100%，决算数等于预算数。</w:t>
      </w:r>
    </w:p>
    <w:p>
      <w:pPr>
        <w:spacing w:line="600" w:lineRule="exact"/>
        <w:ind w:firstLine="640"/>
        <w:rPr>
          <w:rFonts w:eastAsia="仿宋_GB2312"/>
          <w:sz w:val="32"/>
          <w:szCs w:val="32"/>
        </w:rPr>
      </w:pPr>
    </w:p>
    <w:p>
      <w:pPr>
        <w:tabs>
          <w:tab w:val="right" w:pos="8306"/>
        </w:tabs>
        <w:spacing w:line="600" w:lineRule="exact"/>
        <w:ind w:firstLine="640"/>
        <w:outlineLvl w:val="1"/>
        <w:rPr>
          <w:rStyle w:val="29"/>
          <w:rFonts w:ascii="Times New Roman" w:hAnsi="Times New Roman" w:cs="Times New Roman"/>
        </w:rPr>
      </w:pPr>
      <w:bookmarkStart w:id="73" w:name="_Toc15396608"/>
      <w:bookmarkStart w:id="74" w:name="_Toc1382191495_WPSOffice_Level2"/>
      <w:bookmarkStart w:id="75" w:name="_Toc15377214"/>
      <w:r>
        <w:rPr>
          <w:rFonts w:eastAsia="黑体"/>
          <w:sz w:val="32"/>
          <w:szCs w:val="32"/>
        </w:rPr>
        <w:t>六</w:t>
      </w:r>
      <w:r>
        <w:rPr>
          <w:rFonts w:eastAsia="黑体"/>
          <w:b/>
          <w:sz w:val="32"/>
          <w:szCs w:val="32"/>
        </w:rPr>
        <w:t>、一</w:t>
      </w:r>
      <w:r>
        <w:rPr>
          <w:rStyle w:val="29"/>
          <w:rFonts w:ascii="Times New Roman" w:hAnsi="Times New Roman" w:eastAsia="黑体" w:cs="Times New Roman"/>
          <w:b w:val="0"/>
        </w:rPr>
        <w:t>般公共预算财政拨款基本支出决算情况说明</w:t>
      </w:r>
      <w:bookmarkEnd w:id="73"/>
      <w:bookmarkEnd w:id="74"/>
      <w:bookmarkEnd w:id="75"/>
      <w:r>
        <w:rPr>
          <w:rStyle w:val="29"/>
          <w:rFonts w:ascii="Times New Roman" w:hAnsi="Times New Roman" w:eastAsia="黑体" w:cs="Times New Roman"/>
          <w:b w:val="0"/>
        </w:rPr>
        <w:tab/>
      </w:r>
    </w:p>
    <w:p>
      <w:pPr>
        <w:spacing w:line="600" w:lineRule="exact"/>
        <w:ind w:firstLine="640"/>
        <w:rPr>
          <w:rFonts w:eastAsia="仿宋_GB2312"/>
          <w:sz w:val="32"/>
          <w:szCs w:val="32"/>
        </w:rPr>
      </w:pPr>
      <w:r>
        <w:rPr>
          <w:rFonts w:eastAsia="仿宋_GB2312"/>
          <w:sz w:val="32"/>
          <w:szCs w:val="32"/>
        </w:rPr>
        <w:t>2024年度一般公共预算财政拨款基本支出222.21万元，其中：</w:t>
      </w:r>
    </w:p>
    <w:p>
      <w:pPr>
        <w:spacing w:line="600" w:lineRule="exact"/>
        <w:ind w:firstLine="640"/>
        <w:rPr>
          <w:rFonts w:eastAsia="仿宋_GB2312"/>
          <w:sz w:val="32"/>
          <w:szCs w:val="32"/>
        </w:rPr>
      </w:pPr>
      <w:r>
        <w:rPr>
          <w:rFonts w:eastAsia="仿宋_GB2312"/>
          <w:sz w:val="32"/>
          <w:szCs w:val="32"/>
        </w:rPr>
        <w:t>人员经费198.87万元，主要包括：基本工资、津贴补贴、奖金、机关事业单位基本养老保险缴费、职工基本医疗保险缴费、公务员医疗补助缴费、其他社会保障缴费、住房公积金、生活补助、医疗费补助、奖励金、其他对个人和家庭的补助支出等。</w:t>
      </w:r>
      <w:r>
        <w:rPr>
          <w:rFonts w:eastAsia="仿宋_GB2312"/>
          <w:sz w:val="32"/>
          <w:szCs w:val="32"/>
        </w:rPr>
        <w:br w:type="textWrapping"/>
      </w:r>
      <w:r>
        <w:rPr>
          <w:rFonts w:eastAsia="仿宋_GB2312"/>
          <w:sz w:val="32"/>
          <w:szCs w:val="32"/>
        </w:rPr>
        <w:t>　　公用经费23.34万元，主要包括：办公费、印刷费、水费、电费、邮电费、物业管理费、差旅费、维修（护）费、租赁费、公务接待费、委托业务费、工会经费、福利费、其他交通费、其他商品和服务支出等。</w:t>
      </w:r>
    </w:p>
    <w:p>
      <w:pPr>
        <w:spacing w:line="600" w:lineRule="exact"/>
        <w:ind w:firstLine="640"/>
        <w:rPr>
          <w:rFonts w:eastAsia="仿宋_GB2312"/>
          <w:sz w:val="32"/>
          <w:szCs w:val="32"/>
        </w:rPr>
      </w:pPr>
    </w:p>
    <w:p>
      <w:pPr>
        <w:spacing w:line="600" w:lineRule="exact"/>
        <w:ind w:firstLine="640"/>
        <w:outlineLvl w:val="1"/>
        <w:rPr>
          <w:rStyle w:val="29"/>
          <w:rFonts w:ascii="Times New Roman" w:hAnsi="Times New Roman" w:eastAsia="黑体" w:cs="Times New Roman"/>
          <w:b w:val="0"/>
        </w:rPr>
      </w:pPr>
      <w:bookmarkStart w:id="76" w:name="_Toc15377215"/>
      <w:bookmarkStart w:id="77" w:name="_Toc1770514447_WPSOffice_Level2"/>
      <w:bookmarkStart w:id="78" w:name="_Toc15396609"/>
      <w:r>
        <w:rPr>
          <w:rFonts w:eastAsia="黑体"/>
          <w:sz w:val="32"/>
          <w:szCs w:val="32"/>
        </w:rPr>
        <w:t>七、</w:t>
      </w:r>
      <w:r>
        <w:rPr>
          <w:rStyle w:val="29"/>
          <w:rFonts w:ascii="Times New Roman" w:hAnsi="Times New Roman" w:eastAsia="黑体" w:cs="Times New Roman"/>
          <w:b w:val="0"/>
        </w:rPr>
        <w:t>财政拨款</w:t>
      </w:r>
      <w:r>
        <w:rPr>
          <w:rStyle w:val="29"/>
          <w:rFonts w:ascii="Times New Roman" w:hAnsi="Times New Roman" w:eastAsia="黑体" w:cs="Times New Roman"/>
        </w:rPr>
        <w:t>“</w:t>
      </w:r>
      <w:r>
        <w:rPr>
          <w:rStyle w:val="29"/>
          <w:rFonts w:ascii="Times New Roman" w:hAnsi="Times New Roman" w:eastAsia="黑体" w:cs="Times New Roman"/>
          <w:b w:val="0"/>
        </w:rPr>
        <w:t>三公”经费支出决算情况说明</w:t>
      </w:r>
      <w:bookmarkEnd w:id="76"/>
      <w:bookmarkEnd w:id="77"/>
      <w:bookmarkEnd w:id="78"/>
    </w:p>
    <w:p>
      <w:pPr>
        <w:spacing w:line="600" w:lineRule="exact"/>
        <w:ind w:firstLine="642" w:firstLineChars="200"/>
        <w:outlineLvl w:val="2"/>
        <w:rPr>
          <w:rFonts w:eastAsia="楷体_GB2312"/>
          <w:b/>
          <w:sz w:val="32"/>
          <w:szCs w:val="32"/>
        </w:rPr>
      </w:pPr>
      <w:bookmarkStart w:id="79" w:name="_Toc15377216"/>
      <w:r>
        <w:rPr>
          <w:rFonts w:eastAsia="楷体_GB2312"/>
          <w:b/>
          <w:sz w:val="32"/>
          <w:szCs w:val="32"/>
        </w:rPr>
        <w:t>（一）“三公”经费财政拨款支出决算总体情况说明</w:t>
      </w:r>
      <w:bookmarkEnd w:id="79"/>
    </w:p>
    <w:p>
      <w:pPr>
        <w:spacing w:line="600" w:lineRule="exact"/>
        <w:ind w:firstLine="640"/>
        <w:rPr>
          <w:rFonts w:eastAsia="仿宋_GB2312"/>
          <w:b/>
          <w:bCs/>
          <w:sz w:val="32"/>
          <w:szCs w:val="32"/>
        </w:rPr>
      </w:pPr>
      <w:r>
        <w:rPr>
          <w:rFonts w:eastAsia="仿宋_GB2312"/>
          <w:sz w:val="32"/>
          <w:szCs w:val="32"/>
        </w:rPr>
        <w:t>2024年度“三公”经费财政拨款支出决算为0.24万元，完成预算100%，与上年度持平。决算数与预算数持平。</w:t>
      </w:r>
    </w:p>
    <w:p>
      <w:pPr>
        <w:spacing w:line="600" w:lineRule="exact"/>
        <w:ind w:firstLine="642" w:firstLineChars="200"/>
        <w:outlineLvl w:val="2"/>
        <w:rPr>
          <w:rFonts w:eastAsia="楷体_GB2312"/>
          <w:b/>
          <w:sz w:val="32"/>
          <w:szCs w:val="32"/>
        </w:rPr>
      </w:pPr>
      <w:bookmarkStart w:id="80" w:name="_Toc15377217"/>
      <w:r>
        <w:rPr>
          <w:rFonts w:eastAsia="楷体_GB2312"/>
          <w:b/>
          <w:sz w:val="32"/>
          <w:szCs w:val="32"/>
        </w:rPr>
        <w:t>（二）“三公”经费财政拨款支出决算具体情况说明</w:t>
      </w:r>
      <w:bookmarkEnd w:id="80"/>
    </w:p>
    <w:p>
      <w:pPr>
        <w:spacing w:line="600" w:lineRule="exact"/>
        <w:ind w:firstLine="640"/>
        <w:rPr>
          <w:rFonts w:eastAsia="仿宋_GB2312"/>
          <w:sz w:val="32"/>
          <w:szCs w:val="32"/>
        </w:rPr>
      </w:pPr>
      <w:r>
        <w:rPr>
          <w:rFonts w:eastAsia="仿宋_GB2312"/>
          <w:sz w:val="32"/>
          <w:szCs w:val="32"/>
        </w:rPr>
        <w:t>2024年度“三公”经费财政拨款支出决算中，因公出国（境）费支出决算0万元，占0%；公务用车购置及运行维护费支出决算0万元，占0%；公务接待费支出决算0.24万元，占100%。具体情况如下：</w:t>
      </w:r>
    </w:p>
    <w:p>
      <w:pPr>
        <w:pStyle w:val="2"/>
      </w:pPr>
      <w:r>
        <w:drawing>
          <wp:inline distT="0" distB="0" distL="114300" distR="114300">
            <wp:extent cx="5080000" cy="3810000"/>
            <wp:effectExtent l="4445" t="4445" r="209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0"/>
        <w:rPr>
          <w:rFonts w:eastAsia="仿宋_GB2312"/>
          <w:sz w:val="32"/>
          <w:szCs w:val="32"/>
        </w:rPr>
      </w:pPr>
      <w:r>
        <w:rPr>
          <w:rFonts w:eastAsia="仿宋_GB2312"/>
          <w:sz w:val="32"/>
          <w:szCs w:val="32"/>
        </w:rPr>
        <w:t>（图7：“三公”经费财政拨款支出结构）</w:t>
      </w:r>
    </w:p>
    <w:p>
      <w:pPr>
        <w:numPr>
          <w:ilvl w:val="0"/>
          <w:numId w:val="2"/>
        </w:numPr>
        <w:spacing w:line="600" w:lineRule="exact"/>
        <w:ind w:firstLine="640"/>
        <w:rPr>
          <w:rFonts w:eastAsia="仿宋_GB2312"/>
          <w:sz w:val="32"/>
          <w:szCs w:val="32"/>
        </w:rPr>
      </w:pPr>
      <w:r>
        <w:rPr>
          <w:rFonts w:eastAsia="仿宋_GB2312"/>
          <w:b/>
          <w:bCs/>
          <w:sz w:val="32"/>
          <w:szCs w:val="32"/>
        </w:rPr>
        <w:t>因公出国（境）经费支出0万元，完成预算100%。</w:t>
      </w:r>
      <w:r>
        <w:rPr>
          <w:rFonts w:eastAsia="仿宋_GB2312"/>
          <w:sz w:val="32"/>
          <w:szCs w:val="32"/>
        </w:rPr>
        <w:t>全年安排因公出国（境）团组0次，出国（境）0人。因公出国（境）支出决算与2023年持平。</w:t>
      </w:r>
    </w:p>
    <w:p>
      <w:pPr>
        <w:spacing w:line="600" w:lineRule="exact"/>
        <w:rPr>
          <w:rFonts w:eastAsia="仿宋_GB2312"/>
          <w:sz w:val="32"/>
          <w:szCs w:val="32"/>
        </w:rPr>
      </w:pPr>
      <w:r>
        <w:rPr>
          <w:rFonts w:eastAsia="仿宋_GB2312"/>
          <w:b/>
          <w:bCs/>
          <w:sz w:val="32"/>
          <w:szCs w:val="32"/>
        </w:rPr>
        <w:t xml:space="preserve">    2.公务用车购置及运行维护费支出0万元，完成预算100%。</w:t>
      </w:r>
      <w:r>
        <w:rPr>
          <w:rFonts w:eastAsia="仿宋_GB2312"/>
          <w:sz w:val="32"/>
          <w:szCs w:val="32"/>
        </w:rPr>
        <w:t>公务用车购置及运行维护费支出决算与2023年度持平。</w:t>
      </w:r>
    </w:p>
    <w:p>
      <w:pPr>
        <w:spacing w:line="600" w:lineRule="exact"/>
        <w:ind w:firstLine="640"/>
        <w:rPr>
          <w:rFonts w:eastAsia="仿宋_GB2312"/>
          <w:sz w:val="32"/>
          <w:szCs w:val="32"/>
        </w:rPr>
      </w:pPr>
      <w:r>
        <w:rPr>
          <w:rFonts w:eastAsia="仿宋_GB2312"/>
          <w:b/>
          <w:bCs/>
          <w:sz w:val="32"/>
          <w:szCs w:val="32"/>
        </w:rPr>
        <w:t>3.公务接待费支出0.24万元，完成预算100%。</w:t>
      </w:r>
      <w:r>
        <w:rPr>
          <w:rFonts w:eastAsia="仿宋_GB2312"/>
          <w:sz w:val="32"/>
          <w:szCs w:val="32"/>
        </w:rPr>
        <w:t>公务接待费支出决算与2023年度持平。其中：</w:t>
      </w:r>
    </w:p>
    <w:p>
      <w:pPr>
        <w:spacing w:line="600" w:lineRule="exact"/>
        <w:ind w:firstLine="640"/>
        <w:rPr>
          <w:rFonts w:eastAsia="仿宋_GB2312"/>
          <w:sz w:val="32"/>
          <w:szCs w:val="32"/>
        </w:rPr>
      </w:pPr>
      <w:r>
        <w:rPr>
          <w:rFonts w:eastAsia="仿宋_GB2312"/>
          <w:sz w:val="32"/>
          <w:szCs w:val="32"/>
        </w:rPr>
        <w:t>国内公务接待支出0.24万元，主要用于执行公务、开展业务活动开支的交通费、住宿费、用餐费等。国内公务接待3批次，15人次（不包括陪同人员），共计支出0.24万元，具体内容包括：接待四川省委党史研究室一行1308.6元；接待云南省委党史研究室及永仁党史一行427.7元；接待重庆万州区党史研究室和地方志一行金额700元。</w:t>
      </w:r>
    </w:p>
    <w:p>
      <w:pPr>
        <w:spacing w:line="600" w:lineRule="exact"/>
        <w:ind w:firstLine="640"/>
        <w:rPr>
          <w:rFonts w:eastAsia="仿宋_GB2312"/>
          <w:sz w:val="32"/>
          <w:szCs w:val="32"/>
        </w:rPr>
      </w:pPr>
      <w:r>
        <w:rPr>
          <w:rFonts w:eastAsia="仿宋_GB2312"/>
          <w:sz w:val="32"/>
          <w:szCs w:val="32"/>
        </w:rPr>
        <w:t>外事接待支出0万元。外事接待0批次，0人次（不包括陪同人员），共计支出0万元。</w:t>
      </w:r>
    </w:p>
    <w:p>
      <w:pPr>
        <w:spacing w:line="600" w:lineRule="exact"/>
        <w:ind w:firstLine="640"/>
        <w:rPr>
          <w:rFonts w:eastAsia="仿宋_GB2312"/>
          <w:sz w:val="32"/>
          <w:szCs w:val="32"/>
        </w:rPr>
      </w:pPr>
      <w:bookmarkStart w:id="81" w:name="_Toc15396610"/>
      <w:bookmarkStart w:id="82" w:name="_Toc15377218"/>
    </w:p>
    <w:p>
      <w:pPr>
        <w:spacing w:line="600" w:lineRule="exact"/>
        <w:ind w:firstLine="640"/>
        <w:outlineLvl w:val="1"/>
        <w:rPr>
          <w:rStyle w:val="29"/>
          <w:rFonts w:ascii="Times New Roman" w:hAnsi="Times New Roman" w:eastAsia="黑体" w:cs="Times New Roman"/>
        </w:rPr>
      </w:pPr>
      <w:bookmarkStart w:id="83" w:name="_Toc236183393_WPSOffice_Level2"/>
      <w:r>
        <w:rPr>
          <w:rFonts w:eastAsia="黑体"/>
          <w:sz w:val="32"/>
          <w:szCs w:val="32"/>
        </w:rPr>
        <w:t>八、</w:t>
      </w:r>
      <w:r>
        <w:rPr>
          <w:rStyle w:val="29"/>
          <w:rFonts w:ascii="Times New Roman" w:hAnsi="Times New Roman" w:eastAsia="黑体" w:cs="Times New Roman"/>
          <w:b w:val="0"/>
        </w:rPr>
        <w:t>政府性基金预算支出决算情况说明</w:t>
      </w:r>
      <w:bookmarkEnd w:id="81"/>
      <w:bookmarkEnd w:id="82"/>
      <w:bookmarkEnd w:id="83"/>
    </w:p>
    <w:p>
      <w:pPr>
        <w:spacing w:line="600" w:lineRule="exact"/>
        <w:ind w:firstLine="640"/>
        <w:rPr>
          <w:rFonts w:eastAsia="仿宋_GB2312"/>
          <w:b/>
          <w:bCs/>
          <w:sz w:val="32"/>
          <w:szCs w:val="32"/>
        </w:rPr>
      </w:pPr>
      <w:r>
        <w:rPr>
          <w:rFonts w:eastAsia="仿宋_GB2312"/>
          <w:sz w:val="32"/>
          <w:szCs w:val="32"/>
        </w:rPr>
        <w:t>2024年度政府性基金预算财政拨款支出0万元，占本年支出合计的0%。与2023年度持平。</w:t>
      </w:r>
    </w:p>
    <w:p>
      <w:pPr>
        <w:spacing w:line="600" w:lineRule="exact"/>
        <w:ind w:firstLine="640"/>
        <w:rPr>
          <w:rFonts w:eastAsia="仿宋_GB2312"/>
          <w:sz w:val="32"/>
          <w:szCs w:val="32"/>
        </w:rPr>
      </w:pPr>
    </w:p>
    <w:p>
      <w:pPr>
        <w:spacing w:line="600" w:lineRule="exact"/>
        <w:ind w:left="630"/>
        <w:outlineLvl w:val="1"/>
        <w:rPr>
          <w:rStyle w:val="29"/>
          <w:rFonts w:ascii="Times New Roman" w:hAnsi="Times New Roman" w:eastAsia="黑体" w:cs="Times New Roman"/>
          <w:b w:val="0"/>
        </w:rPr>
      </w:pPr>
      <w:bookmarkStart w:id="84" w:name="_Toc15377219"/>
      <w:bookmarkStart w:id="85" w:name="_Toc783472064_WPSOffice_Level2"/>
      <w:bookmarkStart w:id="86" w:name="_Toc15396611"/>
      <w:r>
        <w:rPr>
          <w:rStyle w:val="29"/>
          <w:rFonts w:ascii="Times New Roman" w:hAnsi="Times New Roman" w:eastAsia="黑体" w:cs="Times New Roman"/>
          <w:b w:val="0"/>
        </w:rPr>
        <w:t>九、国有资本经营预算支出决算情况说明</w:t>
      </w:r>
      <w:bookmarkEnd w:id="84"/>
      <w:bookmarkEnd w:id="85"/>
      <w:bookmarkEnd w:id="86"/>
    </w:p>
    <w:p>
      <w:pPr>
        <w:spacing w:line="600" w:lineRule="exact"/>
        <w:ind w:firstLine="640"/>
        <w:rPr>
          <w:rFonts w:eastAsia="仿宋_GB2312"/>
          <w:sz w:val="32"/>
          <w:szCs w:val="32"/>
        </w:rPr>
      </w:pPr>
      <w:r>
        <w:rPr>
          <w:rFonts w:eastAsia="仿宋_GB2312"/>
          <w:sz w:val="32"/>
          <w:szCs w:val="32"/>
        </w:rPr>
        <w:t>2024年度国有资本经营预算财政拨款支出0万元，占本年支出合计的0%。与2023年度持平。</w:t>
      </w:r>
    </w:p>
    <w:p>
      <w:pPr>
        <w:spacing w:line="600" w:lineRule="exact"/>
        <w:ind w:firstLine="640"/>
        <w:rPr>
          <w:rFonts w:eastAsia="仿宋_GB2312"/>
          <w:sz w:val="32"/>
          <w:szCs w:val="32"/>
        </w:rPr>
      </w:pPr>
    </w:p>
    <w:p>
      <w:pPr>
        <w:spacing w:line="600" w:lineRule="exact"/>
        <w:ind w:left="630"/>
        <w:outlineLvl w:val="1"/>
        <w:rPr>
          <w:rStyle w:val="29"/>
          <w:rFonts w:ascii="Times New Roman" w:hAnsi="Times New Roman" w:eastAsia="黑体" w:cs="Times New Roman"/>
          <w:b w:val="0"/>
        </w:rPr>
      </w:pPr>
      <w:bookmarkStart w:id="87" w:name="_Toc801683299_WPSOffice_Level2"/>
      <w:bookmarkStart w:id="88" w:name="_Toc15377221"/>
      <w:bookmarkStart w:id="89" w:name="_Toc15396612"/>
      <w:r>
        <w:rPr>
          <w:rStyle w:val="29"/>
          <w:rFonts w:ascii="Times New Roman" w:hAnsi="Times New Roman" w:eastAsia="黑体" w:cs="Times New Roman"/>
          <w:b w:val="0"/>
        </w:rPr>
        <w:t>十、其他重要事项的情况说明</w:t>
      </w:r>
      <w:bookmarkEnd w:id="87"/>
      <w:bookmarkEnd w:id="88"/>
      <w:bookmarkEnd w:id="89"/>
    </w:p>
    <w:p>
      <w:pPr>
        <w:spacing w:line="600" w:lineRule="exact"/>
        <w:ind w:firstLine="642" w:firstLineChars="200"/>
        <w:outlineLvl w:val="2"/>
        <w:rPr>
          <w:rFonts w:eastAsia="楷体_GB2312"/>
          <w:b/>
          <w:sz w:val="32"/>
          <w:szCs w:val="32"/>
        </w:rPr>
      </w:pPr>
      <w:bookmarkStart w:id="90" w:name="_Toc15377222"/>
      <w:r>
        <w:rPr>
          <w:rFonts w:eastAsia="楷体_GB2312"/>
          <w:b/>
          <w:sz w:val="32"/>
          <w:szCs w:val="32"/>
        </w:rPr>
        <w:t>（一）机关运行经费支出情况</w:t>
      </w:r>
      <w:bookmarkEnd w:id="90"/>
    </w:p>
    <w:p>
      <w:pPr>
        <w:spacing w:line="600" w:lineRule="exact"/>
        <w:ind w:firstLine="640"/>
        <w:rPr>
          <w:rFonts w:eastAsia="仿宋_GB2312"/>
          <w:sz w:val="32"/>
          <w:szCs w:val="32"/>
        </w:rPr>
      </w:pPr>
      <w:r>
        <w:rPr>
          <w:rFonts w:eastAsia="仿宋_GB2312"/>
          <w:sz w:val="32"/>
          <w:szCs w:val="32"/>
        </w:rPr>
        <w:t>2024年度，四川省攀枝花市委党史研究室机关运行经费支出23.34万元，比2023年度增加4.63万元，增长24.75%主要原因是新增职工体检费及党报党刊支付。</w:t>
      </w:r>
    </w:p>
    <w:p>
      <w:pPr>
        <w:spacing w:line="600" w:lineRule="exact"/>
        <w:ind w:firstLine="640"/>
        <w:rPr>
          <w:rFonts w:eastAsia="仿宋_GB2312"/>
          <w:sz w:val="32"/>
          <w:szCs w:val="32"/>
        </w:rPr>
      </w:pPr>
    </w:p>
    <w:p>
      <w:pPr>
        <w:spacing w:line="600" w:lineRule="exact"/>
        <w:ind w:firstLine="642" w:firstLineChars="200"/>
        <w:outlineLvl w:val="2"/>
        <w:rPr>
          <w:rFonts w:eastAsia="楷体_GB2312"/>
          <w:b/>
          <w:sz w:val="32"/>
          <w:szCs w:val="32"/>
        </w:rPr>
      </w:pPr>
      <w:bookmarkStart w:id="91" w:name="_Toc15377223"/>
      <w:r>
        <w:rPr>
          <w:rFonts w:eastAsia="楷体_GB2312"/>
          <w:b/>
          <w:sz w:val="32"/>
          <w:szCs w:val="32"/>
        </w:rPr>
        <w:t>（二）政府采购支出情况</w:t>
      </w:r>
      <w:bookmarkEnd w:id="91"/>
    </w:p>
    <w:p>
      <w:pPr>
        <w:spacing w:line="600" w:lineRule="exact"/>
        <w:ind w:firstLine="640"/>
        <w:rPr>
          <w:rFonts w:eastAsia="仿宋_GB2312"/>
          <w:sz w:val="32"/>
          <w:szCs w:val="32"/>
        </w:rPr>
      </w:pPr>
      <w:r>
        <w:rPr>
          <w:rFonts w:eastAsia="仿宋_GB2312"/>
          <w:sz w:val="32"/>
          <w:szCs w:val="32"/>
        </w:rPr>
        <w:t>2024年度，四川省攀枝花市委党史研究室政府采购支出总额0万元。</w:t>
      </w:r>
    </w:p>
    <w:p>
      <w:pPr>
        <w:spacing w:line="600" w:lineRule="exact"/>
        <w:ind w:firstLine="640"/>
        <w:rPr>
          <w:rFonts w:eastAsia="仿宋_GB2312"/>
          <w:sz w:val="32"/>
          <w:szCs w:val="32"/>
        </w:rPr>
      </w:pPr>
    </w:p>
    <w:p>
      <w:pPr>
        <w:spacing w:line="600" w:lineRule="exact"/>
        <w:ind w:firstLine="642" w:firstLineChars="200"/>
        <w:outlineLvl w:val="2"/>
        <w:rPr>
          <w:rFonts w:eastAsia="楷体_GB2312"/>
          <w:b/>
          <w:sz w:val="32"/>
          <w:szCs w:val="32"/>
        </w:rPr>
      </w:pPr>
      <w:bookmarkStart w:id="92" w:name="_Toc15377224"/>
      <w:r>
        <w:rPr>
          <w:rFonts w:eastAsia="楷体_GB2312"/>
          <w:b/>
          <w:sz w:val="32"/>
          <w:szCs w:val="32"/>
        </w:rPr>
        <w:t>（三）国有资产占有使用情况</w:t>
      </w:r>
      <w:bookmarkEnd w:id="92"/>
    </w:p>
    <w:p>
      <w:pPr>
        <w:spacing w:line="600" w:lineRule="exact"/>
        <w:ind w:firstLine="640"/>
        <w:rPr>
          <w:rFonts w:eastAsia="仿宋_GB2312"/>
          <w:sz w:val="32"/>
          <w:szCs w:val="32"/>
        </w:rPr>
      </w:pPr>
      <w:r>
        <w:rPr>
          <w:rFonts w:eastAsia="仿宋_GB2312"/>
          <w:sz w:val="32"/>
          <w:szCs w:val="32"/>
        </w:rPr>
        <w:t>截至2024年12月31日，四川省攀枝花市委党史研究室共有车辆0辆。单价100万元（含）以上设备（不含车辆）0台（套）。</w:t>
      </w:r>
    </w:p>
    <w:p>
      <w:pPr>
        <w:spacing w:line="600" w:lineRule="exact"/>
        <w:ind w:firstLine="640"/>
        <w:rPr>
          <w:rFonts w:eastAsia="仿宋_GB2312"/>
          <w:sz w:val="32"/>
          <w:szCs w:val="32"/>
        </w:rPr>
      </w:pPr>
    </w:p>
    <w:p>
      <w:pPr>
        <w:spacing w:line="600" w:lineRule="exact"/>
        <w:ind w:firstLine="642" w:firstLineChars="200"/>
        <w:outlineLvl w:val="2"/>
        <w:rPr>
          <w:rFonts w:eastAsia="楷体_GB2312"/>
          <w:b/>
          <w:sz w:val="32"/>
          <w:szCs w:val="32"/>
        </w:rPr>
      </w:pPr>
      <w:r>
        <w:rPr>
          <w:rFonts w:eastAsia="楷体_GB2312"/>
          <w:b/>
          <w:sz w:val="32"/>
          <w:szCs w:val="32"/>
        </w:rPr>
        <w:t>（四）预算绩效管理情况</w:t>
      </w:r>
    </w:p>
    <w:p>
      <w:pPr>
        <w:spacing w:line="600" w:lineRule="exact"/>
        <w:ind w:firstLine="640"/>
        <w:rPr>
          <w:rFonts w:eastAsia="仿宋_GB2312"/>
          <w:sz w:val="32"/>
          <w:szCs w:val="32"/>
        </w:rPr>
      </w:pPr>
      <w:r>
        <w:rPr>
          <w:rFonts w:eastAsia="仿宋_GB2312"/>
          <w:sz w:val="32"/>
          <w:szCs w:val="32"/>
        </w:rPr>
        <w:t>根据预算绩效管理要求，四川省攀枝花市委党史研究室在2024年度预算编制阶段，组织对《中国共产党攀枝花执政实录》《攀枝花开发建设60年》《攀枝花纪事》编纂出版经费项目、信息系统维护费、关工委工作经费等5个项目开展了预算事前绩效评估，对5个项目编制了绩效目标，预算执行过程中，对5个项目开展绩效监控。</w:t>
      </w:r>
    </w:p>
    <w:p>
      <w:pPr>
        <w:spacing w:line="600" w:lineRule="exact"/>
        <w:ind w:firstLine="640"/>
        <w:rPr>
          <w:rFonts w:eastAsia="仿宋_GB2312"/>
          <w:sz w:val="32"/>
          <w:szCs w:val="32"/>
        </w:rPr>
      </w:pPr>
    </w:p>
    <w:p>
      <w:pPr>
        <w:spacing w:line="600" w:lineRule="exact"/>
        <w:ind w:firstLine="640"/>
        <w:rPr>
          <w:rFonts w:eastAsia="仿宋_GB2312"/>
          <w:sz w:val="32"/>
          <w:szCs w:val="32"/>
        </w:rPr>
      </w:pPr>
    </w:p>
    <w:p>
      <w:pPr>
        <w:spacing w:line="600" w:lineRule="exact"/>
        <w:jc w:val="center"/>
        <w:outlineLvl w:val="0"/>
        <w:rPr>
          <w:rFonts w:eastAsia="黑体"/>
          <w:sz w:val="44"/>
          <w:szCs w:val="44"/>
        </w:rPr>
      </w:pPr>
      <w:bookmarkStart w:id="93" w:name="_Toc636653710_WPSOffice_Level1"/>
      <w:bookmarkStart w:id="94" w:name="_Toc15377225"/>
      <w:bookmarkStart w:id="95" w:name="_Toc15396613"/>
      <w:r>
        <w:rPr>
          <w:rFonts w:eastAsia="黑体"/>
          <w:sz w:val="44"/>
          <w:szCs w:val="44"/>
        </w:rPr>
        <w:t>第三部分  名词解释</w:t>
      </w:r>
      <w:bookmarkEnd w:id="93"/>
      <w:bookmarkEnd w:id="94"/>
      <w:bookmarkEnd w:id="95"/>
    </w:p>
    <w:p>
      <w:pPr>
        <w:spacing w:line="600" w:lineRule="exact"/>
        <w:jc w:val="left"/>
        <w:rPr>
          <w:b/>
          <w:sz w:val="44"/>
          <w:szCs w:val="44"/>
        </w:rPr>
      </w:pPr>
    </w:p>
    <w:p>
      <w:pPr>
        <w:spacing w:line="600" w:lineRule="exact"/>
        <w:ind w:firstLine="640"/>
        <w:rPr>
          <w:rFonts w:eastAsia="仿宋_GB2312"/>
          <w:sz w:val="32"/>
          <w:szCs w:val="32"/>
        </w:rPr>
      </w:pPr>
      <w:r>
        <w:rPr>
          <w:rFonts w:eastAsia="仿宋_GB2312"/>
          <w:sz w:val="32"/>
          <w:szCs w:val="32"/>
        </w:rPr>
        <w:t>1.财政拨款收入：指单位从同级财政部门取得的财政预算资金。</w:t>
      </w:r>
    </w:p>
    <w:p>
      <w:pPr>
        <w:spacing w:line="600" w:lineRule="exact"/>
        <w:ind w:firstLine="640"/>
        <w:rPr>
          <w:rFonts w:eastAsia="仿宋_GB2312"/>
          <w:sz w:val="32"/>
          <w:szCs w:val="32"/>
        </w:rPr>
      </w:pPr>
      <w:r>
        <w:rPr>
          <w:rFonts w:eastAsia="仿宋_GB2312"/>
          <w:sz w:val="32"/>
          <w:szCs w:val="32"/>
        </w:rPr>
        <w:t>2.一般公共服务（类）组织事务（款）其他组织事务支出（项）:反映除上述项目以外其他用于中国共产党组织部门的事务支出。</w:t>
      </w:r>
    </w:p>
    <w:p>
      <w:pPr>
        <w:spacing w:line="600" w:lineRule="exact"/>
        <w:ind w:firstLine="640"/>
        <w:rPr>
          <w:rFonts w:eastAsia="仿宋_GB2312"/>
          <w:sz w:val="32"/>
          <w:szCs w:val="32"/>
        </w:rPr>
      </w:pPr>
      <w:r>
        <w:rPr>
          <w:rFonts w:eastAsia="仿宋_GB2312"/>
          <w:sz w:val="32"/>
          <w:szCs w:val="32"/>
        </w:rPr>
        <w:t>3.科学技术支出（类）科学技术管理事务（款）行政运行（项）:指反映行政单位（包括实行公务员管理的事业单位）的基本支出。</w:t>
      </w:r>
    </w:p>
    <w:p>
      <w:pPr>
        <w:spacing w:line="600" w:lineRule="exact"/>
        <w:ind w:firstLine="640"/>
        <w:rPr>
          <w:rFonts w:eastAsia="仿宋_GB2312"/>
          <w:sz w:val="32"/>
          <w:szCs w:val="32"/>
        </w:rPr>
      </w:pPr>
      <w:r>
        <w:rPr>
          <w:rFonts w:eastAsia="仿宋_GB2312"/>
          <w:sz w:val="32"/>
          <w:szCs w:val="32"/>
        </w:rPr>
        <w:t>4.科学技术支出（类）社会科学（款）其他社会科学支出（项）:指反映其他用于社会科学研究方面的支出，包括中国社科院研究生院的支出。</w:t>
      </w:r>
    </w:p>
    <w:p>
      <w:pPr>
        <w:spacing w:line="600" w:lineRule="exact"/>
        <w:ind w:firstLine="640"/>
        <w:rPr>
          <w:rFonts w:eastAsia="仿宋_GB2312"/>
          <w:sz w:val="32"/>
          <w:szCs w:val="32"/>
        </w:rPr>
      </w:pPr>
      <w:r>
        <w:rPr>
          <w:rFonts w:eastAsia="仿宋_GB2312"/>
          <w:sz w:val="32"/>
          <w:szCs w:val="32"/>
        </w:rPr>
        <w:t>5.社会保障和就业（类）行政事业单位养老支出（款）行政单位离退休（项）:指反映行政单位（包括实行公务员管理的事业单位）开支的离退休经费。</w:t>
      </w:r>
    </w:p>
    <w:p>
      <w:pPr>
        <w:spacing w:line="600" w:lineRule="exact"/>
        <w:ind w:firstLine="640"/>
        <w:rPr>
          <w:rFonts w:eastAsia="仿宋_GB2312"/>
          <w:sz w:val="32"/>
          <w:szCs w:val="32"/>
        </w:rPr>
      </w:pPr>
      <w:r>
        <w:rPr>
          <w:rFonts w:eastAsia="仿宋_GB2312"/>
          <w:sz w:val="32"/>
          <w:szCs w:val="32"/>
        </w:rPr>
        <w:t>6.社会保障和就业（类）行政事业单位养老支出（款）机关事业单位基本养老保险缴费支出（项）:指反映机关事业单位实施养老保险制度由单位缴纳的基本养老保险费支出。</w:t>
      </w:r>
    </w:p>
    <w:p>
      <w:pPr>
        <w:spacing w:line="600" w:lineRule="exact"/>
        <w:ind w:firstLine="640"/>
        <w:rPr>
          <w:rFonts w:eastAsia="仿宋_GB2312"/>
          <w:sz w:val="32"/>
          <w:szCs w:val="32"/>
        </w:rPr>
      </w:pPr>
      <w:r>
        <w:rPr>
          <w:rFonts w:eastAsia="仿宋_GB2312"/>
          <w:sz w:val="32"/>
          <w:szCs w:val="32"/>
        </w:rPr>
        <w:t>7.社会保障和就业（类）社会福利（款）儿童福利（项）:指反映对儿童提供福利服务方面的支出。</w:t>
      </w:r>
    </w:p>
    <w:p>
      <w:pPr>
        <w:spacing w:line="600" w:lineRule="exact"/>
        <w:ind w:firstLine="640"/>
        <w:rPr>
          <w:rFonts w:eastAsia="仿宋_GB2312"/>
          <w:sz w:val="32"/>
          <w:szCs w:val="32"/>
        </w:rPr>
      </w:pPr>
      <w:r>
        <w:rPr>
          <w:rFonts w:eastAsia="仿宋_GB2312"/>
          <w:sz w:val="32"/>
          <w:szCs w:val="32"/>
        </w:rPr>
        <w:t>8.卫生健康（类）行政事业单位医疗（款）行政单位医疗（项）:反映财政部门安排的行政单位（包括实行公务员管理的事业单位，下同）基本医疗保险缴费经费，未参加医疗保险的行政单位的公费医疗经费，按国家规定享受离休人员、红军老战士待遇人员的医疗经费。</w:t>
      </w:r>
    </w:p>
    <w:p>
      <w:pPr>
        <w:spacing w:line="600" w:lineRule="exact"/>
        <w:ind w:firstLine="640"/>
        <w:rPr>
          <w:rFonts w:eastAsia="仿宋_GB2312"/>
          <w:sz w:val="32"/>
          <w:szCs w:val="32"/>
        </w:rPr>
      </w:pPr>
      <w:r>
        <w:rPr>
          <w:rFonts w:eastAsia="仿宋_GB2312"/>
          <w:sz w:val="32"/>
          <w:szCs w:val="32"/>
        </w:rPr>
        <w:t>9.卫生健康（类）行政事业单位医疗（款）公务员医疗补助（项）:反映财政部门安排的公务员医疗补助经费。</w:t>
      </w:r>
    </w:p>
    <w:p>
      <w:pPr>
        <w:spacing w:line="600" w:lineRule="exact"/>
        <w:ind w:firstLine="640"/>
        <w:rPr>
          <w:rFonts w:eastAsia="仿宋_GB2312"/>
          <w:sz w:val="32"/>
          <w:szCs w:val="32"/>
        </w:rPr>
      </w:pPr>
      <w:r>
        <w:rPr>
          <w:rFonts w:eastAsia="仿宋_GB2312"/>
          <w:sz w:val="32"/>
          <w:szCs w:val="32"/>
        </w:rPr>
        <w:t>10.卫生健康（类）行政事业单位医疗（款）其他行政事业单位医疗支出（项）:反映除上述项目以外的用于其他行政事业单位医疗方面的支出。</w:t>
      </w:r>
    </w:p>
    <w:p>
      <w:pPr>
        <w:spacing w:line="600" w:lineRule="exact"/>
        <w:ind w:firstLine="640"/>
        <w:rPr>
          <w:rFonts w:eastAsia="仿宋_GB2312"/>
          <w:sz w:val="32"/>
          <w:szCs w:val="32"/>
        </w:rPr>
      </w:pPr>
      <w:r>
        <w:rPr>
          <w:rFonts w:eastAsia="仿宋_GB2312"/>
          <w:sz w:val="32"/>
          <w:szCs w:val="32"/>
        </w:rPr>
        <w:t>11.卫生健康（类）其他卫生健康支出（款）其他卫生健康支出（项）:反映除上述项目以外其他用于卫生健康方面的支出。</w:t>
      </w:r>
    </w:p>
    <w:p>
      <w:pPr>
        <w:spacing w:line="600" w:lineRule="exact"/>
        <w:ind w:firstLine="640"/>
        <w:rPr>
          <w:rFonts w:eastAsia="仿宋_GB2312"/>
          <w:sz w:val="32"/>
          <w:szCs w:val="32"/>
        </w:rPr>
      </w:pPr>
      <w:r>
        <w:rPr>
          <w:rFonts w:eastAsia="仿宋_GB2312"/>
          <w:sz w:val="32"/>
          <w:szCs w:val="32"/>
        </w:rPr>
        <w:t>12.住房保障支出（类）住房改革支出（款）住房公积金（项）:指反映行政事业单位按人力资源和社会保障部、财政部规定的基本工资和津贴补贴以及规定比例为职工缴纳的住房公积金。</w:t>
      </w:r>
    </w:p>
    <w:p>
      <w:pPr>
        <w:spacing w:line="600" w:lineRule="exact"/>
        <w:ind w:firstLine="640"/>
        <w:rPr>
          <w:rFonts w:eastAsia="仿宋_GB2312"/>
          <w:sz w:val="32"/>
          <w:szCs w:val="32"/>
        </w:rPr>
      </w:pPr>
      <w:r>
        <w:rPr>
          <w:rFonts w:eastAsia="仿宋_GB2312"/>
          <w:sz w:val="32"/>
          <w:szCs w:val="32"/>
        </w:rPr>
        <w:t>13.基本支出：指为保障机构正常运转、完成日常工作任务而发生的人员支出和公用支出。</w:t>
      </w:r>
    </w:p>
    <w:p>
      <w:pPr>
        <w:spacing w:line="600" w:lineRule="exact"/>
        <w:ind w:firstLine="640"/>
        <w:rPr>
          <w:rFonts w:eastAsia="仿宋_GB2312"/>
          <w:sz w:val="32"/>
          <w:szCs w:val="32"/>
        </w:rPr>
      </w:pPr>
      <w:r>
        <w:rPr>
          <w:rFonts w:eastAsia="仿宋_GB2312"/>
          <w:sz w:val="32"/>
          <w:szCs w:val="32"/>
        </w:rPr>
        <w:t xml:space="preserve">14.项目支出：指在基本支出之外为完成特定行政任务和事业发展目标所发生的支出。 </w:t>
      </w:r>
    </w:p>
    <w:p>
      <w:pPr>
        <w:spacing w:line="600" w:lineRule="exact"/>
        <w:ind w:firstLine="640"/>
        <w:rPr>
          <w:rFonts w:eastAsia="仿宋_GB2312"/>
          <w:sz w:val="32"/>
          <w:szCs w:val="32"/>
        </w:rPr>
      </w:pPr>
      <w:r>
        <w:rPr>
          <w:rFonts w:eastAsia="仿宋_GB2312"/>
          <w:sz w:val="32"/>
          <w:szCs w:val="32"/>
        </w:rPr>
        <w:t>15.“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rPr>
          <w:rFonts w:eastAsia="仿宋_GB2312"/>
          <w:sz w:val="32"/>
          <w:szCs w:val="32"/>
        </w:rPr>
      </w:pPr>
      <w:r>
        <w:rPr>
          <w:rFonts w:eastAsia="仿宋_GB2312"/>
          <w:sz w:val="32"/>
          <w:szCs w:val="32"/>
        </w:rPr>
        <w:t>16.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rPr>
          <w:rStyle w:val="28"/>
          <w:rFonts w:eastAsia="黑体"/>
          <w:b w:val="0"/>
        </w:rPr>
      </w:pPr>
      <w:bookmarkStart w:id="96" w:name="_Toc15377226"/>
      <w:r>
        <w:rPr>
          <w:rFonts w:eastAsia="仿宋_GB2312"/>
          <w:sz w:val="32"/>
          <w:szCs w:val="32"/>
        </w:rPr>
        <w:br w:type="page"/>
      </w:r>
      <w:bookmarkStart w:id="97" w:name="_Toc1773043400_WPSOffice_Level1"/>
      <w:bookmarkStart w:id="98" w:name="_Toc15396614"/>
      <w:r>
        <w:rPr>
          <w:rFonts w:eastAsia="黑体"/>
          <w:sz w:val="44"/>
          <w:szCs w:val="44"/>
        </w:rPr>
        <w:t>第四部分  附件</w:t>
      </w:r>
      <w:bookmarkEnd w:id="97"/>
      <w:bookmarkEnd w:id="98"/>
    </w:p>
    <w:p>
      <w:pPr>
        <w:spacing w:line="572" w:lineRule="exact"/>
        <w:jc w:val="left"/>
        <w:outlineLvl w:val="0"/>
        <w:rPr>
          <w:rFonts w:eastAsia="黑体"/>
          <w:color w:val="FF0000"/>
          <w:sz w:val="32"/>
          <w:szCs w:val="32"/>
        </w:rPr>
      </w:pPr>
    </w:p>
    <w:p>
      <w:pPr>
        <w:pStyle w:val="3"/>
        <w:spacing w:line="560" w:lineRule="exact"/>
        <w:ind w:left="0" w:leftChars="0" w:firstLine="640"/>
        <w:rPr>
          <w:rFonts w:hint="default" w:ascii="Times New Roman" w:eastAsia="仿宋_GB2312"/>
          <w:sz w:val="32"/>
          <w:lang w:val="en-US" w:eastAsia="zh-CN"/>
        </w:rPr>
      </w:pPr>
      <w:r>
        <w:rPr>
          <w:rFonts w:ascii="Times New Roman" w:eastAsia="仿宋_GB2312"/>
          <w:sz w:val="32"/>
        </w:rPr>
        <w:t>部门预算项目支出绩效自评表（2024年度）</w:t>
      </w:r>
      <w:r>
        <w:rPr>
          <w:rFonts w:hint="eastAsia" w:ascii="Times New Roman" w:eastAsia="仿宋_GB2312"/>
          <w:sz w:val="32"/>
          <w:lang w:eastAsia="zh-CN"/>
        </w:rPr>
        <w:t>见附件</w:t>
      </w:r>
      <w:r>
        <w:rPr>
          <w:rFonts w:hint="eastAsia" w:ascii="Times New Roman" w:eastAsia="仿宋_GB2312"/>
          <w:sz w:val="32"/>
          <w:lang w:val="en-US" w:eastAsia="zh-CN"/>
        </w:rPr>
        <w:t>3。</w:t>
      </w:r>
    </w:p>
    <w:p>
      <w:pPr>
        <w:pStyle w:val="8"/>
        <w:spacing w:before="93"/>
        <w:rPr>
          <w:rFonts w:ascii="Times New Roman"/>
          <w:color w:val="FF0000"/>
          <w:sz w:val="32"/>
          <w:szCs w:val="32"/>
          <w:highlight w:val="yellow"/>
          <w:shd w:val="clear" w:color="auto" w:fill="FFFFFF"/>
          <w:lang w:val="zh-CN"/>
        </w:rPr>
      </w:pPr>
    </w:p>
    <w:p>
      <w:pPr>
        <w:rPr>
          <w:rFonts w:eastAsia="仿宋_GB2312"/>
          <w:kern w:val="0"/>
          <w:sz w:val="32"/>
          <w:szCs w:val="32"/>
        </w:rPr>
      </w:pPr>
      <w:r>
        <w:rPr>
          <w:rFonts w:eastAsia="黑体"/>
          <w:kern w:val="0"/>
          <w:sz w:val="32"/>
          <w:szCs w:val="32"/>
          <w:shd w:val="clear" w:color="auto" w:fill="FFFFFF"/>
          <w:lang w:val="zh-CN"/>
        </w:rPr>
        <w:br w:type="page"/>
      </w:r>
      <w:bookmarkStart w:id="99" w:name="_Toc15396618"/>
    </w:p>
    <w:p>
      <w:pPr>
        <w:widowControl/>
        <w:jc w:val="center"/>
        <w:rPr>
          <w:rFonts w:eastAsia="仿宋"/>
        </w:rPr>
      </w:pPr>
      <w:bookmarkStart w:id="100" w:name="_Toc294668580_WPSOffice_Level1"/>
      <w:r>
        <w:rPr>
          <w:rFonts w:eastAsia="黑体"/>
          <w:sz w:val="44"/>
          <w:szCs w:val="44"/>
        </w:rPr>
        <w:t>第</w:t>
      </w:r>
      <w:r>
        <w:rPr>
          <w:rStyle w:val="28"/>
          <w:rFonts w:eastAsia="黑体"/>
          <w:b w:val="0"/>
        </w:rPr>
        <w:t>五部分 附表</w:t>
      </w:r>
      <w:bookmarkEnd w:id="96"/>
      <w:bookmarkEnd w:id="99"/>
      <w:bookmarkEnd w:id="100"/>
      <w:bookmarkStart w:id="101" w:name="_Toc15396619"/>
    </w:p>
    <w:p>
      <w:pPr>
        <w:pStyle w:val="14"/>
        <w:adjustRightInd w:val="0"/>
        <w:snapToGrid w:val="0"/>
        <w:spacing w:line="560" w:lineRule="exact"/>
        <w:jc w:val="left"/>
        <w:rPr>
          <w:rFonts w:eastAsia="仿宋_GB2312"/>
          <w:sz w:val="32"/>
          <w:szCs w:val="32"/>
        </w:rPr>
      </w:pPr>
    </w:p>
    <w:p>
      <w:pPr>
        <w:pStyle w:val="14"/>
        <w:adjustRightInd w:val="0"/>
        <w:snapToGrid w:val="0"/>
        <w:spacing w:line="560" w:lineRule="exact"/>
        <w:jc w:val="left"/>
        <w:rPr>
          <w:rFonts w:eastAsia="仿宋_GB2312"/>
          <w:sz w:val="32"/>
          <w:szCs w:val="32"/>
        </w:rPr>
      </w:pPr>
      <w:bookmarkStart w:id="102" w:name="_Toc1620863996_WPSOffice_Level2"/>
      <w:r>
        <w:rPr>
          <w:rFonts w:eastAsia="仿宋_GB2312"/>
          <w:sz w:val="32"/>
          <w:szCs w:val="32"/>
        </w:rPr>
        <w:t>一、收入支出决算总表</w:t>
      </w:r>
      <w:bookmarkEnd w:id="101"/>
      <w:bookmarkEnd w:id="102"/>
    </w:p>
    <w:p>
      <w:pPr>
        <w:pStyle w:val="14"/>
        <w:adjustRightInd w:val="0"/>
        <w:snapToGrid w:val="0"/>
        <w:spacing w:line="560" w:lineRule="exact"/>
        <w:jc w:val="left"/>
        <w:rPr>
          <w:rFonts w:eastAsia="仿宋_GB2312"/>
          <w:sz w:val="32"/>
          <w:szCs w:val="32"/>
        </w:rPr>
      </w:pPr>
      <w:bookmarkStart w:id="103" w:name="_Toc845801962_WPSOffice_Level2"/>
      <w:bookmarkStart w:id="104" w:name="_Toc15396620"/>
      <w:r>
        <w:rPr>
          <w:rFonts w:eastAsia="仿宋_GB2312"/>
          <w:sz w:val="32"/>
          <w:szCs w:val="32"/>
        </w:rPr>
        <w:t>二、收入决算表</w:t>
      </w:r>
      <w:bookmarkEnd w:id="103"/>
      <w:bookmarkEnd w:id="104"/>
    </w:p>
    <w:p>
      <w:pPr>
        <w:pStyle w:val="14"/>
        <w:adjustRightInd w:val="0"/>
        <w:snapToGrid w:val="0"/>
        <w:spacing w:line="560" w:lineRule="exact"/>
        <w:jc w:val="left"/>
        <w:rPr>
          <w:rFonts w:eastAsia="仿宋_GB2312"/>
          <w:sz w:val="32"/>
          <w:szCs w:val="32"/>
        </w:rPr>
      </w:pPr>
      <w:bookmarkStart w:id="105" w:name="_Toc15396621"/>
      <w:bookmarkStart w:id="106" w:name="_Toc441183701_WPSOffice_Level2"/>
      <w:r>
        <w:rPr>
          <w:rFonts w:eastAsia="仿宋_GB2312"/>
          <w:sz w:val="32"/>
          <w:szCs w:val="32"/>
        </w:rPr>
        <w:t>三、支出决算表</w:t>
      </w:r>
      <w:bookmarkEnd w:id="105"/>
      <w:bookmarkEnd w:id="106"/>
    </w:p>
    <w:p>
      <w:pPr>
        <w:pStyle w:val="14"/>
        <w:adjustRightInd w:val="0"/>
        <w:snapToGrid w:val="0"/>
        <w:spacing w:line="560" w:lineRule="exact"/>
        <w:jc w:val="left"/>
        <w:rPr>
          <w:rFonts w:eastAsia="仿宋_GB2312"/>
          <w:sz w:val="32"/>
          <w:szCs w:val="32"/>
        </w:rPr>
      </w:pPr>
      <w:bookmarkStart w:id="107" w:name="_Toc859930946_WPSOffice_Level2"/>
      <w:bookmarkStart w:id="108" w:name="_Toc15396622"/>
      <w:r>
        <w:rPr>
          <w:rFonts w:eastAsia="仿宋_GB2312"/>
          <w:sz w:val="32"/>
          <w:szCs w:val="32"/>
        </w:rPr>
        <w:t>四、财政拨款收入支出决算总表</w:t>
      </w:r>
      <w:bookmarkEnd w:id="107"/>
      <w:bookmarkEnd w:id="108"/>
    </w:p>
    <w:p>
      <w:pPr>
        <w:pStyle w:val="14"/>
        <w:adjustRightInd w:val="0"/>
        <w:snapToGrid w:val="0"/>
        <w:spacing w:line="560" w:lineRule="exact"/>
        <w:jc w:val="left"/>
        <w:rPr>
          <w:rFonts w:eastAsia="仿宋_GB2312"/>
          <w:sz w:val="32"/>
          <w:szCs w:val="32"/>
        </w:rPr>
      </w:pPr>
      <w:bookmarkStart w:id="109" w:name="_Toc1490965329_WPSOffice_Level2"/>
      <w:bookmarkStart w:id="110" w:name="_Toc15396623"/>
      <w:r>
        <w:rPr>
          <w:rFonts w:eastAsia="仿宋_GB2312"/>
          <w:sz w:val="32"/>
          <w:szCs w:val="32"/>
        </w:rPr>
        <w:t>五、财政拨款支出决算明细表</w:t>
      </w:r>
      <w:bookmarkEnd w:id="109"/>
      <w:bookmarkEnd w:id="110"/>
      <w:bookmarkStart w:id="111" w:name="_Toc15396624"/>
    </w:p>
    <w:p>
      <w:pPr>
        <w:pStyle w:val="14"/>
        <w:adjustRightInd w:val="0"/>
        <w:snapToGrid w:val="0"/>
        <w:spacing w:line="560" w:lineRule="exact"/>
        <w:jc w:val="left"/>
        <w:rPr>
          <w:rFonts w:eastAsia="仿宋_GB2312"/>
          <w:sz w:val="32"/>
          <w:szCs w:val="32"/>
        </w:rPr>
      </w:pPr>
      <w:bookmarkStart w:id="112" w:name="_Toc295254572_WPSOffice_Level2"/>
      <w:r>
        <w:rPr>
          <w:rFonts w:eastAsia="仿宋_GB2312"/>
          <w:sz w:val="32"/>
          <w:szCs w:val="32"/>
        </w:rPr>
        <w:t>六、一般公共预算财政拨款支出决算表</w:t>
      </w:r>
      <w:bookmarkEnd w:id="111"/>
      <w:bookmarkEnd w:id="112"/>
    </w:p>
    <w:p>
      <w:pPr>
        <w:pStyle w:val="14"/>
        <w:adjustRightInd w:val="0"/>
        <w:snapToGrid w:val="0"/>
        <w:spacing w:line="560" w:lineRule="exact"/>
        <w:jc w:val="left"/>
        <w:rPr>
          <w:rFonts w:eastAsia="仿宋_GB2312"/>
          <w:sz w:val="32"/>
          <w:szCs w:val="32"/>
        </w:rPr>
      </w:pPr>
      <w:bookmarkStart w:id="113" w:name="_Toc15396625"/>
      <w:bookmarkStart w:id="114" w:name="_Toc21393269_WPSOffice_Level2"/>
      <w:r>
        <w:rPr>
          <w:rFonts w:eastAsia="仿宋_GB2312"/>
          <w:sz w:val="32"/>
          <w:szCs w:val="32"/>
        </w:rPr>
        <w:t>七、一般公共预算财政拨款支出决算明细表</w:t>
      </w:r>
      <w:bookmarkEnd w:id="113"/>
      <w:bookmarkEnd w:id="114"/>
    </w:p>
    <w:p>
      <w:pPr>
        <w:pStyle w:val="14"/>
        <w:adjustRightInd w:val="0"/>
        <w:snapToGrid w:val="0"/>
        <w:spacing w:line="560" w:lineRule="exact"/>
        <w:jc w:val="left"/>
        <w:rPr>
          <w:rFonts w:eastAsia="仿宋_GB2312"/>
          <w:sz w:val="32"/>
          <w:szCs w:val="32"/>
        </w:rPr>
      </w:pPr>
      <w:bookmarkStart w:id="115" w:name="_Toc15396626"/>
      <w:bookmarkStart w:id="116" w:name="_Toc1508164549_WPSOffice_Level2"/>
      <w:r>
        <w:rPr>
          <w:rFonts w:eastAsia="仿宋_GB2312"/>
          <w:sz w:val="32"/>
          <w:szCs w:val="32"/>
        </w:rPr>
        <w:t>八、一般公共预算财政拨款基本支出决算表</w:t>
      </w:r>
      <w:bookmarkEnd w:id="115"/>
      <w:bookmarkEnd w:id="116"/>
    </w:p>
    <w:p>
      <w:pPr>
        <w:pStyle w:val="14"/>
        <w:adjustRightInd w:val="0"/>
        <w:snapToGrid w:val="0"/>
        <w:spacing w:line="560" w:lineRule="exact"/>
        <w:jc w:val="left"/>
        <w:rPr>
          <w:rFonts w:eastAsia="仿宋_GB2312"/>
          <w:sz w:val="32"/>
          <w:szCs w:val="32"/>
        </w:rPr>
      </w:pPr>
      <w:bookmarkStart w:id="117" w:name="_Toc1542642849_WPSOffice_Level2"/>
      <w:bookmarkStart w:id="118" w:name="_Toc15396627"/>
      <w:r>
        <w:rPr>
          <w:rFonts w:eastAsia="仿宋_GB2312"/>
          <w:sz w:val="32"/>
          <w:szCs w:val="32"/>
        </w:rPr>
        <w:t>九、一般公共预算财政拨款项目支出决算表</w:t>
      </w:r>
      <w:bookmarkEnd w:id="117"/>
      <w:bookmarkEnd w:id="118"/>
    </w:p>
    <w:p>
      <w:pPr>
        <w:pStyle w:val="14"/>
        <w:adjustRightInd w:val="0"/>
        <w:snapToGrid w:val="0"/>
        <w:spacing w:line="560" w:lineRule="exact"/>
        <w:jc w:val="left"/>
        <w:rPr>
          <w:rFonts w:eastAsia="仿宋_GB2312"/>
          <w:sz w:val="32"/>
          <w:szCs w:val="32"/>
        </w:rPr>
      </w:pPr>
      <w:bookmarkStart w:id="119" w:name="_Toc15396628"/>
      <w:bookmarkStart w:id="120" w:name="_Toc1414771700_WPSOffice_Level2"/>
      <w:r>
        <w:rPr>
          <w:rFonts w:eastAsia="仿宋_GB2312"/>
          <w:sz w:val="32"/>
          <w:szCs w:val="32"/>
        </w:rPr>
        <w:t>十、</w:t>
      </w:r>
      <w:bookmarkEnd w:id="119"/>
      <w:r>
        <w:rPr>
          <w:rFonts w:eastAsia="仿宋_GB2312"/>
          <w:sz w:val="32"/>
          <w:szCs w:val="32"/>
        </w:rPr>
        <w:t>政府性基金预算财政拨款收入支出决算表</w:t>
      </w:r>
      <w:bookmarkEnd w:id="120"/>
    </w:p>
    <w:p>
      <w:pPr>
        <w:pStyle w:val="14"/>
        <w:adjustRightInd w:val="0"/>
        <w:snapToGrid w:val="0"/>
        <w:spacing w:line="560" w:lineRule="exact"/>
        <w:jc w:val="left"/>
        <w:rPr>
          <w:rFonts w:eastAsia="仿宋_GB2312"/>
          <w:sz w:val="32"/>
          <w:szCs w:val="32"/>
        </w:rPr>
      </w:pPr>
      <w:bookmarkStart w:id="121" w:name="_Toc15396629"/>
      <w:bookmarkStart w:id="122" w:name="_Toc1210977862_WPSOffice_Level2"/>
      <w:r>
        <w:rPr>
          <w:rFonts w:eastAsia="仿宋_GB2312"/>
          <w:sz w:val="32"/>
          <w:szCs w:val="32"/>
        </w:rPr>
        <w:t>十一、</w:t>
      </w:r>
      <w:bookmarkEnd w:id="121"/>
      <w:r>
        <w:rPr>
          <w:rFonts w:eastAsia="仿宋_GB2312"/>
          <w:sz w:val="32"/>
          <w:szCs w:val="32"/>
        </w:rPr>
        <w:t>国有资本经营预算财政拨款收入支出决算表</w:t>
      </w:r>
      <w:bookmarkEnd w:id="122"/>
    </w:p>
    <w:p>
      <w:pPr>
        <w:pStyle w:val="14"/>
        <w:adjustRightInd w:val="0"/>
        <w:snapToGrid w:val="0"/>
        <w:spacing w:line="560" w:lineRule="exact"/>
        <w:jc w:val="left"/>
        <w:rPr>
          <w:rFonts w:eastAsia="仿宋_GB2312"/>
          <w:sz w:val="32"/>
          <w:szCs w:val="32"/>
        </w:rPr>
      </w:pPr>
      <w:bookmarkStart w:id="123" w:name="_Toc15396630"/>
      <w:bookmarkStart w:id="124" w:name="_Toc1990415529_WPSOffice_Level2"/>
      <w:r>
        <w:rPr>
          <w:rFonts w:eastAsia="仿宋_GB2312"/>
          <w:sz w:val="32"/>
          <w:szCs w:val="32"/>
        </w:rPr>
        <w:t>十二、</w:t>
      </w:r>
      <w:bookmarkEnd w:id="123"/>
      <w:r>
        <w:rPr>
          <w:rFonts w:eastAsia="仿宋_GB2312"/>
          <w:sz w:val="32"/>
          <w:szCs w:val="32"/>
        </w:rPr>
        <w:t>国有资本经营预算财政拨款支出决算表</w:t>
      </w:r>
      <w:bookmarkEnd w:id="124"/>
    </w:p>
    <w:p>
      <w:pPr>
        <w:pStyle w:val="14"/>
        <w:adjustRightInd w:val="0"/>
        <w:snapToGrid w:val="0"/>
        <w:spacing w:line="560" w:lineRule="exact"/>
        <w:jc w:val="left"/>
        <w:rPr>
          <w:rFonts w:eastAsia="仿宋_GB2312"/>
          <w:sz w:val="32"/>
          <w:szCs w:val="32"/>
        </w:rPr>
      </w:pPr>
      <w:bookmarkStart w:id="125" w:name="_Toc15396631"/>
      <w:bookmarkStart w:id="126" w:name="_Toc148645905_WPSOffice_Level2"/>
      <w:r>
        <w:rPr>
          <w:rFonts w:eastAsia="仿宋_GB2312"/>
          <w:sz w:val="32"/>
          <w:szCs w:val="32"/>
        </w:rPr>
        <w:t>十三、</w:t>
      </w:r>
      <w:bookmarkEnd w:id="125"/>
      <w:r>
        <w:rPr>
          <w:rFonts w:eastAsia="仿宋_GB2312"/>
          <w:sz w:val="32"/>
          <w:szCs w:val="32"/>
        </w:rPr>
        <w:t>财政拨款“三公”经费支出决算表</w:t>
      </w:r>
      <w:bookmarkEnd w:id="126"/>
    </w:p>
    <w:p/>
    <w:sectPr>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C059"/>
    <w:panose1 w:val="00000000000000000000"/>
    <w:charset w:val="00"/>
    <w:family w:val="roman"/>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7B8088"/>
    <w:multiLevelType w:val="singleLevel"/>
    <w:tmpl w:val="997B8088"/>
    <w:lvl w:ilvl="0" w:tentative="0">
      <w:start w:val="1"/>
      <w:numFmt w:val="decimal"/>
      <w:lvlText w:val="%1."/>
      <w:lvlJc w:val="left"/>
      <w:pPr>
        <w:tabs>
          <w:tab w:val="left" w:pos="312"/>
        </w:tabs>
      </w:pPr>
    </w:lvl>
  </w:abstractNum>
  <w:abstractNum w:abstractNumId="1">
    <w:nsid w:val="BED81349"/>
    <w:multiLevelType w:val="singleLevel"/>
    <w:tmpl w:val="BED8134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72A"/>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3F72"/>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3F998AA"/>
    <w:rsid w:val="14B17F78"/>
    <w:rsid w:val="165E0673"/>
    <w:rsid w:val="16B831D5"/>
    <w:rsid w:val="16BB723D"/>
    <w:rsid w:val="178FB6C6"/>
    <w:rsid w:val="17E50567"/>
    <w:rsid w:val="17FE492D"/>
    <w:rsid w:val="186504BB"/>
    <w:rsid w:val="19A445FC"/>
    <w:rsid w:val="1BE8440E"/>
    <w:rsid w:val="1CEFD5E7"/>
    <w:rsid w:val="1D155CEE"/>
    <w:rsid w:val="1D1638FE"/>
    <w:rsid w:val="1E312DEB"/>
    <w:rsid w:val="1E740ACF"/>
    <w:rsid w:val="1FDBAD6E"/>
    <w:rsid w:val="1FF35744"/>
    <w:rsid w:val="1FF6BC77"/>
    <w:rsid w:val="2186353C"/>
    <w:rsid w:val="23860B96"/>
    <w:rsid w:val="240371BF"/>
    <w:rsid w:val="244F3473"/>
    <w:rsid w:val="24C97D99"/>
    <w:rsid w:val="24FF7AC9"/>
    <w:rsid w:val="25A718F0"/>
    <w:rsid w:val="25BB59F6"/>
    <w:rsid w:val="260F557C"/>
    <w:rsid w:val="26970054"/>
    <w:rsid w:val="277FF944"/>
    <w:rsid w:val="27B973C3"/>
    <w:rsid w:val="281408E2"/>
    <w:rsid w:val="29FD04D3"/>
    <w:rsid w:val="2BFF7BC6"/>
    <w:rsid w:val="2C8A61B5"/>
    <w:rsid w:val="2DDFFAD1"/>
    <w:rsid w:val="2DF04E50"/>
    <w:rsid w:val="2E586DFA"/>
    <w:rsid w:val="2ECDCF95"/>
    <w:rsid w:val="2F040D46"/>
    <w:rsid w:val="2F6B035B"/>
    <w:rsid w:val="2FAE5751"/>
    <w:rsid w:val="2FB1A395"/>
    <w:rsid w:val="2FD9A7D8"/>
    <w:rsid w:val="2FDBF714"/>
    <w:rsid w:val="2FFF4A39"/>
    <w:rsid w:val="30AB6865"/>
    <w:rsid w:val="319F7F4E"/>
    <w:rsid w:val="32BD1EF1"/>
    <w:rsid w:val="3304709D"/>
    <w:rsid w:val="337DD7A3"/>
    <w:rsid w:val="33A773CB"/>
    <w:rsid w:val="349D6851"/>
    <w:rsid w:val="36AA5135"/>
    <w:rsid w:val="36BE0DA7"/>
    <w:rsid w:val="376B6AA6"/>
    <w:rsid w:val="376D39B2"/>
    <w:rsid w:val="37E16F03"/>
    <w:rsid w:val="37F53A3B"/>
    <w:rsid w:val="37FD3320"/>
    <w:rsid w:val="389B6C89"/>
    <w:rsid w:val="38D469F0"/>
    <w:rsid w:val="39627CCD"/>
    <w:rsid w:val="39726FAD"/>
    <w:rsid w:val="397BAF1F"/>
    <w:rsid w:val="398F62B1"/>
    <w:rsid w:val="3AB79AF3"/>
    <w:rsid w:val="3ABF55C8"/>
    <w:rsid w:val="3AE834C0"/>
    <w:rsid w:val="3B7EF35A"/>
    <w:rsid w:val="3B9FDB6C"/>
    <w:rsid w:val="3BF5BC2F"/>
    <w:rsid w:val="3C0A7261"/>
    <w:rsid w:val="3CEBA265"/>
    <w:rsid w:val="3D98207C"/>
    <w:rsid w:val="3DBD1967"/>
    <w:rsid w:val="3DBDFF6F"/>
    <w:rsid w:val="3DEE7CF3"/>
    <w:rsid w:val="3DFEE052"/>
    <w:rsid w:val="3E740A63"/>
    <w:rsid w:val="3E78745D"/>
    <w:rsid w:val="3E7F8CA0"/>
    <w:rsid w:val="3ECE7AB4"/>
    <w:rsid w:val="3EE17838"/>
    <w:rsid w:val="3EFF4E90"/>
    <w:rsid w:val="3F36C934"/>
    <w:rsid w:val="3F55381A"/>
    <w:rsid w:val="3F7F7599"/>
    <w:rsid w:val="3F9FAEB5"/>
    <w:rsid w:val="3FF4CAE0"/>
    <w:rsid w:val="3FF7B227"/>
    <w:rsid w:val="43F9BD44"/>
    <w:rsid w:val="44E268DA"/>
    <w:rsid w:val="450D13D7"/>
    <w:rsid w:val="45506656"/>
    <w:rsid w:val="486A6C7A"/>
    <w:rsid w:val="4A627F82"/>
    <w:rsid w:val="4B0E749A"/>
    <w:rsid w:val="4B2477C4"/>
    <w:rsid w:val="4B4F25DA"/>
    <w:rsid w:val="4BE068DB"/>
    <w:rsid w:val="4BFD2178"/>
    <w:rsid w:val="4D577224"/>
    <w:rsid w:val="4DBF1CEB"/>
    <w:rsid w:val="4DF0007C"/>
    <w:rsid w:val="4EAB630A"/>
    <w:rsid w:val="4ECBFA0A"/>
    <w:rsid w:val="4ECE2238"/>
    <w:rsid w:val="4F6FD673"/>
    <w:rsid w:val="4F833267"/>
    <w:rsid w:val="4FE9BD67"/>
    <w:rsid w:val="4FEE95B7"/>
    <w:rsid w:val="4FFB052F"/>
    <w:rsid w:val="537E6D0A"/>
    <w:rsid w:val="53BFB944"/>
    <w:rsid w:val="53F74C96"/>
    <w:rsid w:val="55170BA8"/>
    <w:rsid w:val="553218C9"/>
    <w:rsid w:val="55BC4BFB"/>
    <w:rsid w:val="567E1AA5"/>
    <w:rsid w:val="56AF25B2"/>
    <w:rsid w:val="56E47B74"/>
    <w:rsid w:val="57175D52"/>
    <w:rsid w:val="573C3979"/>
    <w:rsid w:val="577FDBB1"/>
    <w:rsid w:val="57BD3DD4"/>
    <w:rsid w:val="57EF888A"/>
    <w:rsid w:val="5AF92295"/>
    <w:rsid w:val="5B2154C1"/>
    <w:rsid w:val="5B250254"/>
    <w:rsid w:val="5BDD79E6"/>
    <w:rsid w:val="5BF561CA"/>
    <w:rsid w:val="5BFF5DFC"/>
    <w:rsid w:val="5BFF8F4C"/>
    <w:rsid w:val="5CD71FC4"/>
    <w:rsid w:val="5D1F11B5"/>
    <w:rsid w:val="5D695134"/>
    <w:rsid w:val="5DAE1B18"/>
    <w:rsid w:val="5DE7D9E5"/>
    <w:rsid w:val="5DFF7A54"/>
    <w:rsid w:val="5E68F9FA"/>
    <w:rsid w:val="5E8B92E2"/>
    <w:rsid w:val="5ECEC941"/>
    <w:rsid w:val="5EDED242"/>
    <w:rsid w:val="5EF7CEE7"/>
    <w:rsid w:val="5F767CFA"/>
    <w:rsid w:val="5FB51AD6"/>
    <w:rsid w:val="5FBF9FF3"/>
    <w:rsid w:val="5FCD4E2C"/>
    <w:rsid w:val="5FEF394A"/>
    <w:rsid w:val="5FF67715"/>
    <w:rsid w:val="5FF929AE"/>
    <w:rsid w:val="62BF3928"/>
    <w:rsid w:val="63B3701E"/>
    <w:rsid w:val="647F5392"/>
    <w:rsid w:val="65E66580"/>
    <w:rsid w:val="664B1D71"/>
    <w:rsid w:val="664B4E8E"/>
    <w:rsid w:val="66BB6741"/>
    <w:rsid w:val="67277B67"/>
    <w:rsid w:val="67AA3209"/>
    <w:rsid w:val="67F70442"/>
    <w:rsid w:val="698D0931"/>
    <w:rsid w:val="69FFA420"/>
    <w:rsid w:val="6A7FE5F3"/>
    <w:rsid w:val="6AA5223A"/>
    <w:rsid w:val="6B053271"/>
    <w:rsid w:val="6B3F0696"/>
    <w:rsid w:val="6B7FC325"/>
    <w:rsid w:val="6BDD78B3"/>
    <w:rsid w:val="6C4A05C8"/>
    <w:rsid w:val="6C8742B8"/>
    <w:rsid w:val="6DBF5E93"/>
    <w:rsid w:val="6DFF077E"/>
    <w:rsid w:val="6E5E9F95"/>
    <w:rsid w:val="6E714EF0"/>
    <w:rsid w:val="6E7E3605"/>
    <w:rsid w:val="6E7FDCC7"/>
    <w:rsid w:val="6ED6A62E"/>
    <w:rsid w:val="6EE00B15"/>
    <w:rsid w:val="6F1FFD49"/>
    <w:rsid w:val="6F2BC13E"/>
    <w:rsid w:val="6F6FB3EB"/>
    <w:rsid w:val="6F8731EA"/>
    <w:rsid w:val="6FCE6052"/>
    <w:rsid w:val="6FD57C00"/>
    <w:rsid w:val="6FD91616"/>
    <w:rsid w:val="6FEF0FB2"/>
    <w:rsid w:val="6FEFFFD8"/>
    <w:rsid w:val="6FF5CC65"/>
    <w:rsid w:val="6FFB47EC"/>
    <w:rsid w:val="6FFCB763"/>
    <w:rsid w:val="6FFF034A"/>
    <w:rsid w:val="6FFFD385"/>
    <w:rsid w:val="70484440"/>
    <w:rsid w:val="70B33E81"/>
    <w:rsid w:val="712A28F1"/>
    <w:rsid w:val="715C0E4B"/>
    <w:rsid w:val="71992E7C"/>
    <w:rsid w:val="71E125FF"/>
    <w:rsid w:val="71FED04E"/>
    <w:rsid w:val="72233669"/>
    <w:rsid w:val="72734D90"/>
    <w:rsid w:val="72FFE782"/>
    <w:rsid w:val="73160E6D"/>
    <w:rsid w:val="7332FE48"/>
    <w:rsid w:val="73518142"/>
    <w:rsid w:val="735E586E"/>
    <w:rsid w:val="73AB61DA"/>
    <w:rsid w:val="73AD73D5"/>
    <w:rsid w:val="73B6EB34"/>
    <w:rsid w:val="73FA497D"/>
    <w:rsid w:val="744731E5"/>
    <w:rsid w:val="74BBD01D"/>
    <w:rsid w:val="74ED5379"/>
    <w:rsid w:val="75A9D1CF"/>
    <w:rsid w:val="75DEEEC2"/>
    <w:rsid w:val="75E32345"/>
    <w:rsid w:val="76D905E5"/>
    <w:rsid w:val="76DEEFDE"/>
    <w:rsid w:val="76E3355F"/>
    <w:rsid w:val="76FF5125"/>
    <w:rsid w:val="776F6FFA"/>
    <w:rsid w:val="778769C8"/>
    <w:rsid w:val="77A75DCA"/>
    <w:rsid w:val="77BB4B3E"/>
    <w:rsid w:val="77DC22F5"/>
    <w:rsid w:val="77F77D0F"/>
    <w:rsid w:val="783E271A"/>
    <w:rsid w:val="78616DE9"/>
    <w:rsid w:val="78E875D7"/>
    <w:rsid w:val="78FF819F"/>
    <w:rsid w:val="79086DAD"/>
    <w:rsid w:val="791CDF1E"/>
    <w:rsid w:val="79BFB8F7"/>
    <w:rsid w:val="79D7FD79"/>
    <w:rsid w:val="79EE5BA4"/>
    <w:rsid w:val="7A894339"/>
    <w:rsid w:val="7ABED774"/>
    <w:rsid w:val="7AD284E8"/>
    <w:rsid w:val="7AEF5A0F"/>
    <w:rsid w:val="7AFF7572"/>
    <w:rsid w:val="7B5CFF88"/>
    <w:rsid w:val="7B6C7DFB"/>
    <w:rsid w:val="7B78E043"/>
    <w:rsid w:val="7BB7394B"/>
    <w:rsid w:val="7BBF3ACC"/>
    <w:rsid w:val="7BBFBED0"/>
    <w:rsid w:val="7BC3E394"/>
    <w:rsid w:val="7BCA7467"/>
    <w:rsid w:val="7BFECD97"/>
    <w:rsid w:val="7C1F3737"/>
    <w:rsid w:val="7C77A2DB"/>
    <w:rsid w:val="7CBFC87B"/>
    <w:rsid w:val="7CFE0F48"/>
    <w:rsid w:val="7D272ABC"/>
    <w:rsid w:val="7D7EC23E"/>
    <w:rsid w:val="7DB3AA74"/>
    <w:rsid w:val="7DCBB4E1"/>
    <w:rsid w:val="7DDFBF6E"/>
    <w:rsid w:val="7DDFE6ED"/>
    <w:rsid w:val="7DE7AFF5"/>
    <w:rsid w:val="7DFC7B7F"/>
    <w:rsid w:val="7DFD30CE"/>
    <w:rsid w:val="7DFF55C9"/>
    <w:rsid w:val="7E8ADEBF"/>
    <w:rsid w:val="7EA30990"/>
    <w:rsid w:val="7EB76F7F"/>
    <w:rsid w:val="7EEF11D3"/>
    <w:rsid w:val="7EFD8908"/>
    <w:rsid w:val="7EFE2031"/>
    <w:rsid w:val="7EFE4840"/>
    <w:rsid w:val="7EFE76E7"/>
    <w:rsid w:val="7F0971A6"/>
    <w:rsid w:val="7F1D62E7"/>
    <w:rsid w:val="7F37586A"/>
    <w:rsid w:val="7F3F679B"/>
    <w:rsid w:val="7F4FC4EF"/>
    <w:rsid w:val="7F5E4D54"/>
    <w:rsid w:val="7F6E0135"/>
    <w:rsid w:val="7F6F2C9A"/>
    <w:rsid w:val="7F79F205"/>
    <w:rsid w:val="7F9B8E48"/>
    <w:rsid w:val="7FA30C79"/>
    <w:rsid w:val="7FA79C44"/>
    <w:rsid w:val="7FAB635E"/>
    <w:rsid w:val="7FABDE93"/>
    <w:rsid w:val="7FAF8ABF"/>
    <w:rsid w:val="7FB7269E"/>
    <w:rsid w:val="7FB7AB44"/>
    <w:rsid w:val="7FC96657"/>
    <w:rsid w:val="7FDA9588"/>
    <w:rsid w:val="7FDF220F"/>
    <w:rsid w:val="7FE7E778"/>
    <w:rsid w:val="7FEDC5F7"/>
    <w:rsid w:val="7FEDD9DE"/>
    <w:rsid w:val="7FEEEB15"/>
    <w:rsid w:val="7FF37EB3"/>
    <w:rsid w:val="7FF5890D"/>
    <w:rsid w:val="7FF7830E"/>
    <w:rsid w:val="7FF93490"/>
    <w:rsid w:val="7FFA908E"/>
    <w:rsid w:val="7FFD3A2C"/>
    <w:rsid w:val="7FFDB61A"/>
    <w:rsid w:val="7FFEE0AB"/>
    <w:rsid w:val="7FFFFC57"/>
    <w:rsid w:val="83FDFAB5"/>
    <w:rsid w:val="84FB2AF3"/>
    <w:rsid w:val="8EABEE39"/>
    <w:rsid w:val="8F8C4ADA"/>
    <w:rsid w:val="99FF2014"/>
    <w:rsid w:val="9BEFBE2D"/>
    <w:rsid w:val="9E7F7527"/>
    <w:rsid w:val="9EFF1C22"/>
    <w:rsid w:val="9F75E147"/>
    <w:rsid w:val="9F7D5DF3"/>
    <w:rsid w:val="A6DD0D7F"/>
    <w:rsid w:val="A6EC5E42"/>
    <w:rsid w:val="A7BC39D6"/>
    <w:rsid w:val="ACFF4FBB"/>
    <w:rsid w:val="ADC6F725"/>
    <w:rsid w:val="ADFDD71F"/>
    <w:rsid w:val="AF5E5479"/>
    <w:rsid w:val="B5BEBC02"/>
    <w:rsid w:val="B6FB6548"/>
    <w:rsid w:val="B6FD2CBA"/>
    <w:rsid w:val="B7CF06AB"/>
    <w:rsid w:val="B7CFA926"/>
    <w:rsid w:val="B7F8786B"/>
    <w:rsid w:val="B9CBC830"/>
    <w:rsid w:val="BA7CF6D1"/>
    <w:rsid w:val="BABB6AA1"/>
    <w:rsid w:val="BB2F4199"/>
    <w:rsid w:val="BC77D491"/>
    <w:rsid w:val="BCFFB442"/>
    <w:rsid w:val="BD079C78"/>
    <w:rsid w:val="BD733540"/>
    <w:rsid w:val="BDFCD0D3"/>
    <w:rsid w:val="BE57F3E0"/>
    <w:rsid w:val="BE9F8E16"/>
    <w:rsid w:val="BEB7D07F"/>
    <w:rsid w:val="BF1DE7C8"/>
    <w:rsid w:val="BF3735D5"/>
    <w:rsid w:val="BF7F09AC"/>
    <w:rsid w:val="BFD475C3"/>
    <w:rsid w:val="BFDE5EA6"/>
    <w:rsid w:val="BFDFFB22"/>
    <w:rsid w:val="BFF5B5E2"/>
    <w:rsid w:val="BFFE306A"/>
    <w:rsid w:val="BFFFD4C3"/>
    <w:rsid w:val="CBBFBBB9"/>
    <w:rsid w:val="CF6FC6F3"/>
    <w:rsid w:val="CFD3D3D7"/>
    <w:rsid w:val="CFDF1009"/>
    <w:rsid w:val="CFFB94BF"/>
    <w:rsid w:val="CFFE8A3A"/>
    <w:rsid w:val="D3C7A7E3"/>
    <w:rsid w:val="D6FD4A2B"/>
    <w:rsid w:val="D7791BBE"/>
    <w:rsid w:val="D7D7B16A"/>
    <w:rsid w:val="D7FEEA77"/>
    <w:rsid w:val="D8D6DB89"/>
    <w:rsid w:val="DB6F4CAB"/>
    <w:rsid w:val="DB777682"/>
    <w:rsid w:val="DBF24924"/>
    <w:rsid w:val="DD1FB521"/>
    <w:rsid w:val="DD2B99C6"/>
    <w:rsid w:val="DE72EE14"/>
    <w:rsid w:val="DED88E54"/>
    <w:rsid w:val="DEDF2ABF"/>
    <w:rsid w:val="DEFBFEAE"/>
    <w:rsid w:val="DEFF29FC"/>
    <w:rsid w:val="DF1F3B80"/>
    <w:rsid w:val="DF6F9789"/>
    <w:rsid w:val="DF75410E"/>
    <w:rsid w:val="DF7D9FCA"/>
    <w:rsid w:val="DFD3DF61"/>
    <w:rsid w:val="DFE9BE81"/>
    <w:rsid w:val="DFF34D06"/>
    <w:rsid w:val="DFFF7019"/>
    <w:rsid w:val="DFFFA9E8"/>
    <w:rsid w:val="DFFFB197"/>
    <w:rsid w:val="E5F4E9DC"/>
    <w:rsid w:val="E66FF693"/>
    <w:rsid w:val="E6FA21D1"/>
    <w:rsid w:val="E70FE695"/>
    <w:rsid w:val="E7DB1CBD"/>
    <w:rsid w:val="EB2E368B"/>
    <w:rsid w:val="EBEEA1CA"/>
    <w:rsid w:val="EC9EB3D0"/>
    <w:rsid w:val="ECB672C2"/>
    <w:rsid w:val="ECFED1BC"/>
    <w:rsid w:val="ED1D69BB"/>
    <w:rsid w:val="ED391F11"/>
    <w:rsid w:val="ED7FD312"/>
    <w:rsid w:val="EF2E1AC6"/>
    <w:rsid w:val="EF53993F"/>
    <w:rsid w:val="EF6FD633"/>
    <w:rsid w:val="EF87512E"/>
    <w:rsid w:val="EFBFB2F4"/>
    <w:rsid w:val="EFBFFA21"/>
    <w:rsid w:val="EFDE9E01"/>
    <w:rsid w:val="EFFCA318"/>
    <w:rsid w:val="EFFE2DA0"/>
    <w:rsid w:val="EFFE84D6"/>
    <w:rsid w:val="F2BEBCB8"/>
    <w:rsid w:val="F36FB518"/>
    <w:rsid w:val="F3DE1A04"/>
    <w:rsid w:val="F3F722E5"/>
    <w:rsid w:val="F4F54BE9"/>
    <w:rsid w:val="F4FBCD07"/>
    <w:rsid w:val="F53D9925"/>
    <w:rsid w:val="F57137FB"/>
    <w:rsid w:val="F5FB3A92"/>
    <w:rsid w:val="F67F7E5D"/>
    <w:rsid w:val="F7AAFAA4"/>
    <w:rsid w:val="F7F782E5"/>
    <w:rsid w:val="F7FCDD0B"/>
    <w:rsid w:val="F7FD0409"/>
    <w:rsid w:val="F7FF4307"/>
    <w:rsid w:val="F8F1BE7E"/>
    <w:rsid w:val="F9BF4BA6"/>
    <w:rsid w:val="F9DF42F3"/>
    <w:rsid w:val="F9E2FBC9"/>
    <w:rsid w:val="FA5F1E70"/>
    <w:rsid w:val="FA5FDB97"/>
    <w:rsid w:val="FA6F9187"/>
    <w:rsid w:val="FABF36A7"/>
    <w:rsid w:val="FAFDDDFB"/>
    <w:rsid w:val="FB237EC4"/>
    <w:rsid w:val="FB7F486A"/>
    <w:rsid w:val="FBE36273"/>
    <w:rsid w:val="FBEE3D9D"/>
    <w:rsid w:val="FBFE0A4F"/>
    <w:rsid w:val="FBFF5B2E"/>
    <w:rsid w:val="FBFFC32B"/>
    <w:rsid w:val="FC7CCC8A"/>
    <w:rsid w:val="FD6FA455"/>
    <w:rsid w:val="FD7FFE2B"/>
    <w:rsid w:val="FDCBB604"/>
    <w:rsid w:val="FDCFE725"/>
    <w:rsid w:val="FDEE196B"/>
    <w:rsid w:val="FDEF144A"/>
    <w:rsid w:val="FDFDCAA8"/>
    <w:rsid w:val="FDFE6575"/>
    <w:rsid w:val="FDFF7737"/>
    <w:rsid w:val="FDFFFA63"/>
    <w:rsid w:val="FEBD20D5"/>
    <w:rsid w:val="FEBF7F9F"/>
    <w:rsid w:val="FEDB4C10"/>
    <w:rsid w:val="FEDFDDC2"/>
    <w:rsid w:val="FEED32F6"/>
    <w:rsid w:val="FEF781DD"/>
    <w:rsid w:val="FEF93A1B"/>
    <w:rsid w:val="FEFE0584"/>
    <w:rsid w:val="FF2C1A06"/>
    <w:rsid w:val="FF3F7E3F"/>
    <w:rsid w:val="FF65F1FE"/>
    <w:rsid w:val="FF7B84BD"/>
    <w:rsid w:val="FF7D3831"/>
    <w:rsid w:val="FF878D95"/>
    <w:rsid w:val="FF9BD212"/>
    <w:rsid w:val="FFBA12D7"/>
    <w:rsid w:val="FFCBD314"/>
    <w:rsid w:val="FFCFBDA9"/>
    <w:rsid w:val="FFD5B954"/>
    <w:rsid w:val="FFDFF91C"/>
    <w:rsid w:val="FFDFFAEE"/>
    <w:rsid w:val="FFEF5483"/>
    <w:rsid w:val="FFEF6777"/>
    <w:rsid w:val="FFF2A00B"/>
    <w:rsid w:val="FFF6470E"/>
    <w:rsid w:val="FFF9B57B"/>
    <w:rsid w:val="FFFD61D9"/>
    <w:rsid w:val="FFFD8AE8"/>
    <w:rsid w:val="FFFD8F59"/>
    <w:rsid w:val="FFFDE9EA"/>
    <w:rsid w:val="FFFE7C34"/>
    <w:rsid w:val="FFFF2BB1"/>
    <w:rsid w:val="FFFF5E3E"/>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200" w:leftChars="200"/>
    </w:pPr>
    <w:rPr>
      <w:rFonts w:ascii="仿宋_GB2312"/>
      <w:szCs w:val="32"/>
    </w:rPr>
  </w:style>
  <w:style w:type="paragraph" w:styleId="8">
    <w:name w:val="Body Text"/>
    <w:basedOn w:val="1"/>
    <w:link w:val="25"/>
    <w:qFormat/>
    <w:uiPriority w:val="99"/>
    <w:pPr>
      <w:spacing w:beforeLines="30"/>
    </w:pPr>
    <w:rPr>
      <w:rFonts w:ascii="仿宋_GB2312" w:eastAsia="仿宋_GB2312"/>
      <w:kern w:val="0"/>
      <w:sz w:val="30"/>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8"/>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5"/>
    <w:qFormat/>
    <w:uiPriority w:val="9"/>
    <w:rPr>
      <w:rFonts w:ascii="Times New Roman" w:hAnsi="Times New Roman"/>
      <w:b/>
      <w:bCs/>
      <w:kern w:val="44"/>
      <w:sz w:val="44"/>
      <w:szCs w:val="44"/>
    </w:rPr>
  </w:style>
  <w:style w:type="character" w:customStyle="1" w:styleId="29">
    <w:name w:val="标题 2 Char"/>
    <w:basedOn w:val="16"/>
    <w:link w:val="6"/>
    <w:qFormat/>
    <w:uiPriority w:val="9"/>
    <w:rPr>
      <w:rFonts w:asciiTheme="majorHAnsi" w:hAnsiTheme="majorHAnsi" w:eastAsiaTheme="majorEastAsia" w:cstheme="majorBidi"/>
      <w:b/>
      <w:bCs/>
      <w:kern w:val="2"/>
      <w:sz w:val="32"/>
      <w:szCs w:val="32"/>
    </w:rPr>
  </w:style>
  <w:style w:type="paragraph" w:customStyle="1" w:styleId="30">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6"/>
    <w:link w:val="10"/>
    <w:semiHidden/>
    <w:qFormat/>
    <w:uiPriority w:val="99"/>
    <w:rPr>
      <w:rFonts w:ascii="Times New Roman" w:hAnsi="Times New Roman"/>
      <w:kern w:val="2"/>
      <w:sz w:val="18"/>
      <w:szCs w:val="18"/>
    </w:rPr>
  </w:style>
  <w:style w:type="character" w:customStyle="1" w:styleId="32">
    <w:name w:val="标题 3 Char"/>
    <w:basedOn w:val="16"/>
    <w:link w:val="7"/>
    <w:qFormat/>
    <w:uiPriority w:val="9"/>
    <w:rPr>
      <w:rFonts w:ascii="Times New Roman" w:hAnsi="Times New Roman"/>
      <w:b/>
      <w:bCs/>
      <w:kern w:val="2"/>
      <w:sz w:val="32"/>
      <w:szCs w:val="32"/>
    </w:rPr>
  </w:style>
  <w:style w:type="paragraph" w:customStyle="1" w:styleId="33">
    <w:name w:val="TOC 标题2"/>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WPSOffice手动目录 1"/>
    <w:qFormat/>
    <w:uiPriority w:val="0"/>
    <w:rPr>
      <w:rFonts w:ascii="Times New Roman" w:hAnsi="Times New Roman" w:eastAsia="宋体" w:cs="Times New Roman"/>
      <w:lang w:val="en-US" w:eastAsia="zh-CN" w:bidi="ar-SA"/>
    </w:rPr>
  </w:style>
  <w:style w:type="paragraph" w:customStyle="1" w:styleId="36">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2023</c:v>
                </c:pt>
              </c:strCache>
            </c:strRef>
          </c:tx>
          <c:spPr>
            <a:solidFill>
              <a:schemeClr val="accent1"/>
            </a:solidFill>
            <a:ln>
              <a:noFill/>
            </a:ln>
            <a:effectLst/>
          </c:spPr>
          <c:invertIfNegative val="0"/>
          <c:dLbls>
            <c:delete val="1"/>
          </c:dLbls>
          <c:cat>
            <c:strRef>
              <c:f>Sheet1!$A$2:$A$3</c:f>
              <c:strCache>
                <c:ptCount val="2"/>
                <c:pt idx="0">
                  <c:v>收入总计</c:v>
                </c:pt>
                <c:pt idx="1">
                  <c:v>支出总计</c:v>
                </c:pt>
              </c:strCache>
            </c:strRef>
          </c:cat>
          <c:val>
            <c:numRef>
              <c:f>Sheet1!$B$2:$B$3</c:f>
              <c:numCache>
                <c:formatCode>General</c:formatCode>
                <c:ptCount val="2"/>
                <c:pt idx="0">
                  <c:v>242.56</c:v>
                </c:pt>
                <c:pt idx="1">
                  <c:v>242.56</c:v>
                </c:pt>
              </c:numCache>
            </c:numRef>
          </c:val>
        </c:ser>
        <c:ser>
          <c:idx val="1"/>
          <c:order val="1"/>
          <c:tx>
            <c:strRef>
              <c:f>Sheet1!$C$1</c:f>
              <c:strCache>
                <c:ptCount val="1"/>
                <c:pt idx="0">
                  <c:v>2024</c:v>
                </c:pt>
              </c:strCache>
            </c:strRef>
          </c:tx>
          <c:spPr>
            <a:solidFill>
              <a:schemeClr val="accent2"/>
            </a:solidFill>
            <a:ln>
              <a:noFill/>
            </a:ln>
            <a:effectLst/>
          </c:spPr>
          <c:invertIfNegative val="0"/>
          <c:dLbls>
            <c:delete val="1"/>
          </c:dLbls>
          <c:cat>
            <c:strRef>
              <c:f>Sheet1!$A$2:$A$3</c:f>
              <c:strCache>
                <c:ptCount val="2"/>
                <c:pt idx="0">
                  <c:v>收入总计</c:v>
                </c:pt>
                <c:pt idx="1">
                  <c:v>支出总计</c:v>
                </c:pt>
              </c:strCache>
            </c:strRef>
          </c:cat>
          <c:val>
            <c:numRef>
              <c:f>Sheet1!$C$2:$C$3</c:f>
              <c:numCache>
                <c:formatCode>General</c:formatCode>
                <c:ptCount val="2"/>
                <c:pt idx="0">
                  <c:v>307.96</c:v>
                </c:pt>
                <c:pt idx="1">
                  <c:v>307.96</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收入总计</c:v>
                </c:pt>
                <c:pt idx="1">
                  <c:v>支出总计</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72932480"/>
        <c:axId val="173139072"/>
      </c:barChart>
      <c:catAx>
        <c:axId val="17293248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3139072"/>
        <c:crosses val="autoZero"/>
        <c:auto val="1"/>
        <c:lblAlgn val="ctr"/>
        <c:lblOffset val="100"/>
        <c:noMultiLvlLbl val="0"/>
      </c:catAx>
      <c:valAx>
        <c:axId val="1731390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932480"/>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plotArea>
      <c:layout/>
      <c:pieChart>
        <c:varyColors val="1"/>
        <c:ser>
          <c:idx val="0"/>
          <c:order val="0"/>
          <c:tx>
            <c:strRef>
              <c:f>Sheet1!$B$1</c:f>
              <c:strCache>
                <c:ptCount val="1"/>
                <c:pt idx="0">
                  <c:v/>
                </c:pt>
              </c:strCache>
            </c:strRef>
          </c:tx>
          <c:spPr/>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65000"/>
                        <a:lumOff val="35000"/>
                      </a:schemeClr>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c:f>
              <c:strCache>
                <c:ptCount val="1"/>
                <c:pt idx="0">
                  <c:v>一般公共预算财政拨款收入</c:v>
                </c:pt>
              </c:strCache>
            </c:strRef>
          </c:cat>
          <c:val>
            <c:numRef>
              <c:f>Sheet1!$B$2</c:f>
              <c:numCache>
                <c:formatCode>General</c:formatCode>
                <c:ptCount val="1"/>
                <c:pt idx="0">
                  <c:v>307.96</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explosion val="11"/>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65000"/>
                        <a:lumOff val="35000"/>
                      </a:schemeClr>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221.21</c:v>
                </c:pt>
                <c:pt idx="1">
                  <c:v>85.75</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2024</c:v>
                </c:pt>
              </c:strCache>
            </c:strRef>
          </c:tx>
          <c:spPr>
            <a:solidFill>
              <a:schemeClr val="accent1"/>
            </a:solidFill>
            <a:ln>
              <a:noFill/>
            </a:ln>
            <a:effectLst/>
          </c:spPr>
          <c:invertIfNegative val="0"/>
          <c:dLbls>
            <c:delete val="1"/>
          </c:dLbls>
          <c:cat>
            <c:strRef>
              <c:f>Sheet1!$A$2:$A$3</c:f>
              <c:strCache>
                <c:ptCount val="2"/>
                <c:pt idx="0">
                  <c:v>财政拨款收入</c:v>
                </c:pt>
                <c:pt idx="1">
                  <c:v>财政拨款支出</c:v>
                </c:pt>
              </c:strCache>
            </c:strRef>
          </c:cat>
          <c:val>
            <c:numRef>
              <c:f>Sheet1!$B$2:$B$3</c:f>
              <c:numCache>
                <c:formatCode>General</c:formatCode>
                <c:ptCount val="2"/>
                <c:pt idx="0">
                  <c:v>307.96</c:v>
                </c:pt>
                <c:pt idx="1">
                  <c:v>307.96</c:v>
                </c:pt>
              </c:numCache>
            </c:numRef>
          </c:val>
        </c:ser>
        <c:ser>
          <c:idx val="1"/>
          <c:order val="1"/>
          <c:tx>
            <c:strRef>
              <c:f>Sheet1!$C$1</c:f>
              <c:strCache>
                <c:ptCount val="1"/>
                <c:pt idx="0">
                  <c:v>2023</c:v>
                </c:pt>
              </c:strCache>
            </c:strRef>
          </c:tx>
          <c:spPr>
            <a:solidFill>
              <a:schemeClr val="accent2"/>
            </a:solidFill>
            <a:ln>
              <a:noFill/>
            </a:ln>
            <a:effectLst/>
          </c:spPr>
          <c:invertIfNegative val="0"/>
          <c:dLbls>
            <c:delete val="1"/>
          </c:dLbls>
          <c:cat>
            <c:strRef>
              <c:f>Sheet1!$A$2:$A$3</c:f>
              <c:strCache>
                <c:ptCount val="2"/>
                <c:pt idx="0">
                  <c:v>财政拨款收入</c:v>
                </c:pt>
                <c:pt idx="1">
                  <c:v>财政拨款支出</c:v>
                </c:pt>
              </c:strCache>
            </c:strRef>
          </c:cat>
          <c:val>
            <c:numRef>
              <c:f>Sheet1!$C$2:$C$3</c:f>
              <c:numCache>
                <c:formatCode>General</c:formatCode>
                <c:ptCount val="2"/>
                <c:pt idx="0">
                  <c:v>242.56</c:v>
                </c:pt>
                <c:pt idx="1">
                  <c:v>242.56</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财政拨款收入</c:v>
                </c:pt>
                <c:pt idx="1">
                  <c:v>财政拨款支出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74429312"/>
        <c:axId val="174430848"/>
      </c:barChart>
      <c:catAx>
        <c:axId val="17442931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4430848"/>
        <c:crosses val="autoZero"/>
        <c:auto val="1"/>
        <c:lblAlgn val="ctr"/>
        <c:lblOffset val="100"/>
        <c:noMultiLvlLbl val="0"/>
      </c:catAx>
      <c:valAx>
        <c:axId val="1744308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442931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2023</c:v>
                </c:pt>
              </c:strCache>
            </c:strRef>
          </c:tx>
          <c:spPr>
            <a:solidFill>
              <a:schemeClr val="accent1"/>
            </a:solidFill>
            <a:ln>
              <a:noFill/>
            </a:ln>
            <a:effectLst/>
          </c:spPr>
          <c:invertIfNegative val="0"/>
          <c:dLbls>
            <c:delete val="1"/>
          </c:dLbls>
          <c:cat>
            <c:strRef>
              <c:f>Sheet1!$A$2</c:f>
              <c:strCache>
                <c:ptCount val="1"/>
                <c:pt idx="0">
                  <c:v>一般公共预算财政拨款收入</c:v>
                </c:pt>
              </c:strCache>
            </c:strRef>
          </c:cat>
          <c:val>
            <c:numRef>
              <c:f>Sheet1!$B$2</c:f>
              <c:numCache>
                <c:formatCode>General</c:formatCode>
                <c:ptCount val="1"/>
                <c:pt idx="0">
                  <c:v>242.56</c:v>
                </c:pt>
              </c:numCache>
            </c:numRef>
          </c:val>
        </c:ser>
        <c:ser>
          <c:idx val="1"/>
          <c:order val="1"/>
          <c:tx>
            <c:strRef>
              <c:f>Sheet1!$C$1</c:f>
              <c:strCache>
                <c:ptCount val="1"/>
                <c:pt idx="0">
                  <c:v>2024</c:v>
                </c:pt>
              </c:strCache>
            </c:strRef>
          </c:tx>
          <c:spPr>
            <a:solidFill>
              <a:schemeClr val="accent2"/>
            </a:solidFill>
            <a:ln>
              <a:noFill/>
            </a:ln>
            <a:effectLst/>
          </c:spPr>
          <c:invertIfNegative val="0"/>
          <c:dLbls>
            <c:delete val="1"/>
          </c:dLbls>
          <c:cat>
            <c:strRef>
              <c:f>Sheet1!$A$2</c:f>
              <c:strCache>
                <c:ptCount val="1"/>
                <c:pt idx="0">
                  <c:v>一般公共预算财政拨款收入</c:v>
                </c:pt>
              </c:strCache>
            </c:strRef>
          </c:cat>
          <c:val>
            <c:numRef>
              <c:f>Sheet1!$C$2</c:f>
              <c:numCache>
                <c:formatCode>General</c:formatCode>
                <c:ptCount val="1"/>
                <c:pt idx="0">
                  <c:v>307.96</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c:f>
              <c:strCache>
                <c:ptCount val="1"/>
                <c:pt idx="0">
                  <c:v>一般公共预算财政拨款收入</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74497152"/>
        <c:axId val="174503040"/>
      </c:barChart>
      <c:catAx>
        <c:axId val="17449715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4503040"/>
        <c:crosses val="autoZero"/>
        <c:auto val="1"/>
        <c:lblAlgn val="ctr"/>
        <c:lblOffset val="100"/>
        <c:noMultiLvlLbl val="0"/>
      </c:catAx>
      <c:valAx>
        <c:axId val="1745030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4497152"/>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plotArea>
      <c:layout/>
      <c:pieChart>
        <c:varyColors val="1"/>
        <c:ser>
          <c:idx val="0"/>
          <c:order val="0"/>
          <c:tx>
            <c:strRef>
              <c:f>Sheet1!$B$1</c:f>
              <c:strCache>
                <c:ptCount val="1"/>
                <c:pt idx="0">
                  <c:v/>
                </c:pt>
              </c:strCache>
            </c:strRef>
          </c:tx>
          <c:spPr/>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explosion val="18"/>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explosion val="12"/>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explosion val="57"/>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65000"/>
                        <a:lumOff val="35000"/>
                      </a:schemeClr>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Sheet1!$A$2:$A$6</c:f>
              <c:strCache>
                <c:ptCount val="5"/>
                <c:pt idx="0">
                  <c:v>一般公共服务支出</c:v>
                </c:pt>
                <c:pt idx="1">
                  <c:v>科学技术支出</c:v>
                </c:pt>
                <c:pt idx="2">
                  <c:v>社会保障和就业支出</c:v>
                </c:pt>
                <c:pt idx="3">
                  <c:v>卫生健康支出</c:v>
                </c:pt>
                <c:pt idx="4">
                  <c:v>住房保障支出</c:v>
                </c:pt>
              </c:strCache>
            </c:strRef>
          </c:cat>
          <c:val>
            <c:numRef>
              <c:f>Sheet1!$B$2:$B$6</c:f>
              <c:numCache>
                <c:formatCode>General</c:formatCode>
                <c:ptCount val="5"/>
                <c:pt idx="0">
                  <c:v>1.25</c:v>
                </c:pt>
                <c:pt idx="1">
                  <c:v>229.59</c:v>
                </c:pt>
                <c:pt idx="2">
                  <c:v>51.52</c:v>
                </c:pt>
                <c:pt idx="3">
                  <c:v>11.48</c:v>
                </c:pt>
                <c:pt idx="4">
                  <c:v>14.12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cap="none" spc="20" baseline="0">
              <a:solidFill>
                <a:schemeClr val="tx1">
                  <a:lumMod val="50000"/>
                  <a:lumOff val="50000"/>
                </a:schemeClr>
              </a:solidFill>
              <a:latin typeface="+mn-lt"/>
              <a:ea typeface="+mn-ea"/>
              <a:cs typeface="+mn-cs"/>
            </a:defRPr>
          </a:pPr>
        </a:p>
      </c:txPr>
    </c:title>
    <c:autoTitleDeleted val="0"/>
    <c:plotArea>
      <c:layout/>
      <c:pieChart>
        <c:varyColors val="1"/>
        <c:ser>
          <c:idx val="0"/>
          <c:order val="0"/>
          <c:tx>
            <c:strRef>
              <c:f>Sheet1!$B$1</c:f>
              <c:strCache>
                <c:ptCount val="1"/>
                <c:pt idx="0">
                  <c:v/>
                </c:pt>
              </c:strCache>
            </c:strRef>
          </c:tx>
          <c:spPr/>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Lbls>
            <c:delete val="1"/>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0</c:v>
                </c:pt>
                <c:pt idx="2">
                  <c:v>0.24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18</Pages>
  <Words>4827</Words>
  <Characters>2207</Characters>
  <Lines>18</Lines>
  <Paragraphs>14</Paragraphs>
  <TotalTime>293</TotalTime>
  <ScaleCrop>false</ScaleCrop>
  <LinksUpToDate>false</LinksUpToDate>
  <CharactersWithSpaces>7020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2020-08-11T09:49:00Z</dcterms:created>
  <dc:creator>曹颖</dc:creator>
  <cp:lastModifiedBy>user</cp:lastModifiedBy>
  <cp:lastPrinted>2025-08-08T17:34:00Z</cp:lastPrinted>
  <dcterms:modified xsi:type="dcterms:W3CDTF">2025-09-15T17:27:02Z</dcterms:modified>
  <dc:title>四川省***</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04787F2533EB45DC91BCDE4AB213247F</vt:lpwstr>
  </property>
</Properties>
</file>