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Toc15378441"/>
      <w:bookmarkStart w:id="1" w:name="_Toc15396597"/>
      <w:bookmarkStart w:id="2" w:name="_Toc15377425"/>
      <w:bookmarkStart w:id="3" w:name="_Toc15377193"/>
      <w:bookmarkStart w:id="4" w:name="_Toc15396475"/>
      <w:bookmarkStart w:id="5" w:name="_Toc15306267"/>
    </w:p>
    <w:p>
      <w:pPr>
        <w:pStyle w:val="2"/>
      </w:pPr>
    </w:p>
    <w:p/>
    <w:p>
      <w:pPr>
        <w:pStyle w:val="6"/>
        <w:spacing w:before="93"/>
        <w:jc w:val="center"/>
        <w:rPr>
          <w:rFonts w:ascii="Times New Roman" w:eastAsia="方正小标宋简体"/>
          <w:kern w:val="2"/>
          <w:sz w:val="44"/>
          <w:szCs w:val="44"/>
        </w:rPr>
      </w:pPr>
    </w:p>
    <w:p>
      <w:pPr>
        <w:pStyle w:val="6"/>
        <w:spacing w:before="93"/>
        <w:jc w:val="center"/>
        <w:rPr>
          <w:rFonts w:ascii="Times New Roman" w:eastAsia="方正小标宋简体"/>
          <w:kern w:val="2"/>
          <w:sz w:val="44"/>
          <w:szCs w:val="44"/>
        </w:rPr>
      </w:pPr>
    </w:p>
    <w:p>
      <w:pPr>
        <w:pStyle w:val="6"/>
        <w:spacing w:before="93"/>
        <w:jc w:val="center"/>
        <w:rPr>
          <w:rFonts w:ascii="Times New Roman" w:eastAsia="方正小标宋简体"/>
          <w:kern w:val="2"/>
          <w:sz w:val="44"/>
          <w:szCs w:val="44"/>
        </w:rPr>
      </w:pPr>
    </w:p>
    <w:p>
      <w:pPr>
        <w:pStyle w:val="6"/>
        <w:spacing w:before="93"/>
        <w:jc w:val="center"/>
        <w:rPr>
          <w:rFonts w:ascii="Times New Roman" w:eastAsia="方正小标宋简体"/>
          <w:kern w:val="2"/>
          <w:sz w:val="44"/>
          <w:szCs w:val="44"/>
        </w:rPr>
      </w:pPr>
    </w:p>
    <w:bookmarkEnd w:id="0"/>
    <w:bookmarkEnd w:id="1"/>
    <w:bookmarkEnd w:id="2"/>
    <w:bookmarkEnd w:id="3"/>
    <w:bookmarkEnd w:id="4"/>
    <w:p>
      <w:pPr>
        <w:pStyle w:val="6"/>
        <w:jc w:val="center"/>
        <w:rPr>
          <w:rFonts w:hint="eastAsia" w:ascii="Times New Roman" w:eastAsia="方正小标宋简体"/>
          <w:kern w:val="2"/>
          <w:sz w:val="44"/>
          <w:szCs w:val="44"/>
        </w:rPr>
      </w:pPr>
      <w:bookmarkStart w:id="6" w:name="_Toc15396598"/>
      <w:bookmarkStart w:id="7" w:name="_Toc15396476"/>
      <w:bookmarkStart w:id="8" w:name="_Toc15378442"/>
      <w:bookmarkStart w:id="9" w:name="_Toc15377194"/>
      <w:bookmarkStart w:id="10" w:name="_Toc15377426"/>
      <w:r>
        <w:rPr>
          <w:rFonts w:hint="eastAsia" w:ascii="Times New Roman" w:eastAsia="方正小标宋简体"/>
          <w:kern w:val="2"/>
          <w:sz w:val="44"/>
          <w:szCs w:val="44"/>
        </w:rPr>
        <w:t>2024年度</w:t>
      </w:r>
      <w:bookmarkEnd w:id="5"/>
      <w:bookmarkStart w:id="11" w:name="_Toc15306268"/>
    </w:p>
    <w:p>
      <w:pPr>
        <w:pStyle w:val="6"/>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中国共产党攀枝花市委员会老干部局</w:t>
      </w:r>
    </w:p>
    <w:p>
      <w:pPr>
        <w:pStyle w:val="6"/>
        <w:jc w:val="center"/>
        <w:rPr>
          <w:rFonts w:ascii="Times New Roman" w:eastAsia="方正小标宋简体"/>
          <w:kern w:val="2"/>
          <w:sz w:val="44"/>
          <w:szCs w:val="44"/>
        </w:rPr>
      </w:pPr>
      <w:r>
        <w:rPr>
          <w:rFonts w:hint="eastAsia" w:ascii="Times New Roman" w:eastAsia="方正小标宋简体"/>
          <w:kern w:val="2"/>
          <w:sz w:val="44"/>
          <w:szCs w:val="44"/>
        </w:rPr>
        <w:t>部门决算</w:t>
      </w:r>
      <w:bookmarkEnd w:id="6"/>
      <w:bookmarkEnd w:id="7"/>
      <w:bookmarkEnd w:id="8"/>
      <w:bookmarkEnd w:id="9"/>
      <w:bookmarkEnd w:id="10"/>
      <w:bookmarkEnd w:id="11"/>
    </w:p>
    <w:p>
      <w:pPr>
        <w:widowControl/>
        <w:jc w:val="center"/>
        <w:rPr>
          <w:rFonts w:eastAsia="黑体"/>
          <w:sz w:val="48"/>
          <w:szCs w:val="48"/>
        </w:rPr>
      </w:pPr>
      <w:r>
        <w:rPr>
          <w:rFonts w:eastAsia="方正小标宋简体"/>
          <w:sz w:val="36"/>
          <w:szCs w:val="36"/>
        </w:rPr>
        <w:br w:type="page"/>
      </w:r>
      <w:r>
        <w:rPr>
          <w:rFonts w:hint="eastAsia" w:eastAsia="黑体"/>
          <w:sz w:val="48"/>
          <w:szCs w:val="48"/>
        </w:rPr>
        <w:t>目录</w:t>
      </w:r>
    </w:p>
    <w:p>
      <w:pPr>
        <w:widowControl/>
        <w:jc w:val="center"/>
        <w:rPr>
          <w:rFonts w:eastAsia="黑体" w:cstheme="minorBidi"/>
          <w:sz w:val="28"/>
          <w:szCs w:val="28"/>
        </w:rPr>
      </w:pPr>
    </w:p>
    <w:p>
      <w:pPr>
        <w:pStyle w:val="13"/>
        <w:rPr>
          <w:rFonts w:ascii="Times New Roman" w:hAnsi="Times New Roman" w:eastAsia="仿宋_GB2312" w:cs="仿宋_GB2312"/>
          <w:sz w:val="32"/>
          <w:szCs w:val="32"/>
        </w:rPr>
      </w:pPr>
      <w:r>
        <w:rPr>
          <w:rFonts w:hint="eastAsia" w:ascii="Times New Roman" w:hAnsi="Times New Roman" w:eastAsia="仿宋_GB2312" w:cs="仿宋_GB2312"/>
          <w:sz w:val="32"/>
          <w:szCs w:val="32"/>
        </w:rPr>
        <w:t>公开时间：202</w:t>
      </w: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年</w:t>
      </w:r>
      <w:r>
        <w:rPr>
          <w:rFonts w:hint="default" w:ascii="Times New Roman" w:hAnsi="Times New Roman" w:eastAsia="仿宋_GB2312" w:cs="仿宋_GB2312"/>
          <w:sz w:val="32"/>
          <w:szCs w:val="32"/>
          <w:lang w:val="en"/>
        </w:rPr>
        <w:t>9</w:t>
      </w:r>
      <w:r>
        <w:rPr>
          <w:rFonts w:hint="eastAsia" w:ascii="Times New Roman" w:hAnsi="Times New Roman" w:eastAsia="仿宋_GB2312" w:cs="仿宋_GB2312"/>
          <w:sz w:val="32"/>
          <w:szCs w:val="32"/>
        </w:rPr>
        <w:t>月</w:t>
      </w:r>
      <w:r>
        <w:rPr>
          <w:rFonts w:hint="default" w:ascii="Times New Roman" w:hAnsi="Times New Roman" w:eastAsia="仿宋_GB2312" w:cs="仿宋_GB2312"/>
          <w:sz w:val="32"/>
          <w:szCs w:val="32"/>
          <w:lang w:val="en"/>
        </w:rPr>
        <w:t>1</w:t>
      </w: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日</w:t>
      </w:r>
    </w:p>
    <w:p/>
    <w:p>
      <w:pPr>
        <w:pStyle w:val="13"/>
        <w:adjustRightInd w:val="0"/>
        <w:snapToGrid w:val="0"/>
        <w:spacing w:before="0" w:line="560" w:lineRule="exact"/>
        <w:jc w:val="left"/>
        <w:rPr>
          <w:rFonts w:hint="eastAsia" w:ascii="Times New Roman" w:hAnsi="Times New Roman" w:eastAsia="仿宋" w:cs="黑体"/>
          <w:sz w:val="32"/>
          <w:szCs w:val="32"/>
          <w:lang w:val="en-US" w:eastAsia="zh-CN"/>
        </w:rPr>
      </w:pPr>
      <w:r>
        <w:rPr>
          <w:rFonts w:hint="eastAsia" w:ascii="Times New Roman" w:hAnsi="Times New Roman" w:eastAsia="黑体" w:cs="黑体"/>
          <w:sz w:val="32"/>
          <w:szCs w:val="32"/>
        </w:rPr>
        <w:t>第一部分 部门概况</w:t>
      </w:r>
      <w:r>
        <w:rPr>
          <w:rFonts w:ascii="Times New Roman" w:hAnsi="Times New Roman"/>
          <w:sz w:val="24"/>
          <w:szCs w:val="24"/>
        </w:rPr>
        <w:tab/>
      </w:r>
      <w:r>
        <w:rPr>
          <w:rFonts w:hint="eastAsia" w:ascii="Times New Roman" w:hAnsi="Times New Roman"/>
          <w:sz w:val="24"/>
          <w:szCs w:val="24"/>
          <w:lang w:val="en-US" w:eastAsia="zh-CN"/>
        </w:rPr>
        <w:t>1</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一、部门职责</w:t>
      </w:r>
      <w:r>
        <w:rPr>
          <w:rFonts w:ascii="Times New Roman" w:hAnsi="Times New Roman"/>
          <w:sz w:val="24"/>
          <w:szCs w:val="24"/>
        </w:rPr>
        <w:tab/>
      </w:r>
      <w:r>
        <w:rPr>
          <w:rFonts w:hint="eastAsia"/>
          <w:sz w:val="24"/>
          <w:szCs w:val="24"/>
          <w:lang w:val="en-US" w:eastAsia="zh-CN"/>
        </w:rPr>
        <w:t>1</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二、机构设置</w:t>
      </w:r>
      <w:r>
        <w:rPr>
          <w:rFonts w:ascii="Times New Roman" w:hAnsi="Times New Roman"/>
          <w:sz w:val="24"/>
          <w:szCs w:val="24"/>
        </w:rPr>
        <w:tab/>
      </w:r>
      <w:r>
        <w:rPr>
          <w:rFonts w:hint="eastAsia"/>
          <w:sz w:val="24"/>
          <w:szCs w:val="24"/>
          <w:lang w:val="en-US" w:eastAsia="zh-CN"/>
        </w:rPr>
        <w:t>2</w:t>
      </w:r>
    </w:p>
    <w:p>
      <w:pPr>
        <w:pStyle w:val="13"/>
        <w:adjustRightInd w:val="0"/>
        <w:snapToGrid w:val="0"/>
        <w:spacing w:before="0" w:line="560" w:lineRule="exact"/>
        <w:jc w:val="left"/>
        <w:rPr>
          <w:rFonts w:hint="eastAsia" w:ascii="Times New Roman" w:hAnsi="Times New Roman" w:eastAsia="仿宋" w:cs="黑体"/>
          <w:sz w:val="32"/>
          <w:szCs w:val="32"/>
          <w:lang w:val="en-US" w:eastAsia="zh-CN"/>
        </w:rPr>
      </w:pPr>
      <w:r>
        <w:rPr>
          <w:rFonts w:hint="eastAsia" w:ascii="Times New Roman" w:hAnsi="Times New Roman" w:eastAsia="黑体" w:cs="黑体"/>
          <w:sz w:val="32"/>
          <w:szCs w:val="32"/>
        </w:rPr>
        <w:t>第二部分 2024年度部门决算情况说明</w:t>
      </w:r>
      <w:r>
        <w:rPr>
          <w:rFonts w:ascii="Times New Roman" w:hAnsi="Times New Roman"/>
          <w:sz w:val="24"/>
          <w:szCs w:val="24"/>
        </w:rPr>
        <w:tab/>
      </w:r>
      <w:r>
        <w:rPr>
          <w:rFonts w:hint="eastAsia" w:ascii="Times New Roman" w:hAnsi="Times New Roman"/>
          <w:sz w:val="24"/>
          <w:szCs w:val="24"/>
          <w:lang w:val="en-US" w:eastAsia="zh-CN"/>
        </w:rPr>
        <w:t>3</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一、收入支出决算总体情况说明</w:t>
      </w:r>
      <w:r>
        <w:rPr>
          <w:rFonts w:ascii="Times New Roman" w:hAnsi="Times New Roman"/>
          <w:sz w:val="24"/>
          <w:szCs w:val="24"/>
        </w:rPr>
        <w:tab/>
      </w:r>
      <w:r>
        <w:rPr>
          <w:rFonts w:hint="eastAsia"/>
          <w:sz w:val="24"/>
          <w:szCs w:val="24"/>
          <w:lang w:val="en-US" w:eastAsia="zh-CN"/>
        </w:rPr>
        <w:t>3</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二、收入决算情况说明</w:t>
      </w:r>
      <w:r>
        <w:rPr>
          <w:rFonts w:ascii="Times New Roman" w:hAnsi="Times New Roman"/>
          <w:sz w:val="24"/>
          <w:szCs w:val="24"/>
        </w:rPr>
        <w:tab/>
      </w:r>
      <w:r>
        <w:rPr>
          <w:rFonts w:hint="eastAsia"/>
          <w:sz w:val="24"/>
          <w:szCs w:val="24"/>
          <w:lang w:val="en-US" w:eastAsia="zh-CN"/>
        </w:rPr>
        <w:t>3</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三、支出决算情况说明</w:t>
      </w:r>
      <w:r>
        <w:rPr>
          <w:rFonts w:ascii="Times New Roman" w:hAnsi="Times New Roman"/>
          <w:sz w:val="24"/>
          <w:szCs w:val="24"/>
        </w:rPr>
        <w:tab/>
      </w:r>
      <w:r>
        <w:rPr>
          <w:rFonts w:hint="eastAsia"/>
          <w:sz w:val="24"/>
          <w:szCs w:val="24"/>
          <w:lang w:val="en-US" w:eastAsia="zh-CN"/>
        </w:rPr>
        <w:t>4</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四、财政拨款收入支出决算总体情况说明</w:t>
      </w:r>
      <w:r>
        <w:rPr>
          <w:rFonts w:ascii="Times New Roman" w:hAnsi="Times New Roman"/>
          <w:sz w:val="24"/>
          <w:szCs w:val="24"/>
        </w:rPr>
        <w:tab/>
      </w:r>
      <w:r>
        <w:rPr>
          <w:rFonts w:hint="eastAsia"/>
          <w:sz w:val="24"/>
          <w:szCs w:val="24"/>
          <w:lang w:val="en-US" w:eastAsia="zh-CN"/>
        </w:rPr>
        <w:t>5</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五、一般公共预算财政拨款支出决算情况说明</w:t>
      </w:r>
      <w:r>
        <w:rPr>
          <w:rFonts w:ascii="Times New Roman" w:hAnsi="Times New Roman"/>
          <w:sz w:val="24"/>
          <w:szCs w:val="24"/>
        </w:rPr>
        <w:tab/>
      </w:r>
      <w:r>
        <w:rPr>
          <w:rFonts w:hint="eastAsia"/>
          <w:sz w:val="24"/>
          <w:szCs w:val="24"/>
          <w:lang w:val="en-US" w:eastAsia="zh-CN"/>
        </w:rPr>
        <w:t>5</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六、一般公共预算财政拨款基本支出决算情况说明</w:t>
      </w:r>
      <w:r>
        <w:rPr>
          <w:rFonts w:ascii="Times New Roman" w:hAnsi="Times New Roman"/>
          <w:sz w:val="24"/>
          <w:szCs w:val="24"/>
        </w:rPr>
        <w:tab/>
      </w:r>
      <w:r>
        <w:rPr>
          <w:rFonts w:hint="eastAsia"/>
          <w:sz w:val="24"/>
          <w:szCs w:val="24"/>
          <w:lang w:val="en-US" w:eastAsia="zh-CN"/>
        </w:rPr>
        <w:t>8</w:t>
      </w:r>
    </w:p>
    <w:p>
      <w:pPr>
        <w:pStyle w:val="15"/>
        <w:adjustRightInd w:val="0"/>
        <w:snapToGrid w:val="0"/>
        <w:spacing w:line="560" w:lineRule="exact"/>
        <w:ind w:left="0" w:leftChars="0" w:firstLine="640" w:firstLineChars="200"/>
        <w:jc w:val="left"/>
        <w:rPr>
          <w:rFonts w:hint="eastAsia" w:eastAsia="宋体" w:cs="仿宋_GB2312"/>
          <w:sz w:val="32"/>
          <w:szCs w:val="32"/>
          <w:lang w:val="en-US" w:eastAsia="zh-CN"/>
        </w:rPr>
      </w:pPr>
      <w:r>
        <w:rPr>
          <w:rFonts w:hint="eastAsia" w:eastAsia="仿宋_GB2312" w:cs="仿宋_GB2312"/>
          <w:sz w:val="32"/>
          <w:szCs w:val="32"/>
        </w:rPr>
        <w:t>七、财政拨款“三公”经费支出决算情况说明</w:t>
      </w:r>
      <w:r>
        <w:rPr>
          <w:rFonts w:ascii="Times New Roman" w:hAnsi="Times New Roman"/>
          <w:sz w:val="24"/>
          <w:szCs w:val="24"/>
        </w:rPr>
        <w:tab/>
      </w:r>
      <w:r>
        <w:rPr>
          <w:rFonts w:hint="eastAsia"/>
          <w:sz w:val="24"/>
          <w:szCs w:val="24"/>
          <w:lang w:val="en-US" w:eastAsia="zh-CN"/>
        </w:rPr>
        <w:t>9</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八、政府性基金预算支出决算情况说明</w:t>
      </w:r>
      <w:r>
        <w:rPr>
          <w:rFonts w:ascii="Times New Roman" w:hAnsi="Times New Roman"/>
          <w:sz w:val="24"/>
          <w:szCs w:val="24"/>
        </w:rPr>
        <w:tab/>
      </w:r>
      <w:r>
        <w:rPr>
          <w:rFonts w:hint="eastAsia"/>
          <w:sz w:val="24"/>
          <w:szCs w:val="24"/>
          <w:lang w:val="en-US" w:eastAsia="zh-CN"/>
        </w:rPr>
        <w:t>11</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九、国有资本经营预算支出决算情况说明</w:t>
      </w:r>
      <w:r>
        <w:rPr>
          <w:rFonts w:ascii="Times New Roman" w:hAnsi="Times New Roman"/>
          <w:sz w:val="24"/>
          <w:szCs w:val="24"/>
        </w:rPr>
        <w:tab/>
      </w:r>
      <w:r>
        <w:rPr>
          <w:rFonts w:hint="eastAsia"/>
          <w:sz w:val="24"/>
          <w:szCs w:val="24"/>
          <w:lang w:val="en-US" w:eastAsia="zh-CN"/>
        </w:rPr>
        <w:t>11</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十、其他重要事项的情况说明</w:t>
      </w:r>
      <w:r>
        <w:rPr>
          <w:rFonts w:ascii="Times New Roman" w:hAnsi="Times New Roman"/>
          <w:sz w:val="24"/>
          <w:szCs w:val="24"/>
        </w:rPr>
        <w:tab/>
      </w:r>
      <w:r>
        <w:rPr>
          <w:rFonts w:hint="eastAsia"/>
          <w:sz w:val="24"/>
          <w:szCs w:val="24"/>
          <w:lang w:val="en-US" w:eastAsia="zh-CN"/>
        </w:rPr>
        <w:t>11</w:t>
      </w:r>
    </w:p>
    <w:p>
      <w:pPr>
        <w:pStyle w:val="13"/>
        <w:adjustRightInd w:val="0"/>
        <w:snapToGrid w:val="0"/>
        <w:spacing w:before="0" w:line="560" w:lineRule="exact"/>
        <w:jc w:val="left"/>
        <w:rPr>
          <w:rFonts w:hint="default" w:ascii="Times New Roman" w:hAnsi="Times New Roman" w:eastAsia="仿宋" w:cs="黑体"/>
          <w:sz w:val="32"/>
          <w:szCs w:val="32"/>
          <w:lang w:val="en-US" w:eastAsia="zh-CN"/>
        </w:rPr>
      </w:pPr>
      <w:r>
        <w:rPr>
          <w:rFonts w:hint="eastAsia" w:ascii="Times New Roman" w:hAnsi="Times New Roman" w:eastAsia="黑体" w:cs="黑体"/>
          <w:sz w:val="32"/>
          <w:szCs w:val="32"/>
        </w:rPr>
        <w:t>第三部分 名词解释</w:t>
      </w:r>
      <w:r>
        <w:rPr>
          <w:rFonts w:ascii="Times New Roman" w:hAnsi="Times New Roman"/>
          <w:sz w:val="24"/>
          <w:szCs w:val="24"/>
        </w:rPr>
        <w:tab/>
      </w:r>
      <w:r>
        <w:rPr>
          <w:rFonts w:hint="eastAsia" w:ascii="Times New Roman" w:hAnsi="Times New Roman"/>
          <w:sz w:val="24"/>
          <w:szCs w:val="24"/>
          <w:lang w:val="en-US" w:eastAsia="zh-CN"/>
        </w:rPr>
        <w:t>14</w:t>
      </w:r>
    </w:p>
    <w:p>
      <w:pPr>
        <w:pStyle w:val="13"/>
        <w:adjustRightInd w:val="0"/>
        <w:snapToGrid w:val="0"/>
        <w:spacing w:before="0" w:line="560" w:lineRule="exact"/>
        <w:jc w:val="left"/>
        <w:rPr>
          <w:rFonts w:hint="default" w:ascii="Times New Roman" w:hAnsi="Times New Roman" w:eastAsia="仿宋" w:cs="黑体"/>
          <w:sz w:val="32"/>
          <w:szCs w:val="32"/>
          <w:lang w:val="en-US" w:eastAsia="zh-CN"/>
        </w:rPr>
      </w:pPr>
      <w:r>
        <w:rPr>
          <w:rFonts w:hint="eastAsia" w:ascii="Times New Roman" w:hAnsi="Times New Roman" w:eastAsia="黑体" w:cs="黑体"/>
          <w:sz w:val="32"/>
          <w:szCs w:val="32"/>
        </w:rPr>
        <w:t>第四部分 附件</w:t>
      </w:r>
      <w:r>
        <w:rPr>
          <w:rFonts w:ascii="Times New Roman" w:hAnsi="Times New Roman"/>
          <w:sz w:val="24"/>
          <w:szCs w:val="24"/>
        </w:rPr>
        <w:tab/>
      </w:r>
      <w:r>
        <w:rPr>
          <w:rFonts w:hint="eastAsia" w:ascii="Times New Roman" w:hAnsi="Times New Roman"/>
          <w:sz w:val="24"/>
          <w:szCs w:val="24"/>
          <w:lang w:val="en-US" w:eastAsia="zh-CN"/>
        </w:rPr>
        <w:t>19</w:t>
      </w:r>
    </w:p>
    <w:p>
      <w:pPr>
        <w:pStyle w:val="13"/>
        <w:adjustRightInd w:val="0"/>
        <w:snapToGrid w:val="0"/>
        <w:spacing w:before="0" w:line="560" w:lineRule="exact"/>
        <w:jc w:val="left"/>
        <w:rPr>
          <w:rFonts w:hint="default" w:ascii="Times New Roman" w:hAnsi="Times New Roman" w:eastAsia="仿宋" w:cs="黑体"/>
          <w:sz w:val="32"/>
          <w:szCs w:val="32"/>
          <w:lang w:val="en-US" w:eastAsia="zh-CN"/>
        </w:rPr>
      </w:pPr>
      <w:r>
        <w:rPr>
          <w:rFonts w:hint="eastAsia" w:ascii="Times New Roman" w:hAnsi="Times New Roman" w:eastAsia="黑体" w:cs="黑体"/>
          <w:sz w:val="32"/>
          <w:szCs w:val="32"/>
        </w:rPr>
        <w:t>第五部分 附表</w:t>
      </w:r>
      <w:r>
        <w:rPr>
          <w:rFonts w:ascii="Times New Roman" w:hAnsi="Times New Roman"/>
          <w:sz w:val="24"/>
          <w:szCs w:val="24"/>
        </w:rPr>
        <w:tab/>
      </w:r>
      <w:r>
        <w:rPr>
          <w:rFonts w:hint="eastAsia" w:ascii="Times New Roman" w:hAnsi="Times New Roman"/>
          <w:sz w:val="24"/>
          <w:szCs w:val="24"/>
          <w:lang w:val="en-US" w:eastAsia="zh-CN"/>
        </w:rPr>
        <w:t>37</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一、收入支出决算总表</w:t>
      </w:r>
      <w:r>
        <w:rPr>
          <w:rFonts w:ascii="Times New Roman" w:hAnsi="Times New Roman"/>
          <w:sz w:val="24"/>
          <w:szCs w:val="24"/>
        </w:rPr>
        <w:tab/>
      </w:r>
      <w:r>
        <w:rPr>
          <w:rFonts w:hint="eastAsia"/>
          <w:sz w:val="24"/>
          <w:szCs w:val="24"/>
          <w:lang w:val="en-US" w:eastAsia="zh-CN"/>
        </w:rPr>
        <w:t>37</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二、收入决算表</w:t>
      </w:r>
      <w:r>
        <w:rPr>
          <w:rFonts w:ascii="Times New Roman" w:hAnsi="Times New Roman"/>
          <w:sz w:val="24"/>
          <w:szCs w:val="24"/>
        </w:rPr>
        <w:tab/>
      </w:r>
      <w:r>
        <w:rPr>
          <w:rFonts w:hint="eastAsia"/>
          <w:sz w:val="24"/>
          <w:szCs w:val="24"/>
          <w:lang w:val="en-US" w:eastAsia="zh-CN"/>
        </w:rPr>
        <w:t>37</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三、支出决算表</w:t>
      </w:r>
      <w:r>
        <w:rPr>
          <w:rFonts w:ascii="Times New Roman" w:hAnsi="Times New Roman"/>
          <w:sz w:val="24"/>
          <w:szCs w:val="24"/>
        </w:rPr>
        <w:tab/>
      </w:r>
      <w:r>
        <w:rPr>
          <w:rFonts w:hint="eastAsia"/>
          <w:sz w:val="24"/>
          <w:szCs w:val="24"/>
          <w:lang w:val="en-US" w:eastAsia="zh-CN"/>
        </w:rPr>
        <w:t>37</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四、财政拨款收入支出决算总表</w:t>
      </w:r>
      <w:r>
        <w:rPr>
          <w:rFonts w:ascii="Times New Roman" w:hAnsi="Times New Roman"/>
          <w:sz w:val="24"/>
          <w:szCs w:val="24"/>
        </w:rPr>
        <w:tab/>
      </w:r>
      <w:r>
        <w:rPr>
          <w:rFonts w:hint="eastAsia"/>
          <w:sz w:val="24"/>
          <w:szCs w:val="24"/>
          <w:lang w:val="en-US" w:eastAsia="zh-CN"/>
        </w:rPr>
        <w:t>37</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五、财政拨款支出决算明细表</w:t>
      </w:r>
      <w:r>
        <w:rPr>
          <w:rFonts w:ascii="Times New Roman" w:hAnsi="Times New Roman"/>
          <w:sz w:val="24"/>
          <w:szCs w:val="24"/>
        </w:rPr>
        <w:tab/>
      </w:r>
      <w:r>
        <w:rPr>
          <w:rFonts w:hint="eastAsia"/>
          <w:sz w:val="24"/>
          <w:szCs w:val="24"/>
          <w:lang w:val="en-US" w:eastAsia="zh-CN"/>
        </w:rPr>
        <w:t>37</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六、一般公共预算财政拨款支出决算表</w:t>
      </w:r>
      <w:r>
        <w:rPr>
          <w:rFonts w:ascii="Times New Roman" w:hAnsi="Times New Roman"/>
          <w:sz w:val="24"/>
          <w:szCs w:val="24"/>
        </w:rPr>
        <w:tab/>
      </w:r>
      <w:r>
        <w:rPr>
          <w:rFonts w:hint="eastAsia"/>
          <w:sz w:val="24"/>
          <w:szCs w:val="24"/>
          <w:lang w:val="en-US" w:eastAsia="zh-CN"/>
        </w:rPr>
        <w:t>37</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七、一般公共预算财政拨款支出决算明细表</w:t>
      </w:r>
      <w:r>
        <w:rPr>
          <w:rFonts w:ascii="Times New Roman" w:hAnsi="Times New Roman"/>
          <w:sz w:val="24"/>
          <w:szCs w:val="24"/>
        </w:rPr>
        <w:tab/>
      </w:r>
      <w:r>
        <w:rPr>
          <w:rFonts w:hint="eastAsia"/>
          <w:sz w:val="24"/>
          <w:szCs w:val="24"/>
          <w:lang w:val="en-US" w:eastAsia="zh-CN"/>
        </w:rPr>
        <w:t>37</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八、一般公共预算财政拨款基本支出决算明细表</w:t>
      </w:r>
      <w:r>
        <w:rPr>
          <w:rFonts w:ascii="Times New Roman" w:hAnsi="Times New Roman"/>
          <w:sz w:val="24"/>
          <w:szCs w:val="24"/>
        </w:rPr>
        <w:tab/>
      </w:r>
      <w:r>
        <w:rPr>
          <w:rFonts w:hint="eastAsia"/>
          <w:sz w:val="24"/>
          <w:szCs w:val="24"/>
          <w:lang w:val="en-US" w:eastAsia="zh-CN"/>
        </w:rPr>
        <w:t>37</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九、一般公共预算财政拨款项目支出决算表</w:t>
      </w:r>
      <w:r>
        <w:rPr>
          <w:rFonts w:ascii="Times New Roman" w:hAnsi="Times New Roman"/>
          <w:sz w:val="24"/>
          <w:szCs w:val="24"/>
        </w:rPr>
        <w:tab/>
      </w:r>
      <w:r>
        <w:rPr>
          <w:rFonts w:hint="eastAsia"/>
          <w:sz w:val="24"/>
          <w:szCs w:val="24"/>
          <w:lang w:val="en-US" w:eastAsia="zh-CN"/>
        </w:rPr>
        <w:t>37</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十、政府性基金预算财政拨款收入支出决算表</w:t>
      </w:r>
      <w:r>
        <w:rPr>
          <w:rFonts w:ascii="Times New Roman" w:hAnsi="Times New Roman"/>
          <w:sz w:val="24"/>
          <w:szCs w:val="24"/>
        </w:rPr>
        <w:tab/>
      </w:r>
      <w:r>
        <w:rPr>
          <w:rFonts w:hint="eastAsia"/>
          <w:sz w:val="24"/>
          <w:szCs w:val="24"/>
          <w:lang w:val="en-US" w:eastAsia="zh-CN"/>
        </w:rPr>
        <w:t>37</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十一、国有资本经营预算财政拨款收入支出决算表</w:t>
      </w:r>
      <w:r>
        <w:rPr>
          <w:rFonts w:ascii="Times New Roman" w:hAnsi="Times New Roman"/>
          <w:sz w:val="24"/>
          <w:szCs w:val="24"/>
        </w:rPr>
        <w:tab/>
      </w:r>
      <w:r>
        <w:rPr>
          <w:rFonts w:hint="eastAsia"/>
          <w:sz w:val="24"/>
          <w:szCs w:val="24"/>
          <w:lang w:val="en-US" w:eastAsia="zh-CN"/>
        </w:rPr>
        <w:t>37</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十二、国有资本经营预算财政拨款支出决算表</w:t>
      </w:r>
      <w:r>
        <w:rPr>
          <w:rFonts w:ascii="Times New Roman" w:hAnsi="Times New Roman"/>
          <w:sz w:val="24"/>
          <w:szCs w:val="24"/>
        </w:rPr>
        <w:tab/>
      </w:r>
      <w:r>
        <w:rPr>
          <w:rFonts w:hint="eastAsia"/>
          <w:sz w:val="24"/>
          <w:szCs w:val="24"/>
          <w:lang w:val="en-US" w:eastAsia="zh-CN"/>
        </w:rPr>
        <w:t>37</w:t>
      </w:r>
    </w:p>
    <w:p>
      <w:pPr>
        <w:pStyle w:val="15"/>
        <w:adjustRightInd w:val="0"/>
        <w:snapToGrid w:val="0"/>
        <w:spacing w:line="560" w:lineRule="exact"/>
        <w:ind w:left="0" w:leftChars="0" w:firstLine="640" w:firstLineChars="200"/>
        <w:jc w:val="left"/>
        <w:rPr>
          <w:rFonts w:hint="default" w:eastAsia="宋体" w:cs="仿宋_GB2312"/>
          <w:sz w:val="32"/>
          <w:szCs w:val="32"/>
          <w:lang w:val="en-US" w:eastAsia="zh-CN"/>
        </w:rPr>
      </w:pPr>
      <w:r>
        <w:rPr>
          <w:rFonts w:hint="eastAsia" w:eastAsia="仿宋_GB2312" w:cs="仿宋_GB2312"/>
          <w:sz w:val="32"/>
          <w:szCs w:val="32"/>
        </w:rPr>
        <w:t>十三、财政拨款“三公”经费支出决算表</w:t>
      </w:r>
      <w:r>
        <w:rPr>
          <w:rFonts w:ascii="Times New Roman" w:hAnsi="Times New Roman"/>
          <w:sz w:val="24"/>
          <w:szCs w:val="24"/>
        </w:rPr>
        <w:tab/>
      </w:r>
      <w:r>
        <w:rPr>
          <w:rFonts w:hint="eastAsia"/>
          <w:sz w:val="24"/>
          <w:szCs w:val="24"/>
          <w:lang w:val="en-US" w:eastAsia="zh-CN"/>
        </w:rPr>
        <w:t>37</w:t>
      </w:r>
    </w:p>
    <w:p>
      <w:pPr>
        <w:pStyle w:val="3"/>
        <w:jc w:val="center"/>
        <w:rPr>
          <w:rFonts w:hint="eastAsia" w:eastAsia="方正小标宋简体" w:cs="方正小标宋简体"/>
          <w:b w:val="0"/>
        </w:rPr>
        <w:sectPr>
          <w:footerReference r:id="rId5" w:type="first"/>
          <w:headerReference r:id="rId3" w:type="default"/>
          <w:footerReference r:id="rId4" w:type="default"/>
          <w:pgSz w:w="11906" w:h="16838"/>
          <w:pgMar w:top="1440" w:right="1800" w:bottom="1440" w:left="1800" w:header="851" w:footer="992" w:gutter="0"/>
          <w:pgNumType w:fmt="numberInDash" w:start="1"/>
          <w:cols w:space="425" w:num="1"/>
          <w:docGrid w:type="lines" w:linePitch="312" w:charSpace="0"/>
        </w:sectPr>
      </w:pPr>
      <w:bookmarkStart w:id="12" w:name="_Toc15396599"/>
      <w:bookmarkStart w:id="13" w:name="_Toc15377196"/>
    </w:p>
    <w:p>
      <w:pPr>
        <w:pStyle w:val="3"/>
        <w:jc w:val="center"/>
        <w:rPr>
          <w:rStyle w:val="29"/>
          <w:rFonts w:eastAsia="方正小标宋简体" w:cs="方正小标宋简体"/>
          <w:b/>
          <w:bCs w:val="0"/>
        </w:rPr>
      </w:pPr>
      <w:r>
        <w:rPr>
          <w:rFonts w:hint="eastAsia" w:eastAsia="方正小标宋简体" w:cs="方正小标宋简体"/>
          <w:b w:val="0"/>
        </w:rPr>
        <w:t>第一部分</w:t>
      </w:r>
      <w:r>
        <w:rPr>
          <w:rFonts w:hint="eastAsia" w:eastAsia="方正小标宋简体" w:cs="方正小标宋简体"/>
          <w:b w:val="0"/>
          <w:lang w:val="en-US" w:eastAsia="zh-CN"/>
        </w:rPr>
        <w:t xml:space="preserve">  </w:t>
      </w:r>
      <w:r>
        <w:rPr>
          <w:rStyle w:val="29"/>
          <w:rFonts w:hint="eastAsia" w:eastAsia="方正小标宋简体" w:cs="方正小标宋简体"/>
          <w:b w:val="0"/>
          <w:bCs w:val="0"/>
        </w:rPr>
        <w:t>部门概况</w:t>
      </w:r>
      <w:bookmarkEnd w:id="12"/>
      <w:bookmarkEnd w:id="13"/>
    </w:p>
    <w:p>
      <w:pPr>
        <w:pStyle w:val="4"/>
        <w:numPr>
          <w:ilvl w:val="0"/>
          <w:numId w:val="0"/>
        </w:numPr>
        <w:ind w:firstLine="642" w:firstLineChars="200"/>
        <w:rPr>
          <w:rFonts w:hint="eastAsia" w:ascii="方正黑体_GBK" w:hAnsi="方正黑体_GBK" w:eastAsia="方正黑体_GBK" w:cs="方正黑体_GBK"/>
          <w:b/>
          <w:bCs w:val="0"/>
        </w:rPr>
      </w:pPr>
      <w:r>
        <w:rPr>
          <w:rFonts w:hint="eastAsia" w:ascii="方正黑体_GBK" w:hAnsi="方正黑体_GBK" w:eastAsia="方正黑体_GBK" w:cs="方正黑体_GBK"/>
          <w:b/>
          <w:bCs w:val="0"/>
          <w:lang w:eastAsia="zh-CN"/>
        </w:rPr>
        <w:t>一、</w:t>
      </w:r>
      <w:r>
        <w:rPr>
          <w:rFonts w:hint="eastAsia" w:ascii="方正黑体_GBK" w:hAnsi="方正黑体_GBK" w:eastAsia="方正黑体_GBK" w:cs="方正黑体_GBK"/>
          <w:b/>
          <w:bCs w:val="0"/>
        </w:rPr>
        <w:t>部门职责</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1.贯彻执行党中央、国务院和省委、省政府关于老干部工作的方针、政策和市委、市政府的有关规定，向市委报告全市老干部工作情况，提出工作建议；拟定、完善老干部工作相关制度、规定并组织实施。</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2.指导县（区）、市级部门、大企业开展老干部工作，推进信息化精准化规范化建设，督促、检查具体执行情况。加强老干部工作部门自身建设和本系统干部队伍建设。</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指导推进全市老干部政治思想建设，配合各级党委（党组）规范和加强离退休干部党组织建设，指导离退休干部党支部（党小组）开展活动；融入“康养党建”工作，引导离退休干部发挥作用，持续深入为党和人民的事业增添正能量。</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督促落实老干部政治待遇和生活待遇，组织安排走访慰问老干部工作；做好市级离退休干部参观考察和健康休养；调查研究老干部服务管理的相关问题，协调解决老干部工作中出现的突出矛盾和问题；负责离退休干部来信来访等工作。</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5.加强和规范全市老干部活动阵地建设和服务管理工作；组织老干部开展各种健康有益的文化体育活动。管理炳草岗干部休养所、市老干部活动中心（市老年大学）；指导攀枝花市成都干休所开展工作。</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6.完成市委、市委组织部交办的其他工作。</w:t>
      </w:r>
    </w:p>
    <w:p>
      <w:pPr>
        <w:pStyle w:val="4"/>
        <w:rPr>
          <w:rStyle w:val="30"/>
          <w:rFonts w:ascii="Times New Roman" w:hAnsi="Times New Roman"/>
          <w:b w:val="0"/>
          <w:bCs w:val="0"/>
        </w:rPr>
      </w:pPr>
      <w:bookmarkStart w:id="14" w:name="_Toc15377200"/>
      <w:bookmarkStart w:id="15" w:name="_Toc15396601"/>
      <w:r>
        <w:rPr>
          <w:rFonts w:hint="eastAsia" w:ascii="Times New Roman" w:hAnsi="Times New Roman" w:eastAsia="黑体"/>
          <w:b w:val="0"/>
          <w:lang w:val="en-US" w:eastAsia="zh-CN"/>
        </w:rPr>
        <w:t xml:space="preserve">  </w:t>
      </w:r>
      <w:r>
        <w:rPr>
          <w:rFonts w:hint="eastAsia" w:ascii="方正黑体_GBK" w:hAnsi="方正黑体_GBK" w:eastAsia="方正黑体_GBK" w:cs="方正黑体_GBK"/>
          <w:b/>
          <w:bCs w:val="0"/>
          <w:lang w:val="en-US" w:eastAsia="zh-CN"/>
        </w:rPr>
        <w:t xml:space="preserve">  </w:t>
      </w:r>
      <w:r>
        <w:rPr>
          <w:rFonts w:hint="eastAsia" w:ascii="方正黑体_GBK" w:hAnsi="方正黑体_GBK" w:eastAsia="方正黑体_GBK" w:cs="方正黑体_GBK"/>
          <w:b/>
          <w:bCs w:val="0"/>
          <w:lang w:eastAsia="zh-CN"/>
        </w:rPr>
        <w:t>二、机构设置</w:t>
      </w:r>
      <w:bookmarkEnd w:id="14"/>
      <w:bookmarkEnd w:id="15"/>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中国共产党攀枝花市委员会老干部局下属二级单位2个，其中行政单位0个，参照公务员法管理的事业单位1个，其他事业单位1个。</w:t>
      </w:r>
    </w:p>
    <w:p>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无</w:t>
      </w:r>
      <w:r>
        <w:rPr>
          <w:rFonts w:hint="default" w:ascii="Times New Roman" w:hAnsi="Times New Roman" w:eastAsia="方正仿宋_GBK" w:cs="Times New Roman"/>
          <w:sz w:val="32"/>
          <w:szCs w:val="32"/>
        </w:rPr>
        <w:t>纳入中国共产党攀枝花市委员会老干部局2024年度部门决算编制范围的二级预算单位</w:t>
      </w:r>
      <w:r>
        <w:rPr>
          <w:rFonts w:hint="default" w:ascii="Times New Roman" w:hAnsi="Times New Roman" w:eastAsia="方正仿宋_GBK" w:cs="Times New Roman"/>
          <w:sz w:val="32"/>
          <w:szCs w:val="32"/>
          <w:lang w:eastAsia="zh-CN"/>
        </w:rPr>
        <w:t>。</w:t>
      </w:r>
    </w:p>
    <w:p>
      <w:pPr>
        <w:ind w:firstLine="800" w:firstLineChars="250"/>
        <w:rPr>
          <w:rFonts w:eastAsia="仿宋_GB2312" w:cs="仿宋_GB2312"/>
          <w:sz w:val="32"/>
          <w:szCs w:val="32"/>
        </w:rPr>
      </w:pPr>
    </w:p>
    <w:p>
      <w:pPr>
        <w:widowControl/>
        <w:jc w:val="left"/>
        <w:rPr>
          <w:rFonts w:eastAsia="仿宋"/>
          <w:kern w:val="0"/>
          <w:sz w:val="32"/>
          <w:szCs w:val="32"/>
        </w:rPr>
      </w:pPr>
      <w:r>
        <w:rPr>
          <w:rFonts w:eastAsia="仿宋"/>
          <w:sz w:val="32"/>
          <w:szCs w:val="32"/>
        </w:rPr>
        <w:br w:type="page"/>
      </w:r>
    </w:p>
    <w:p>
      <w:pPr>
        <w:pStyle w:val="3"/>
        <w:jc w:val="center"/>
        <w:rPr>
          <w:rFonts w:eastAsia="方正小标宋简体" w:cs="方正小标宋简体"/>
          <w:b w:val="0"/>
        </w:rPr>
      </w:pPr>
      <w:bookmarkStart w:id="16" w:name="_Toc15377204"/>
      <w:bookmarkStart w:id="17" w:name="_Toc15396602"/>
      <w:r>
        <w:rPr>
          <w:rFonts w:hint="eastAsia" w:eastAsia="方正小标宋简体" w:cs="方正小标宋简体"/>
          <w:b w:val="0"/>
        </w:rPr>
        <w:t>第二部分</w:t>
      </w:r>
      <w:r>
        <w:rPr>
          <w:rFonts w:hint="eastAsia" w:eastAsia="方正小标宋简体" w:cs="方正小标宋简体"/>
          <w:b w:val="0"/>
          <w:lang w:val="en-US" w:eastAsia="zh-CN"/>
        </w:rPr>
        <w:t xml:space="preserve">  </w:t>
      </w:r>
      <w:r>
        <w:rPr>
          <w:rFonts w:hint="eastAsia" w:eastAsia="方正小标宋简体" w:cs="方正小标宋简体"/>
          <w:b w:val="0"/>
        </w:rPr>
        <w:t>2024年度部门决算情况说明</w:t>
      </w:r>
      <w:bookmarkEnd w:id="16"/>
      <w:bookmarkEnd w:id="17"/>
    </w:p>
    <w:p/>
    <w:p>
      <w:pPr>
        <w:pStyle w:val="28"/>
        <w:spacing w:line="600" w:lineRule="exact"/>
        <w:ind w:firstLine="640"/>
        <w:outlineLvl w:val="1"/>
        <w:rPr>
          <w:rStyle w:val="30"/>
          <w:rFonts w:hint="eastAsia" w:ascii="方正黑体_GBK" w:hAnsi="方正黑体_GBK" w:eastAsia="方正黑体_GBK" w:cs="方正黑体_GBK"/>
          <w:b/>
          <w:bCs/>
        </w:rPr>
      </w:pPr>
      <w:bookmarkStart w:id="18" w:name="_Toc15377205"/>
      <w:bookmarkStart w:id="19" w:name="_Toc15396603"/>
      <w:r>
        <w:rPr>
          <w:rFonts w:hint="eastAsia" w:ascii="方正黑体_GBK" w:hAnsi="方正黑体_GBK" w:eastAsia="方正黑体_GBK" w:cs="方正黑体_GBK"/>
          <w:b/>
          <w:bCs/>
          <w:sz w:val="32"/>
          <w:szCs w:val="32"/>
        </w:rPr>
        <w:t>一、收</w:t>
      </w:r>
      <w:r>
        <w:rPr>
          <w:rStyle w:val="30"/>
          <w:rFonts w:hint="eastAsia" w:ascii="方正黑体_GBK" w:hAnsi="方正黑体_GBK" w:eastAsia="方正黑体_GBK" w:cs="方正黑体_GBK"/>
          <w:b/>
          <w:bCs/>
        </w:rPr>
        <w:t>入支出决算总体情况说明</w:t>
      </w:r>
      <w:bookmarkEnd w:id="18"/>
      <w:bookmarkEnd w:id="19"/>
    </w:p>
    <w:p>
      <w:pPr>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2024年度收入、支出总计均为899.35万元。与2023年度相比，收入、支出总计各增加</w:t>
      </w:r>
      <w:r>
        <w:rPr>
          <w:rFonts w:hint="default" w:ascii="Times New Roman" w:hAnsi="Times New Roman" w:eastAsia="方正仿宋_GBK" w:cs="Times New Roman"/>
          <w:sz w:val="32"/>
          <w:szCs w:val="32"/>
          <w:lang w:val="en-US" w:eastAsia="zh-CN"/>
        </w:rPr>
        <w:t>120.86</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15.52</w:t>
      </w:r>
      <w:r>
        <w:rPr>
          <w:rFonts w:hint="default" w:ascii="Times New Roman" w:hAnsi="Times New Roman" w:eastAsia="方正仿宋_GBK" w:cs="Times New Roman"/>
          <w:sz w:val="32"/>
          <w:szCs w:val="32"/>
        </w:rPr>
        <w:t>%。主要变动原因是因开展市老年大学“老年教育提升示范基地项目”和关工委工作需要，增加养老服务业发展补助专项资金和公务车购置专项经费。</w:t>
      </w:r>
    </w:p>
    <w:p>
      <w:pPr>
        <w:pStyle w:val="28"/>
        <w:spacing w:line="600" w:lineRule="exact"/>
        <w:ind w:left="0" w:leftChars="0" w:firstLine="0" w:firstLineChars="0"/>
        <w:jc w:val="center"/>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pict>
          <v:shape id="_x0000_s2051" o:spid="_x0000_s2051" o:spt="75" alt="olechartimg_1757322922483562_719652864" type="#_x0000_t75" style="position:absolute;left:0pt;margin-left:-1.5pt;margin-top:19.45pt;height:209.25pt;width:416.3pt;mso-wrap-distance-bottom:0pt;mso-wrap-distance-top:0pt;z-index:251658240;mso-width-relative:page;mso-height-relative:page;" o:ole="t" filled="f" o:preferrelative="t" stroked="f" coordsize="21600,21600">
            <v:path/>
            <v:fill on="f" focussize="0,0"/>
            <v:stroke on="f"/>
            <v:imagedata r:id="rId10" o:title="olechartimg_1757665427004866_463972352"/>
            <o:lock v:ext="edit" aspectratio="f"/>
            <w10:wrap type="topAndBottom"/>
          </v:shape>
          <o:OLEObject Type="Embed" ProgID="Excel.Chart.8" ShapeID="_x0000_s2051" DrawAspect="Content" ObjectID="_1468075725" r:id="rId9">
            <o:LockedField>false</o:LockedField>
          </o:OLEObject>
        </w:pict>
      </w:r>
      <w:r>
        <w:rPr>
          <w:rFonts w:hint="default" w:ascii="Times New Roman" w:hAnsi="Times New Roman" w:eastAsia="仿宋_GB2312" w:cs="Times New Roman"/>
          <w:sz w:val="32"/>
          <w:szCs w:val="32"/>
        </w:rPr>
        <w:t>（图1：收入、支出决算总计变动情况图）</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20" w:name="_Toc15396604"/>
      <w:bookmarkStart w:id="21" w:name="_Toc15377206"/>
      <w:r>
        <w:rPr>
          <w:rFonts w:hint="eastAsia" w:ascii="方正黑体_GBK" w:hAnsi="方正黑体_GBK" w:eastAsia="方正黑体_GBK" w:cs="方正黑体_GBK"/>
          <w:b/>
          <w:bCs/>
          <w:sz w:val="32"/>
          <w:szCs w:val="32"/>
        </w:rPr>
        <w:t>二、收入决算情况说明</w:t>
      </w:r>
      <w:bookmarkEnd w:id="20"/>
      <w:bookmarkEnd w:id="21"/>
    </w:p>
    <w:p>
      <w:pPr>
        <w:pStyle w:val="28"/>
        <w:spacing w:line="600" w:lineRule="exact"/>
        <w:ind w:firstLine="640"/>
        <w:jc w:val="left"/>
        <w:outlineLvl w:val="1"/>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2024年度本年收入合计899.35万元，其中：一般公共预算财政拨款收入899.35万元，占100%；政府性基金预算财政拨款收入0万元，占0%；国有资本经营预算财政拨款收入0万元，占0%；上级补助收入0万元，占0%；事业收入0万元，占0%；经营收入0万元，占0%；附属单位上缴收入0万元，占0%；其他收入0万元，占0%。</w:t>
      </w:r>
    </w:p>
    <w:p>
      <w:pPr>
        <w:pStyle w:val="28"/>
        <w:spacing w:line="600" w:lineRule="exact"/>
        <w:ind w:left="0" w:leftChars="0" w:firstLine="0" w:firstLineChars="0"/>
        <w:jc w:val="center"/>
        <w:outlineLvl w:val="1"/>
        <w:rPr>
          <w:rFonts w:eastAsia="仿宋_GB2312" w:cs="仿宋_GB2312"/>
          <w:sz w:val="32"/>
          <w:szCs w:val="32"/>
        </w:rPr>
      </w:pPr>
      <w:r>
        <w:rPr>
          <w:rFonts w:ascii="仿宋" w:hAnsi="仿宋" w:eastAsia="仿宋"/>
          <w:sz w:val="32"/>
          <w:szCs w:val="32"/>
        </w:rPr>
        <w:pict>
          <v:shape id="_x0000_s2052" o:spid="_x0000_s2052" o:spt="75" alt="olechartimg_1757324200842746_627795968" type="#_x0000_t75" style="position:absolute;left:0pt;margin-left:3.75pt;margin-top:12pt;height:197.95pt;width:417.8pt;mso-wrap-distance-bottom:0pt;mso-wrap-distance-top:0pt;z-index:251659264;mso-width-relative:page;mso-height-relative:page;" o:ole="t" filled="f" o:preferrelative="t" stroked="f" coordsize="21600,21600">
            <v:path/>
            <v:fill on="f" focussize="0,0"/>
            <v:stroke on="f"/>
            <v:imagedata r:id="rId12" o:title="olechartimg_1757380432357397_821933056"/>
            <o:lock v:ext="edit" aspectratio="f"/>
            <w10:wrap type="topAndBottom"/>
          </v:shape>
          <o:OLEObject Type="Embed" ProgID="Excel.Chart.8" ShapeID="_x0000_s2052" DrawAspect="Content" ObjectID="_1468075726" r:id="rId11">
            <o:LockedField>false</o:LockedField>
          </o:OLEObject>
        </w:pict>
      </w:r>
      <w:r>
        <w:rPr>
          <w:rFonts w:hint="eastAsia" w:eastAsia="仿宋_GB2312" w:cs="仿宋_GB2312"/>
          <w:sz w:val="32"/>
          <w:szCs w:val="32"/>
        </w:rPr>
        <w:t>（图2：收入决算结构图）</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22" w:name="_Toc15377207"/>
      <w:bookmarkStart w:id="23" w:name="_Toc15396605"/>
      <w:r>
        <w:rPr>
          <w:rFonts w:hint="eastAsia" w:ascii="方正黑体_GBK" w:hAnsi="方正黑体_GBK" w:eastAsia="方正黑体_GBK" w:cs="方正黑体_GBK"/>
          <w:b/>
          <w:bCs/>
          <w:sz w:val="32"/>
          <w:szCs w:val="32"/>
        </w:rPr>
        <w:t>三、支出决算情况说明</w:t>
      </w:r>
      <w:bookmarkEnd w:id="22"/>
      <w:bookmarkEnd w:id="23"/>
    </w:p>
    <w:p>
      <w:pPr>
        <w:pStyle w:val="28"/>
        <w:spacing w:line="600" w:lineRule="exact"/>
        <w:ind w:firstLine="640"/>
        <w:jc w:val="left"/>
        <w:outlineLvl w:val="1"/>
        <w:rPr>
          <w:rFonts w:hint="default" w:ascii="Times New Roman" w:hAnsi="Times New Roman" w:eastAsia="方正仿宋_GBK" w:cs="Times New Roman"/>
          <w:b/>
          <w:bCs/>
          <w:sz w:val="32"/>
          <w:szCs w:val="32"/>
        </w:rPr>
      </w:pPr>
      <w:r>
        <w:rPr>
          <w:rFonts w:hint="default" w:ascii="Times New Roman" w:hAnsi="Times New Roman" w:eastAsia="方正仿宋_GBK" w:cs="Times New Roman"/>
          <w:sz w:val="32"/>
          <w:szCs w:val="32"/>
        </w:rPr>
        <w:t>2024年度本年支出合计899.35万元，其中：基本支出543.84万元，占60.47%；项目支出355.51万元，占39.5</w:t>
      </w:r>
      <w:r>
        <w:rPr>
          <w:rFonts w:hint="eastAsia" w:eastAsia="方正仿宋_GBK" w:cs="Times New Roman"/>
          <w:sz w:val="32"/>
          <w:szCs w:val="32"/>
          <w:lang w:val="en-US" w:eastAsia="zh-CN"/>
        </w:rPr>
        <w:t>3</w:t>
      </w:r>
      <w:r>
        <w:rPr>
          <w:rFonts w:hint="default" w:ascii="Times New Roman" w:hAnsi="Times New Roman" w:eastAsia="方正仿宋_GBK" w:cs="Times New Roman"/>
          <w:sz w:val="32"/>
          <w:szCs w:val="32"/>
        </w:rPr>
        <w:t>%；上缴上级支出0万元，占0%；经营支出0万元，占0%；对附属单位补助支出0万元，占0%。</w:t>
      </w:r>
    </w:p>
    <w:p>
      <w:pPr>
        <w:pStyle w:val="28"/>
        <w:spacing w:line="600" w:lineRule="exact"/>
        <w:ind w:firstLine="640"/>
        <w:jc w:val="center"/>
        <w:outlineLvl w:val="1"/>
        <w:rPr>
          <w:rFonts w:eastAsia="仿宋_GB2312" w:cs="仿宋_GB2312"/>
          <w:sz w:val="32"/>
          <w:szCs w:val="32"/>
        </w:rPr>
      </w:pPr>
      <w:r>
        <w:pict>
          <v:shape id="_x0000_s2053" o:spid="_x0000_s2053" o:spt="75" type="#_x0000_t75" style="position:absolute;left:0pt;margin-left:2.25pt;margin-top:17.5pt;height:208.95pt;width:424.5pt;mso-wrap-distance-bottom:0pt;mso-wrap-distance-top:0pt;z-index:251660288;mso-width-relative:page;mso-height-relative:page;" o:ole="t" filled="f" o:preferrelative="t" stroked="f" coordsize="21600,21600">
            <v:path/>
            <v:fill on="f" focussize="0,0"/>
            <v:stroke on="f"/>
            <v:imagedata r:id="rId14" o:title="olechartimg_1757324187211636_715999232"/>
            <o:lock v:ext="edit" aspectratio="f"/>
            <w10:wrap type="topAndBottom"/>
          </v:shape>
          <o:OLEObject Type="Embed" ProgID="Excel.Chart.8" ShapeID="_x0000_s2053" DrawAspect="Content" ObjectID="_1468075727" r:id="rId13">
            <o:LockedField>false</o:LockedField>
          </o:OLEObject>
        </w:pict>
      </w:r>
      <w:r>
        <w:rPr>
          <w:rFonts w:hint="eastAsia" w:eastAsia="仿宋_GB2312" w:cs="仿宋_GB2312"/>
          <w:sz w:val="32"/>
          <w:szCs w:val="32"/>
        </w:rPr>
        <w:t>（图3：支出决算结构图）</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24" w:name="_Toc15396606"/>
      <w:bookmarkStart w:id="25" w:name="_Toc15377208"/>
      <w:r>
        <w:rPr>
          <w:rFonts w:hint="eastAsia" w:ascii="方正黑体_GBK" w:hAnsi="方正黑体_GBK" w:eastAsia="方正黑体_GBK" w:cs="方正黑体_GBK"/>
          <w:b/>
          <w:bCs/>
          <w:sz w:val="32"/>
          <w:szCs w:val="32"/>
        </w:rPr>
        <w:t>四、财政拨款收入支出决算总体情况说明</w:t>
      </w:r>
      <w:bookmarkEnd w:id="24"/>
      <w:bookmarkEnd w:id="25"/>
    </w:p>
    <w:p>
      <w:pPr>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2024年度财政拨款收入、支出总计均为899.35万元。与2023年度相比，财政拨款收入总计、支出总计各增加</w:t>
      </w:r>
      <w:r>
        <w:rPr>
          <w:rFonts w:hint="default" w:ascii="Times New Roman" w:hAnsi="Times New Roman" w:eastAsia="方正仿宋_GBK" w:cs="Times New Roman"/>
          <w:sz w:val="32"/>
          <w:szCs w:val="32"/>
          <w:lang w:val="en-US" w:eastAsia="zh-CN"/>
        </w:rPr>
        <w:t>120.91</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15.53</w:t>
      </w:r>
      <w:r>
        <w:rPr>
          <w:rFonts w:hint="default" w:ascii="Times New Roman" w:hAnsi="Times New Roman" w:eastAsia="方正仿宋_GBK" w:cs="Times New Roman"/>
          <w:sz w:val="32"/>
          <w:szCs w:val="32"/>
        </w:rPr>
        <w:t>%。主要变动原因是因开展市老年大学“老年教育提升示范基地项目”和关工委工作需要，增加养老服务业发展补助专项资金和公务车购置专项经费。</w:t>
      </w:r>
    </w:p>
    <w:p>
      <w:pPr>
        <w:pStyle w:val="14"/>
      </w:pPr>
    </w:p>
    <w:p>
      <w:pPr>
        <w:pStyle w:val="14"/>
        <w:jc w:val="center"/>
      </w:pPr>
      <w:bookmarkStart w:id="26" w:name="_1787128800"/>
      <w:bookmarkEnd w:id="26"/>
      <w:r>
        <w:rPr>
          <w:rFonts w:ascii="Times New Roman" w:hAnsi="Times New Roman" w:eastAsia="方正仿宋_GBK"/>
          <w:sz w:val="33"/>
          <w:szCs w:val="33"/>
        </w:rPr>
        <w:object>
          <v:shape id="_x0000_i1025" o:spt="75" type="#_x0000_t75" style="height:220.2pt;width:421.45pt;" o:ole="t" filled="f" o:preferrelative="t" stroked="f" coordsize="21600,21600">
            <v:path/>
            <v:fill on="f" focussize="0,0"/>
            <v:stroke on="f"/>
            <v:imagedata r:id="rId16" o:title="olechartimg_1757324520091879_631711744"/>
            <o:lock v:ext="edit" aspectratio="f"/>
            <w10:wrap type="none"/>
            <w10:anchorlock/>
          </v:shape>
          <o:OLEObject Type="Embed" ProgID="Excel.Chart.8" ShapeID="_x0000_i1025" DrawAspect="Content" ObjectID="_1468075728" r:id="rId15">
            <o:LockedField>false</o:LockedField>
          </o:OLEObject>
        </w:object>
      </w:r>
    </w:p>
    <w:p>
      <w:pPr>
        <w:pStyle w:val="14"/>
        <w:jc w:val="center"/>
        <w:rPr>
          <w:rFonts w:eastAsia="仿宋_GB2312" w:cs="仿宋_GB2312"/>
          <w:sz w:val="32"/>
          <w:szCs w:val="32"/>
        </w:rPr>
      </w:pPr>
      <w:r>
        <w:rPr>
          <w:rFonts w:hint="eastAsia" w:eastAsia="仿宋_GB2312" w:cs="仿宋_GB2312"/>
          <w:sz w:val="32"/>
          <w:szCs w:val="32"/>
        </w:rPr>
        <w:t>（图4：财政拨款收、支决算总计变动情况）</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27" w:name="_Toc15396607"/>
      <w:bookmarkStart w:id="28" w:name="_Toc15377209"/>
      <w:r>
        <w:rPr>
          <w:rFonts w:hint="eastAsia" w:ascii="方正黑体_GBK" w:hAnsi="方正黑体_GBK" w:eastAsia="方正黑体_GBK" w:cs="方正黑体_GBK"/>
          <w:b/>
          <w:bCs/>
          <w:sz w:val="32"/>
          <w:szCs w:val="32"/>
        </w:rPr>
        <w:t>五、一般公共预算财政拨款支出决算情况说明</w:t>
      </w:r>
      <w:bookmarkEnd w:id="27"/>
      <w:bookmarkEnd w:id="28"/>
    </w:p>
    <w:p>
      <w:pPr>
        <w:spacing w:line="600" w:lineRule="exact"/>
        <w:ind w:firstLine="642" w:firstLineChars="200"/>
        <w:outlineLvl w:val="2"/>
        <w:rPr>
          <w:rFonts w:hint="eastAsia" w:ascii="方正楷体_GBK" w:hAnsi="方正楷体_GBK" w:eastAsia="方正楷体_GBK" w:cs="方正楷体_GBK"/>
          <w:b/>
          <w:sz w:val="32"/>
          <w:szCs w:val="32"/>
        </w:rPr>
      </w:pPr>
      <w:bookmarkStart w:id="29" w:name="_Toc15377210"/>
      <w:r>
        <w:rPr>
          <w:rFonts w:hint="eastAsia" w:ascii="方正楷体_GBK" w:hAnsi="方正楷体_GBK" w:eastAsia="方正楷体_GBK" w:cs="方正楷体_GBK"/>
          <w:b/>
          <w:sz w:val="32"/>
          <w:szCs w:val="32"/>
        </w:rPr>
        <w:t>（一）一般公共预算财政拨款支出决算总体情况</w:t>
      </w:r>
      <w:bookmarkEnd w:id="29"/>
    </w:p>
    <w:p>
      <w:pPr>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2024年度一般公共预算财政拨款支出899.35万元，占本年支出合计的100%。与2023年度相比，一般公共预算财政拨款支出增加</w:t>
      </w:r>
      <w:r>
        <w:rPr>
          <w:rFonts w:hint="default" w:ascii="Times New Roman" w:hAnsi="Times New Roman" w:eastAsia="方正仿宋_GBK" w:cs="Times New Roman"/>
          <w:sz w:val="32"/>
          <w:szCs w:val="32"/>
          <w:lang w:val="en-US" w:eastAsia="zh-CN"/>
        </w:rPr>
        <w:t>120.91</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15.53</w:t>
      </w:r>
      <w:r>
        <w:rPr>
          <w:rFonts w:hint="default" w:ascii="Times New Roman" w:hAnsi="Times New Roman" w:eastAsia="方正仿宋_GBK" w:cs="Times New Roman"/>
          <w:sz w:val="32"/>
          <w:szCs w:val="32"/>
        </w:rPr>
        <w:t>%。主要变动原因是因开展市老年大学“老年教育提升示范</w:t>
      </w:r>
      <w:r>
        <w:rPr>
          <w:rFonts w:hint="eastAsia" w:eastAsia="方正仿宋_GBK" w:cs="Times New Roman"/>
          <w:sz w:val="32"/>
          <w:szCs w:val="32"/>
          <w:lang w:eastAsia="zh-CN"/>
        </w:rPr>
        <w:t>基地</w:t>
      </w:r>
      <w:r>
        <w:rPr>
          <w:rFonts w:hint="default" w:ascii="Times New Roman" w:hAnsi="Times New Roman" w:eastAsia="方正仿宋_GBK" w:cs="Times New Roman"/>
          <w:sz w:val="32"/>
          <w:szCs w:val="32"/>
        </w:rPr>
        <w:t>项目”和关工委工作需要，增加养老服务业发展补助专项资金和公务车购置专项经费。</w:t>
      </w:r>
    </w:p>
    <w:p>
      <w:pPr>
        <w:spacing w:line="600" w:lineRule="exact"/>
        <w:ind w:firstLine="640"/>
        <w:rPr>
          <w:rFonts w:hint="eastAsia" w:eastAsia="仿宋_GB2312" w:cs="仿宋_GB2312"/>
          <w:sz w:val="32"/>
          <w:szCs w:val="32"/>
        </w:rPr>
      </w:pPr>
    </w:p>
    <w:p>
      <w:pPr>
        <w:spacing w:line="600" w:lineRule="exact"/>
        <w:jc w:val="center"/>
        <w:rPr>
          <w:rFonts w:eastAsia="仿宋_GB2312" w:cs="仿宋_GB2312"/>
          <w:sz w:val="32"/>
          <w:szCs w:val="32"/>
        </w:rPr>
      </w:pPr>
      <w:r>
        <w:rPr>
          <w:rFonts w:ascii="仿宋" w:hAnsi="仿宋" w:eastAsia="仿宋"/>
          <w:sz w:val="32"/>
          <w:szCs w:val="32"/>
        </w:rPr>
        <w:pict>
          <v:shape id="_x0000_s2055" o:spid="_x0000_s2055" o:spt="75" alt="olechartimg_1757325192056461_745515008" type="#_x0000_t75" style="position:absolute;left:0pt;margin-left:0.75pt;margin-top:8.25pt;height:229.75pt;width:419.65pt;mso-wrap-distance-bottom:0pt;mso-wrap-distance-top:0pt;z-index:251661312;mso-width-relative:page;mso-height-relative:page;" o:ole="t" filled="f" o:preferrelative="t" stroked="f" coordsize="21600,21600">
            <v:path/>
            <v:fill on="f" focussize="0,0"/>
            <v:stroke on="f"/>
            <v:imagedata r:id="rId18" cropbottom="-60f" o:title="olechartimg_1757380448193124_821933056"/>
            <o:lock v:ext="edit" aspectratio="f"/>
            <w10:wrap type="topAndBottom"/>
          </v:shape>
          <o:OLEObject Type="Embed" ProgID="Excel.Chart.8" ShapeID="_x0000_s2055" DrawAspect="Content" ObjectID="_1468075729" r:id="rId17">
            <o:LockedField>false</o:LockedField>
          </o:OLEObject>
        </w:pict>
      </w:r>
      <w:r>
        <w:rPr>
          <w:rFonts w:hint="eastAsia" w:eastAsia="仿宋_GB2312" w:cs="仿宋_GB2312"/>
          <w:sz w:val="32"/>
          <w:szCs w:val="32"/>
        </w:rPr>
        <w:t>（图5：一般公共预算财政拨款支出决算变动情况）</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30" w:name="_Toc15377211"/>
      <w:r>
        <w:rPr>
          <w:rFonts w:hint="eastAsia" w:ascii="方正楷体_GBK" w:hAnsi="方正楷体_GBK" w:eastAsia="方正楷体_GBK" w:cs="方正楷体_GBK"/>
          <w:b/>
          <w:sz w:val="32"/>
          <w:szCs w:val="32"/>
        </w:rPr>
        <w:t>（二）一般公共预算财政拨款支出决算结构情况</w:t>
      </w:r>
      <w:bookmarkEnd w:id="30"/>
    </w:p>
    <w:p>
      <w:pPr>
        <w:spacing w:line="600" w:lineRule="exact"/>
        <w:ind w:firstLine="64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2024年度一般公共预算财政拨款支出899.35万元，主要用于以下方面：一般公共服务支出</w:t>
      </w:r>
      <w:r>
        <w:rPr>
          <w:rFonts w:hint="default" w:ascii="Times New Roman" w:hAnsi="Times New Roman" w:eastAsia="方正仿宋_GBK" w:cs="Times New Roman"/>
          <w:sz w:val="32"/>
          <w:szCs w:val="32"/>
          <w:lang w:val="en-US" w:eastAsia="zh-CN"/>
        </w:rPr>
        <w:t>633.46</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70.44</w:t>
      </w:r>
      <w:r>
        <w:rPr>
          <w:rFonts w:hint="default" w:ascii="Times New Roman" w:hAnsi="Times New Roman" w:eastAsia="方正仿宋_GBK" w:cs="Times New Roman"/>
          <w:sz w:val="32"/>
          <w:szCs w:val="32"/>
        </w:rPr>
        <w:t>%；社会保障和就业支出</w:t>
      </w:r>
      <w:r>
        <w:rPr>
          <w:rFonts w:hint="default" w:ascii="Times New Roman" w:hAnsi="Times New Roman" w:eastAsia="方正仿宋_GBK" w:cs="Times New Roman"/>
          <w:sz w:val="32"/>
          <w:szCs w:val="32"/>
          <w:lang w:val="en-US" w:eastAsia="zh-CN"/>
        </w:rPr>
        <w:t>198.51</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22.07</w:t>
      </w:r>
      <w:r>
        <w:rPr>
          <w:rFonts w:hint="default" w:ascii="Times New Roman" w:hAnsi="Times New Roman" w:eastAsia="方正仿宋_GBK" w:cs="Times New Roman"/>
          <w:sz w:val="32"/>
          <w:szCs w:val="32"/>
        </w:rPr>
        <w:t>%；卫生健康支出</w:t>
      </w:r>
      <w:r>
        <w:rPr>
          <w:rFonts w:hint="default" w:ascii="Times New Roman" w:hAnsi="Times New Roman" w:eastAsia="方正仿宋_GBK" w:cs="Times New Roman"/>
          <w:sz w:val="32"/>
          <w:szCs w:val="32"/>
          <w:lang w:val="en-US" w:eastAsia="zh-CN"/>
        </w:rPr>
        <w:t>30.2</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3.36</w:t>
      </w:r>
      <w:r>
        <w:rPr>
          <w:rFonts w:hint="default" w:ascii="Times New Roman" w:hAnsi="Times New Roman" w:eastAsia="方正仿宋_GBK" w:cs="Times New Roman"/>
          <w:sz w:val="32"/>
          <w:szCs w:val="32"/>
        </w:rPr>
        <w:t>%；住房保障支出</w:t>
      </w:r>
      <w:r>
        <w:rPr>
          <w:rFonts w:hint="default" w:ascii="Times New Roman" w:hAnsi="Times New Roman" w:eastAsia="方正仿宋_GBK" w:cs="Times New Roman"/>
          <w:sz w:val="32"/>
          <w:szCs w:val="32"/>
          <w:lang w:val="en-US" w:eastAsia="zh-CN"/>
        </w:rPr>
        <w:t>37.18</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4.13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pStyle w:val="14"/>
        <w:rPr>
          <w:rFonts w:hint="eastAsia" w:eastAsia="仿宋_GB2312" w:cs="仿宋_GB2312"/>
          <w:sz w:val="32"/>
          <w:szCs w:val="32"/>
        </w:rPr>
      </w:pPr>
      <w:bookmarkStart w:id="31" w:name="_1787129656"/>
      <w:bookmarkEnd w:id="31"/>
      <w:bookmarkStart w:id="32" w:name="_1787129493"/>
      <w:bookmarkEnd w:id="32"/>
      <w:bookmarkStart w:id="33" w:name="_1787129468"/>
      <w:bookmarkEnd w:id="33"/>
      <w:bookmarkStart w:id="34" w:name="_1787129429"/>
      <w:bookmarkEnd w:id="34"/>
      <w:bookmarkStart w:id="35" w:name="_1787129436"/>
      <w:bookmarkEnd w:id="35"/>
      <w:bookmarkStart w:id="36" w:name="_1787129413"/>
      <w:bookmarkEnd w:id="36"/>
      <w:r>
        <w:rPr>
          <w:rFonts w:ascii="仿宋" w:hAnsi="仿宋" w:eastAsia="仿宋"/>
          <w:sz w:val="32"/>
        </w:rPr>
        <w:object>
          <v:shape id="_x0000_i1026" o:spt="75" alt="olechartimg_1757325734204289_726376448" type="#_x0000_t75" style="height:220.95pt;width:424.05pt;" o:ole="t" filled="f" o:preferrelative="t" stroked="f" coordsize="21600,21600">
            <v:path/>
            <v:fill on="f" focussize="0,0"/>
            <v:stroke on="f"/>
            <v:imagedata r:id="rId20" cropbottom="-56f" o:title="olechartimg_1757380408556510_821933056"/>
            <o:lock v:ext="edit" aspectratio="f"/>
            <w10:wrap type="none"/>
            <w10:anchorlock/>
          </v:shape>
          <o:OLEObject Type="Embed" ProgID="Excel.Chart.8" ShapeID="_x0000_i1026" DrawAspect="Content" ObjectID="_1468075730" r:id="rId19">
            <o:LockedField>false</o:LockedField>
          </o:OLEObject>
        </w:object>
      </w:r>
    </w:p>
    <w:p>
      <w:pPr>
        <w:spacing w:line="600" w:lineRule="exact"/>
        <w:jc w:val="center"/>
        <w:rPr>
          <w:rFonts w:eastAsia="仿宋_GB2312" w:cs="仿宋_GB2312"/>
          <w:sz w:val="32"/>
          <w:szCs w:val="32"/>
        </w:rPr>
      </w:pPr>
      <w:r>
        <w:rPr>
          <w:rFonts w:hint="eastAsia" w:eastAsia="仿宋_GB2312" w:cs="仿宋_GB2312"/>
          <w:sz w:val="32"/>
          <w:szCs w:val="32"/>
        </w:rPr>
        <w:t>（图6：一般公共预算财政拨款支出决算结构）</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37" w:name="_Toc15377212"/>
      <w:r>
        <w:rPr>
          <w:rFonts w:hint="eastAsia" w:ascii="方正楷体_GBK" w:hAnsi="方正楷体_GBK" w:eastAsia="方正楷体_GBK" w:cs="方正楷体_GBK"/>
          <w:b/>
          <w:sz w:val="32"/>
          <w:szCs w:val="32"/>
        </w:rPr>
        <w:t>（三）一般公共预算财政拨款支出决算具体情况</w:t>
      </w:r>
      <w:bookmarkEnd w:id="37"/>
    </w:p>
    <w:p>
      <w:pPr>
        <w:spacing w:line="600" w:lineRule="exact"/>
        <w:ind w:firstLine="640"/>
        <w:rPr>
          <w:rFonts w:hint="default" w:ascii="Times New Roman" w:hAnsi="Times New Roman" w:eastAsia="方正仿宋_GBK" w:cs="Times New Roman"/>
          <w:sz w:val="32"/>
          <w:szCs w:val="32"/>
        </w:rPr>
      </w:pPr>
      <w:bookmarkStart w:id="38" w:name="_Toc15377213"/>
      <w:bookmarkStart w:id="39" w:name="_Toc15378460"/>
      <w:bookmarkStart w:id="40" w:name="_Toc15377444"/>
      <w:r>
        <w:rPr>
          <w:rFonts w:hint="default" w:ascii="Times New Roman" w:hAnsi="Times New Roman" w:eastAsia="方正仿宋_GBK" w:cs="Times New Roman"/>
          <w:sz w:val="32"/>
          <w:szCs w:val="32"/>
        </w:rPr>
        <w:t>2024年度一般公共预算财政拨款支出决算数为899.35</w:t>
      </w:r>
      <w:r>
        <w:rPr>
          <w:rFonts w:hint="eastAsia" w:eastAsia="方正仿宋_GBK" w:cs="Times New Roman"/>
          <w:sz w:val="32"/>
          <w:szCs w:val="32"/>
          <w:lang w:eastAsia="zh-CN"/>
        </w:rPr>
        <w:t>万元</w:t>
      </w:r>
      <w:r>
        <w:rPr>
          <w:rFonts w:hint="default" w:ascii="Times New Roman" w:hAnsi="Times New Roman" w:eastAsia="方正仿宋_GBK" w:cs="Times New Roman"/>
          <w:sz w:val="32"/>
          <w:szCs w:val="32"/>
        </w:rPr>
        <w:t>，完成预算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%。其中：</w:t>
      </w:r>
      <w:bookmarkEnd w:id="38"/>
      <w:bookmarkEnd w:id="39"/>
      <w:bookmarkEnd w:id="40"/>
    </w:p>
    <w:p>
      <w:pPr>
        <w:spacing w:line="600" w:lineRule="exact"/>
        <w:ind w:firstLine="64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1.一般公共服务</w:t>
      </w:r>
      <w:r>
        <w:rPr>
          <w:rFonts w:hint="default" w:ascii="Times New Roman" w:hAnsi="Times New Roman" w:eastAsia="方正仿宋_GBK" w:cs="Times New Roman"/>
          <w:sz w:val="32"/>
          <w:szCs w:val="32"/>
          <w:lang w:eastAsia="zh-CN"/>
        </w:rPr>
        <w:t>支出</w:t>
      </w:r>
      <w:r>
        <w:rPr>
          <w:rFonts w:hint="default" w:ascii="Times New Roman" w:hAnsi="Times New Roman" w:eastAsia="方正仿宋_GBK" w:cs="Times New Roman"/>
          <w:sz w:val="32"/>
          <w:szCs w:val="32"/>
        </w:rPr>
        <w:t>（类）</w:t>
      </w:r>
      <w:r>
        <w:rPr>
          <w:rFonts w:hint="default" w:ascii="Times New Roman" w:hAnsi="Times New Roman" w:eastAsia="方正仿宋_GBK" w:cs="Times New Roman"/>
          <w:sz w:val="32"/>
          <w:szCs w:val="32"/>
          <w:lang w:eastAsia="zh-CN"/>
        </w:rPr>
        <w:t>组织事务</w:t>
      </w:r>
      <w:r>
        <w:rPr>
          <w:rFonts w:hint="default" w:ascii="Times New Roman" w:hAnsi="Times New Roman" w:eastAsia="方正仿宋_GBK" w:cs="Times New Roman"/>
          <w:sz w:val="32"/>
          <w:szCs w:val="32"/>
        </w:rPr>
        <w:t>（款）</w:t>
      </w:r>
      <w:r>
        <w:rPr>
          <w:rFonts w:hint="default" w:ascii="Times New Roman" w:hAnsi="Times New Roman" w:eastAsia="方正仿宋_GBK" w:cs="Times New Roman"/>
          <w:sz w:val="32"/>
          <w:szCs w:val="32"/>
          <w:lang w:eastAsia="zh-CN"/>
        </w:rPr>
        <w:t>其他组织事务支出</w:t>
      </w:r>
      <w:r>
        <w:rPr>
          <w:rFonts w:hint="default" w:ascii="Times New Roman" w:hAnsi="Times New Roman" w:eastAsia="方正仿宋_GBK" w:cs="Times New Roman"/>
          <w:sz w:val="32"/>
          <w:szCs w:val="32"/>
        </w:rPr>
        <w:t>（项）</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支出决算为</w:t>
      </w:r>
      <w:r>
        <w:rPr>
          <w:rFonts w:hint="default" w:ascii="Times New Roman" w:hAnsi="Times New Roman" w:eastAsia="方正仿宋_GBK" w:cs="Times New Roman"/>
          <w:sz w:val="32"/>
          <w:szCs w:val="32"/>
          <w:lang w:val="en-US" w:eastAsia="zh-CN"/>
        </w:rPr>
        <w:t>0.53</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spacing w:line="560" w:lineRule="exact"/>
        <w:ind w:firstLine="640" w:firstLineChars="200"/>
        <w:rPr>
          <w:rFonts w:hint="default" w:ascii="Times New Roman" w:hAnsi="Times New Roman" w:eastAsia="方正仿宋_GBK" w:cs="Times New Roman"/>
          <w:b/>
          <w:sz w:val="32"/>
          <w:szCs w:val="32"/>
          <w:lang w:eastAsia="zh-CN"/>
        </w:rPr>
      </w:pPr>
      <w:r>
        <w:rPr>
          <w:rFonts w:hint="default" w:ascii="Times New Roman" w:hAnsi="Times New Roman" w:eastAsia="方正仿宋_GBK" w:cs="Times New Roman"/>
          <w:sz w:val="32"/>
          <w:szCs w:val="32"/>
        </w:rPr>
        <w:t>2.</w:t>
      </w:r>
      <w:r>
        <w:rPr>
          <w:rStyle w:val="18"/>
          <w:rFonts w:hint="default" w:ascii="Times New Roman" w:hAnsi="Times New Roman" w:eastAsia="方正仿宋_GBK" w:cs="Times New Roman"/>
          <w:b w:val="0"/>
          <w:bCs/>
          <w:sz w:val="32"/>
          <w:szCs w:val="32"/>
        </w:rPr>
        <w:t>一般公共服务支出（类）其他共产党事务支出（款）行政运行（项）</w:t>
      </w:r>
      <w:r>
        <w:rPr>
          <w:rStyle w:val="18"/>
          <w:rFonts w:hint="eastAsia" w:eastAsia="方正仿宋_GBK" w:cs="Times New Roman"/>
          <w:b w:val="0"/>
          <w:bCs/>
          <w:sz w:val="32"/>
          <w:szCs w:val="32"/>
          <w:lang w:val="en-US" w:eastAsia="zh-CN"/>
        </w:rPr>
        <w:t>:</w:t>
      </w:r>
      <w:r>
        <w:rPr>
          <w:rStyle w:val="18"/>
          <w:rFonts w:hint="default" w:ascii="Times New Roman" w:hAnsi="Times New Roman" w:eastAsia="方正仿宋_GBK" w:cs="Times New Roman"/>
          <w:b w:val="0"/>
          <w:bCs/>
          <w:sz w:val="32"/>
          <w:szCs w:val="32"/>
        </w:rPr>
        <w:t>支出决算为</w:t>
      </w:r>
      <w:r>
        <w:rPr>
          <w:rStyle w:val="18"/>
          <w:rFonts w:hint="default" w:ascii="Times New Roman" w:hAnsi="Times New Roman" w:eastAsia="方正仿宋_GBK" w:cs="Times New Roman"/>
          <w:b w:val="0"/>
          <w:bCs/>
          <w:sz w:val="32"/>
          <w:szCs w:val="32"/>
          <w:lang w:val="en-US" w:eastAsia="zh-CN"/>
        </w:rPr>
        <w:t>265.47</w:t>
      </w:r>
      <w:r>
        <w:rPr>
          <w:rStyle w:val="18"/>
          <w:rFonts w:hint="default" w:ascii="Times New Roman" w:hAnsi="Times New Roman" w:eastAsia="方正仿宋_GBK" w:cs="Times New Roman"/>
          <w:b w:val="0"/>
          <w:bCs/>
          <w:sz w:val="32"/>
          <w:szCs w:val="32"/>
        </w:rPr>
        <w:t>万元，完成预算100%</w:t>
      </w:r>
      <w:r>
        <w:rPr>
          <w:rStyle w:val="18"/>
          <w:rFonts w:hint="default" w:ascii="Times New Roman" w:hAnsi="Times New Roman" w:eastAsia="方正仿宋_GBK" w:cs="Times New Roman"/>
          <w:b w:val="0"/>
          <w:bCs/>
          <w:sz w:val="32"/>
          <w:szCs w:val="32"/>
          <w:lang w:eastAsia="zh-CN"/>
        </w:rPr>
        <w:t>。</w:t>
      </w:r>
    </w:p>
    <w:p>
      <w:pPr>
        <w:spacing w:line="560" w:lineRule="exact"/>
        <w:ind w:firstLine="640" w:firstLineChars="200"/>
        <w:rPr>
          <w:rFonts w:hint="default" w:ascii="Times New Roman" w:hAnsi="Times New Roman" w:eastAsia="方正仿宋_GBK" w:cs="Times New Roman"/>
          <w:b/>
          <w:sz w:val="32"/>
          <w:szCs w:val="32"/>
          <w:lang w:eastAsia="zh-CN"/>
        </w:rPr>
      </w:pPr>
      <w:r>
        <w:rPr>
          <w:rStyle w:val="18"/>
          <w:rFonts w:hint="default" w:ascii="Times New Roman" w:hAnsi="Times New Roman" w:eastAsia="方正仿宋_GBK" w:cs="Times New Roman"/>
          <w:b w:val="0"/>
          <w:bCs/>
          <w:sz w:val="32"/>
          <w:szCs w:val="32"/>
          <w:lang w:val="en-US" w:eastAsia="zh-CN"/>
        </w:rPr>
        <w:t>3</w:t>
      </w:r>
      <w:r>
        <w:rPr>
          <w:rStyle w:val="18"/>
          <w:rFonts w:hint="default" w:ascii="Times New Roman" w:hAnsi="Times New Roman" w:eastAsia="方正仿宋_GBK" w:cs="Times New Roman"/>
          <w:b w:val="0"/>
          <w:bCs/>
          <w:sz w:val="32"/>
          <w:szCs w:val="32"/>
        </w:rPr>
        <w:t>.一般公共服务支出（类）其他共产党事务支出（款）一般行政管理事务（项）</w:t>
      </w:r>
      <w:r>
        <w:rPr>
          <w:rStyle w:val="18"/>
          <w:rFonts w:hint="eastAsia" w:eastAsia="方正仿宋_GBK" w:cs="Times New Roman"/>
          <w:b w:val="0"/>
          <w:bCs/>
          <w:sz w:val="32"/>
          <w:szCs w:val="32"/>
          <w:lang w:val="en-US" w:eastAsia="zh-CN"/>
        </w:rPr>
        <w:t>:</w:t>
      </w:r>
      <w:r>
        <w:rPr>
          <w:rStyle w:val="18"/>
          <w:rFonts w:hint="default" w:ascii="Times New Roman" w:hAnsi="Times New Roman" w:eastAsia="方正仿宋_GBK" w:cs="Times New Roman"/>
          <w:b w:val="0"/>
          <w:bCs/>
          <w:sz w:val="32"/>
          <w:szCs w:val="32"/>
        </w:rPr>
        <w:t>支出决算为</w:t>
      </w:r>
      <w:r>
        <w:rPr>
          <w:rStyle w:val="18"/>
          <w:rFonts w:hint="default" w:ascii="Times New Roman" w:hAnsi="Times New Roman" w:eastAsia="方正仿宋_GBK" w:cs="Times New Roman"/>
          <w:b w:val="0"/>
          <w:bCs/>
          <w:sz w:val="32"/>
          <w:szCs w:val="32"/>
          <w:lang w:val="en-US" w:eastAsia="zh-CN"/>
        </w:rPr>
        <w:t>249.77</w:t>
      </w:r>
      <w:r>
        <w:rPr>
          <w:rStyle w:val="18"/>
          <w:rFonts w:hint="default" w:ascii="Times New Roman" w:hAnsi="Times New Roman" w:eastAsia="方正仿宋_GBK" w:cs="Times New Roman"/>
          <w:b w:val="0"/>
          <w:bCs/>
          <w:sz w:val="32"/>
          <w:szCs w:val="32"/>
        </w:rPr>
        <w:t>万元，完成预算100%</w:t>
      </w:r>
      <w:r>
        <w:rPr>
          <w:rStyle w:val="18"/>
          <w:rFonts w:hint="default" w:ascii="Times New Roman" w:hAnsi="Times New Roman" w:eastAsia="方正仿宋_GBK" w:cs="Times New Roman"/>
          <w:b w:val="0"/>
          <w:bCs/>
          <w:sz w:val="32"/>
          <w:szCs w:val="32"/>
          <w:lang w:eastAsia="zh-CN"/>
        </w:rPr>
        <w:t>。</w:t>
      </w:r>
    </w:p>
    <w:p>
      <w:pPr>
        <w:spacing w:line="560" w:lineRule="exact"/>
        <w:ind w:firstLine="640" w:firstLineChars="200"/>
        <w:rPr>
          <w:rFonts w:hint="default" w:ascii="Times New Roman" w:hAnsi="Times New Roman" w:eastAsia="方正仿宋_GBK" w:cs="Times New Roman"/>
          <w:b/>
          <w:sz w:val="32"/>
          <w:szCs w:val="32"/>
        </w:rPr>
      </w:pPr>
      <w:r>
        <w:rPr>
          <w:rStyle w:val="18"/>
          <w:rFonts w:hint="default" w:ascii="Times New Roman" w:hAnsi="Times New Roman" w:eastAsia="方正仿宋_GBK" w:cs="Times New Roman"/>
          <w:b w:val="0"/>
          <w:bCs/>
          <w:sz w:val="32"/>
          <w:szCs w:val="32"/>
          <w:lang w:val="en-US" w:eastAsia="zh-CN"/>
        </w:rPr>
        <w:t>4</w:t>
      </w:r>
      <w:r>
        <w:rPr>
          <w:rStyle w:val="18"/>
          <w:rFonts w:hint="default" w:ascii="Times New Roman" w:hAnsi="Times New Roman" w:eastAsia="方正仿宋_GBK" w:cs="Times New Roman"/>
          <w:b w:val="0"/>
          <w:bCs/>
          <w:sz w:val="32"/>
          <w:szCs w:val="32"/>
        </w:rPr>
        <w:t>.一般公共服务支出（类）其他共产党事务支出（款）事业运行（项）:支出决算为</w:t>
      </w:r>
      <w:r>
        <w:rPr>
          <w:rStyle w:val="18"/>
          <w:rFonts w:hint="default" w:ascii="Times New Roman" w:hAnsi="Times New Roman" w:eastAsia="方正仿宋_GBK" w:cs="Times New Roman"/>
          <w:b w:val="0"/>
          <w:bCs/>
          <w:sz w:val="32"/>
          <w:szCs w:val="32"/>
          <w:lang w:val="en-US" w:eastAsia="zh-CN"/>
        </w:rPr>
        <w:t>117.69</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
          <w:sz w:val="32"/>
          <w:szCs w:val="32"/>
        </w:rPr>
      </w:pPr>
      <w:r>
        <w:rPr>
          <w:rFonts w:hint="default" w:ascii="Times New Roman" w:hAnsi="Times New Roman" w:eastAsia="方正仿宋_GBK" w:cs="Times New Roman"/>
          <w:sz w:val="32"/>
          <w:szCs w:val="32"/>
          <w:lang w:val="en-US" w:eastAsia="zh-CN"/>
        </w:rPr>
        <w:t>5.</w:t>
      </w:r>
      <w:r>
        <w:rPr>
          <w:rStyle w:val="18"/>
          <w:rFonts w:hint="default" w:ascii="Times New Roman" w:hAnsi="Times New Roman" w:eastAsia="方正仿宋_GBK" w:cs="Times New Roman"/>
          <w:b w:val="0"/>
          <w:bCs/>
          <w:sz w:val="32"/>
          <w:szCs w:val="32"/>
        </w:rPr>
        <w:t>社会保障和就业支出（类）行政事业单位养老支出（款）行政单位离退休（项）</w:t>
      </w:r>
      <w:r>
        <w:rPr>
          <w:rStyle w:val="18"/>
          <w:rFonts w:hint="eastAsia" w:eastAsia="方正仿宋_GBK" w:cs="Times New Roman"/>
          <w:b w:val="0"/>
          <w:bCs/>
          <w:sz w:val="32"/>
          <w:szCs w:val="32"/>
          <w:lang w:val="en-US" w:eastAsia="zh-CN"/>
        </w:rPr>
        <w:t>:</w:t>
      </w:r>
      <w:r>
        <w:rPr>
          <w:rStyle w:val="18"/>
          <w:rFonts w:hint="default" w:ascii="Times New Roman" w:hAnsi="Times New Roman" w:eastAsia="方正仿宋_GBK" w:cs="Times New Roman"/>
          <w:b w:val="0"/>
          <w:bCs/>
          <w:sz w:val="32"/>
          <w:szCs w:val="32"/>
        </w:rPr>
        <w:t>支出决算为</w:t>
      </w:r>
      <w:r>
        <w:rPr>
          <w:rStyle w:val="18"/>
          <w:rFonts w:hint="default" w:ascii="Times New Roman" w:hAnsi="Times New Roman" w:eastAsia="方正仿宋_GBK" w:cs="Times New Roman"/>
          <w:b w:val="0"/>
          <w:bCs/>
          <w:sz w:val="32"/>
          <w:szCs w:val="32"/>
          <w:lang w:val="en-US" w:eastAsia="zh-CN"/>
        </w:rPr>
        <w:t>39.67</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Style w:val="18"/>
          <w:rFonts w:hint="default" w:ascii="Times New Roman" w:hAnsi="Times New Roman" w:eastAsia="方正仿宋_GBK" w:cs="Times New Roman"/>
          <w:b w:val="0"/>
          <w:bCs/>
          <w:sz w:val="32"/>
          <w:szCs w:val="32"/>
        </w:rPr>
      </w:pPr>
      <w:r>
        <w:rPr>
          <w:rStyle w:val="18"/>
          <w:rFonts w:hint="default" w:ascii="Times New Roman" w:hAnsi="Times New Roman" w:eastAsia="方正仿宋_GBK" w:cs="Times New Roman"/>
          <w:b w:val="0"/>
          <w:bCs/>
          <w:sz w:val="32"/>
          <w:szCs w:val="32"/>
          <w:lang w:val="en-US" w:eastAsia="zh-CN"/>
        </w:rPr>
        <w:t>6</w:t>
      </w:r>
      <w:r>
        <w:rPr>
          <w:rStyle w:val="18"/>
          <w:rFonts w:hint="default" w:ascii="Times New Roman" w:hAnsi="Times New Roman" w:eastAsia="方正仿宋_GBK" w:cs="Times New Roman"/>
          <w:b w:val="0"/>
          <w:bCs/>
          <w:sz w:val="32"/>
          <w:szCs w:val="32"/>
        </w:rPr>
        <w:t>.社会保障和就业支出（类）行政事业单位养老支出（款）机关事业单位基本养老保险缴费支出（项）</w:t>
      </w:r>
      <w:r>
        <w:rPr>
          <w:rStyle w:val="18"/>
          <w:rFonts w:hint="eastAsia" w:eastAsia="方正仿宋_GBK" w:cs="Times New Roman"/>
          <w:b w:val="0"/>
          <w:bCs/>
          <w:sz w:val="32"/>
          <w:szCs w:val="32"/>
          <w:lang w:val="en-US" w:eastAsia="zh-CN"/>
        </w:rPr>
        <w:t>:</w:t>
      </w:r>
      <w:r>
        <w:rPr>
          <w:rStyle w:val="18"/>
          <w:rFonts w:hint="default" w:ascii="Times New Roman" w:hAnsi="Times New Roman" w:eastAsia="方正仿宋_GBK" w:cs="Times New Roman"/>
          <w:b w:val="0"/>
          <w:bCs/>
          <w:sz w:val="32"/>
          <w:szCs w:val="32"/>
        </w:rPr>
        <w:t>支出决算为</w:t>
      </w:r>
      <w:r>
        <w:rPr>
          <w:rStyle w:val="18"/>
          <w:rFonts w:hint="default" w:ascii="Times New Roman" w:hAnsi="Times New Roman" w:eastAsia="方正仿宋_GBK" w:cs="Times New Roman"/>
          <w:b w:val="0"/>
          <w:bCs/>
          <w:sz w:val="32"/>
          <w:szCs w:val="32"/>
          <w:lang w:val="en-US" w:eastAsia="zh-CN"/>
        </w:rPr>
        <w:t>46.61</w:t>
      </w:r>
      <w:r>
        <w:rPr>
          <w:rStyle w:val="18"/>
          <w:rFonts w:hint="default" w:ascii="Times New Roman" w:hAnsi="Times New Roman" w:eastAsia="方正仿宋_GBK" w:cs="Times New Roman"/>
          <w:b w:val="0"/>
          <w:bCs/>
          <w:sz w:val="32"/>
          <w:szCs w:val="32"/>
        </w:rPr>
        <w:t>万元，完成预算100%。</w:t>
      </w:r>
    </w:p>
    <w:p>
      <w:pPr>
        <w:spacing w:line="600" w:lineRule="exact"/>
        <w:ind w:firstLine="64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社会保障和就业</w:t>
      </w:r>
      <w:r>
        <w:rPr>
          <w:rFonts w:hint="default" w:ascii="Times New Roman" w:hAnsi="Times New Roman" w:eastAsia="方正仿宋_GBK" w:cs="Times New Roman"/>
          <w:sz w:val="32"/>
          <w:szCs w:val="32"/>
          <w:lang w:eastAsia="zh-CN"/>
        </w:rPr>
        <w:t>支出</w:t>
      </w:r>
      <w:r>
        <w:rPr>
          <w:rFonts w:hint="default" w:ascii="Times New Roman" w:hAnsi="Times New Roman" w:eastAsia="方正仿宋_GBK" w:cs="Times New Roman"/>
          <w:sz w:val="32"/>
          <w:szCs w:val="32"/>
        </w:rPr>
        <w:t>（类）</w:t>
      </w:r>
      <w:r>
        <w:rPr>
          <w:rStyle w:val="18"/>
          <w:rFonts w:hint="default" w:ascii="Times New Roman" w:hAnsi="Times New Roman" w:eastAsia="方正仿宋_GBK" w:cs="Times New Roman"/>
          <w:b w:val="0"/>
          <w:bCs/>
          <w:sz w:val="32"/>
          <w:szCs w:val="32"/>
        </w:rPr>
        <w:t>行政事业单位养老支出（款）机关事业单位</w:t>
      </w:r>
      <w:r>
        <w:rPr>
          <w:rStyle w:val="18"/>
          <w:rFonts w:hint="default" w:ascii="Times New Roman" w:hAnsi="Times New Roman" w:eastAsia="方正仿宋_GBK" w:cs="Times New Roman"/>
          <w:b w:val="0"/>
          <w:bCs/>
          <w:sz w:val="32"/>
          <w:szCs w:val="32"/>
          <w:lang w:eastAsia="zh-CN"/>
        </w:rPr>
        <w:t>职业年金</w:t>
      </w:r>
      <w:r>
        <w:rPr>
          <w:rStyle w:val="18"/>
          <w:rFonts w:hint="default" w:ascii="Times New Roman" w:hAnsi="Times New Roman" w:eastAsia="方正仿宋_GBK" w:cs="Times New Roman"/>
          <w:b w:val="0"/>
          <w:bCs/>
          <w:sz w:val="32"/>
          <w:szCs w:val="32"/>
        </w:rPr>
        <w:t>缴费支出</w:t>
      </w:r>
      <w:r>
        <w:rPr>
          <w:rFonts w:hint="default" w:ascii="Times New Roman" w:hAnsi="Times New Roman" w:eastAsia="方正仿宋_GBK" w:cs="Times New Roman"/>
          <w:sz w:val="32"/>
          <w:szCs w:val="32"/>
        </w:rPr>
        <w:t>（项）</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rPr>
        <w:t>支出决算为</w:t>
      </w:r>
      <w:r>
        <w:rPr>
          <w:rFonts w:hint="default" w:ascii="Times New Roman" w:hAnsi="Times New Roman" w:eastAsia="方正仿宋_GBK" w:cs="Times New Roman"/>
          <w:sz w:val="32"/>
          <w:szCs w:val="32"/>
          <w:lang w:val="en-US" w:eastAsia="zh-CN"/>
        </w:rPr>
        <w:t>7.32</w:t>
      </w:r>
      <w:r>
        <w:rPr>
          <w:rFonts w:hint="default" w:ascii="Times New Roman" w:hAnsi="Times New Roman" w:eastAsia="方正仿宋_GBK" w:cs="Times New Roman"/>
          <w:sz w:val="32"/>
          <w:szCs w:val="32"/>
        </w:rPr>
        <w:t>万元，完成预算</w:t>
      </w:r>
      <w:r>
        <w:rPr>
          <w:rFonts w:hint="default" w:ascii="Times New Roman" w:hAnsi="Times New Roman" w:eastAsia="方正仿宋_GBK" w:cs="Times New Roman"/>
          <w:sz w:val="32"/>
          <w:szCs w:val="32"/>
          <w:lang w:val="en-US" w:eastAsia="zh-CN"/>
        </w:rPr>
        <w:t>100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w:t>
      </w:r>
    </w:p>
    <w:p>
      <w:pPr>
        <w:spacing w:line="560" w:lineRule="exact"/>
        <w:ind w:firstLine="640" w:firstLineChars="200"/>
        <w:rPr>
          <w:rStyle w:val="18"/>
          <w:rFonts w:hint="default" w:ascii="Times New Roman" w:hAnsi="Times New Roman" w:eastAsia="方正仿宋_GBK" w:cs="Times New Roman"/>
          <w:b w:val="0"/>
          <w:bCs/>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w:t>
      </w:r>
      <w:r>
        <w:rPr>
          <w:rStyle w:val="18"/>
          <w:rFonts w:hint="default" w:ascii="Times New Roman" w:hAnsi="Times New Roman" w:eastAsia="方正仿宋_GBK" w:cs="Times New Roman"/>
          <w:b w:val="0"/>
          <w:bCs/>
          <w:sz w:val="32"/>
          <w:szCs w:val="32"/>
        </w:rPr>
        <w:t>社会保障和就业支出（类）社会福利（款）儿童福利（项）:支出决算为</w:t>
      </w:r>
      <w:r>
        <w:rPr>
          <w:rStyle w:val="18"/>
          <w:rFonts w:hint="default" w:ascii="Times New Roman" w:hAnsi="Times New Roman" w:eastAsia="方正仿宋_GBK" w:cs="Times New Roman"/>
          <w:b w:val="0"/>
          <w:bCs/>
          <w:sz w:val="32"/>
          <w:szCs w:val="32"/>
          <w:lang w:val="en-US" w:eastAsia="zh-CN"/>
        </w:rPr>
        <w:t>11.25</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Style w:val="18"/>
          <w:rFonts w:hint="default" w:ascii="Times New Roman" w:hAnsi="Times New Roman" w:eastAsia="方正仿宋_GBK" w:cs="Times New Roman"/>
          <w:b w:val="0"/>
          <w:bCs/>
          <w:sz w:val="32"/>
          <w:szCs w:val="32"/>
        </w:rPr>
      </w:pPr>
      <w:r>
        <w:rPr>
          <w:rStyle w:val="18"/>
          <w:rFonts w:hint="default" w:ascii="Times New Roman" w:hAnsi="Times New Roman" w:eastAsia="方正仿宋_GBK" w:cs="Times New Roman"/>
          <w:b w:val="0"/>
          <w:bCs/>
          <w:sz w:val="32"/>
          <w:szCs w:val="32"/>
          <w:lang w:val="en-US" w:eastAsia="zh-CN"/>
        </w:rPr>
        <w:t>9</w:t>
      </w:r>
      <w:r>
        <w:rPr>
          <w:rStyle w:val="18"/>
          <w:rFonts w:hint="default" w:ascii="Times New Roman" w:hAnsi="Times New Roman" w:eastAsia="方正仿宋_GBK" w:cs="Times New Roman"/>
          <w:b w:val="0"/>
          <w:bCs/>
          <w:sz w:val="32"/>
          <w:szCs w:val="32"/>
        </w:rPr>
        <w:t>.社会保障和就业支出（类）社会福利（款）</w:t>
      </w:r>
      <w:r>
        <w:rPr>
          <w:rStyle w:val="18"/>
          <w:rFonts w:hint="default" w:ascii="Times New Roman" w:hAnsi="Times New Roman" w:eastAsia="方正仿宋_GBK" w:cs="Times New Roman"/>
          <w:b w:val="0"/>
          <w:bCs/>
          <w:sz w:val="32"/>
          <w:szCs w:val="32"/>
          <w:lang w:eastAsia="zh-CN"/>
        </w:rPr>
        <w:t>养老服务</w:t>
      </w:r>
      <w:r>
        <w:rPr>
          <w:rStyle w:val="18"/>
          <w:rFonts w:hint="default" w:ascii="Times New Roman" w:hAnsi="Times New Roman" w:eastAsia="方正仿宋_GBK" w:cs="Times New Roman"/>
          <w:b w:val="0"/>
          <w:bCs/>
          <w:sz w:val="32"/>
          <w:szCs w:val="32"/>
        </w:rPr>
        <w:t>（项）</w:t>
      </w:r>
      <w:r>
        <w:rPr>
          <w:rStyle w:val="18"/>
          <w:rFonts w:hint="eastAsia" w:eastAsia="方正仿宋_GBK" w:cs="Times New Roman"/>
          <w:b w:val="0"/>
          <w:bCs/>
          <w:sz w:val="32"/>
          <w:szCs w:val="32"/>
          <w:lang w:val="en-US" w:eastAsia="zh-CN"/>
        </w:rPr>
        <w:t>:</w:t>
      </w:r>
      <w:r>
        <w:rPr>
          <w:rStyle w:val="18"/>
          <w:rFonts w:hint="default" w:ascii="Times New Roman" w:hAnsi="Times New Roman" w:eastAsia="方正仿宋_GBK" w:cs="Times New Roman"/>
          <w:b w:val="0"/>
          <w:bCs/>
          <w:sz w:val="32"/>
          <w:szCs w:val="32"/>
        </w:rPr>
        <w:t>支出决算为</w:t>
      </w:r>
      <w:r>
        <w:rPr>
          <w:rStyle w:val="18"/>
          <w:rFonts w:hint="default" w:ascii="Times New Roman" w:hAnsi="Times New Roman" w:eastAsia="方正仿宋_GBK" w:cs="Times New Roman"/>
          <w:b w:val="0"/>
          <w:bCs/>
          <w:sz w:val="32"/>
          <w:szCs w:val="32"/>
          <w:lang w:val="en-US" w:eastAsia="zh-CN"/>
        </w:rPr>
        <w:t>93.66</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lang w:val="en-US" w:eastAsia="zh-CN"/>
        </w:rPr>
        <w:t>10.</w:t>
      </w:r>
      <w:r>
        <w:rPr>
          <w:rFonts w:hint="default" w:ascii="Times New Roman" w:hAnsi="Times New Roman" w:eastAsia="方正仿宋_GBK" w:cs="Times New Roman"/>
          <w:bCs/>
          <w:sz w:val="32"/>
          <w:szCs w:val="32"/>
        </w:rPr>
        <w:t>卫生健康支出</w:t>
      </w:r>
      <w:r>
        <w:rPr>
          <w:rStyle w:val="18"/>
          <w:rFonts w:hint="default" w:ascii="Times New Roman" w:hAnsi="Times New Roman" w:eastAsia="方正仿宋_GBK" w:cs="Times New Roman"/>
          <w:b w:val="0"/>
          <w:bCs/>
          <w:sz w:val="32"/>
          <w:szCs w:val="32"/>
        </w:rPr>
        <w:t>（类）行政事业单位医疗（款）行政单位医疗（项）:支出决算为</w:t>
      </w:r>
      <w:r>
        <w:rPr>
          <w:rStyle w:val="18"/>
          <w:rFonts w:hint="default" w:ascii="Times New Roman" w:hAnsi="Times New Roman" w:eastAsia="方正仿宋_GBK" w:cs="Times New Roman"/>
          <w:b w:val="0"/>
          <w:bCs/>
          <w:sz w:val="32"/>
          <w:szCs w:val="32"/>
          <w:lang w:val="en-US" w:eastAsia="zh-CN"/>
        </w:rPr>
        <w:t>16.46</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Cs/>
          <w:sz w:val="32"/>
          <w:szCs w:val="32"/>
        </w:rPr>
      </w:pPr>
      <w:r>
        <w:rPr>
          <w:rStyle w:val="18"/>
          <w:rFonts w:hint="default" w:ascii="Times New Roman" w:hAnsi="Times New Roman" w:eastAsia="方正仿宋_GBK" w:cs="Times New Roman"/>
          <w:b w:val="0"/>
          <w:bCs/>
          <w:sz w:val="32"/>
          <w:szCs w:val="32"/>
        </w:rPr>
        <w:t>1</w:t>
      </w:r>
      <w:r>
        <w:rPr>
          <w:rStyle w:val="18"/>
          <w:rFonts w:hint="default" w:ascii="Times New Roman" w:hAnsi="Times New Roman" w:eastAsia="方正仿宋_GBK" w:cs="Times New Roman"/>
          <w:b w:val="0"/>
          <w:bCs/>
          <w:sz w:val="32"/>
          <w:szCs w:val="32"/>
          <w:lang w:val="en-US" w:eastAsia="zh-CN"/>
        </w:rPr>
        <w:t>1</w:t>
      </w:r>
      <w:r>
        <w:rPr>
          <w:rStyle w:val="18"/>
          <w:rFonts w:hint="default" w:ascii="Times New Roman" w:hAnsi="Times New Roman" w:eastAsia="方正仿宋_GBK" w:cs="Times New Roman"/>
          <w:b w:val="0"/>
          <w:bCs/>
          <w:sz w:val="32"/>
          <w:szCs w:val="32"/>
        </w:rPr>
        <w:t>.</w:t>
      </w:r>
      <w:r>
        <w:rPr>
          <w:rFonts w:hint="default" w:ascii="Times New Roman" w:hAnsi="Times New Roman" w:eastAsia="方正仿宋_GBK" w:cs="Times New Roman"/>
          <w:bCs/>
          <w:sz w:val="32"/>
          <w:szCs w:val="32"/>
        </w:rPr>
        <w:t>卫生健康支出</w:t>
      </w:r>
      <w:r>
        <w:rPr>
          <w:rStyle w:val="18"/>
          <w:rFonts w:hint="default" w:ascii="Times New Roman" w:hAnsi="Times New Roman" w:eastAsia="方正仿宋_GBK" w:cs="Times New Roman"/>
          <w:b w:val="0"/>
          <w:bCs/>
          <w:sz w:val="32"/>
          <w:szCs w:val="32"/>
        </w:rPr>
        <w:t>（类）行政事业单位医疗（款）事业单位医疗（项）:支出决算为7.</w:t>
      </w:r>
      <w:r>
        <w:rPr>
          <w:rStyle w:val="18"/>
          <w:rFonts w:hint="default" w:ascii="Times New Roman" w:hAnsi="Times New Roman" w:eastAsia="方正仿宋_GBK" w:cs="Times New Roman"/>
          <w:b w:val="0"/>
          <w:bCs/>
          <w:sz w:val="32"/>
          <w:szCs w:val="32"/>
          <w:lang w:val="en-US" w:eastAsia="zh-CN"/>
        </w:rPr>
        <w:t>47</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Cs/>
          <w:sz w:val="32"/>
          <w:szCs w:val="32"/>
        </w:rPr>
      </w:pPr>
      <w:r>
        <w:rPr>
          <w:rStyle w:val="18"/>
          <w:rFonts w:hint="default" w:ascii="Times New Roman" w:hAnsi="Times New Roman" w:eastAsia="方正仿宋_GBK" w:cs="Times New Roman"/>
          <w:b w:val="0"/>
          <w:bCs/>
          <w:sz w:val="32"/>
          <w:szCs w:val="32"/>
        </w:rPr>
        <w:t>1</w:t>
      </w:r>
      <w:r>
        <w:rPr>
          <w:rStyle w:val="18"/>
          <w:rFonts w:hint="default" w:ascii="Times New Roman" w:hAnsi="Times New Roman" w:eastAsia="方正仿宋_GBK" w:cs="Times New Roman"/>
          <w:b w:val="0"/>
          <w:bCs/>
          <w:sz w:val="32"/>
          <w:szCs w:val="32"/>
          <w:lang w:val="en-US" w:eastAsia="zh-CN"/>
        </w:rPr>
        <w:t>2</w:t>
      </w:r>
      <w:r>
        <w:rPr>
          <w:rStyle w:val="18"/>
          <w:rFonts w:hint="default" w:ascii="Times New Roman" w:hAnsi="Times New Roman" w:eastAsia="方正仿宋_GBK" w:cs="Times New Roman"/>
          <w:b w:val="0"/>
          <w:bCs/>
          <w:sz w:val="32"/>
          <w:szCs w:val="32"/>
        </w:rPr>
        <w:t>.</w:t>
      </w:r>
      <w:r>
        <w:rPr>
          <w:rFonts w:hint="default" w:ascii="Times New Roman" w:hAnsi="Times New Roman" w:eastAsia="方正仿宋_GBK" w:cs="Times New Roman"/>
          <w:bCs/>
          <w:sz w:val="32"/>
          <w:szCs w:val="32"/>
        </w:rPr>
        <w:t>卫生健康支出</w:t>
      </w:r>
      <w:r>
        <w:rPr>
          <w:rStyle w:val="18"/>
          <w:rFonts w:hint="default" w:ascii="Times New Roman" w:hAnsi="Times New Roman" w:eastAsia="方正仿宋_GBK" w:cs="Times New Roman"/>
          <w:b w:val="0"/>
          <w:bCs/>
          <w:sz w:val="32"/>
          <w:szCs w:val="32"/>
        </w:rPr>
        <w:t>（类）行政事业单位医疗（款）公务员医疗补助（项）:支出决算为2</w:t>
      </w:r>
      <w:r>
        <w:rPr>
          <w:rStyle w:val="18"/>
          <w:rFonts w:hint="default" w:ascii="Times New Roman" w:hAnsi="Times New Roman" w:eastAsia="方正仿宋_GBK" w:cs="Times New Roman"/>
          <w:b w:val="0"/>
          <w:bCs/>
          <w:sz w:val="32"/>
          <w:szCs w:val="32"/>
          <w:lang w:val="en-US" w:eastAsia="zh-CN"/>
        </w:rPr>
        <w:t>.76</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Cs/>
          <w:sz w:val="32"/>
          <w:szCs w:val="32"/>
        </w:rPr>
      </w:pPr>
      <w:r>
        <w:rPr>
          <w:rStyle w:val="18"/>
          <w:rFonts w:hint="default" w:ascii="Times New Roman" w:hAnsi="Times New Roman" w:eastAsia="方正仿宋_GBK" w:cs="Times New Roman"/>
          <w:b w:val="0"/>
          <w:bCs/>
          <w:sz w:val="32"/>
          <w:szCs w:val="32"/>
        </w:rPr>
        <w:t>1</w:t>
      </w:r>
      <w:r>
        <w:rPr>
          <w:rStyle w:val="18"/>
          <w:rFonts w:hint="default" w:ascii="Times New Roman" w:hAnsi="Times New Roman" w:eastAsia="方正仿宋_GBK" w:cs="Times New Roman"/>
          <w:b w:val="0"/>
          <w:bCs/>
          <w:sz w:val="32"/>
          <w:szCs w:val="32"/>
          <w:lang w:val="en-US" w:eastAsia="zh-CN"/>
        </w:rPr>
        <w:t>3</w:t>
      </w:r>
      <w:r>
        <w:rPr>
          <w:rStyle w:val="18"/>
          <w:rFonts w:hint="default" w:ascii="Times New Roman" w:hAnsi="Times New Roman" w:eastAsia="方正仿宋_GBK" w:cs="Times New Roman"/>
          <w:b w:val="0"/>
          <w:bCs/>
          <w:sz w:val="32"/>
          <w:szCs w:val="32"/>
        </w:rPr>
        <w:t>.</w:t>
      </w:r>
      <w:r>
        <w:rPr>
          <w:rFonts w:hint="default" w:ascii="Times New Roman" w:hAnsi="Times New Roman" w:eastAsia="方正仿宋_GBK" w:cs="Times New Roman"/>
          <w:bCs/>
          <w:sz w:val="32"/>
          <w:szCs w:val="32"/>
        </w:rPr>
        <w:t>卫生健康支出</w:t>
      </w:r>
      <w:r>
        <w:rPr>
          <w:rStyle w:val="18"/>
          <w:rFonts w:hint="default" w:ascii="Times New Roman" w:hAnsi="Times New Roman" w:eastAsia="方正仿宋_GBK" w:cs="Times New Roman"/>
          <w:b w:val="0"/>
          <w:bCs/>
          <w:sz w:val="32"/>
          <w:szCs w:val="32"/>
        </w:rPr>
        <w:t>（类）行政事业单位医疗（款）其他行政事业单位医疗支出（项）:支出决算为3.</w:t>
      </w:r>
      <w:r>
        <w:rPr>
          <w:rStyle w:val="18"/>
          <w:rFonts w:hint="default" w:ascii="Times New Roman" w:hAnsi="Times New Roman" w:eastAsia="方正仿宋_GBK" w:cs="Times New Roman"/>
          <w:b w:val="0"/>
          <w:bCs/>
          <w:sz w:val="32"/>
          <w:szCs w:val="32"/>
          <w:lang w:val="en-US" w:eastAsia="zh-CN"/>
        </w:rPr>
        <w:t>21</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Cs/>
          <w:sz w:val="32"/>
          <w:szCs w:val="32"/>
        </w:rPr>
      </w:pPr>
      <w:r>
        <w:rPr>
          <w:rStyle w:val="18"/>
          <w:rFonts w:hint="default" w:ascii="Times New Roman" w:hAnsi="Times New Roman" w:eastAsia="方正仿宋_GBK" w:cs="Times New Roman"/>
          <w:b w:val="0"/>
          <w:bCs/>
          <w:sz w:val="32"/>
          <w:szCs w:val="32"/>
        </w:rPr>
        <w:t>1</w:t>
      </w:r>
      <w:r>
        <w:rPr>
          <w:rStyle w:val="18"/>
          <w:rFonts w:hint="default" w:ascii="Times New Roman" w:hAnsi="Times New Roman" w:eastAsia="方正仿宋_GBK" w:cs="Times New Roman"/>
          <w:b w:val="0"/>
          <w:bCs/>
          <w:sz w:val="32"/>
          <w:szCs w:val="32"/>
          <w:lang w:val="en-US" w:eastAsia="zh-CN"/>
        </w:rPr>
        <w:t>4</w:t>
      </w:r>
      <w:r>
        <w:rPr>
          <w:rStyle w:val="18"/>
          <w:rFonts w:hint="default" w:ascii="Times New Roman" w:hAnsi="Times New Roman" w:eastAsia="方正仿宋_GBK" w:cs="Times New Roman"/>
          <w:b w:val="0"/>
          <w:bCs/>
          <w:sz w:val="32"/>
          <w:szCs w:val="32"/>
        </w:rPr>
        <w:t>.</w:t>
      </w:r>
      <w:r>
        <w:rPr>
          <w:rFonts w:hint="default" w:ascii="Times New Roman" w:hAnsi="Times New Roman" w:eastAsia="方正仿宋_GBK" w:cs="Times New Roman"/>
          <w:bCs/>
          <w:sz w:val="32"/>
          <w:szCs w:val="32"/>
        </w:rPr>
        <w:t>卫生健康支出</w:t>
      </w:r>
      <w:r>
        <w:rPr>
          <w:rStyle w:val="18"/>
          <w:rFonts w:hint="default" w:ascii="Times New Roman" w:hAnsi="Times New Roman" w:eastAsia="方正仿宋_GBK" w:cs="Times New Roman"/>
          <w:b w:val="0"/>
          <w:bCs/>
          <w:sz w:val="32"/>
          <w:szCs w:val="32"/>
        </w:rPr>
        <w:t>（类）其他卫生健康支出（款）其他卫生健康支出（项）:支出决算为</w:t>
      </w:r>
      <w:r>
        <w:rPr>
          <w:rStyle w:val="18"/>
          <w:rFonts w:hint="default" w:ascii="Times New Roman" w:hAnsi="Times New Roman" w:eastAsia="方正仿宋_GBK" w:cs="Times New Roman"/>
          <w:b w:val="0"/>
          <w:bCs/>
          <w:sz w:val="32"/>
          <w:szCs w:val="32"/>
          <w:lang w:val="en-US" w:eastAsia="zh-CN"/>
        </w:rPr>
        <w:t>0.3</w:t>
      </w:r>
      <w:r>
        <w:rPr>
          <w:rStyle w:val="18"/>
          <w:rFonts w:hint="default" w:ascii="Times New Roman" w:hAnsi="Times New Roman" w:eastAsia="方正仿宋_GBK" w:cs="Times New Roman"/>
          <w:b w:val="0"/>
          <w:bCs/>
          <w:sz w:val="32"/>
          <w:szCs w:val="32"/>
        </w:rPr>
        <w:t>万元，完成预算100%。</w:t>
      </w:r>
    </w:p>
    <w:p>
      <w:pPr>
        <w:spacing w:line="560" w:lineRule="exact"/>
        <w:ind w:firstLine="640" w:firstLineChars="200"/>
        <w:rPr>
          <w:rFonts w:hint="default" w:ascii="Times New Roman" w:hAnsi="Times New Roman" w:eastAsia="方正仿宋_GBK" w:cs="Times New Roman"/>
          <w:bCs/>
          <w:sz w:val="32"/>
          <w:szCs w:val="32"/>
        </w:rPr>
      </w:pPr>
      <w:r>
        <w:rPr>
          <w:rStyle w:val="18"/>
          <w:rFonts w:hint="default" w:ascii="Times New Roman" w:hAnsi="Times New Roman" w:eastAsia="方正仿宋_GBK" w:cs="Times New Roman"/>
          <w:b w:val="0"/>
          <w:bCs/>
          <w:sz w:val="32"/>
          <w:szCs w:val="32"/>
        </w:rPr>
        <w:t>1</w:t>
      </w:r>
      <w:r>
        <w:rPr>
          <w:rStyle w:val="18"/>
          <w:rFonts w:hint="default" w:ascii="Times New Roman" w:hAnsi="Times New Roman" w:eastAsia="方正仿宋_GBK" w:cs="Times New Roman"/>
          <w:b w:val="0"/>
          <w:bCs/>
          <w:sz w:val="32"/>
          <w:szCs w:val="32"/>
          <w:lang w:val="en-US" w:eastAsia="zh-CN"/>
        </w:rPr>
        <w:t>5</w:t>
      </w:r>
      <w:r>
        <w:rPr>
          <w:rStyle w:val="18"/>
          <w:rFonts w:hint="default" w:ascii="Times New Roman" w:hAnsi="Times New Roman" w:eastAsia="方正仿宋_GBK" w:cs="Times New Roman"/>
          <w:b w:val="0"/>
          <w:bCs/>
          <w:sz w:val="32"/>
          <w:szCs w:val="32"/>
        </w:rPr>
        <w:t>.</w:t>
      </w:r>
      <w:r>
        <w:rPr>
          <w:rStyle w:val="18"/>
          <w:rFonts w:hint="eastAsia" w:eastAsia="方正仿宋_GBK" w:cs="Times New Roman"/>
          <w:b w:val="0"/>
          <w:bCs/>
          <w:sz w:val="32"/>
          <w:szCs w:val="32"/>
          <w:lang w:eastAsia="zh-CN"/>
        </w:rPr>
        <w:t>住</w:t>
      </w:r>
      <w:r>
        <w:rPr>
          <w:rFonts w:hint="default" w:ascii="Times New Roman" w:hAnsi="Times New Roman" w:eastAsia="方正仿宋_GBK" w:cs="Times New Roman"/>
          <w:bCs/>
          <w:sz w:val="32"/>
          <w:szCs w:val="32"/>
        </w:rPr>
        <w:t>房保障支出</w:t>
      </w:r>
      <w:r>
        <w:rPr>
          <w:rStyle w:val="18"/>
          <w:rFonts w:hint="default" w:ascii="Times New Roman" w:hAnsi="Times New Roman" w:eastAsia="方正仿宋_GBK" w:cs="Times New Roman"/>
          <w:b w:val="0"/>
          <w:bCs/>
          <w:sz w:val="32"/>
          <w:szCs w:val="32"/>
        </w:rPr>
        <w:t>（类）住房改革支出（款）住房公积金（项）:支出决算为37.</w:t>
      </w:r>
      <w:r>
        <w:rPr>
          <w:rStyle w:val="18"/>
          <w:rFonts w:hint="default" w:ascii="Times New Roman" w:hAnsi="Times New Roman" w:eastAsia="方正仿宋_GBK" w:cs="Times New Roman"/>
          <w:b w:val="0"/>
          <w:bCs/>
          <w:sz w:val="32"/>
          <w:szCs w:val="32"/>
          <w:lang w:val="en-US" w:eastAsia="zh-CN"/>
        </w:rPr>
        <w:t>1</w:t>
      </w:r>
      <w:r>
        <w:rPr>
          <w:rStyle w:val="18"/>
          <w:rFonts w:hint="default" w:eastAsia="方正仿宋_GBK" w:cs="Times New Roman"/>
          <w:b w:val="0"/>
          <w:bCs/>
          <w:sz w:val="32"/>
          <w:szCs w:val="32"/>
          <w:lang w:val="en" w:eastAsia="zh-CN"/>
        </w:rPr>
        <w:t>8</w:t>
      </w:r>
      <w:r>
        <w:rPr>
          <w:rStyle w:val="18"/>
          <w:rFonts w:hint="default" w:ascii="Times New Roman" w:hAnsi="Times New Roman" w:eastAsia="方正仿宋_GBK" w:cs="Times New Roman"/>
          <w:b w:val="0"/>
          <w:bCs/>
          <w:sz w:val="32"/>
          <w:szCs w:val="32"/>
        </w:rPr>
        <w:t>万元，完成预算100%。</w:t>
      </w:r>
    </w:p>
    <w:p>
      <w:pPr>
        <w:tabs>
          <w:tab w:val="right" w:pos="8306"/>
        </w:tabs>
        <w:spacing w:line="600" w:lineRule="exact"/>
        <w:ind w:firstLine="640"/>
        <w:outlineLvl w:val="1"/>
        <w:rPr>
          <w:rStyle w:val="30"/>
          <w:rFonts w:ascii="Times New Roman" w:hAnsi="Times New Roman"/>
        </w:rPr>
      </w:pPr>
      <w:bookmarkStart w:id="41" w:name="_Toc15396608"/>
      <w:bookmarkStart w:id="42" w:name="_Toc15377214"/>
      <w:r>
        <w:rPr>
          <w:rFonts w:hint="eastAsia" w:ascii="方正黑体_GBK" w:hAnsi="方正黑体_GBK" w:eastAsia="方正黑体_GBK" w:cs="方正黑体_GBK"/>
          <w:b/>
          <w:bCs/>
          <w:kern w:val="2"/>
          <w:sz w:val="32"/>
          <w:szCs w:val="32"/>
          <w:lang w:val="en-US" w:eastAsia="zh-CN" w:bidi="ar-SA"/>
        </w:rPr>
        <w:t>六、一般公共预算财政拨款基本支出决算情况说明</w:t>
      </w:r>
      <w:bookmarkEnd w:id="41"/>
      <w:bookmarkEnd w:id="42"/>
      <w:r>
        <w:rPr>
          <w:rStyle w:val="30"/>
          <w:rFonts w:ascii="Times New Roman" w:hAnsi="Times New Roman" w:eastAsia="黑体"/>
          <w:b w:val="0"/>
        </w:rPr>
        <w:tab/>
      </w:r>
    </w:p>
    <w:p>
      <w:pPr>
        <w:spacing w:line="60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2024年度一般公共预算财政拨款基本支出543.84万元，其中：</w:t>
      </w:r>
    </w:p>
    <w:p>
      <w:pPr>
        <w:spacing w:line="60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人员经费476.92万元，主要包括：基本工资、津贴补贴、奖金、绩效工资、机关事业单位基本养老保险缴费、职业年金缴费、</w:t>
      </w:r>
      <w:r>
        <w:rPr>
          <w:rFonts w:hint="default" w:ascii="Times New Roman" w:hAnsi="Times New Roman" w:eastAsia="方正仿宋_GBK" w:cs="Times New Roman"/>
          <w:sz w:val="32"/>
          <w:szCs w:val="32"/>
          <w:lang w:eastAsia="zh-CN"/>
        </w:rPr>
        <w:t>职工基本医疗保险缴费、公务员医疗补助缴费、</w:t>
      </w:r>
      <w:r>
        <w:rPr>
          <w:rFonts w:hint="default" w:ascii="Times New Roman" w:hAnsi="Times New Roman" w:eastAsia="方正仿宋_GBK" w:cs="Times New Roman"/>
          <w:sz w:val="32"/>
          <w:szCs w:val="32"/>
        </w:rPr>
        <w:t>其他社会保障缴费、</w:t>
      </w:r>
      <w:r>
        <w:rPr>
          <w:rFonts w:hint="default" w:ascii="Times New Roman" w:hAnsi="Times New Roman" w:eastAsia="方正仿宋_GBK" w:cs="Times New Roman"/>
          <w:sz w:val="32"/>
          <w:szCs w:val="32"/>
          <w:lang w:eastAsia="zh-CN"/>
        </w:rPr>
        <w:t>其他工资福利支出、</w:t>
      </w:r>
      <w:r>
        <w:rPr>
          <w:rFonts w:hint="default" w:ascii="Times New Roman" w:hAnsi="Times New Roman" w:eastAsia="方正仿宋_GBK" w:cs="Times New Roman"/>
          <w:sz w:val="32"/>
          <w:szCs w:val="32"/>
        </w:rPr>
        <w:t>生活补助、医疗费补助、奖励金、住房公积金等。</w:t>
      </w:r>
      <w:r>
        <w:rPr>
          <w:rFonts w:hint="default" w:ascii="Times New Roman" w:hAnsi="Times New Roman" w:eastAsia="方正仿宋_GBK" w:cs="Times New Roman"/>
          <w:sz w:val="32"/>
          <w:szCs w:val="32"/>
        </w:rPr>
        <w:br w:type="textWrapping"/>
      </w:r>
      <w:r>
        <w:rPr>
          <w:rFonts w:hint="default" w:ascii="Times New Roman" w:hAnsi="Times New Roman" w:eastAsia="方正仿宋_GBK" w:cs="Times New Roman"/>
          <w:sz w:val="32"/>
          <w:szCs w:val="32"/>
        </w:rPr>
        <w:t>　　公用经费66.91万元，主要包括：办公费、水费、电费、邮电费、物业管理费、差旅费、维修（护）费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培训费、公务接待费、劳务费、委托业务费、工会经费、福利费、公务用车运行维护费、其他交通费、其他商品和服务支出、办公设备购置等。</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43" w:name="_Toc15396609"/>
      <w:bookmarkStart w:id="44" w:name="_Toc15377215"/>
      <w:r>
        <w:rPr>
          <w:rFonts w:hint="eastAsia" w:ascii="方正黑体_GBK" w:hAnsi="方正黑体_GBK" w:eastAsia="方正黑体_GBK" w:cs="方正黑体_GBK"/>
          <w:b/>
          <w:bCs/>
          <w:sz w:val="32"/>
          <w:szCs w:val="32"/>
        </w:rPr>
        <w:t>七、财政拨款“三公”经费支出决算情况说明</w:t>
      </w:r>
      <w:bookmarkEnd w:id="43"/>
      <w:bookmarkEnd w:id="44"/>
    </w:p>
    <w:p>
      <w:pPr>
        <w:spacing w:line="600" w:lineRule="exact"/>
        <w:ind w:firstLine="642" w:firstLineChars="200"/>
        <w:outlineLvl w:val="2"/>
        <w:rPr>
          <w:rFonts w:hint="eastAsia" w:ascii="方正楷体_GBK" w:hAnsi="方正楷体_GBK" w:eastAsia="方正楷体_GBK" w:cs="方正楷体_GBK"/>
          <w:b/>
          <w:sz w:val="32"/>
          <w:szCs w:val="32"/>
        </w:rPr>
      </w:pPr>
      <w:bookmarkStart w:id="45" w:name="_Toc15377216"/>
      <w:r>
        <w:rPr>
          <w:rFonts w:hint="eastAsia" w:ascii="方正楷体_GBK" w:hAnsi="方正楷体_GBK" w:eastAsia="方正楷体_GBK" w:cs="方正楷体_GBK"/>
          <w:b/>
          <w:sz w:val="32"/>
          <w:szCs w:val="32"/>
        </w:rPr>
        <w:t>（一）“三公”经费财政拨款支出决算总体情况说明</w:t>
      </w:r>
      <w:bookmarkEnd w:id="45"/>
    </w:p>
    <w:p>
      <w:pPr>
        <w:spacing w:line="560" w:lineRule="exact"/>
        <w:ind w:firstLine="640" w:firstLineChars="200"/>
        <w:rPr>
          <w:rStyle w:val="18"/>
          <w:rFonts w:hint="default" w:ascii="Times New Roman" w:hAnsi="Times New Roman" w:eastAsia="方正仿宋_GBK" w:cs="Times New Roman"/>
          <w:b w:val="0"/>
          <w:bCs/>
          <w:sz w:val="32"/>
          <w:szCs w:val="32"/>
        </w:rPr>
      </w:pPr>
      <w:r>
        <w:rPr>
          <w:rFonts w:hint="default" w:ascii="Times New Roman" w:hAnsi="Times New Roman" w:eastAsia="方正仿宋_GBK" w:cs="Times New Roman"/>
          <w:sz w:val="32"/>
          <w:szCs w:val="32"/>
        </w:rPr>
        <w:t>2024年度“三公”经费财政拨款支出决算为22.19万元，完成预算100%，较上年度增加</w:t>
      </w:r>
      <w:r>
        <w:rPr>
          <w:rFonts w:hint="default" w:ascii="Times New Roman" w:hAnsi="Times New Roman" w:eastAsia="方正仿宋_GBK" w:cs="Times New Roman"/>
          <w:sz w:val="32"/>
          <w:szCs w:val="32"/>
          <w:lang w:val="en-US" w:eastAsia="zh-CN"/>
        </w:rPr>
        <w:t>18.99</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593.4</w:t>
      </w:r>
      <w:r>
        <w:rPr>
          <w:rFonts w:hint="eastAsia" w:eastAsia="方正仿宋_GBK" w:cs="Times New Roman"/>
          <w:sz w:val="32"/>
          <w:szCs w:val="32"/>
          <w:lang w:val="en-US" w:eastAsia="zh-CN"/>
        </w:rPr>
        <w:t>4</w:t>
      </w:r>
      <w:r>
        <w:rPr>
          <w:rFonts w:hint="default" w:ascii="Times New Roman" w:hAnsi="Times New Roman" w:eastAsia="方正仿宋_GBK" w:cs="Times New Roman"/>
          <w:sz w:val="32"/>
          <w:szCs w:val="32"/>
        </w:rPr>
        <w:t>%。决算数与预算数持平的主要原因是</w:t>
      </w:r>
      <w:r>
        <w:rPr>
          <w:rStyle w:val="18"/>
          <w:rFonts w:hint="default" w:ascii="Times New Roman" w:hAnsi="Times New Roman" w:eastAsia="方正仿宋_GBK" w:cs="Times New Roman"/>
          <w:b w:val="0"/>
          <w:bCs/>
          <w:sz w:val="32"/>
          <w:szCs w:val="32"/>
        </w:rPr>
        <w:t>强化“三公”经费管理，从严控制“三公”经费支出。</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46" w:name="_Toc15377217"/>
      <w:r>
        <w:rPr>
          <w:rFonts w:hint="eastAsia" w:ascii="方正楷体_GBK" w:hAnsi="方正楷体_GBK" w:eastAsia="方正楷体_GBK" w:cs="方正楷体_GBK"/>
          <w:b/>
          <w:sz w:val="32"/>
          <w:szCs w:val="32"/>
        </w:rPr>
        <w:t>（二）“三公”经费财政拨款支出决算具体情况说明</w:t>
      </w:r>
      <w:bookmarkEnd w:id="46"/>
    </w:p>
    <w:p>
      <w:pPr>
        <w:spacing w:line="60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2024年度“三公”经费财政拨款支出决算中，因公出国（境）费支出决算0万元，占</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%；公务用车购置及运行维护费支出决算20.89万元，占</w:t>
      </w:r>
      <w:r>
        <w:rPr>
          <w:rFonts w:hint="default" w:ascii="Times New Roman" w:hAnsi="Times New Roman" w:eastAsia="方正仿宋_GBK" w:cs="Times New Roman"/>
          <w:sz w:val="32"/>
          <w:szCs w:val="32"/>
          <w:lang w:val="en-US" w:eastAsia="zh-CN"/>
        </w:rPr>
        <w:t>94.19</w:t>
      </w:r>
      <w:r>
        <w:rPr>
          <w:rFonts w:hint="default" w:ascii="Times New Roman" w:hAnsi="Times New Roman" w:eastAsia="方正仿宋_GBK" w:cs="Times New Roman"/>
          <w:sz w:val="32"/>
          <w:szCs w:val="32"/>
        </w:rPr>
        <w:t>%；公务接待费支出决算1.29万元，占</w:t>
      </w:r>
      <w:r>
        <w:rPr>
          <w:rFonts w:hint="default" w:ascii="Times New Roman" w:hAnsi="Times New Roman" w:eastAsia="方正仿宋_GBK" w:cs="Times New Roman"/>
          <w:sz w:val="32"/>
          <w:szCs w:val="32"/>
          <w:lang w:val="en-US" w:eastAsia="zh-CN"/>
        </w:rPr>
        <w:t>5.81</w:t>
      </w:r>
      <w:r>
        <w:rPr>
          <w:rFonts w:hint="default" w:ascii="Times New Roman" w:hAnsi="Times New Roman" w:eastAsia="方正仿宋_GBK" w:cs="Times New Roman"/>
          <w:sz w:val="32"/>
          <w:szCs w:val="32"/>
        </w:rPr>
        <w:t>%。具体情况如下：</w:t>
      </w:r>
    </w:p>
    <w:p>
      <w:pPr>
        <w:pStyle w:val="8"/>
        <w:ind w:left="0" w:leftChars="0" w:firstLine="0" w:firstLineChars="0"/>
        <w:jc w:val="center"/>
        <w:rPr>
          <w:rFonts w:eastAsia="仿宋_GB2312" w:cs="仿宋_GB2312"/>
          <w:sz w:val="32"/>
          <w:szCs w:val="32"/>
        </w:rPr>
      </w:pPr>
      <w:r>
        <w:pict>
          <v:shape id="_x0000_s2056" o:spid="_x0000_s2056" o:spt="75" type="#_x0000_t75" style="position:absolute;left:0pt;margin-left:-4.45pt;margin-top:0.35pt;height:206.8pt;width:423.55pt;mso-wrap-distance-bottom:0pt;mso-wrap-distance-top:0pt;z-index:251662336;mso-width-relative:page;mso-height-relative:page;" o:ole="t" filled="f" o:preferrelative="t" stroked="f" coordsize="21600,21600">
            <v:path/>
            <v:fill on="f" focussize="0,0"/>
            <v:stroke on="f"/>
            <v:imagedata r:id="rId22" o:title="olechartimg_1757384323061195_904306688"/>
            <o:lock v:ext="edit" aspectratio="f"/>
            <w10:wrap type="topAndBottom"/>
          </v:shape>
          <o:OLEObject Type="Embed" ProgID="Excel.Chart.8" ShapeID="_x0000_s2056" DrawAspect="Content" ObjectID="_1468075731" r:id="rId21">
            <o:LockedField>false</o:LockedField>
          </o:OLEObject>
        </w:pict>
      </w:r>
      <w:r>
        <w:rPr>
          <w:rFonts w:hint="eastAsia" w:eastAsia="仿宋_GB2312" w:cs="仿宋_GB2312"/>
          <w:sz w:val="32"/>
          <w:szCs w:val="32"/>
        </w:rPr>
        <w:t>（图7：“三公”经费财政拨款支出结构）</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1.因公出国（境）经费支出</w:t>
      </w:r>
      <w:r>
        <w:rPr>
          <w:rFonts w:hint="default" w:ascii="Times New Roman" w:hAnsi="Times New Roman" w:eastAsia="方正仿宋_GBK" w:cs="Times New Roman"/>
          <w:b/>
          <w:bCs/>
          <w:sz w:val="32"/>
          <w:szCs w:val="32"/>
          <w:lang w:val="en-US" w:eastAsia="zh-CN"/>
        </w:rPr>
        <w:t>0</w:t>
      </w:r>
      <w:r>
        <w:rPr>
          <w:rFonts w:hint="default" w:ascii="Times New Roman" w:hAnsi="Times New Roman" w:eastAsia="方正仿宋_GBK" w:cs="Times New Roman"/>
          <w:b/>
          <w:bCs/>
          <w:sz w:val="32"/>
          <w:szCs w:val="32"/>
        </w:rPr>
        <w:t>万元，完成预算</w:t>
      </w:r>
      <w:r>
        <w:rPr>
          <w:rFonts w:hint="default" w:ascii="Times New Roman" w:hAnsi="Times New Roman" w:eastAsia="方正仿宋_GBK" w:cs="Times New Roman"/>
          <w:b/>
          <w:bCs/>
          <w:sz w:val="32"/>
          <w:szCs w:val="32"/>
          <w:lang w:val="en-US" w:eastAsia="zh-CN"/>
        </w:rPr>
        <w:t>0</w:t>
      </w:r>
      <w:r>
        <w:rPr>
          <w:rFonts w:hint="default" w:ascii="Times New Roman" w:hAnsi="Times New Roman" w:eastAsia="方正仿宋_GBK" w:cs="Times New Roman"/>
          <w:b/>
          <w:bCs/>
          <w:sz w:val="32"/>
          <w:szCs w:val="32"/>
        </w:rPr>
        <w:t>%。</w:t>
      </w:r>
      <w:r>
        <w:rPr>
          <w:rFonts w:hint="default" w:ascii="Times New Roman" w:hAnsi="Times New Roman" w:eastAsia="方正仿宋_GBK" w:cs="Times New Roman"/>
          <w:sz w:val="32"/>
          <w:szCs w:val="32"/>
        </w:rPr>
        <w:t>全年安排因公出国（境）团组0次，出国（境）0人。因公出国（境）支出决算</w:t>
      </w:r>
      <w:r>
        <w:rPr>
          <w:rFonts w:hint="default" w:ascii="Times New Roman" w:hAnsi="Times New Roman" w:eastAsia="方正仿宋_GBK" w:cs="Times New Roman"/>
          <w:sz w:val="32"/>
          <w:szCs w:val="32"/>
          <w:lang w:eastAsia="zh-CN"/>
        </w:rPr>
        <w:t>与</w:t>
      </w:r>
      <w:r>
        <w:rPr>
          <w:rFonts w:hint="default" w:ascii="Times New Roman" w:hAnsi="Times New Roman" w:eastAsia="方正仿宋_GBK" w:cs="Times New Roman"/>
          <w:sz w:val="32"/>
          <w:szCs w:val="32"/>
        </w:rPr>
        <w:t>2023年</w:t>
      </w:r>
      <w:r>
        <w:rPr>
          <w:rFonts w:hint="default" w:ascii="Times New Roman" w:hAnsi="Times New Roman" w:eastAsia="方正仿宋_GBK" w:cs="Times New Roman"/>
          <w:sz w:val="32"/>
          <w:szCs w:val="32"/>
          <w:lang w:eastAsia="zh-CN"/>
        </w:rPr>
        <w:t>持平</w:t>
      </w:r>
      <w:r>
        <w:rPr>
          <w:rFonts w:hint="default" w:ascii="Times New Roman" w:hAnsi="Times New Roman" w:eastAsia="方正仿宋_GBK" w:cs="Times New Roman"/>
          <w:sz w:val="32"/>
          <w:szCs w:val="32"/>
        </w:rPr>
        <w:t>。主要原因是两年均无因公出国境情况。</w:t>
      </w:r>
    </w:p>
    <w:p>
      <w:pPr>
        <w:spacing w:line="600" w:lineRule="exact"/>
        <w:ind w:firstLine="64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b/>
          <w:bCs/>
          <w:sz w:val="32"/>
          <w:szCs w:val="32"/>
        </w:rPr>
        <w:t>2.公务用车购置及运行维护费支出20.89万元，完成预算</w:t>
      </w:r>
      <w:r>
        <w:rPr>
          <w:rFonts w:hint="default" w:ascii="Times New Roman" w:hAnsi="Times New Roman" w:eastAsia="方正仿宋_GBK" w:cs="Times New Roman"/>
          <w:b/>
          <w:bCs/>
          <w:sz w:val="32"/>
          <w:szCs w:val="32"/>
          <w:lang w:val="en-US" w:eastAsia="zh-CN"/>
        </w:rPr>
        <w:t>100</w:t>
      </w:r>
      <w:r>
        <w:rPr>
          <w:rFonts w:hint="default" w:ascii="Times New Roman" w:hAnsi="Times New Roman" w:eastAsia="方正仿宋_GBK" w:cs="Times New Roman"/>
          <w:b/>
          <w:bCs/>
          <w:sz w:val="32"/>
          <w:szCs w:val="32"/>
        </w:rPr>
        <w:t>%。</w:t>
      </w:r>
      <w:r>
        <w:rPr>
          <w:rFonts w:hint="default" w:ascii="Times New Roman" w:hAnsi="Times New Roman" w:eastAsia="方正仿宋_GBK" w:cs="Times New Roman"/>
          <w:sz w:val="32"/>
          <w:szCs w:val="32"/>
        </w:rPr>
        <w:t>公务用车购置及运行维护费支出决算比2023年度增加</w:t>
      </w:r>
      <w:r>
        <w:rPr>
          <w:rFonts w:hint="default" w:ascii="Times New Roman" w:hAnsi="Times New Roman" w:eastAsia="方正仿宋_GBK" w:cs="Times New Roman"/>
          <w:sz w:val="32"/>
          <w:szCs w:val="32"/>
          <w:lang w:val="en-US" w:eastAsia="zh-CN"/>
        </w:rPr>
        <w:t>18.43</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749.19</w:t>
      </w:r>
      <w:r>
        <w:rPr>
          <w:rFonts w:hint="default" w:ascii="Times New Roman" w:hAnsi="Times New Roman" w:eastAsia="方正仿宋_GBK" w:cs="Times New Roman"/>
          <w:sz w:val="32"/>
          <w:szCs w:val="32"/>
        </w:rPr>
        <w:t>%。主要原因是</w:t>
      </w:r>
      <w:r>
        <w:rPr>
          <w:rFonts w:hint="default" w:ascii="Times New Roman" w:hAnsi="Times New Roman" w:eastAsia="方正仿宋_GBK" w:cs="Times New Roman"/>
          <w:sz w:val="32"/>
          <w:szCs w:val="32"/>
          <w:lang w:val="en-US" w:eastAsia="zh-CN"/>
        </w:rPr>
        <w:t>2024年因关工委工作需要，新购置公务用车1辆，增加公务用车购置费和车辆保险费用。</w:t>
      </w:r>
    </w:p>
    <w:p>
      <w:pPr>
        <w:spacing w:line="60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其中：公务用车购置支出17.5万元。全年按规定更新购置公务用车</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辆，其中：轿车</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辆、金额</w:t>
      </w:r>
      <w:r>
        <w:rPr>
          <w:rFonts w:hint="default" w:ascii="Times New Roman" w:hAnsi="Times New Roman" w:eastAsia="方正仿宋_GBK" w:cs="Times New Roman"/>
          <w:sz w:val="32"/>
          <w:szCs w:val="32"/>
          <w:lang w:val="en-US" w:eastAsia="zh-CN"/>
        </w:rPr>
        <w:t>17.5</w:t>
      </w:r>
      <w:r>
        <w:rPr>
          <w:rFonts w:hint="default" w:ascii="Times New Roman" w:hAnsi="Times New Roman" w:eastAsia="方正仿宋_GBK" w:cs="Times New Roman"/>
          <w:sz w:val="32"/>
          <w:szCs w:val="32"/>
        </w:rPr>
        <w:t>万元，越野车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辆、金额</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万元，载客汽车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辆、金额</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万元，主要用于</w:t>
      </w:r>
      <w:r>
        <w:rPr>
          <w:rFonts w:hint="default" w:ascii="Times New Roman" w:hAnsi="Times New Roman" w:eastAsia="方正仿宋_GBK" w:cs="Times New Roman"/>
          <w:sz w:val="32"/>
          <w:szCs w:val="32"/>
          <w:lang w:eastAsia="zh-CN"/>
        </w:rPr>
        <w:t>保障关工委老同志公务出行</w:t>
      </w:r>
      <w:r>
        <w:rPr>
          <w:rFonts w:hint="default" w:ascii="Times New Roman" w:hAnsi="Times New Roman" w:eastAsia="方正仿宋_GBK" w:cs="Times New Roman"/>
          <w:sz w:val="32"/>
          <w:szCs w:val="32"/>
        </w:rPr>
        <w:t>。截至2024年12月31日，单位共有公务用车</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辆，其中：轿车</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辆、越野车</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辆、载客汽车</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辆。</w:t>
      </w:r>
    </w:p>
    <w:p>
      <w:pPr>
        <w:spacing w:line="56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公务用车运行维护费支出3.39万元。主要用于服务和保障老干部相关工作所需的公务用车燃料费、维修费、过路费、保险费等支出。</w:t>
      </w:r>
    </w:p>
    <w:p>
      <w:pPr>
        <w:spacing w:line="60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3.公务接待费支出1.29万元，完成预算</w:t>
      </w:r>
      <w:r>
        <w:rPr>
          <w:rFonts w:hint="default" w:ascii="Times New Roman" w:hAnsi="Times New Roman" w:eastAsia="方正仿宋_GBK" w:cs="Times New Roman"/>
          <w:b/>
          <w:bCs/>
          <w:sz w:val="32"/>
          <w:szCs w:val="32"/>
          <w:lang w:val="en-US" w:eastAsia="zh-CN"/>
        </w:rPr>
        <w:t>100</w:t>
      </w:r>
      <w:r>
        <w:rPr>
          <w:rFonts w:hint="default" w:ascii="Times New Roman" w:hAnsi="Times New Roman" w:eastAsia="方正仿宋_GBK" w:cs="Times New Roman"/>
          <w:b/>
          <w:bCs/>
          <w:sz w:val="32"/>
          <w:szCs w:val="32"/>
        </w:rPr>
        <w:t>%。</w:t>
      </w:r>
      <w:r>
        <w:rPr>
          <w:rFonts w:hint="default" w:ascii="Times New Roman" w:hAnsi="Times New Roman" w:eastAsia="方正仿宋_GBK" w:cs="Times New Roman"/>
          <w:sz w:val="32"/>
          <w:szCs w:val="32"/>
        </w:rPr>
        <w:t>公务接待费支出决算比2023年度增加</w:t>
      </w:r>
      <w:r>
        <w:rPr>
          <w:rFonts w:hint="default" w:ascii="Times New Roman" w:hAnsi="Times New Roman" w:eastAsia="方正仿宋_GBK" w:cs="Times New Roman"/>
          <w:sz w:val="32"/>
          <w:szCs w:val="32"/>
          <w:lang w:val="en-US" w:eastAsia="zh-CN"/>
        </w:rPr>
        <w:t>0.55</w:t>
      </w:r>
      <w:r>
        <w:rPr>
          <w:rFonts w:hint="default" w:ascii="Times New Roman" w:hAnsi="Times New Roman" w:eastAsia="方正仿宋_GBK" w:cs="Times New Roman"/>
          <w:sz w:val="32"/>
          <w:szCs w:val="32"/>
        </w:rPr>
        <w:t>万元，增长</w:t>
      </w:r>
      <w:r>
        <w:rPr>
          <w:rFonts w:hint="default" w:ascii="Times New Roman" w:hAnsi="Times New Roman" w:eastAsia="方正仿宋_GBK" w:cs="Times New Roman"/>
          <w:sz w:val="32"/>
          <w:szCs w:val="32"/>
          <w:lang w:val="en-US" w:eastAsia="zh-CN"/>
        </w:rPr>
        <w:t>74.32</w:t>
      </w:r>
      <w:r>
        <w:rPr>
          <w:rFonts w:hint="default" w:ascii="Times New Roman" w:hAnsi="Times New Roman" w:eastAsia="方正仿宋_GBK" w:cs="Times New Roman"/>
          <w:sz w:val="32"/>
          <w:szCs w:val="32"/>
        </w:rPr>
        <w:t>%。主要原因是根据工作实际2024年公务接待批次较上年多。其中：</w:t>
      </w:r>
    </w:p>
    <w:p>
      <w:pPr>
        <w:spacing w:line="600" w:lineRule="exact"/>
        <w:ind w:firstLine="640"/>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国内公务接待支出1.29万元，主要用于执行公务、开展业务活动开支的用餐费。国内公务接待11批次，57人次（不包括陪同人员），共计支出</w:t>
      </w:r>
      <w:r>
        <w:rPr>
          <w:rFonts w:hint="default" w:ascii="Times New Roman" w:hAnsi="Times New Roman" w:eastAsia="方正仿宋_GBK" w:cs="Times New Roman"/>
          <w:sz w:val="32"/>
          <w:szCs w:val="32"/>
          <w:lang w:val="en-US" w:eastAsia="zh-CN"/>
        </w:rPr>
        <w:t>1.29</w:t>
      </w:r>
      <w:r>
        <w:rPr>
          <w:rFonts w:hint="default" w:ascii="Times New Roman" w:hAnsi="Times New Roman" w:eastAsia="方正仿宋_GBK" w:cs="Times New Roman"/>
          <w:sz w:val="32"/>
          <w:szCs w:val="32"/>
        </w:rPr>
        <w:t>万元，具体内容包括：</w:t>
      </w:r>
      <w:r>
        <w:rPr>
          <w:rFonts w:hint="eastAsia" w:eastAsia="方正仿宋_GBK" w:cs="Times New Roman"/>
          <w:sz w:val="32"/>
          <w:szCs w:val="32"/>
          <w:lang w:eastAsia="zh-CN"/>
        </w:rPr>
        <w:t>友好市州老干部局来攀学习考察、上级部门来攀调研工作、</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关爱明天</w:t>
      </w:r>
      <w:r>
        <w:rPr>
          <w:rFonts w:hint="eastAsia"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杂志社来攀采访</w:t>
      </w:r>
      <w:r>
        <w:rPr>
          <w:rFonts w:hint="eastAsia" w:eastAsia="方正仿宋_GBK" w:cs="Times New Roman"/>
          <w:sz w:val="32"/>
          <w:szCs w:val="32"/>
          <w:lang w:val="en-US" w:eastAsia="zh-CN"/>
        </w:rPr>
        <w:t>调研等公务接待用餐费用。</w:t>
      </w:r>
    </w:p>
    <w:p>
      <w:pPr>
        <w:spacing w:line="600" w:lineRule="exact"/>
        <w:ind w:firstLine="64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外事接待支出0万元，外事接待0批次，0人次（不包括陪同人员），共计支出</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47" w:name="_Toc15377218"/>
      <w:bookmarkStart w:id="48" w:name="_Toc15396610"/>
      <w:r>
        <w:rPr>
          <w:rFonts w:hint="eastAsia" w:ascii="方正黑体_GBK" w:hAnsi="方正黑体_GBK" w:eastAsia="方正黑体_GBK" w:cs="方正黑体_GBK"/>
          <w:b/>
          <w:bCs/>
          <w:sz w:val="32"/>
          <w:szCs w:val="32"/>
        </w:rPr>
        <w:t>八、政府性基金预算支出决算情况说明</w:t>
      </w:r>
      <w:bookmarkEnd w:id="47"/>
      <w:bookmarkEnd w:id="48"/>
    </w:p>
    <w:p>
      <w:pPr>
        <w:spacing w:line="600" w:lineRule="exact"/>
        <w:ind w:firstLine="640"/>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rPr>
        <w:t>2024年度政府性基金预算财政拨款支出0万元。与2023年度</w:t>
      </w:r>
      <w:r>
        <w:rPr>
          <w:rFonts w:hint="eastAsia" w:ascii="Times New Roman" w:hAnsi="Times New Roman" w:eastAsia="方正仿宋_GBK" w:cs="Times New Roman"/>
          <w:sz w:val="32"/>
          <w:szCs w:val="32"/>
          <w:lang w:eastAsia="zh-CN"/>
        </w:rPr>
        <w:t>持平。</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49" w:name="_Toc15377219"/>
      <w:bookmarkStart w:id="50" w:name="_Toc15396611"/>
      <w:r>
        <w:rPr>
          <w:rFonts w:hint="eastAsia" w:ascii="方正黑体_GBK" w:hAnsi="方正黑体_GBK" w:eastAsia="方正黑体_GBK" w:cs="方正黑体_GBK"/>
          <w:b/>
          <w:bCs/>
          <w:sz w:val="32"/>
          <w:szCs w:val="32"/>
        </w:rPr>
        <w:t>九、国有资本经营预算支出决算情况说明</w:t>
      </w:r>
      <w:bookmarkEnd w:id="49"/>
      <w:bookmarkEnd w:id="50"/>
    </w:p>
    <w:p>
      <w:pPr>
        <w:spacing w:line="600" w:lineRule="exact"/>
        <w:ind w:firstLine="640"/>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rPr>
        <w:t>2024年度国有资本经营预算财政拨款支出0万元。与2023年度</w:t>
      </w:r>
      <w:r>
        <w:rPr>
          <w:rFonts w:hint="eastAsia" w:ascii="Times New Roman" w:hAnsi="Times New Roman" w:eastAsia="方正仿宋_GBK" w:cs="Times New Roman"/>
          <w:sz w:val="32"/>
          <w:szCs w:val="32"/>
          <w:lang w:eastAsia="zh-CN"/>
        </w:rPr>
        <w:t>持平。</w:t>
      </w:r>
    </w:p>
    <w:p>
      <w:pPr>
        <w:pStyle w:val="28"/>
        <w:spacing w:line="600" w:lineRule="exact"/>
        <w:ind w:firstLine="640"/>
        <w:outlineLvl w:val="1"/>
        <w:rPr>
          <w:rFonts w:hint="eastAsia" w:ascii="方正黑体_GBK" w:hAnsi="方正黑体_GBK" w:eastAsia="方正黑体_GBK" w:cs="方正黑体_GBK"/>
          <w:b/>
          <w:bCs/>
          <w:sz w:val="32"/>
          <w:szCs w:val="32"/>
        </w:rPr>
      </w:pPr>
      <w:bookmarkStart w:id="51" w:name="_Toc15377221"/>
      <w:bookmarkStart w:id="52" w:name="_Toc15396612"/>
      <w:r>
        <w:rPr>
          <w:rFonts w:hint="eastAsia" w:ascii="方正黑体_GBK" w:hAnsi="方正黑体_GBK" w:eastAsia="方正黑体_GBK" w:cs="方正黑体_GBK"/>
          <w:b/>
          <w:bCs/>
          <w:sz w:val="32"/>
          <w:szCs w:val="32"/>
        </w:rPr>
        <w:t>十、其他重要事项的情况说明</w:t>
      </w:r>
      <w:bookmarkEnd w:id="51"/>
      <w:bookmarkEnd w:id="52"/>
    </w:p>
    <w:p>
      <w:pPr>
        <w:spacing w:line="600" w:lineRule="exact"/>
        <w:ind w:firstLine="642" w:firstLineChars="200"/>
        <w:outlineLvl w:val="2"/>
        <w:rPr>
          <w:rFonts w:hint="eastAsia" w:ascii="方正楷体_GBK" w:hAnsi="方正楷体_GBK" w:eastAsia="方正楷体_GBK" w:cs="方正楷体_GBK"/>
          <w:b/>
          <w:sz w:val="32"/>
          <w:szCs w:val="32"/>
        </w:rPr>
      </w:pPr>
      <w:bookmarkStart w:id="53" w:name="_Toc15377222"/>
      <w:r>
        <w:rPr>
          <w:rFonts w:hint="eastAsia" w:ascii="方正楷体_GBK" w:hAnsi="方正楷体_GBK" w:eastAsia="方正楷体_GBK" w:cs="方正楷体_GBK"/>
          <w:b/>
          <w:sz w:val="32"/>
          <w:szCs w:val="32"/>
        </w:rPr>
        <w:t>（一）机关运行经费支出情况</w:t>
      </w:r>
      <w:bookmarkEnd w:id="53"/>
    </w:p>
    <w:p>
      <w:pPr>
        <w:spacing w:line="600" w:lineRule="exact"/>
        <w:ind w:firstLine="640"/>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rPr>
        <w:t>2024年度，中国共产党攀枝花市委员会老干部局机关运行经费支出66.91万元，比2023年度减少</w:t>
      </w:r>
      <w:r>
        <w:rPr>
          <w:rFonts w:hint="eastAsia" w:ascii="Times New Roman" w:hAnsi="Times New Roman" w:eastAsia="方正仿宋_GBK" w:cs="Times New Roman"/>
          <w:sz w:val="32"/>
          <w:szCs w:val="32"/>
          <w:lang w:val="en-US" w:eastAsia="zh-CN"/>
        </w:rPr>
        <w:t>0.82</w:t>
      </w:r>
      <w:r>
        <w:rPr>
          <w:rFonts w:hint="eastAsia" w:ascii="Times New Roman" w:hAnsi="Times New Roman" w:eastAsia="方正仿宋_GBK" w:cs="Times New Roman"/>
          <w:sz w:val="32"/>
          <w:szCs w:val="32"/>
        </w:rPr>
        <w:t>万元，下降</w:t>
      </w:r>
      <w:r>
        <w:rPr>
          <w:rFonts w:hint="eastAsia" w:ascii="Times New Roman" w:hAnsi="Times New Roman" w:eastAsia="方正仿宋_GBK" w:cs="Times New Roman"/>
          <w:sz w:val="32"/>
          <w:szCs w:val="32"/>
          <w:lang w:val="en-US" w:eastAsia="zh-CN"/>
        </w:rPr>
        <w:t>1.21</w:t>
      </w:r>
      <w:r>
        <w:rPr>
          <w:rFonts w:hint="eastAsia" w:ascii="Times New Roman" w:hAnsi="Times New Roman" w:eastAsia="方正仿宋_GBK" w:cs="Times New Roman"/>
          <w:sz w:val="32"/>
          <w:szCs w:val="32"/>
        </w:rPr>
        <w:t>%。主要原因是</w:t>
      </w:r>
      <w:r>
        <w:rPr>
          <w:rFonts w:hint="eastAsia" w:ascii="Times New Roman" w:hAnsi="Times New Roman" w:eastAsia="方正仿宋_GBK" w:cs="Times New Roman"/>
          <w:sz w:val="32"/>
          <w:szCs w:val="32"/>
          <w:lang w:eastAsia="zh-CN"/>
        </w:rPr>
        <w:t>厉行勤俭节约，严控各类一般性支出。</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54" w:name="_Toc15377223"/>
      <w:r>
        <w:rPr>
          <w:rFonts w:hint="eastAsia" w:ascii="方正楷体_GBK" w:hAnsi="方正楷体_GBK" w:eastAsia="方正楷体_GBK" w:cs="方正楷体_GBK"/>
          <w:b/>
          <w:sz w:val="32"/>
          <w:szCs w:val="32"/>
        </w:rPr>
        <w:t>（二）政府采购支出情况</w:t>
      </w:r>
      <w:bookmarkEnd w:id="54"/>
    </w:p>
    <w:p>
      <w:pPr>
        <w:spacing w:line="600" w:lineRule="exact"/>
        <w:ind w:firstLine="64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2024年度，中国共产党攀枝花市委员会老干部局政府采购支出总额1</w:t>
      </w:r>
      <w:r>
        <w:rPr>
          <w:rFonts w:hint="eastAsia" w:eastAsia="方正仿宋_GBK" w:cs="Times New Roman"/>
          <w:sz w:val="32"/>
          <w:szCs w:val="32"/>
          <w:lang w:val="en-US" w:eastAsia="zh-CN"/>
        </w:rPr>
        <w:t>10.13</w:t>
      </w:r>
      <w:r>
        <w:rPr>
          <w:rFonts w:hint="eastAsia" w:ascii="Times New Roman" w:hAnsi="Times New Roman" w:eastAsia="方正仿宋_GBK" w:cs="Times New Roman"/>
          <w:sz w:val="32"/>
          <w:szCs w:val="32"/>
        </w:rPr>
        <w:t>万元，其中：政府采购货物支出</w:t>
      </w:r>
      <w:r>
        <w:rPr>
          <w:rFonts w:hint="eastAsia" w:eastAsia="方正仿宋_GBK" w:cs="Times New Roman"/>
          <w:sz w:val="32"/>
          <w:szCs w:val="32"/>
          <w:lang w:val="en-US" w:eastAsia="zh-CN"/>
        </w:rPr>
        <w:t>66.39</w:t>
      </w:r>
      <w:r>
        <w:rPr>
          <w:rFonts w:hint="eastAsia" w:ascii="Times New Roman" w:hAnsi="Times New Roman" w:eastAsia="方正仿宋_GBK" w:cs="Times New Roman"/>
          <w:sz w:val="32"/>
          <w:szCs w:val="32"/>
        </w:rPr>
        <w:t>万元、政府采购工程支出</w:t>
      </w:r>
      <w:r>
        <w:rPr>
          <w:rFonts w:hint="eastAsia" w:eastAsia="方正仿宋_GBK" w:cs="Times New Roman"/>
          <w:sz w:val="32"/>
          <w:szCs w:val="32"/>
          <w:lang w:val="en-US" w:eastAsia="zh-CN"/>
        </w:rPr>
        <w:t>42.62</w:t>
      </w:r>
      <w:r>
        <w:rPr>
          <w:rFonts w:hint="eastAsia" w:ascii="Times New Roman" w:hAnsi="Times New Roman" w:eastAsia="方正仿宋_GBK" w:cs="Times New Roman"/>
          <w:sz w:val="32"/>
          <w:szCs w:val="32"/>
        </w:rPr>
        <w:t>万元、政府采购服务支出1.12万元。</w:t>
      </w:r>
      <w:r>
        <w:rPr>
          <w:rFonts w:hint="eastAsia" w:ascii="Times New Roman" w:hAnsi="Times New Roman" w:eastAsia="方正仿宋_GBK" w:cs="Times New Roman"/>
          <w:sz w:val="32"/>
          <w:szCs w:val="32"/>
          <w:lang w:eastAsia="zh-CN"/>
        </w:rPr>
        <w:t>政府采购货物和工程支出，</w:t>
      </w:r>
      <w:r>
        <w:rPr>
          <w:rFonts w:hint="eastAsia" w:ascii="Times New Roman" w:hAnsi="Times New Roman" w:eastAsia="方正仿宋_GBK" w:cs="Times New Roman"/>
          <w:sz w:val="32"/>
          <w:szCs w:val="32"/>
        </w:rPr>
        <w:t>主要用于市老年大学</w:t>
      </w:r>
      <w:r>
        <w:rPr>
          <w:rFonts w:hint="eastAsia" w:ascii="Times New Roman" w:hAnsi="Times New Roman" w:eastAsia="方正仿宋_GBK" w:cs="Times New Roman"/>
          <w:sz w:val="32"/>
          <w:szCs w:val="32"/>
          <w:lang w:eastAsia="zh-CN"/>
        </w:rPr>
        <w:t>打造</w:t>
      </w:r>
      <w:r>
        <w:rPr>
          <w:rFonts w:hint="eastAsia" w:ascii="Times New Roman" w:hAnsi="Times New Roman" w:eastAsia="方正仿宋_GBK" w:cs="Times New Roman"/>
          <w:sz w:val="32"/>
          <w:szCs w:val="32"/>
        </w:rPr>
        <w:t>老年教育提升示范</w:t>
      </w:r>
      <w:r>
        <w:rPr>
          <w:rFonts w:hint="eastAsia" w:ascii="Times New Roman" w:hAnsi="Times New Roman" w:eastAsia="方正仿宋_GBK" w:cs="Times New Roman"/>
          <w:sz w:val="32"/>
          <w:szCs w:val="32"/>
          <w:lang w:eastAsia="zh-CN"/>
        </w:rPr>
        <w:t>基地，进行</w:t>
      </w:r>
      <w:r>
        <w:rPr>
          <w:rFonts w:hint="eastAsia" w:ascii="Times New Roman" w:hAnsi="Times New Roman" w:eastAsia="方正仿宋_GBK" w:cs="Times New Roman"/>
          <w:sz w:val="32"/>
          <w:szCs w:val="32"/>
          <w:lang w:val="zh-CN"/>
        </w:rPr>
        <w:t>基础设施提升和功能性教学场地改造</w:t>
      </w:r>
      <w:r>
        <w:rPr>
          <w:rFonts w:hint="eastAsia" w:ascii="Times New Roman" w:hAnsi="Times New Roman" w:eastAsia="方正仿宋_GBK" w:cs="Times New Roman"/>
          <w:sz w:val="32"/>
          <w:szCs w:val="32"/>
          <w:lang w:eastAsia="zh-CN"/>
        </w:rPr>
        <w:t>；政府采购服务支出，主要用于公务</w:t>
      </w:r>
      <w:r>
        <w:rPr>
          <w:rFonts w:hint="eastAsia" w:eastAsia="方正仿宋_GBK" w:cs="Times New Roman"/>
          <w:sz w:val="32"/>
          <w:szCs w:val="32"/>
          <w:lang w:eastAsia="zh-CN"/>
        </w:rPr>
        <w:t>用</w:t>
      </w:r>
      <w:r>
        <w:rPr>
          <w:rFonts w:hint="eastAsia" w:ascii="Times New Roman" w:hAnsi="Times New Roman" w:eastAsia="方正仿宋_GBK" w:cs="Times New Roman"/>
          <w:sz w:val="32"/>
          <w:szCs w:val="32"/>
          <w:lang w:eastAsia="zh-CN"/>
        </w:rPr>
        <w:t>车维修、加油和购买保险。</w:t>
      </w:r>
      <w:r>
        <w:rPr>
          <w:rFonts w:hint="eastAsia" w:ascii="Times New Roman" w:hAnsi="Times New Roman" w:eastAsia="方正仿宋_GBK" w:cs="Times New Roman"/>
          <w:sz w:val="32"/>
          <w:szCs w:val="32"/>
        </w:rPr>
        <w:t>授予中小企业合同金额</w:t>
      </w:r>
      <w:r>
        <w:rPr>
          <w:rFonts w:hint="eastAsia" w:eastAsia="方正仿宋_GBK" w:cs="Times New Roman"/>
          <w:sz w:val="32"/>
          <w:szCs w:val="32"/>
          <w:lang w:val="en-US" w:eastAsia="zh-CN"/>
        </w:rPr>
        <w:t>109.08</w:t>
      </w:r>
      <w:r>
        <w:rPr>
          <w:rFonts w:hint="eastAsia" w:ascii="Times New Roman" w:hAnsi="Times New Roman" w:eastAsia="方正仿宋_GBK" w:cs="Times New Roman"/>
          <w:sz w:val="32"/>
          <w:szCs w:val="32"/>
        </w:rPr>
        <w:t>万元，占政府采购支出总额的</w:t>
      </w:r>
      <w:r>
        <w:rPr>
          <w:rFonts w:hint="eastAsia" w:eastAsia="方正仿宋_GBK" w:cs="Times New Roman"/>
          <w:sz w:val="32"/>
          <w:szCs w:val="32"/>
          <w:lang w:val="en-US" w:eastAsia="zh-CN"/>
        </w:rPr>
        <w:t>99.05</w:t>
      </w:r>
      <w:r>
        <w:rPr>
          <w:rFonts w:hint="eastAsia" w:ascii="Times New Roman" w:hAnsi="Times New Roman" w:eastAsia="方正仿宋_GBK" w:cs="Times New Roman"/>
          <w:sz w:val="32"/>
          <w:szCs w:val="32"/>
        </w:rPr>
        <w:t>%，其中：授予小微企业合同金额60.09万元，占政府采购支出总额的</w:t>
      </w:r>
      <w:r>
        <w:rPr>
          <w:rFonts w:hint="eastAsia" w:eastAsia="方正仿宋_GBK" w:cs="Times New Roman"/>
          <w:sz w:val="32"/>
          <w:szCs w:val="32"/>
          <w:lang w:val="en-US" w:eastAsia="zh-CN"/>
        </w:rPr>
        <w:t>54.56</w:t>
      </w:r>
      <w:r>
        <w:rPr>
          <w:rFonts w:hint="eastAsia" w:ascii="Times New Roman" w:hAnsi="Times New Roman" w:eastAsia="方正仿宋_GBK" w:cs="Times New Roman"/>
          <w:sz w:val="32"/>
          <w:szCs w:val="32"/>
        </w:rPr>
        <w:t>%。</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55" w:name="_Toc15377224"/>
      <w:r>
        <w:rPr>
          <w:rFonts w:hint="eastAsia" w:ascii="方正楷体_GBK" w:hAnsi="方正楷体_GBK" w:eastAsia="方正楷体_GBK" w:cs="方正楷体_GBK"/>
          <w:b/>
          <w:sz w:val="32"/>
          <w:szCs w:val="32"/>
        </w:rPr>
        <w:t>（三）国有资产占有使用情况</w:t>
      </w:r>
      <w:bookmarkEnd w:id="55"/>
    </w:p>
    <w:p>
      <w:pPr>
        <w:spacing w:line="600" w:lineRule="exact"/>
        <w:ind w:firstLine="64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截至2024年12月31日，中国共产党攀枝花市委员会老干部局共有车辆3辆，其中：主要负责人用车0辆、机要通信用车0辆、应急保障用车0辆、其他用车3辆，其他用车主要用于服务保障离退休干部工作。单价100万元（含）以上设备（不含车辆）0台（套）。</w:t>
      </w:r>
    </w:p>
    <w:p>
      <w:pPr>
        <w:spacing w:line="600" w:lineRule="exact"/>
        <w:ind w:firstLine="642" w:firstLineChars="200"/>
        <w:outlineLvl w:val="2"/>
        <w:rPr>
          <w:rFonts w:hint="eastAsia" w:ascii="方正楷体_GBK" w:hAnsi="方正楷体_GBK" w:eastAsia="方正楷体_GBK" w:cs="方正楷体_GBK"/>
          <w:b/>
          <w:sz w:val="32"/>
          <w:szCs w:val="32"/>
        </w:rPr>
      </w:pPr>
      <w:r>
        <w:rPr>
          <w:rFonts w:hint="eastAsia" w:ascii="方正楷体_GBK" w:hAnsi="方正楷体_GBK" w:eastAsia="方正楷体_GBK" w:cs="方正楷体_GBK"/>
          <w:b/>
          <w:sz w:val="32"/>
          <w:szCs w:val="32"/>
        </w:rPr>
        <w:t>（四）预算绩效管理情况</w:t>
      </w:r>
    </w:p>
    <w:p>
      <w:pPr>
        <w:spacing w:line="600" w:lineRule="exact"/>
        <w:ind w:firstLine="64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根据预算绩效管理要求，中国共产党攀枝花市委员会老干部局在2024年度预算编制阶段，组织对</w:t>
      </w:r>
      <w:r>
        <w:rPr>
          <w:rFonts w:hint="eastAsia" w:ascii="Times New Roman" w:hAnsi="Times New Roman" w:eastAsia="方正仿宋_GBK" w:cs="Times New Roman"/>
          <w:sz w:val="32"/>
          <w:szCs w:val="32"/>
          <w:lang w:eastAsia="zh-CN"/>
        </w:rPr>
        <w:t>老干部活动经费、老年大学办学经费、养老服务业发展补助资金（省级）、关工委综合业务费</w:t>
      </w:r>
      <w:r>
        <w:rPr>
          <w:rFonts w:hint="eastAsia" w:ascii="Times New Roman" w:hAnsi="Times New Roman" w:eastAsia="方正仿宋_GBK" w:cs="Times New Roman"/>
          <w:sz w:val="32"/>
          <w:szCs w:val="32"/>
        </w:rPr>
        <w:t>等</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个项目开展了预算事前绩效评估，对</w:t>
      </w:r>
      <w:r>
        <w:rPr>
          <w:rFonts w:hint="eastAsia" w:ascii="Times New Roman" w:hAnsi="Times New Roman" w:eastAsia="方正仿宋_GBK" w:cs="Times New Roman"/>
          <w:sz w:val="32"/>
          <w:szCs w:val="32"/>
          <w:lang w:val="en-US" w:eastAsia="zh-CN"/>
        </w:rPr>
        <w:t>10</w:t>
      </w:r>
      <w:r>
        <w:rPr>
          <w:rFonts w:hint="eastAsia" w:ascii="Times New Roman" w:hAnsi="Times New Roman" w:eastAsia="方正仿宋_GBK" w:cs="Times New Roman"/>
          <w:sz w:val="32"/>
          <w:szCs w:val="32"/>
        </w:rPr>
        <w:t>个项目编制了绩效目标，预算执行过程中，选取</w:t>
      </w:r>
      <w:r>
        <w:rPr>
          <w:rFonts w:hint="eastAsia" w:ascii="Times New Roman" w:hAnsi="Times New Roman" w:eastAsia="方正仿宋_GBK" w:cs="Times New Roman"/>
          <w:sz w:val="32"/>
          <w:szCs w:val="32"/>
          <w:lang w:val="en-US" w:eastAsia="zh-CN"/>
        </w:rPr>
        <w:t>10</w:t>
      </w:r>
      <w:r>
        <w:rPr>
          <w:rFonts w:hint="eastAsia" w:ascii="Times New Roman" w:hAnsi="Times New Roman" w:eastAsia="方正仿宋_GBK" w:cs="Times New Roman"/>
          <w:sz w:val="32"/>
          <w:szCs w:val="32"/>
        </w:rPr>
        <w:t>个项目开展绩效监控。</w:t>
      </w:r>
    </w:p>
    <w:p>
      <w:pPr>
        <w:spacing w:line="600" w:lineRule="exact"/>
        <w:ind w:firstLine="64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组织对2024年度一般公共预算全面开展绩效自评，形成中国共产党攀枝花市委员会老干部局部门整体（含部门预算项目）绩效自评报告、</w:t>
      </w:r>
      <w:r>
        <w:rPr>
          <w:rFonts w:hint="eastAsia" w:ascii="Times New Roman" w:hAnsi="Times New Roman" w:eastAsia="方正仿宋_GBK" w:cs="Times New Roman"/>
          <w:sz w:val="32"/>
          <w:szCs w:val="32"/>
          <w:lang w:eastAsia="zh-CN"/>
        </w:rPr>
        <w:t>养老服务业发展补助资金（省级）</w:t>
      </w:r>
      <w:r>
        <w:rPr>
          <w:rFonts w:hint="eastAsia" w:ascii="Times New Roman" w:hAnsi="Times New Roman" w:eastAsia="方正仿宋_GBK" w:cs="Times New Roman"/>
          <w:sz w:val="32"/>
          <w:szCs w:val="32"/>
        </w:rPr>
        <w:t>专项预算项目绩效自评报告，其中，中国共产党攀枝花市委员会老干部局部门整体（含部门预算项目）绩效自评得分为</w:t>
      </w:r>
      <w:r>
        <w:rPr>
          <w:rFonts w:hint="eastAsia" w:ascii="Times New Roman" w:hAnsi="Times New Roman" w:eastAsia="方正仿宋_GBK" w:cs="Times New Roman"/>
          <w:sz w:val="32"/>
          <w:szCs w:val="32"/>
          <w:lang w:val="en-US" w:eastAsia="zh-CN"/>
        </w:rPr>
        <w:t>87.18</w:t>
      </w:r>
      <w:r>
        <w:rPr>
          <w:rFonts w:hint="eastAsia" w:ascii="Times New Roman" w:hAnsi="Times New Roman" w:eastAsia="方正仿宋_GBK" w:cs="Times New Roman"/>
          <w:sz w:val="32"/>
          <w:szCs w:val="32"/>
        </w:rPr>
        <w:t>分，绩效自评综述</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严格对照部门预算绩效评价指标体系逐一进行评价</w:t>
      </w:r>
      <w:r>
        <w:rPr>
          <w:rFonts w:hint="eastAsia" w:eastAsia="方正仿宋_GBK" w:cs="Times New Roman"/>
          <w:sz w:val="32"/>
          <w:szCs w:val="32"/>
          <w:lang w:eastAsia="zh-CN"/>
        </w:rPr>
        <w:t>。</w:t>
      </w:r>
      <w:r>
        <w:rPr>
          <w:rFonts w:hint="eastAsia" w:ascii="Times New Roman" w:hAnsi="Times New Roman" w:eastAsia="方正仿宋_GBK" w:cs="Times New Roman"/>
          <w:sz w:val="32"/>
          <w:szCs w:val="32"/>
        </w:rPr>
        <w:t>市委老干部局高度重视预算绩效管理，年度履职效能好，财务管理制度健全，经费支出审核把关严格，资产管理和采购管理规范，项目绩效目标实现较好；</w:t>
      </w:r>
      <w:r>
        <w:rPr>
          <w:rFonts w:hint="eastAsia" w:ascii="Times New Roman" w:hAnsi="Times New Roman" w:eastAsia="方正仿宋_GBK" w:cs="Times New Roman"/>
          <w:sz w:val="32"/>
          <w:szCs w:val="32"/>
          <w:lang w:eastAsia="zh-CN"/>
        </w:rPr>
        <w:t>养老服务业发展补助资金（省级）</w:t>
      </w:r>
      <w:r>
        <w:rPr>
          <w:rFonts w:hint="eastAsia" w:ascii="Times New Roman" w:hAnsi="Times New Roman" w:eastAsia="方正仿宋_GBK" w:cs="Times New Roman"/>
          <w:sz w:val="32"/>
          <w:szCs w:val="32"/>
        </w:rPr>
        <w:t>专项预算项目绩效自评得分为</w:t>
      </w:r>
      <w:r>
        <w:rPr>
          <w:rFonts w:hint="eastAsia" w:ascii="Times New Roman" w:hAnsi="Times New Roman" w:eastAsia="方正仿宋_GBK" w:cs="Times New Roman"/>
          <w:sz w:val="32"/>
          <w:szCs w:val="32"/>
          <w:lang w:val="en-US" w:eastAsia="zh-CN"/>
        </w:rPr>
        <w:t>95</w:t>
      </w:r>
      <w:r>
        <w:rPr>
          <w:rFonts w:hint="eastAsia" w:ascii="Times New Roman" w:hAnsi="Times New Roman" w:eastAsia="方正仿宋_GBK" w:cs="Times New Roman"/>
          <w:sz w:val="32"/>
          <w:szCs w:val="32"/>
        </w:rPr>
        <w:t>分，绩效自评综述</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zh-CN"/>
        </w:rPr>
        <w:t>结合项目自身特点，重点围绕项目实施过程、目标完成情况进行评价</w:t>
      </w:r>
      <w:r>
        <w:rPr>
          <w:rFonts w:hint="eastAsia" w:eastAsia="方正仿宋_GBK" w:cs="Times New Roman"/>
          <w:sz w:val="32"/>
          <w:szCs w:val="32"/>
          <w:lang w:val="zh-CN"/>
        </w:rPr>
        <w:t>。</w:t>
      </w:r>
      <w:r>
        <w:rPr>
          <w:rFonts w:hint="eastAsia" w:ascii="Times New Roman" w:hAnsi="Times New Roman" w:eastAsia="方正仿宋_GBK" w:cs="Times New Roman"/>
          <w:sz w:val="32"/>
          <w:szCs w:val="32"/>
          <w:lang w:val="zh-CN"/>
        </w:rPr>
        <w:t>该项目决策程序严密，管理制度完备，实施计划周全，资金使用合规，完成校园文化打造</w:t>
      </w:r>
      <w:r>
        <w:rPr>
          <w:rFonts w:hint="eastAsia" w:ascii="Times New Roman" w:hAnsi="Times New Roman" w:eastAsia="方正仿宋_GBK" w:cs="Times New Roman"/>
          <w:sz w:val="32"/>
          <w:szCs w:val="32"/>
        </w:rPr>
        <w:t>8处</w:t>
      </w:r>
      <w:r>
        <w:rPr>
          <w:rFonts w:hint="eastAsia" w:ascii="Times New Roman" w:hAnsi="Times New Roman" w:eastAsia="方正仿宋_GBK" w:cs="Times New Roman"/>
          <w:sz w:val="32"/>
          <w:szCs w:val="32"/>
          <w:lang w:val="zh-CN"/>
        </w:rPr>
        <w:t>、基础设施提升</w:t>
      </w:r>
      <w:r>
        <w:rPr>
          <w:rFonts w:hint="eastAsia" w:ascii="Times New Roman" w:hAnsi="Times New Roman" w:eastAsia="方正仿宋_GBK" w:cs="Times New Roman"/>
          <w:sz w:val="32"/>
          <w:szCs w:val="32"/>
        </w:rPr>
        <w:t>4处</w:t>
      </w:r>
      <w:r>
        <w:rPr>
          <w:rFonts w:hint="eastAsia" w:ascii="Times New Roman" w:hAnsi="Times New Roman" w:eastAsia="方正仿宋_GBK" w:cs="Times New Roman"/>
          <w:sz w:val="32"/>
          <w:szCs w:val="32"/>
          <w:lang w:val="zh-CN"/>
        </w:rPr>
        <w:t>、功能性教学场地改造</w:t>
      </w:r>
      <w:r>
        <w:rPr>
          <w:rFonts w:hint="eastAsia" w:ascii="Times New Roman" w:hAnsi="Times New Roman" w:eastAsia="方正仿宋_GBK" w:cs="Times New Roman"/>
          <w:sz w:val="32"/>
          <w:szCs w:val="32"/>
        </w:rPr>
        <w:t>11处</w:t>
      </w:r>
      <w:r>
        <w:rPr>
          <w:rFonts w:hint="eastAsia" w:ascii="Times New Roman" w:hAnsi="Times New Roman" w:eastAsia="方正仿宋_GBK" w:cs="Times New Roman"/>
          <w:sz w:val="32"/>
          <w:szCs w:val="32"/>
          <w:lang w:val="zh-CN"/>
        </w:rPr>
        <w:t>、游学养示范点</w:t>
      </w:r>
      <w:r>
        <w:rPr>
          <w:rFonts w:hint="eastAsia" w:ascii="Times New Roman" w:hAnsi="Times New Roman" w:eastAsia="方正仿宋_GBK" w:cs="Times New Roman"/>
          <w:sz w:val="32"/>
          <w:szCs w:val="32"/>
        </w:rPr>
        <w:t>1个、网上老年大学课程建设16科</w:t>
      </w:r>
      <w:r>
        <w:rPr>
          <w:rFonts w:hint="eastAsia" w:ascii="Times New Roman" w:hAnsi="Times New Roman" w:eastAsia="方正仿宋_GBK" w:cs="Times New Roman"/>
          <w:sz w:val="32"/>
          <w:szCs w:val="32"/>
          <w:lang w:val="zh-CN"/>
        </w:rPr>
        <w:t>、组建老年志愿服务队</w:t>
      </w:r>
      <w:r>
        <w:rPr>
          <w:rFonts w:hint="eastAsia" w:ascii="Times New Roman" w:hAnsi="Times New Roman" w:eastAsia="方正仿宋_GBK" w:cs="Times New Roman"/>
          <w:sz w:val="32"/>
          <w:szCs w:val="32"/>
        </w:rPr>
        <w:t>1支</w:t>
      </w:r>
      <w:bookmarkStart w:id="56" w:name="OLE_LINK4"/>
      <w:bookmarkStart w:id="57" w:name="OLE_LINK3"/>
      <w:r>
        <w:rPr>
          <w:rFonts w:hint="eastAsia" w:ascii="Times New Roman" w:hAnsi="Times New Roman" w:eastAsia="方正仿宋_GBK" w:cs="Times New Roman"/>
          <w:sz w:val="32"/>
          <w:szCs w:val="32"/>
          <w:lang w:eastAsia="zh-CN"/>
        </w:rPr>
        <w:t>，</w:t>
      </w:r>
      <w:bookmarkEnd w:id="56"/>
      <w:bookmarkEnd w:id="57"/>
      <w:r>
        <w:rPr>
          <w:rFonts w:hint="eastAsia" w:ascii="Times New Roman" w:hAnsi="Times New Roman" w:eastAsia="方正仿宋_GBK" w:cs="Times New Roman"/>
          <w:sz w:val="32"/>
          <w:szCs w:val="32"/>
          <w:lang w:val="zh-CN"/>
        </w:rPr>
        <w:t>绩效目标完成较好，达到了预期社会效益，老同志满意度较好。</w:t>
      </w:r>
      <w:r>
        <w:rPr>
          <w:rFonts w:hint="eastAsia" w:ascii="Times New Roman" w:hAnsi="Times New Roman" w:eastAsia="方正仿宋_GBK" w:cs="Times New Roman"/>
          <w:sz w:val="32"/>
          <w:szCs w:val="32"/>
        </w:rPr>
        <w:t>绩效自评报告详见附件。</w:t>
      </w:r>
    </w:p>
    <w:p>
      <w:pPr>
        <w:spacing w:line="600" w:lineRule="exact"/>
        <w:ind w:firstLine="640"/>
        <w:rPr>
          <w:rFonts w:eastAsia="仿宋_GB2312" w:cs="仿宋_GB2312"/>
          <w:sz w:val="32"/>
          <w:szCs w:val="32"/>
        </w:rPr>
      </w:pPr>
    </w:p>
    <w:p>
      <w:pPr>
        <w:pStyle w:val="2"/>
        <w:rPr>
          <w:rFonts w:eastAsia="仿宋_GB2312" w:cs="仿宋_GB2312"/>
          <w:sz w:val="32"/>
          <w:szCs w:val="32"/>
        </w:rPr>
      </w:pPr>
    </w:p>
    <w:p>
      <w:pPr>
        <w:rPr>
          <w:rFonts w:eastAsia="仿宋_GB2312" w:cs="仿宋_GB2312"/>
          <w:sz w:val="32"/>
          <w:szCs w:val="32"/>
        </w:rPr>
      </w:pPr>
    </w:p>
    <w:p>
      <w:pPr>
        <w:pStyle w:val="2"/>
        <w:rPr>
          <w:rFonts w:eastAsia="仿宋_GB2312" w:cs="仿宋_GB2312"/>
          <w:sz w:val="32"/>
          <w:szCs w:val="32"/>
        </w:rPr>
      </w:pPr>
    </w:p>
    <w:p>
      <w:pPr>
        <w:rPr>
          <w:rFonts w:eastAsia="仿宋_GB2312" w:cs="仿宋_GB2312"/>
          <w:sz w:val="32"/>
          <w:szCs w:val="32"/>
        </w:rPr>
      </w:pPr>
    </w:p>
    <w:p>
      <w:pPr>
        <w:pStyle w:val="2"/>
        <w:rPr>
          <w:rFonts w:eastAsia="仿宋_GB2312" w:cs="仿宋_GB2312"/>
          <w:sz w:val="32"/>
          <w:szCs w:val="32"/>
        </w:rPr>
      </w:pPr>
    </w:p>
    <w:p>
      <w:pPr>
        <w:rPr>
          <w:rFonts w:eastAsia="仿宋_GB2312" w:cs="仿宋_GB2312"/>
          <w:sz w:val="32"/>
          <w:szCs w:val="32"/>
        </w:rPr>
      </w:pPr>
    </w:p>
    <w:p>
      <w:pPr>
        <w:pStyle w:val="2"/>
        <w:rPr>
          <w:rFonts w:eastAsia="仿宋_GB2312" w:cs="仿宋_GB2312"/>
          <w:sz w:val="32"/>
          <w:szCs w:val="32"/>
        </w:rPr>
      </w:pPr>
    </w:p>
    <w:p>
      <w:pPr>
        <w:rPr>
          <w:rFonts w:eastAsia="仿宋_GB2312" w:cs="仿宋_GB2312"/>
          <w:sz w:val="32"/>
          <w:szCs w:val="32"/>
        </w:rPr>
      </w:pPr>
    </w:p>
    <w:p>
      <w:pPr>
        <w:pStyle w:val="2"/>
        <w:rPr>
          <w:rFonts w:eastAsia="仿宋_GB2312" w:cs="仿宋_GB2312"/>
          <w:sz w:val="32"/>
          <w:szCs w:val="32"/>
        </w:rPr>
      </w:pPr>
    </w:p>
    <w:p>
      <w:pPr>
        <w:rPr>
          <w:rFonts w:eastAsia="仿宋_GB2312" w:cs="仿宋_GB2312"/>
          <w:sz w:val="32"/>
          <w:szCs w:val="32"/>
        </w:rPr>
      </w:pPr>
    </w:p>
    <w:p>
      <w:pPr>
        <w:pStyle w:val="2"/>
        <w:rPr>
          <w:rFonts w:eastAsia="仿宋_GB2312" w:cs="仿宋_GB2312"/>
          <w:sz w:val="32"/>
          <w:szCs w:val="32"/>
        </w:rPr>
      </w:pPr>
    </w:p>
    <w:p>
      <w:pPr>
        <w:spacing w:line="600" w:lineRule="exact"/>
        <w:jc w:val="center"/>
        <w:outlineLvl w:val="0"/>
        <w:rPr>
          <w:rFonts w:hint="eastAsia" w:eastAsia="黑体"/>
          <w:sz w:val="44"/>
          <w:szCs w:val="44"/>
        </w:rPr>
      </w:pPr>
      <w:bookmarkStart w:id="58" w:name="_Toc15377225"/>
      <w:bookmarkStart w:id="59" w:name="_Toc15396613"/>
    </w:p>
    <w:p>
      <w:pPr>
        <w:spacing w:line="600" w:lineRule="exact"/>
        <w:jc w:val="center"/>
        <w:outlineLvl w:val="0"/>
        <w:rPr>
          <w:rFonts w:eastAsia="黑体"/>
          <w:sz w:val="44"/>
          <w:szCs w:val="44"/>
        </w:rPr>
      </w:pPr>
      <w:r>
        <w:rPr>
          <w:rFonts w:hint="eastAsia" w:eastAsia="黑体"/>
          <w:sz w:val="44"/>
          <w:szCs w:val="44"/>
        </w:rPr>
        <w:t>第三部分</w:t>
      </w:r>
      <w:r>
        <w:rPr>
          <w:rFonts w:hint="eastAsia" w:eastAsia="黑体"/>
          <w:sz w:val="44"/>
          <w:szCs w:val="44"/>
          <w:lang w:val="en-US" w:eastAsia="zh-CN"/>
        </w:rPr>
        <w:t xml:space="preserve">  </w:t>
      </w:r>
      <w:r>
        <w:rPr>
          <w:rFonts w:hint="eastAsia" w:eastAsia="黑体"/>
          <w:sz w:val="44"/>
          <w:szCs w:val="44"/>
        </w:rPr>
        <w:t>名词解释</w:t>
      </w:r>
      <w:bookmarkEnd w:id="58"/>
      <w:bookmarkEnd w:id="59"/>
    </w:p>
    <w:p>
      <w:pPr>
        <w:spacing w:line="600" w:lineRule="exact"/>
        <w:jc w:val="left"/>
        <w:rPr>
          <w:b/>
          <w:sz w:val="44"/>
          <w:szCs w:val="44"/>
        </w:rPr>
      </w:pP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1.财政拨款收入：指单位从同级财政部门取得的财政预算资金。</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2.事业收入：指事业单位开展专业业务活动及辅助活动取得的收入。</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3.经营收入：指事业单位在专业业务活动及其辅助活动之外开展非独立核算经营活动取得的收入。</w:t>
      </w:r>
    </w:p>
    <w:p>
      <w:pPr>
        <w:spacing w:line="600" w:lineRule="exact"/>
        <w:ind w:firstLine="64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zh-CN"/>
        </w:rPr>
        <w:t>4.其他收入：指单位取得的除上述收入以外的各项收入。</w:t>
      </w:r>
      <w:r>
        <w:rPr>
          <w:rFonts w:hint="eastAsia" w:ascii="Times New Roman" w:hAnsi="Times New Roman" w:eastAsia="方正仿宋_GBK" w:cs="Times New Roman"/>
          <w:sz w:val="32"/>
          <w:szCs w:val="32"/>
          <w:lang w:val="en-US" w:eastAsia="zh-CN"/>
        </w:rPr>
        <w:t xml:space="preserve">  </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5.一般公共服务支出（类）组织事务（款）其他组织事务支出（项）:指其他用于中国共产党组织部门的事务支出。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6</w:t>
      </w:r>
      <w:r>
        <w:rPr>
          <w:rFonts w:hint="eastAsia" w:ascii="Times New Roman" w:hAnsi="Times New Roman" w:eastAsia="方正仿宋_GBK" w:cs="Times New Roman"/>
          <w:sz w:val="32"/>
          <w:szCs w:val="32"/>
          <w:lang w:val="zh-CN"/>
        </w:rPr>
        <w:t>.一般公共服务支出（类）其他共产党事务支出（款）行政运行（项）:指行政单位（包括实行公务员管理的事业单位）的基本支出。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7</w:t>
      </w:r>
      <w:r>
        <w:rPr>
          <w:rFonts w:hint="eastAsia" w:ascii="Times New Roman" w:hAnsi="Times New Roman" w:eastAsia="方正仿宋_GBK" w:cs="Times New Roman"/>
          <w:sz w:val="32"/>
          <w:szCs w:val="32"/>
          <w:lang w:val="zh-CN"/>
        </w:rPr>
        <w:t>.一般公共服务支出（类）其他共产党事务支出（款）事业运行（项）:指事业单位的基本支出，不包括行政单位（包括实行公务员管理的事业单位）后勤服务中心、医务室等附属事业单位。</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8</w:t>
      </w:r>
      <w:r>
        <w:rPr>
          <w:rFonts w:hint="eastAsia" w:ascii="Times New Roman" w:hAnsi="Times New Roman" w:eastAsia="方正仿宋_GBK" w:cs="Times New Roman"/>
          <w:sz w:val="32"/>
          <w:szCs w:val="32"/>
          <w:lang w:val="zh-CN"/>
        </w:rPr>
        <w:t>.一般公共服务支出（类）其他共产党事务支出（款）一般行政管理事务（项）:指行政单位（包括实行公务员管理的事业单位）未单独设置项级科目的其他项目支出。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9</w:t>
      </w:r>
      <w:r>
        <w:rPr>
          <w:rFonts w:hint="eastAsia" w:ascii="Times New Roman" w:hAnsi="Times New Roman" w:eastAsia="方正仿宋_GBK" w:cs="Times New Roman"/>
          <w:sz w:val="32"/>
          <w:szCs w:val="32"/>
          <w:lang w:val="zh-CN"/>
        </w:rPr>
        <w:t>.社会保障和就业（类）行政事业单位养老支出（款）机关事业单位基本养老保险缴费支出（项）:指机关事业单位实施养老保险制度由单位缴纳的基本养老保险费支出。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10</w:t>
      </w:r>
      <w:r>
        <w:rPr>
          <w:rFonts w:hint="eastAsia" w:ascii="Times New Roman" w:hAnsi="Times New Roman" w:eastAsia="方正仿宋_GBK" w:cs="Times New Roman"/>
          <w:sz w:val="32"/>
          <w:szCs w:val="32"/>
          <w:lang w:val="zh-CN"/>
        </w:rPr>
        <w:t>.社会保障和就业（类）行政事业单位养老支出（款）机关事业单位</w:t>
      </w:r>
      <w:r>
        <w:rPr>
          <w:rFonts w:hint="eastAsia" w:ascii="Times New Roman" w:hAnsi="Times New Roman" w:eastAsia="方正仿宋_GBK" w:cs="Times New Roman"/>
          <w:sz w:val="32"/>
          <w:szCs w:val="32"/>
          <w:lang w:val="zh-CN" w:eastAsia="zh-CN"/>
        </w:rPr>
        <w:t>职业年金</w:t>
      </w:r>
      <w:r>
        <w:rPr>
          <w:rFonts w:hint="eastAsia" w:ascii="Times New Roman" w:hAnsi="Times New Roman" w:eastAsia="方正仿宋_GBK" w:cs="Times New Roman"/>
          <w:sz w:val="32"/>
          <w:szCs w:val="32"/>
          <w:lang w:val="zh-CN"/>
        </w:rPr>
        <w:t>缴费支出（项）:指机关事业单位实施养老保险制度由单位</w:t>
      </w:r>
      <w:r>
        <w:rPr>
          <w:rFonts w:hint="eastAsia" w:ascii="Times New Roman" w:hAnsi="Times New Roman" w:eastAsia="方正仿宋_GBK" w:cs="Times New Roman"/>
          <w:sz w:val="32"/>
          <w:szCs w:val="32"/>
          <w:lang w:val="zh-CN" w:eastAsia="zh-CN"/>
        </w:rPr>
        <w:t>实际</w:t>
      </w:r>
      <w:r>
        <w:rPr>
          <w:rFonts w:hint="eastAsia" w:ascii="Times New Roman" w:hAnsi="Times New Roman" w:eastAsia="方正仿宋_GBK" w:cs="Times New Roman"/>
          <w:sz w:val="32"/>
          <w:szCs w:val="32"/>
          <w:lang w:val="zh-CN"/>
        </w:rPr>
        <w:t>缴纳的</w:t>
      </w:r>
      <w:r>
        <w:rPr>
          <w:rFonts w:hint="eastAsia" w:ascii="Times New Roman" w:hAnsi="Times New Roman" w:eastAsia="方正仿宋_GBK" w:cs="Times New Roman"/>
          <w:sz w:val="32"/>
          <w:szCs w:val="32"/>
          <w:lang w:val="zh-CN" w:eastAsia="zh-CN"/>
        </w:rPr>
        <w:t>职业年金</w:t>
      </w:r>
      <w:r>
        <w:rPr>
          <w:rFonts w:hint="eastAsia" w:ascii="Times New Roman" w:hAnsi="Times New Roman" w:eastAsia="方正仿宋_GBK" w:cs="Times New Roman"/>
          <w:sz w:val="32"/>
          <w:szCs w:val="32"/>
          <w:lang w:val="zh-CN"/>
        </w:rPr>
        <w:t>支出</w:t>
      </w:r>
      <w:r>
        <w:rPr>
          <w:rFonts w:hint="eastAsia" w:ascii="Times New Roman" w:hAnsi="Times New Roman" w:eastAsia="方正仿宋_GBK" w:cs="Times New Roman"/>
          <w:sz w:val="32"/>
          <w:szCs w:val="32"/>
          <w:lang w:val="zh-CN" w:eastAsia="zh-CN"/>
        </w:rPr>
        <w:t>（含职业年金补记支出）</w:t>
      </w:r>
      <w:r>
        <w:rPr>
          <w:rFonts w:hint="eastAsia" w:ascii="Times New Roman" w:hAnsi="Times New Roman" w:eastAsia="方正仿宋_GBK" w:cs="Times New Roman"/>
          <w:sz w:val="32"/>
          <w:szCs w:val="32"/>
          <w:lang w:val="zh-CN"/>
        </w:rPr>
        <w:t>。</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w:t>
      </w:r>
      <w:r>
        <w:rPr>
          <w:rFonts w:hint="eastAsia" w:eastAsia="方正仿宋_GBK" w:cs="Times New Roman"/>
          <w:sz w:val="32"/>
          <w:szCs w:val="32"/>
          <w:lang w:val="en-US" w:eastAsia="zh-CN"/>
        </w:rPr>
        <w:t>1</w:t>
      </w:r>
      <w:r>
        <w:rPr>
          <w:rFonts w:hint="eastAsia" w:ascii="Times New Roman" w:hAnsi="Times New Roman" w:eastAsia="方正仿宋_GBK" w:cs="Times New Roman"/>
          <w:sz w:val="32"/>
          <w:szCs w:val="32"/>
          <w:lang w:val="zh-CN"/>
        </w:rPr>
        <w:t>.社会保障和就业（类）社会福利（款）儿童福利（项）:指对儿童提供福利服务方面的支出。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w:t>
      </w:r>
      <w:r>
        <w:rPr>
          <w:rFonts w:hint="eastAsia" w:eastAsia="方正仿宋_GBK" w:cs="Times New Roman"/>
          <w:sz w:val="32"/>
          <w:szCs w:val="32"/>
          <w:lang w:val="en-US" w:eastAsia="zh-CN"/>
        </w:rPr>
        <w:t>2</w:t>
      </w:r>
      <w:r>
        <w:rPr>
          <w:rFonts w:hint="eastAsia" w:ascii="Times New Roman" w:hAnsi="Times New Roman" w:eastAsia="方正仿宋_GBK" w:cs="Times New Roman"/>
          <w:sz w:val="32"/>
          <w:szCs w:val="32"/>
          <w:lang w:val="zh-CN"/>
        </w:rPr>
        <w:t>.社会保障和就业（类）社会福利（款）</w:t>
      </w:r>
      <w:r>
        <w:rPr>
          <w:rFonts w:hint="eastAsia" w:ascii="Times New Roman" w:hAnsi="Times New Roman" w:eastAsia="方正仿宋_GBK" w:cs="Times New Roman"/>
          <w:sz w:val="32"/>
          <w:szCs w:val="32"/>
          <w:lang w:val="zh-CN" w:eastAsia="zh-CN"/>
        </w:rPr>
        <w:t>养老服务</w:t>
      </w:r>
      <w:r>
        <w:rPr>
          <w:rFonts w:hint="eastAsia" w:ascii="Times New Roman" w:hAnsi="Times New Roman" w:eastAsia="方正仿宋_GBK" w:cs="Times New Roman"/>
          <w:sz w:val="32"/>
          <w:szCs w:val="32"/>
          <w:lang w:val="zh-CN"/>
        </w:rPr>
        <w:t>（项）:指</w:t>
      </w:r>
      <w:r>
        <w:rPr>
          <w:rFonts w:hint="eastAsia" w:ascii="Times New Roman" w:hAnsi="Times New Roman" w:eastAsia="方正仿宋_GBK" w:cs="Times New Roman"/>
          <w:sz w:val="32"/>
          <w:szCs w:val="32"/>
          <w:lang w:val="zh-CN" w:eastAsia="zh-CN"/>
        </w:rPr>
        <w:t>财政在养老服务方面的补助支出，包括支持居家养老服务、社区养老服务和机构养老服务的支出，对养老服务机构的运营、建设补助支出等。</w:t>
      </w:r>
    </w:p>
    <w:p>
      <w:pPr>
        <w:spacing w:line="600" w:lineRule="exact"/>
        <w:ind w:firstLine="640"/>
        <w:rPr>
          <w:rFonts w:hint="eastAsia" w:ascii="Times New Roman" w:hAnsi="Times New Roman" w:eastAsia="方正仿宋_GBK" w:cs="Times New Roman"/>
          <w:sz w:val="32"/>
          <w:szCs w:val="32"/>
          <w:lang w:val="zh-CN"/>
        </w:rPr>
      </w:pPr>
      <w:r>
        <w:rPr>
          <w:rFonts w:hint="eastAsia" w:eastAsia="方正仿宋_GBK" w:cs="Times New Roman"/>
          <w:sz w:val="32"/>
          <w:szCs w:val="32"/>
          <w:lang w:val="en-US" w:eastAsia="zh-CN"/>
        </w:rPr>
        <w:t>13</w:t>
      </w:r>
      <w:r>
        <w:rPr>
          <w:rFonts w:hint="eastAsia" w:ascii="Times New Roman" w:hAnsi="Times New Roman" w:eastAsia="方正仿宋_GBK" w:cs="Times New Roman"/>
          <w:sz w:val="32"/>
          <w:szCs w:val="32"/>
          <w:lang w:val="zh-CN"/>
        </w:rPr>
        <w:t>.卫生健康支出（类）行政事业单位医疗（款）行政单位医疗（项）:指财政部门安排的行政单位（包括实行公务员管理的事业单位）基本医疗保险缴费经费，未参加医疗保险的行政单位的公费医疗经费，按国家规定享受离休人员、红军老战士待遇人员的医疗经费。</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w:t>
      </w:r>
      <w:r>
        <w:rPr>
          <w:rFonts w:hint="eastAsia" w:eastAsia="方正仿宋_GBK" w:cs="Times New Roman"/>
          <w:sz w:val="32"/>
          <w:szCs w:val="32"/>
          <w:lang w:val="en-US" w:eastAsia="zh-CN"/>
        </w:rPr>
        <w:t>4</w:t>
      </w:r>
      <w:r>
        <w:rPr>
          <w:rFonts w:hint="eastAsia" w:ascii="Times New Roman" w:hAnsi="Times New Roman" w:eastAsia="方正仿宋_GBK" w:cs="Times New Roman"/>
          <w:sz w:val="32"/>
          <w:szCs w:val="32"/>
          <w:lang w:val="zh-CN"/>
        </w:rPr>
        <w:t>.卫生健康支出（类）行政事业单位医疗（款）事业单位医疗（项）:指财政部门安排的事业单位基本医疗保险缴费经费，未参加医疗保险的事业单位的公费医疗经费，按国家规定享受离休人员待遇的医疗经费。</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w:t>
      </w:r>
      <w:r>
        <w:rPr>
          <w:rFonts w:hint="eastAsia" w:eastAsia="方正仿宋_GBK" w:cs="Times New Roman"/>
          <w:sz w:val="32"/>
          <w:szCs w:val="32"/>
          <w:lang w:val="en-US" w:eastAsia="zh-CN"/>
        </w:rPr>
        <w:t>5</w:t>
      </w:r>
      <w:r>
        <w:rPr>
          <w:rFonts w:hint="eastAsia" w:ascii="Times New Roman" w:hAnsi="Times New Roman" w:eastAsia="方正仿宋_GBK" w:cs="Times New Roman"/>
          <w:sz w:val="32"/>
          <w:szCs w:val="32"/>
          <w:lang w:val="zh-CN"/>
        </w:rPr>
        <w:t>.卫生健康支出（类）行政事业单位医疗（款）公务员医疗补助（项）：指财政部门安排的公务员医疗补助经费。</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w:t>
      </w:r>
      <w:r>
        <w:rPr>
          <w:rFonts w:hint="eastAsia" w:eastAsia="方正仿宋_GBK" w:cs="Times New Roman"/>
          <w:sz w:val="32"/>
          <w:szCs w:val="32"/>
          <w:lang w:val="en-US" w:eastAsia="zh-CN"/>
        </w:rPr>
        <w:t>6</w:t>
      </w:r>
      <w:r>
        <w:rPr>
          <w:rFonts w:hint="eastAsia" w:ascii="Times New Roman" w:hAnsi="Times New Roman" w:eastAsia="方正仿宋_GBK" w:cs="Times New Roman"/>
          <w:sz w:val="32"/>
          <w:szCs w:val="32"/>
          <w:lang w:val="zh-CN"/>
        </w:rPr>
        <w:t>.卫生健康支出（类）行政事业单位医疗（款）其他行政事业单位医疗支出（项）：指其他用于行政事业单位医疗方面的支出。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1</w:t>
      </w:r>
      <w:r>
        <w:rPr>
          <w:rFonts w:hint="eastAsia" w:eastAsia="方正仿宋_GBK" w:cs="Times New Roman"/>
          <w:sz w:val="32"/>
          <w:szCs w:val="32"/>
          <w:lang w:val="en-US" w:eastAsia="zh-CN"/>
        </w:rPr>
        <w:t>7</w:t>
      </w:r>
      <w:r>
        <w:rPr>
          <w:rFonts w:hint="eastAsia" w:ascii="Times New Roman" w:hAnsi="Times New Roman" w:eastAsia="方正仿宋_GBK" w:cs="Times New Roman"/>
          <w:sz w:val="32"/>
          <w:szCs w:val="32"/>
          <w:lang w:val="zh-CN"/>
        </w:rPr>
        <w:t>.卫生健康支出（类）其他卫生健康支出（款）其他卫生健康支出（项）：指其他用于行政事业单位医疗方面的支出。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1</w:t>
      </w:r>
      <w:r>
        <w:rPr>
          <w:rFonts w:hint="eastAsia" w:eastAsia="方正仿宋_GBK" w:cs="Times New Roman"/>
          <w:sz w:val="32"/>
          <w:szCs w:val="32"/>
          <w:lang w:val="en-US" w:eastAsia="zh-CN"/>
        </w:rPr>
        <w:t>8</w:t>
      </w:r>
      <w:r>
        <w:rPr>
          <w:rFonts w:hint="eastAsia" w:ascii="Times New Roman" w:hAnsi="Times New Roman" w:eastAsia="方正仿宋_GBK" w:cs="Times New Roman"/>
          <w:sz w:val="32"/>
          <w:szCs w:val="32"/>
          <w:lang w:val="zh-CN"/>
        </w:rPr>
        <w:t>.住房保障（类）住房改革支出（款）住房公积金（项）:指行政事业单位按人力资源和社会保障部、财政部规定的基本工资和津贴补贴以及规定比例为职工缴纳的住房公积金。</w:t>
      </w:r>
    </w:p>
    <w:p>
      <w:pPr>
        <w:spacing w:line="600" w:lineRule="exact"/>
        <w:ind w:firstLine="640"/>
        <w:rPr>
          <w:rFonts w:hint="eastAsia" w:ascii="Times New Roman" w:hAnsi="Times New Roman" w:eastAsia="方正仿宋_GBK" w:cs="Times New Roman"/>
          <w:sz w:val="32"/>
          <w:szCs w:val="32"/>
          <w:lang w:val="zh-CN"/>
        </w:rPr>
      </w:pPr>
      <w:r>
        <w:rPr>
          <w:rFonts w:hint="eastAsia" w:eastAsia="方正仿宋_GBK" w:cs="Times New Roman"/>
          <w:sz w:val="32"/>
          <w:szCs w:val="32"/>
          <w:lang w:val="en-US" w:eastAsia="zh-CN"/>
        </w:rPr>
        <w:t>19</w:t>
      </w:r>
      <w:r>
        <w:rPr>
          <w:rFonts w:hint="eastAsia" w:ascii="Times New Roman" w:hAnsi="Times New Roman" w:eastAsia="方正仿宋_GBK" w:cs="Times New Roman"/>
          <w:sz w:val="32"/>
          <w:szCs w:val="32"/>
          <w:lang w:val="zh-CN"/>
        </w:rPr>
        <w:t>.基本支出：指为保障机构正常运转、完成日常工作任务而发生的人员支出和公用支出。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2</w:t>
      </w:r>
      <w:r>
        <w:rPr>
          <w:rFonts w:hint="eastAsia" w:eastAsia="方正仿宋_GBK" w:cs="Times New Roman"/>
          <w:sz w:val="32"/>
          <w:szCs w:val="32"/>
          <w:lang w:val="en-US" w:eastAsia="zh-CN"/>
        </w:rPr>
        <w:t>0</w:t>
      </w:r>
      <w:r>
        <w:rPr>
          <w:rFonts w:hint="eastAsia" w:ascii="Times New Roman" w:hAnsi="Times New Roman" w:eastAsia="方正仿宋_GBK" w:cs="Times New Roman"/>
          <w:sz w:val="32"/>
          <w:szCs w:val="32"/>
          <w:lang w:val="zh-CN"/>
        </w:rPr>
        <w:t xml:space="preserve">.项目支出：指在基本支出之外为完成特定行政任务和事业发展目标所发生的支出。 </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2</w:t>
      </w:r>
      <w:r>
        <w:rPr>
          <w:rFonts w:hint="eastAsia" w:eastAsia="方正仿宋_GBK" w:cs="Times New Roman"/>
          <w:sz w:val="32"/>
          <w:szCs w:val="32"/>
          <w:lang w:val="en-US" w:eastAsia="zh-CN"/>
        </w:rPr>
        <w:t>1</w:t>
      </w:r>
      <w:r>
        <w:rPr>
          <w:rFonts w:hint="eastAsia" w:ascii="Times New Roman" w:hAnsi="Times New Roman" w:eastAsia="方正仿宋_GBK" w:cs="Times New Roman"/>
          <w:sz w:val="32"/>
          <w:szCs w:val="32"/>
          <w:lang w:val="zh-CN"/>
        </w:rPr>
        <w:t>.经营支出：指事业单位在专业业务活动及其辅助活动之外开展非独立核算经营活动发生的支出。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2</w:t>
      </w:r>
      <w:r>
        <w:rPr>
          <w:rFonts w:hint="eastAsia" w:eastAsia="方正仿宋_GBK" w:cs="Times New Roman"/>
          <w:sz w:val="32"/>
          <w:szCs w:val="32"/>
          <w:lang w:val="en-US" w:eastAsia="zh-CN"/>
        </w:rPr>
        <w:t>2</w:t>
      </w:r>
      <w:r>
        <w:rPr>
          <w:rFonts w:hint="eastAsia" w:ascii="Times New Roman" w:hAnsi="Times New Roman" w:eastAsia="方正仿宋_GBK" w:cs="Times New Roman"/>
          <w:sz w:val="32"/>
          <w:szCs w:val="32"/>
          <w:lang w:val="zh-CN"/>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en-US" w:eastAsia="zh-CN"/>
        </w:rPr>
        <w:t>2</w:t>
      </w:r>
      <w:r>
        <w:rPr>
          <w:rFonts w:hint="eastAsia" w:eastAsia="方正仿宋_GBK" w:cs="Times New Roman"/>
          <w:sz w:val="32"/>
          <w:szCs w:val="32"/>
          <w:lang w:val="en-US" w:eastAsia="zh-CN"/>
        </w:rPr>
        <w:t>3</w:t>
      </w:r>
      <w:bookmarkStart w:id="81" w:name="_GoBack"/>
      <w:bookmarkEnd w:id="81"/>
      <w:r>
        <w:rPr>
          <w:rFonts w:hint="eastAsia" w:ascii="Times New Roman" w:hAnsi="Times New Roman" w:eastAsia="方正仿宋_GBK" w:cs="Times New Roman"/>
          <w:sz w:val="32"/>
          <w:szCs w:val="32"/>
          <w:lang w:val="zh-CN"/>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rPr>
          <w:rStyle w:val="29"/>
          <w:rFonts w:eastAsia="黑体"/>
          <w:b w:val="0"/>
        </w:rPr>
      </w:pPr>
      <w:bookmarkStart w:id="60" w:name="_Toc15377226"/>
      <w:r>
        <w:rPr>
          <w:rFonts w:hint="eastAsia" w:eastAsia="仿宋_GB2312" w:cs="仿宋_GB2312"/>
          <w:sz w:val="32"/>
          <w:szCs w:val="32"/>
        </w:rPr>
        <w:br w:type="page"/>
      </w:r>
      <w:bookmarkStart w:id="61" w:name="_Toc15396614"/>
      <w:r>
        <w:rPr>
          <w:rFonts w:hint="eastAsia" w:eastAsia="黑体"/>
          <w:sz w:val="44"/>
          <w:szCs w:val="44"/>
        </w:rPr>
        <w:t>第四部分</w:t>
      </w:r>
      <w:r>
        <w:rPr>
          <w:rFonts w:hint="eastAsia" w:eastAsia="黑体"/>
          <w:sz w:val="44"/>
          <w:szCs w:val="44"/>
          <w:lang w:val="en-US" w:eastAsia="zh-CN"/>
        </w:rPr>
        <w:t xml:space="preserve">  </w:t>
      </w:r>
      <w:r>
        <w:rPr>
          <w:rFonts w:hint="eastAsia" w:eastAsia="黑体"/>
          <w:sz w:val="44"/>
          <w:szCs w:val="44"/>
        </w:rPr>
        <w:t>附件</w:t>
      </w:r>
      <w:bookmarkEnd w:id="61"/>
    </w:p>
    <w:p>
      <w:pPr>
        <w:spacing w:line="572" w:lineRule="exact"/>
        <w:jc w:val="left"/>
        <w:outlineLvl w:val="0"/>
        <w:rPr>
          <w:rFonts w:eastAsia="黑体" w:cs="黑体"/>
          <w:color w:val="FF0000"/>
          <w:sz w:val="32"/>
          <w:szCs w:val="32"/>
        </w:rPr>
      </w:pPr>
    </w:p>
    <w:p>
      <w:pPr>
        <w:spacing w:line="572" w:lineRule="exact"/>
        <w:jc w:val="left"/>
        <w:outlineLvl w:val="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附件1</w:t>
      </w:r>
    </w:p>
    <w:p>
      <w:pPr>
        <w:widowControl/>
        <w:spacing w:line="578" w:lineRule="exact"/>
        <w:contextualSpacing/>
        <w:jc w:val="center"/>
        <w:rPr>
          <w:rFonts w:eastAsia="方正小标宋简体"/>
          <w:bCs/>
          <w:sz w:val="44"/>
          <w:szCs w:val="44"/>
          <w:shd w:val="clear" w:color="auto" w:fill="FFFFFF"/>
        </w:rPr>
      </w:pPr>
    </w:p>
    <w:p>
      <w:pPr>
        <w:widowControl/>
        <w:spacing w:line="578" w:lineRule="exact"/>
        <w:contextualSpacing/>
        <w:jc w:val="center"/>
        <w:rPr>
          <w:rFonts w:eastAsia="方正小标宋简体"/>
          <w:b/>
          <w:bCs w:val="0"/>
          <w:sz w:val="44"/>
          <w:szCs w:val="44"/>
          <w:shd w:val="clear" w:color="auto" w:fill="FFFFFF"/>
        </w:rPr>
      </w:pPr>
      <w:r>
        <w:rPr>
          <w:rFonts w:eastAsia="方正小标宋简体"/>
          <w:b/>
          <w:bCs w:val="0"/>
          <w:sz w:val="44"/>
          <w:szCs w:val="44"/>
          <w:shd w:val="clear" w:color="auto" w:fill="FFFFFF"/>
        </w:rPr>
        <w:t>部门预算绩效</w:t>
      </w:r>
      <w:r>
        <w:rPr>
          <w:rFonts w:hint="eastAsia" w:eastAsia="方正小标宋简体"/>
          <w:b/>
          <w:bCs w:val="0"/>
          <w:sz w:val="44"/>
          <w:szCs w:val="44"/>
          <w:shd w:val="clear" w:color="auto" w:fill="FFFFFF"/>
        </w:rPr>
        <w:t>评价</w:t>
      </w:r>
      <w:r>
        <w:rPr>
          <w:rFonts w:eastAsia="方正小标宋简体"/>
          <w:b/>
          <w:bCs w:val="0"/>
          <w:sz w:val="44"/>
          <w:szCs w:val="44"/>
          <w:shd w:val="clear" w:color="auto" w:fill="FFFFFF"/>
        </w:rPr>
        <w:t>报告</w:t>
      </w:r>
    </w:p>
    <w:p>
      <w:pPr>
        <w:pStyle w:val="2"/>
      </w:pPr>
    </w:p>
    <w:p>
      <w:pPr>
        <w:widowControl/>
        <w:spacing w:line="550" w:lineRule="exact"/>
        <w:contextualSpacing/>
        <w:jc w:val="left"/>
        <w:rPr>
          <w:rFonts w:hint="eastAsia" w:ascii="方正黑体_GBK" w:eastAsia="方正黑体_GBK"/>
          <w:b/>
          <w:bCs/>
          <w:sz w:val="32"/>
          <w:szCs w:val="32"/>
        </w:rPr>
      </w:pPr>
      <w:r>
        <w:rPr>
          <w:rFonts w:hint="eastAsia" w:ascii="方正黑体_GBK" w:eastAsia="方正黑体_GBK"/>
          <w:b/>
          <w:bCs/>
          <w:color w:val="000000"/>
          <w:kern w:val="0"/>
          <w:sz w:val="32"/>
          <w:szCs w:val="32"/>
          <w:shd w:val="clear" w:color="auto" w:fill="FFFFFF"/>
        </w:rPr>
        <w:t xml:space="preserve"> </w:t>
      </w:r>
      <w:r>
        <w:rPr>
          <w:rFonts w:hint="eastAsia" w:ascii="方正黑体_GBK" w:eastAsia="方正黑体_GBK"/>
          <w:b/>
          <w:bCs/>
          <w:color w:val="000000"/>
          <w:kern w:val="0"/>
          <w:sz w:val="32"/>
          <w:szCs w:val="32"/>
          <w:shd w:val="clear" w:color="auto" w:fill="FFFFFF"/>
          <w:lang w:val="en-US" w:eastAsia="zh-CN"/>
        </w:rPr>
        <w:t xml:space="preserve">    </w:t>
      </w:r>
      <w:r>
        <w:rPr>
          <w:rFonts w:hint="eastAsia" w:ascii="方正黑体_GBK" w:eastAsia="方正黑体_GBK"/>
          <w:b/>
          <w:bCs/>
          <w:color w:val="000000"/>
          <w:kern w:val="0"/>
          <w:sz w:val="32"/>
          <w:szCs w:val="32"/>
          <w:shd w:val="clear" w:color="auto" w:fill="FFFFFF"/>
          <w:lang w:val="zh-CN"/>
        </w:rPr>
        <w:t>一、部门基本情况</w:t>
      </w:r>
    </w:p>
    <w:p>
      <w:pPr>
        <w:tabs>
          <w:tab w:val="left" w:pos="3792"/>
        </w:tabs>
        <w:spacing w:line="550" w:lineRule="exact"/>
        <w:ind w:firstLine="642" w:firstLineChars="200"/>
        <w:contextualSpacing/>
        <w:rPr>
          <w:rFonts w:eastAsia="方正仿宋_GBK"/>
          <w:snapToGrid w:val="0"/>
          <w:kern w:val="0"/>
          <w:sz w:val="33"/>
          <w:szCs w:val="33"/>
          <w:lang w:val="zh-CN"/>
        </w:rPr>
      </w:pPr>
      <w:r>
        <w:rPr>
          <w:rFonts w:hint="eastAsia" w:ascii="方正楷体_GBK" w:hAnsi="方正楷体_GBK" w:eastAsia="方正楷体_GBK" w:cs="方正楷体_GBK"/>
          <w:b/>
          <w:sz w:val="32"/>
          <w:szCs w:val="32"/>
          <w:lang w:val="zh-CN"/>
        </w:rPr>
        <w:t>（一）机构组成。</w:t>
      </w:r>
      <w:r>
        <w:rPr>
          <w:rFonts w:hint="eastAsia" w:ascii="Times New Roman" w:hAnsi="Times New Roman" w:eastAsia="方正仿宋_GBK" w:cs="Times New Roman"/>
          <w:sz w:val="32"/>
          <w:szCs w:val="32"/>
          <w:lang w:val="zh-CN"/>
        </w:rPr>
        <w:t>市委老干部局为主管全市老干部工作的职能部门，下设办公室、安置保健科、综合调研科、关心下一代工作科。市委老干部局为一级预算单位，有下属非独立核算单位2个，其中参照公务员法管理的事业单位1个：市炳草岗干部休养所；其他事业单位1个：市老干部活动中心（市老年大学、市委老干部党校）。</w:t>
      </w:r>
    </w:p>
    <w:p>
      <w:pPr>
        <w:tabs>
          <w:tab w:val="left" w:pos="3792"/>
        </w:tabs>
        <w:spacing w:line="550" w:lineRule="exact"/>
        <w:ind w:firstLine="642" w:firstLineChars="200"/>
        <w:contextualSpacing/>
        <w:rPr>
          <w:rFonts w:hint="eastAsia" w:ascii="Times New Roman" w:hAnsi="Times New Roman" w:eastAsia="方正仿宋_GBK" w:cs="Times New Roman"/>
          <w:sz w:val="32"/>
          <w:szCs w:val="32"/>
          <w:lang w:val="zh-CN"/>
        </w:rPr>
      </w:pPr>
      <w:r>
        <w:rPr>
          <w:rFonts w:hint="eastAsia" w:ascii="方正楷体_GBK" w:hAnsi="方正楷体_GBK" w:eastAsia="方正楷体_GBK" w:cs="方正楷体_GBK"/>
          <w:b/>
          <w:sz w:val="32"/>
          <w:szCs w:val="32"/>
          <w:lang w:val="zh-CN"/>
        </w:rPr>
        <w:t>（二）机构职能。</w:t>
      </w:r>
      <w:r>
        <w:rPr>
          <w:rFonts w:hint="eastAsia" w:ascii="Times New Roman" w:hAnsi="Times New Roman" w:eastAsia="方正仿宋_GBK" w:cs="Times New Roman"/>
          <w:sz w:val="32"/>
          <w:szCs w:val="32"/>
          <w:lang w:val="zh-CN"/>
        </w:rPr>
        <w:t>（1）贯彻执行党中央、国务院和省委、省政府关于老干部工作的方针、政策和市委、市政府的有关规定，向市委报告全市老干部工作情况，提出工作建议；拟定、完善老干部工作相关制度、规定并组织实施。（2）指导县（区）、市级部门、大企业开展老干部工作，推进信息化精准化规范化建设，督促、检查具体执行情况。加强老干部工作部门自身建设和本系统干部队伍建设。（3）指导推进全市老干部政治思想建设，配合各级党委（党组）规范和加强离退休干部党组织建设，指导离退休干部党支部（党小组）开展活动；融入“康养党建”工作，引导离退休干部发挥作用，持续深入为党和人民的事业增添正能量。（4）督促落实老干部政治待遇和生活待遇，组织安排走访慰问老干部工作；做好市级离退休干部参观考察和健康休养；调查研究老干部服务管理的相关问题，协调解决老干部工作中出现的突出矛盾和问题；负责离退休干部来信来访等工作。（5）加强和规范全市老干部活动阵地建设和服务管理工作；组织老干部开展各种健康有益的文化体育活动。管理炳草岗干部休养所、市老干部活动中心（市老年大学）；指导攀枝花市成都干休所开展工作。（6）完成市委、市委组织部交办的其他工作。</w:t>
      </w:r>
    </w:p>
    <w:p>
      <w:pPr>
        <w:tabs>
          <w:tab w:val="left" w:pos="3792"/>
        </w:tabs>
        <w:spacing w:line="550" w:lineRule="exact"/>
        <w:ind w:firstLine="642" w:firstLineChars="200"/>
        <w:contextualSpacing/>
        <w:rPr>
          <w:rFonts w:hint="eastAsia" w:ascii="Times New Roman" w:hAnsi="Times New Roman" w:eastAsia="方正仿宋_GBK" w:cs="Times New Roman"/>
          <w:sz w:val="32"/>
          <w:szCs w:val="32"/>
          <w:lang w:val="zh-CN"/>
        </w:rPr>
      </w:pPr>
      <w:r>
        <w:rPr>
          <w:rFonts w:hint="eastAsia" w:ascii="方正楷体_GBK" w:hAnsi="方正楷体_GBK" w:eastAsia="方正楷体_GBK" w:cs="方正楷体_GBK"/>
          <w:b/>
          <w:sz w:val="32"/>
          <w:szCs w:val="32"/>
          <w:lang w:val="zh-CN"/>
        </w:rPr>
        <w:t>（三）人员概况。</w:t>
      </w:r>
      <w:r>
        <w:rPr>
          <w:rFonts w:hint="eastAsia" w:ascii="Times New Roman" w:hAnsi="Times New Roman" w:eastAsia="方正仿宋_GBK" w:cs="Times New Roman"/>
          <w:sz w:val="32"/>
          <w:szCs w:val="32"/>
          <w:lang w:val="zh-CN"/>
        </w:rPr>
        <w:t>市委老干部局现核定公务员编制8名、机关工勤编制3名；所属参公事业单位炳草岗干部休养所参公编制4名，所属事业单位市老干部活动中心事业编制9名。截至2024年末，市委老干部局在职在编人员11人，其中公务员8名、工勤人员3名；炳草岗干部休养所在职在编人员3人；市老干部活动中心在职在编9人。</w:t>
      </w:r>
    </w:p>
    <w:p>
      <w:pPr>
        <w:widowControl/>
        <w:spacing w:line="550" w:lineRule="exact"/>
        <w:contextualSpacing/>
        <w:jc w:val="left"/>
        <w:rPr>
          <w:rFonts w:hint="eastAsia" w:ascii="方正黑体_GBK" w:eastAsia="方正黑体_GBK"/>
          <w:b/>
          <w:bCs/>
          <w:color w:val="000000"/>
          <w:kern w:val="0"/>
          <w:sz w:val="32"/>
          <w:szCs w:val="32"/>
          <w:shd w:val="clear" w:color="auto" w:fill="FFFFFF"/>
          <w:lang w:val="zh-CN"/>
        </w:rPr>
      </w:pPr>
      <w:r>
        <w:rPr>
          <w:rFonts w:hint="eastAsia" w:ascii="方正黑体_GBK" w:eastAsia="方正黑体_GBK"/>
          <w:b/>
          <w:bCs/>
          <w:color w:val="000000"/>
          <w:kern w:val="0"/>
          <w:sz w:val="32"/>
          <w:szCs w:val="32"/>
          <w:shd w:val="clear" w:color="auto" w:fill="FFFFFF"/>
          <w:lang w:val="en-US" w:eastAsia="zh-CN"/>
        </w:rPr>
        <w:t xml:space="preserve">    </w:t>
      </w:r>
      <w:r>
        <w:rPr>
          <w:rFonts w:hint="eastAsia" w:ascii="方正黑体_GBK" w:eastAsia="方正黑体_GBK"/>
          <w:b/>
          <w:bCs/>
          <w:color w:val="000000"/>
          <w:kern w:val="0"/>
          <w:sz w:val="32"/>
          <w:szCs w:val="32"/>
          <w:shd w:val="clear" w:color="auto" w:fill="FFFFFF"/>
          <w:lang w:val="zh-CN"/>
        </w:rPr>
        <w:t>二、部门资金收支情况</w:t>
      </w:r>
    </w:p>
    <w:p>
      <w:pPr>
        <w:tabs>
          <w:tab w:val="left" w:pos="3792"/>
        </w:tabs>
        <w:spacing w:line="550" w:lineRule="exact"/>
        <w:ind w:firstLine="642" w:firstLineChars="200"/>
        <w:contextualSpacing/>
        <w:rPr>
          <w:rFonts w:hint="eastAsia" w:ascii="Times New Roman" w:hAnsi="Times New Roman" w:eastAsia="方正仿宋_GBK" w:cs="Times New Roman"/>
          <w:sz w:val="32"/>
          <w:szCs w:val="32"/>
          <w:lang w:val="zh-CN"/>
        </w:rPr>
      </w:pPr>
      <w:r>
        <w:rPr>
          <w:rFonts w:hint="eastAsia" w:ascii="方正楷体_GBK" w:hAnsi="方正楷体_GBK" w:eastAsia="方正楷体_GBK" w:cs="方正楷体_GBK"/>
          <w:b/>
          <w:sz w:val="32"/>
          <w:szCs w:val="32"/>
          <w:lang w:val="zh-CN"/>
        </w:rPr>
        <w:t>（一）收入情况。</w:t>
      </w:r>
      <w:r>
        <w:rPr>
          <w:rFonts w:hint="eastAsia" w:ascii="Times New Roman" w:hAnsi="Times New Roman" w:eastAsia="方正仿宋_GBK" w:cs="Times New Roman"/>
          <w:sz w:val="32"/>
          <w:szCs w:val="32"/>
          <w:lang w:val="zh-CN"/>
        </w:rPr>
        <w:t>市委老干部局2024年年初预算收入751.98万元，其中一般公共预算财政拨款收入751.98万元，占100%。决算报表收入899.3</w:t>
      </w:r>
      <w:r>
        <w:rPr>
          <w:rFonts w:hint="eastAsia" w:eastAsia="方正仿宋_GBK" w:cs="Times New Roman"/>
          <w:sz w:val="32"/>
          <w:szCs w:val="32"/>
          <w:lang w:val="en-US" w:eastAsia="zh-CN"/>
        </w:rPr>
        <w:t>5</w:t>
      </w:r>
      <w:r>
        <w:rPr>
          <w:rFonts w:hint="eastAsia" w:ascii="Times New Roman" w:hAnsi="Times New Roman" w:eastAsia="方正仿宋_GBK" w:cs="Times New Roman"/>
          <w:sz w:val="32"/>
          <w:szCs w:val="32"/>
          <w:lang w:val="zh-CN"/>
        </w:rPr>
        <w:t>万元，其中一般公共预算财政拨款收入899.3</w:t>
      </w:r>
      <w:r>
        <w:rPr>
          <w:rFonts w:hint="eastAsia" w:eastAsia="方正仿宋_GBK" w:cs="Times New Roman"/>
          <w:sz w:val="32"/>
          <w:szCs w:val="32"/>
          <w:lang w:val="en-US" w:eastAsia="zh-CN"/>
        </w:rPr>
        <w:t>5</w:t>
      </w:r>
      <w:r>
        <w:rPr>
          <w:rFonts w:hint="eastAsia" w:ascii="Times New Roman" w:hAnsi="Times New Roman" w:eastAsia="方正仿宋_GBK" w:cs="Times New Roman"/>
          <w:sz w:val="32"/>
          <w:szCs w:val="32"/>
          <w:lang w:val="zh-CN"/>
        </w:rPr>
        <w:t>万元，占100%。</w:t>
      </w:r>
    </w:p>
    <w:p>
      <w:pPr>
        <w:tabs>
          <w:tab w:val="left" w:pos="3792"/>
        </w:tabs>
        <w:spacing w:line="550" w:lineRule="exact"/>
        <w:ind w:firstLine="642" w:firstLineChars="200"/>
        <w:contextualSpacing/>
        <w:rPr>
          <w:rFonts w:hint="eastAsia" w:ascii="Times New Roman" w:hAnsi="Times New Roman" w:eastAsia="方正仿宋_GBK" w:cs="Times New Roman"/>
          <w:sz w:val="32"/>
          <w:szCs w:val="32"/>
          <w:lang w:val="zh-CN"/>
        </w:rPr>
      </w:pPr>
      <w:r>
        <w:rPr>
          <w:rFonts w:hint="eastAsia" w:ascii="方正楷体_GBK" w:hAnsi="方正楷体_GBK" w:eastAsia="方正楷体_GBK" w:cs="方正楷体_GBK"/>
          <w:b/>
          <w:sz w:val="32"/>
          <w:szCs w:val="32"/>
          <w:lang w:val="zh-CN"/>
        </w:rPr>
        <w:t>（二）支出情况。</w:t>
      </w:r>
      <w:r>
        <w:rPr>
          <w:rFonts w:hint="eastAsia" w:ascii="Times New Roman" w:hAnsi="Times New Roman" w:eastAsia="方正仿宋_GBK" w:cs="Times New Roman"/>
          <w:sz w:val="32"/>
          <w:szCs w:val="32"/>
          <w:lang w:val="zh-CN"/>
        </w:rPr>
        <w:t>市委老干部局2024年年初预算支出751.98万元，决算报表支出899.3</w:t>
      </w:r>
      <w:r>
        <w:rPr>
          <w:rFonts w:hint="eastAsia" w:eastAsia="方正仿宋_GBK" w:cs="Times New Roman"/>
          <w:sz w:val="32"/>
          <w:szCs w:val="32"/>
          <w:lang w:val="en-US" w:eastAsia="zh-CN"/>
        </w:rPr>
        <w:t>5</w:t>
      </w:r>
      <w:r>
        <w:rPr>
          <w:rFonts w:hint="eastAsia" w:ascii="Times New Roman" w:hAnsi="Times New Roman" w:eastAsia="方正仿宋_GBK" w:cs="Times New Roman"/>
          <w:sz w:val="32"/>
          <w:szCs w:val="32"/>
          <w:lang w:val="zh-CN"/>
        </w:rPr>
        <w:t>万元，其中基本支出543.8</w:t>
      </w:r>
      <w:r>
        <w:rPr>
          <w:rFonts w:hint="eastAsia" w:eastAsia="方正仿宋_GBK" w:cs="Times New Roman"/>
          <w:sz w:val="32"/>
          <w:szCs w:val="32"/>
          <w:lang w:val="en-US" w:eastAsia="zh-CN"/>
        </w:rPr>
        <w:t>4</w:t>
      </w:r>
      <w:r>
        <w:rPr>
          <w:rFonts w:hint="eastAsia" w:ascii="Times New Roman" w:hAnsi="Times New Roman" w:eastAsia="方正仿宋_GBK" w:cs="Times New Roman"/>
          <w:sz w:val="32"/>
          <w:szCs w:val="32"/>
          <w:lang w:val="zh-CN"/>
        </w:rPr>
        <w:t>万元，占60.47%，项目支出355.51万元，占39.53%。</w:t>
      </w:r>
    </w:p>
    <w:p>
      <w:pPr>
        <w:tabs>
          <w:tab w:val="left" w:pos="3792"/>
        </w:tabs>
        <w:spacing w:line="550" w:lineRule="exact"/>
        <w:ind w:firstLine="640" w:firstLineChars="200"/>
        <w:contextualSpacing/>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基本支出中，人员经费支出476.92万元，占87.7%，主要用于23名在职职工和12名退休人员的工资、津贴补贴、绩效奖金、社保、公积金、退休人员生活补助等，保障了干部职工正常福利待遇；公用经费支出66.91万元，占12.3%，主要用于办公、水电、网络、差旅、维修维护等日常基本公用支出以及其他交通费、工会福利、公务接待、公务用车运行维护等其他支出，确保了单位正常运转。</w:t>
      </w:r>
    </w:p>
    <w:p>
      <w:pPr>
        <w:tabs>
          <w:tab w:val="left" w:pos="3792"/>
        </w:tabs>
        <w:spacing w:line="550" w:lineRule="exact"/>
        <w:ind w:firstLine="640" w:firstLineChars="200"/>
        <w:contextualSpacing/>
        <w:rPr>
          <w:rFonts w:hint="eastAsia" w:ascii="Times New Roman" w:hAnsi="Times New Roman" w:eastAsia="方正仿宋_GBK" w:cs="Times New Roman"/>
          <w:sz w:val="32"/>
          <w:szCs w:val="32"/>
          <w:lang w:val="zh-CN"/>
        </w:rPr>
      </w:pPr>
      <w:r>
        <w:rPr>
          <w:rFonts w:hint="eastAsia" w:ascii="Times New Roman" w:hAnsi="Times New Roman" w:eastAsia="方正仿宋_GBK" w:cs="Times New Roman"/>
          <w:sz w:val="32"/>
          <w:szCs w:val="32"/>
          <w:lang w:val="zh-CN"/>
        </w:rPr>
        <w:t>项目支出主要用于组织老干部活动、保障老年大学办学、开展关工委综合业务、老年教育</w:t>
      </w:r>
      <w:r>
        <w:rPr>
          <w:rFonts w:hint="eastAsia" w:eastAsia="方正仿宋_GBK" w:cs="Times New Roman"/>
          <w:sz w:val="32"/>
          <w:szCs w:val="32"/>
          <w:lang w:val="zh-CN"/>
        </w:rPr>
        <w:t>提升</w:t>
      </w:r>
      <w:r>
        <w:rPr>
          <w:rFonts w:hint="eastAsia" w:ascii="Times New Roman" w:hAnsi="Times New Roman" w:eastAsia="方正仿宋_GBK" w:cs="Times New Roman"/>
          <w:sz w:val="32"/>
          <w:szCs w:val="32"/>
          <w:lang w:val="zh-CN"/>
        </w:rPr>
        <w:t>示范项目等专项工作，专项工作按计划有序推进，较好地完成了年度绩效目标。</w:t>
      </w:r>
    </w:p>
    <w:p>
      <w:pPr>
        <w:widowControl/>
        <w:spacing w:line="550" w:lineRule="exact"/>
        <w:ind w:firstLine="662" w:firstLineChars="200"/>
        <w:contextualSpacing/>
        <w:jc w:val="left"/>
        <w:rPr>
          <w:rFonts w:hint="eastAsia" w:ascii="Times New Roman" w:hAnsi="Times New Roman" w:eastAsia="方正仿宋_GBK" w:cs="Times New Roman"/>
          <w:sz w:val="32"/>
          <w:szCs w:val="32"/>
          <w:lang w:val="zh-CN"/>
        </w:rPr>
      </w:pPr>
      <w:r>
        <w:rPr>
          <w:rFonts w:ascii="方正楷体_GBK" w:eastAsia="方正楷体_GBK"/>
          <w:b/>
          <w:bCs/>
          <w:color w:val="000000"/>
          <w:kern w:val="0"/>
          <w:sz w:val="33"/>
          <w:szCs w:val="33"/>
          <w:shd w:val="clear" w:color="auto" w:fill="FFFFFF"/>
          <w:lang w:val="zh-CN"/>
        </w:rPr>
        <w:t>（三）结余分配和结转结余情况。</w:t>
      </w:r>
      <w:r>
        <w:rPr>
          <w:rFonts w:hint="eastAsia" w:ascii="Times New Roman" w:hAnsi="Times New Roman" w:eastAsia="方正仿宋_GBK" w:cs="Times New Roman"/>
          <w:sz w:val="32"/>
          <w:szCs w:val="32"/>
          <w:lang w:val="zh-CN"/>
        </w:rPr>
        <w:t>市委老干局2024年决算报表无结转结余情况。</w:t>
      </w:r>
    </w:p>
    <w:p>
      <w:pPr>
        <w:widowControl/>
        <w:spacing w:line="550" w:lineRule="exact"/>
        <w:contextualSpacing/>
        <w:jc w:val="left"/>
        <w:rPr>
          <w:rFonts w:hint="eastAsia" w:ascii="方正黑体_GBK" w:eastAsia="方正黑体_GBK"/>
          <w:b/>
          <w:bCs/>
          <w:color w:val="000000"/>
          <w:kern w:val="0"/>
          <w:sz w:val="32"/>
          <w:szCs w:val="32"/>
          <w:shd w:val="clear" w:color="auto" w:fill="FFFFFF"/>
          <w:lang w:val="zh-CN"/>
        </w:rPr>
      </w:pPr>
      <w:r>
        <w:rPr>
          <w:rFonts w:hint="eastAsia" w:ascii="方正黑体_GBK" w:eastAsia="方正黑体_GBK"/>
          <w:b/>
          <w:bCs/>
          <w:color w:val="000000"/>
          <w:kern w:val="0"/>
          <w:sz w:val="32"/>
          <w:szCs w:val="32"/>
          <w:shd w:val="clear" w:color="auto" w:fill="FFFFFF"/>
          <w:lang w:val="en-US" w:eastAsia="zh-CN"/>
        </w:rPr>
        <w:t xml:space="preserve">    </w:t>
      </w:r>
      <w:r>
        <w:rPr>
          <w:rFonts w:hint="eastAsia" w:ascii="方正黑体_GBK" w:eastAsia="方正黑体_GBK"/>
          <w:b/>
          <w:bCs/>
          <w:color w:val="000000"/>
          <w:kern w:val="0"/>
          <w:sz w:val="32"/>
          <w:szCs w:val="32"/>
          <w:shd w:val="clear" w:color="auto" w:fill="FFFFFF"/>
          <w:lang w:val="zh-CN"/>
        </w:rPr>
        <w:t>三、部门预算绩效分析</w:t>
      </w:r>
    </w:p>
    <w:p>
      <w:pPr>
        <w:tabs>
          <w:tab w:val="left" w:pos="3792"/>
        </w:tabs>
        <w:spacing w:line="550" w:lineRule="exact"/>
        <w:ind w:firstLine="642" w:firstLineChars="200"/>
        <w:contextualSpacing/>
        <w:rPr>
          <w:rFonts w:hint="eastAsia" w:ascii="方正楷体_GBK" w:hAnsi="方正楷体_GBK" w:eastAsia="方正楷体_GBK" w:cs="方正楷体_GBK"/>
          <w:b/>
          <w:sz w:val="32"/>
          <w:szCs w:val="32"/>
          <w:lang w:val="zh-CN"/>
        </w:rPr>
      </w:pPr>
      <w:r>
        <w:rPr>
          <w:rFonts w:hint="eastAsia" w:ascii="方正楷体_GBK" w:hAnsi="方正楷体_GBK" w:eastAsia="方正楷体_GBK" w:cs="方正楷体_GBK"/>
          <w:b/>
          <w:sz w:val="32"/>
          <w:szCs w:val="32"/>
          <w:lang w:val="zh-CN"/>
        </w:rPr>
        <w:t>（一）部门预算总体绩效分析</w:t>
      </w:r>
    </w:p>
    <w:p>
      <w:pPr>
        <w:spacing w:line="550" w:lineRule="exact"/>
        <w:ind w:firstLine="642" w:firstLineChars="200"/>
        <w:contextualSpacing/>
        <w:jc w:val="left"/>
        <w:rPr>
          <w:rFonts w:hint="default" w:ascii="Times New Roman" w:hAnsi="Times New Roman" w:eastAsia="方正仿宋_GBK" w:cs="Times New Roman"/>
          <w:b/>
          <w:snapToGrid w:val="0"/>
          <w:kern w:val="0"/>
          <w:sz w:val="32"/>
          <w:szCs w:val="32"/>
          <w:lang w:val="zh-CN"/>
        </w:rPr>
      </w:pPr>
      <w:r>
        <w:rPr>
          <w:rFonts w:hint="default" w:ascii="Times New Roman" w:hAnsi="Times New Roman" w:eastAsia="方正仿宋_GBK" w:cs="Times New Roman"/>
          <w:b/>
          <w:snapToGrid w:val="0"/>
          <w:kern w:val="0"/>
          <w:sz w:val="32"/>
          <w:szCs w:val="32"/>
          <w:lang w:val="zh-CN"/>
        </w:rPr>
        <w:t>1.履职效能</w:t>
      </w:r>
    </w:p>
    <w:p>
      <w:pPr>
        <w:tabs>
          <w:tab w:val="left" w:pos="3792"/>
        </w:tabs>
        <w:spacing w:line="550" w:lineRule="exact"/>
        <w:ind w:firstLine="640" w:firstLineChars="200"/>
        <w:contextualSpacing/>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2024年，市委老干部局坚持以习近平新时代中国特色社会主义思想为指导，紧紧围绕市委总体发展战略和“大抓落实年”部署，坚持“全面对标、精准发力、高位争先”工作思路和“1+4”工作体系，守正创新、主动作为，扎实推动老干部工作高质量发展取得新进展新成效，为助力共同富裕试验区建设凝聚银发力量。根据部门预算绩效评价指标体系，此项自评得分15分。具体履职效能情况如下：</w:t>
      </w:r>
    </w:p>
    <w:p>
      <w:pPr>
        <w:tabs>
          <w:tab w:val="left" w:pos="3792"/>
        </w:tabs>
        <w:spacing w:line="550" w:lineRule="exact"/>
        <w:contextualSpacing/>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b/>
          <w:bCs/>
          <w:sz w:val="32"/>
          <w:szCs w:val="32"/>
          <w:lang w:val="zh-CN"/>
        </w:rPr>
        <w:t>（1）在做好老干部服务工作方面：</w:t>
      </w:r>
      <w:r>
        <w:rPr>
          <w:rFonts w:hint="default" w:ascii="Times New Roman" w:hAnsi="Times New Roman" w:eastAsia="方正仿宋_GBK" w:cs="Times New Roman"/>
          <w:sz w:val="32"/>
          <w:szCs w:val="32"/>
          <w:lang w:val="zh-CN"/>
        </w:rPr>
        <w:t>一是把牢政治方向，坚持把政治建设摆在首位，分层分类做好学习教育，旗帜鲜明宣传党的政策，持续用党的创新理论凝心铸魂。二是坚持党建引领，实施党组织全覆盖工程，抓实先锋模范选树工作，推进离退休干部流动党员管理，不断提升离退休干部党的建设水平。三是聚焦高质量发展，严格落实省局对“银耀共富”要求，深化“银耀花城·共富同行”行动，开展“我为发展献一策”活动，创新转化银发新质生产力。四是强化精准服务，精心组织慰问活动，及时兑现政策待遇，精细提升服务品质，加快改进离退休干部服务质量。</w:t>
      </w:r>
    </w:p>
    <w:p>
      <w:pPr>
        <w:tabs>
          <w:tab w:val="left" w:pos="3792"/>
        </w:tabs>
        <w:spacing w:line="550" w:lineRule="exact"/>
        <w:ind w:firstLine="642" w:firstLineChars="200"/>
        <w:contextualSpacing/>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b/>
          <w:bCs/>
          <w:sz w:val="32"/>
          <w:szCs w:val="32"/>
          <w:lang w:val="zh-CN"/>
        </w:rPr>
        <w:t>（2）在做好关工委工作方面：</w:t>
      </w:r>
      <w:r>
        <w:rPr>
          <w:rFonts w:hint="default" w:ascii="Times New Roman" w:hAnsi="Times New Roman" w:eastAsia="方正仿宋_GBK" w:cs="Times New Roman"/>
          <w:sz w:val="32"/>
          <w:szCs w:val="32"/>
          <w:lang w:val="zh-CN"/>
        </w:rPr>
        <w:t>紧扣关心关爱，聚力打造“三线五老+”品牌，聚力实施“老少助共富”行动，聚力抓实“党建带关建”机制，全面展示关心下一代工作质效。</w:t>
      </w:r>
    </w:p>
    <w:p>
      <w:pPr>
        <w:tabs>
          <w:tab w:val="left" w:pos="3792"/>
        </w:tabs>
        <w:spacing w:line="550" w:lineRule="exact"/>
        <w:ind w:firstLine="642" w:firstLineChars="200"/>
        <w:contextualSpacing/>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b/>
          <w:bCs/>
          <w:sz w:val="32"/>
          <w:szCs w:val="32"/>
          <w:lang w:val="zh-CN"/>
        </w:rPr>
        <w:t>（3）在确保老干部活动中心（老年大学）运转方面：</w:t>
      </w:r>
      <w:r>
        <w:rPr>
          <w:rFonts w:hint="default" w:ascii="Times New Roman" w:hAnsi="Times New Roman" w:eastAsia="方正仿宋_GBK" w:cs="Times New Roman"/>
          <w:sz w:val="32"/>
          <w:szCs w:val="32"/>
          <w:lang w:val="zh-CN"/>
        </w:rPr>
        <w:t>完成老年教育提升示范基地建设项目，实现老年大学适老化、信息化改造；与楚雄州老年大学签订战略合作暨“游学养”协同发展协议，打造区域老年教育示范中心。2024年老年大学共设置6个系48个专业79个教学班，定期开办健康保健讲座、精品党课及培训，全年在老年大学学习、活动的老同志达4000人以上。</w:t>
      </w:r>
    </w:p>
    <w:p>
      <w:pPr>
        <w:spacing w:line="550" w:lineRule="exact"/>
        <w:ind w:firstLine="642" w:firstLineChars="200"/>
        <w:contextualSpacing/>
        <w:jc w:val="left"/>
        <w:rPr>
          <w:rFonts w:hint="default" w:ascii="Times New Roman" w:hAnsi="Times New Roman" w:eastAsia="方正仿宋_GBK" w:cs="Times New Roman"/>
          <w:b/>
          <w:snapToGrid w:val="0"/>
          <w:kern w:val="0"/>
          <w:sz w:val="32"/>
          <w:szCs w:val="32"/>
          <w:lang w:val="zh-CN"/>
        </w:rPr>
      </w:pPr>
      <w:r>
        <w:rPr>
          <w:rFonts w:hint="default" w:ascii="Times New Roman" w:hAnsi="Times New Roman" w:eastAsia="方正仿宋_GBK" w:cs="Times New Roman"/>
          <w:b/>
          <w:snapToGrid w:val="0"/>
          <w:kern w:val="0"/>
          <w:sz w:val="32"/>
          <w:szCs w:val="32"/>
          <w:lang w:val="zh-CN"/>
        </w:rPr>
        <w:t xml:space="preserve"> 2.预算管理</w:t>
      </w:r>
    </w:p>
    <w:p>
      <w:pPr>
        <w:tabs>
          <w:tab w:val="left" w:pos="3792"/>
        </w:tabs>
        <w:spacing w:line="550" w:lineRule="exact"/>
        <w:contextualSpacing/>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 xml:space="preserve">    （1）预算编制情况。根据部门职能职责和年度工作任务，科学合理编制本部门预算，并同步编制了部门整体和项目绩效目标，按要求对绩效目标进行了细化量化，并经局务会研究通过后上报财政审批。年中根据工作实际，按程序追加公务用车购置、老年教育示范提升项目装修工程及设施设备购置等政府采购预算。2024年财政拨款预算偏离度为19.63%，资产配置预算偏离度为100%，政府采购预算偏离度为100%。根据部门预算绩效评价指标体系，此项自评得分3.21分。</w:t>
      </w:r>
    </w:p>
    <w:p>
      <w:pPr>
        <w:tabs>
          <w:tab w:val="left" w:pos="3792"/>
        </w:tabs>
        <w:spacing w:line="550" w:lineRule="exact"/>
        <w:contextualSpacing/>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z w:val="32"/>
          <w:szCs w:val="32"/>
        </w:rPr>
        <w:t xml:space="preserve">    （2）单位收入统筹情况。2024年市委老干部局共取得非税收入（老年大学学费）116.73万元，全部及时足额上缴财政，无其他自有收入。</w:t>
      </w:r>
      <w:r>
        <w:rPr>
          <w:rFonts w:hint="default" w:ascii="Times New Roman" w:hAnsi="Times New Roman" w:eastAsia="方正仿宋_GBK" w:cs="Times New Roman"/>
          <w:snapToGrid w:val="0"/>
          <w:kern w:val="0"/>
          <w:sz w:val="32"/>
          <w:szCs w:val="32"/>
        </w:rPr>
        <w:t>根据部门预算绩效评价指标体系，此项自评得分4分。</w:t>
      </w:r>
    </w:p>
    <w:p>
      <w:pPr>
        <w:tabs>
          <w:tab w:val="left" w:pos="3792"/>
        </w:tabs>
        <w:spacing w:line="550" w:lineRule="exact"/>
        <w:contextualSpacing/>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color w:val="000000"/>
          <w:kern w:val="0"/>
          <w:sz w:val="32"/>
          <w:szCs w:val="32"/>
          <w:shd w:val="clear" w:color="auto" w:fill="FFFFFF"/>
          <w:lang w:val="zh-CN"/>
        </w:rPr>
        <w:t xml:space="preserve">    （3）支出执行进度。</w:t>
      </w:r>
      <w:r>
        <w:rPr>
          <w:rFonts w:hint="default" w:ascii="Times New Roman" w:hAnsi="Times New Roman" w:eastAsia="方正仿宋_GBK" w:cs="Times New Roman"/>
          <w:snapToGrid w:val="0"/>
          <w:kern w:val="0"/>
          <w:sz w:val="32"/>
          <w:szCs w:val="32"/>
        </w:rPr>
        <w:t>强化预算执行管理，积极推进预算绩效运行监控，按要求开展了事中绩效监控自评工作，及时检查资金管理运行情况。对工作计划有变的项目，及时开展预算调剂和项目绩效目标调整；对预算执行进度缓慢的项目，分析原因，加强与相关科室（单位）和财政部门的沟通、对接，确保项目按计划推进，项目资金及时支付。2024年1-6月、1-10月支出执行进度分别为81.91%、78.4%。根据部门预算绩效评价指标体系，此项自评得分3.17分。</w:t>
      </w:r>
    </w:p>
    <w:p>
      <w:pPr>
        <w:tabs>
          <w:tab w:val="left" w:pos="3792"/>
        </w:tabs>
        <w:spacing w:line="550" w:lineRule="exact"/>
        <w:contextualSpacing/>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color w:val="000000"/>
          <w:kern w:val="0"/>
          <w:sz w:val="32"/>
          <w:szCs w:val="32"/>
          <w:shd w:val="clear" w:color="auto" w:fill="FFFFFF"/>
          <w:lang w:val="zh-CN"/>
        </w:rPr>
        <w:t xml:space="preserve">    （4）预算年终结余。</w:t>
      </w:r>
      <w:r>
        <w:rPr>
          <w:rFonts w:hint="default" w:ascii="Times New Roman" w:hAnsi="Times New Roman" w:eastAsia="方正仿宋_GBK" w:cs="Times New Roman"/>
          <w:snapToGrid w:val="0"/>
          <w:kern w:val="0"/>
          <w:sz w:val="32"/>
          <w:szCs w:val="32"/>
        </w:rPr>
        <w:t>严格做到预算资金专款专用，根据工作实际及时进行预算追加和追减。年终注销部门预算资金131.83万元，部门整体预算结余率为12.78%。根据部门预算绩效评价指标体系，此项自评得分1.74分。</w:t>
      </w:r>
    </w:p>
    <w:p>
      <w:pPr>
        <w:tabs>
          <w:tab w:val="left" w:pos="3792"/>
        </w:tabs>
        <w:spacing w:line="550" w:lineRule="exact"/>
        <w:contextualSpacing/>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color w:val="000000"/>
          <w:kern w:val="0"/>
          <w:sz w:val="32"/>
          <w:szCs w:val="32"/>
          <w:shd w:val="clear" w:color="auto" w:fill="FFFFFF"/>
          <w:lang w:val="zh-CN"/>
        </w:rPr>
        <w:t xml:space="preserve">    （5）严控一般性支出。</w:t>
      </w:r>
      <w:r>
        <w:rPr>
          <w:rFonts w:hint="default" w:ascii="Times New Roman" w:hAnsi="Times New Roman" w:eastAsia="方正仿宋_GBK" w:cs="Times New Roman"/>
          <w:snapToGrid w:val="0"/>
          <w:kern w:val="0"/>
          <w:sz w:val="32"/>
          <w:szCs w:val="32"/>
        </w:rPr>
        <w:t>严格执行严肃财经纪律严禁铺张浪费相关规定，厉行勤俭节约，严控一般性支出。</w:t>
      </w:r>
      <w:r>
        <w:rPr>
          <w:rFonts w:hint="default" w:ascii="Times New Roman" w:hAnsi="Times New Roman" w:eastAsia="方正仿宋_GBK" w:cs="Times New Roman"/>
          <w:b/>
          <w:bCs/>
          <w:snapToGrid w:val="0"/>
          <w:kern w:val="0"/>
          <w:sz w:val="32"/>
          <w:szCs w:val="32"/>
          <w:lang w:val="zh-CN"/>
        </w:rPr>
        <w:t>一是</w:t>
      </w:r>
      <w:r>
        <w:rPr>
          <w:rFonts w:hint="default" w:ascii="Times New Roman" w:hAnsi="Times New Roman" w:eastAsia="方正仿宋_GBK" w:cs="Times New Roman"/>
          <w:snapToGrid w:val="0"/>
          <w:kern w:val="0"/>
          <w:sz w:val="32"/>
          <w:szCs w:val="32"/>
        </w:rPr>
        <w:t>精打细算，</w:t>
      </w:r>
      <w:r>
        <w:rPr>
          <w:rFonts w:hint="default" w:ascii="Times New Roman" w:hAnsi="Times New Roman" w:eastAsia="方正仿宋_GBK" w:cs="Times New Roman"/>
          <w:snapToGrid w:val="0"/>
          <w:kern w:val="0"/>
          <w:sz w:val="32"/>
          <w:szCs w:val="32"/>
          <w:lang w:val="zh-CN"/>
        </w:rPr>
        <w:t>统筹谋划各项工作和活动。采取</w:t>
      </w:r>
      <w:r>
        <w:rPr>
          <w:rFonts w:hint="default" w:ascii="Times New Roman" w:hAnsi="Times New Roman" w:eastAsia="方正仿宋_GBK" w:cs="Times New Roman"/>
          <w:snapToGrid w:val="0"/>
          <w:kern w:val="0"/>
          <w:sz w:val="32"/>
          <w:szCs w:val="32"/>
        </w:rPr>
        <w:t>将需要在成都开展的工作和活动进行统筹后一并开展，利用外出培训时间就近走访慰问培训地附近居住</w:t>
      </w:r>
      <w:r>
        <w:rPr>
          <w:rFonts w:hint="eastAsia" w:eastAsia="方正仿宋_GBK" w:cs="Times New Roman"/>
          <w:snapToGrid w:val="0"/>
          <w:kern w:val="0"/>
          <w:sz w:val="32"/>
          <w:szCs w:val="32"/>
          <w:lang w:eastAsia="zh-CN"/>
        </w:rPr>
        <w:t>的</w:t>
      </w:r>
      <w:r>
        <w:rPr>
          <w:rFonts w:hint="default" w:ascii="Times New Roman" w:hAnsi="Times New Roman" w:eastAsia="方正仿宋_GBK" w:cs="Times New Roman"/>
          <w:snapToGrid w:val="0"/>
          <w:kern w:val="0"/>
          <w:sz w:val="32"/>
          <w:szCs w:val="32"/>
        </w:rPr>
        <w:t>离退休干部，尽可能节约资金。</w:t>
      </w:r>
      <w:r>
        <w:rPr>
          <w:rFonts w:hint="default" w:ascii="Times New Roman" w:hAnsi="Times New Roman" w:eastAsia="方正仿宋_GBK" w:cs="Times New Roman"/>
          <w:b/>
          <w:bCs/>
          <w:snapToGrid w:val="0"/>
          <w:kern w:val="0"/>
          <w:sz w:val="32"/>
          <w:szCs w:val="32"/>
        </w:rPr>
        <w:t>二是</w:t>
      </w:r>
      <w:r>
        <w:rPr>
          <w:rFonts w:hint="default" w:ascii="Times New Roman" w:hAnsi="Times New Roman" w:eastAsia="方正仿宋_GBK" w:cs="Times New Roman"/>
          <w:snapToGrid w:val="0"/>
          <w:kern w:val="0"/>
          <w:sz w:val="32"/>
          <w:szCs w:val="32"/>
        </w:rPr>
        <w:t>严格审核，严控“三公”经费支出。严格公务接待审批，严禁超标准超范围接待；规范公务用车管理，降低公务用车运行维护费。</w:t>
      </w:r>
      <w:r>
        <w:rPr>
          <w:rFonts w:hint="default" w:ascii="Times New Roman" w:hAnsi="Times New Roman" w:eastAsia="方正仿宋_GBK" w:cs="Times New Roman"/>
          <w:b/>
          <w:bCs/>
          <w:snapToGrid w:val="0"/>
          <w:kern w:val="0"/>
          <w:sz w:val="32"/>
          <w:szCs w:val="32"/>
        </w:rPr>
        <w:t>三是</w:t>
      </w:r>
      <w:r>
        <w:rPr>
          <w:rFonts w:hint="default" w:ascii="Times New Roman" w:hAnsi="Times New Roman" w:eastAsia="方正仿宋_GBK" w:cs="Times New Roman"/>
          <w:snapToGrid w:val="0"/>
          <w:kern w:val="0"/>
          <w:sz w:val="32"/>
          <w:szCs w:val="32"/>
        </w:rPr>
        <w:t>精文减会，尽量利用本单位会议室召开各类会议，精简外出培训和出差人数，缩减出差天数，不断压减会议费、培训费和差旅费。2024年“三公”经费、会议、培训、差旅、办节办展、办公设备购置、信息网络及软件购置更新、课题经费等8项一般性支出财政拨款年初预算数为20.96万元，较上年减少48.59%；预算执行数为85.36万元，较上年增加201.24 %（增加原因主要是开展</w:t>
      </w:r>
      <w:r>
        <w:rPr>
          <w:rStyle w:val="36"/>
          <w:rFonts w:hint="default" w:ascii="Times New Roman" w:hAnsi="Times New Roman" w:eastAsia="方正仿宋_GBK" w:cs="Times New Roman"/>
          <w:sz w:val="32"/>
          <w:szCs w:val="32"/>
        </w:rPr>
        <w:t>老年教育</w:t>
      </w:r>
      <w:r>
        <w:rPr>
          <w:rStyle w:val="36"/>
          <w:rFonts w:hint="eastAsia" w:eastAsia="方正仿宋_GBK" w:cs="Times New Roman"/>
          <w:sz w:val="32"/>
          <w:szCs w:val="32"/>
        </w:rPr>
        <w:t>提升</w:t>
      </w:r>
      <w:r>
        <w:rPr>
          <w:rStyle w:val="36"/>
          <w:rFonts w:hint="default" w:ascii="Times New Roman" w:hAnsi="Times New Roman" w:eastAsia="方正仿宋_GBK" w:cs="Times New Roman"/>
          <w:sz w:val="32"/>
          <w:szCs w:val="32"/>
        </w:rPr>
        <w:t>示范项目和关工委</w:t>
      </w:r>
      <w:r>
        <w:rPr>
          <w:rFonts w:hint="default" w:ascii="Times New Roman" w:hAnsi="Times New Roman" w:eastAsia="方正仿宋_GBK" w:cs="Times New Roman"/>
          <w:snapToGrid w:val="0"/>
          <w:kern w:val="0"/>
          <w:sz w:val="32"/>
          <w:szCs w:val="32"/>
        </w:rPr>
        <w:t>工作需要，购置</w:t>
      </w:r>
      <w:r>
        <w:rPr>
          <w:rStyle w:val="36"/>
          <w:rFonts w:hint="default" w:ascii="Times New Roman" w:hAnsi="Times New Roman" w:eastAsia="方正仿宋_GBK" w:cs="Times New Roman"/>
          <w:sz w:val="32"/>
          <w:szCs w:val="32"/>
        </w:rPr>
        <w:t>办公设施设备和公务用车等合计63.34万元</w:t>
      </w:r>
      <w:r>
        <w:rPr>
          <w:rFonts w:hint="default" w:ascii="Times New Roman" w:hAnsi="Times New Roman" w:eastAsia="方正仿宋_GBK" w:cs="Times New Roman"/>
          <w:snapToGrid w:val="0"/>
          <w:kern w:val="0"/>
          <w:sz w:val="32"/>
          <w:szCs w:val="32"/>
        </w:rPr>
        <w:t>）。根据部门预算绩效评价指标体系，此项自评得分2分。</w:t>
      </w:r>
    </w:p>
    <w:p>
      <w:pPr>
        <w:spacing w:line="550" w:lineRule="exact"/>
        <w:contextualSpacing/>
        <w:jc w:val="left"/>
        <w:rPr>
          <w:rFonts w:hint="default" w:ascii="Times New Roman" w:hAnsi="Times New Roman" w:eastAsia="方正仿宋_GBK" w:cs="Times New Roman"/>
          <w:b/>
          <w:snapToGrid w:val="0"/>
          <w:kern w:val="0"/>
          <w:sz w:val="32"/>
          <w:szCs w:val="32"/>
          <w:lang w:val="zh-CN"/>
        </w:rPr>
      </w:pPr>
      <w:r>
        <w:rPr>
          <w:rFonts w:hint="default" w:ascii="Times New Roman" w:hAnsi="Times New Roman" w:eastAsia="方正仿宋_GBK" w:cs="Times New Roman"/>
          <w:snapToGrid w:val="0"/>
          <w:kern w:val="0"/>
          <w:sz w:val="32"/>
          <w:szCs w:val="32"/>
        </w:rPr>
        <w:t xml:space="preserve"> </w:t>
      </w:r>
      <w:r>
        <w:rPr>
          <w:rFonts w:hint="default" w:ascii="Times New Roman" w:hAnsi="Times New Roman" w:eastAsia="方正仿宋_GBK" w:cs="Times New Roman"/>
          <w:b/>
          <w:snapToGrid w:val="0"/>
          <w:kern w:val="0"/>
          <w:sz w:val="32"/>
          <w:szCs w:val="32"/>
          <w:lang w:val="zh-CN"/>
        </w:rPr>
        <w:t xml:space="preserve">   3.财务管理</w:t>
      </w:r>
    </w:p>
    <w:p>
      <w:pPr>
        <w:tabs>
          <w:tab w:val="left" w:pos="3792"/>
        </w:tabs>
        <w:spacing w:line="550" w:lineRule="exact"/>
        <w:contextualSpacing/>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lang w:val="zh-CN"/>
        </w:rPr>
        <w:t xml:space="preserve">    </w:t>
      </w:r>
      <w:r>
        <w:rPr>
          <w:rFonts w:hint="default" w:ascii="Times New Roman" w:hAnsi="Times New Roman" w:eastAsia="方正仿宋_GBK" w:cs="Times New Roman"/>
          <w:snapToGrid w:val="0"/>
          <w:kern w:val="0"/>
          <w:sz w:val="32"/>
          <w:szCs w:val="32"/>
        </w:rPr>
        <w:t>市委老干部局切实履行主体责任，严格执行预算法、会计法等相关规定，贯彻落实好财务管理各方面制度要求，严肃财经纪律，切实规范和加强财务管理。</w:t>
      </w:r>
      <w:r>
        <w:rPr>
          <w:rFonts w:hint="default" w:ascii="Times New Roman" w:hAnsi="Times New Roman" w:eastAsia="方正仿宋_GBK" w:cs="Times New Roman"/>
          <w:b/>
          <w:bCs/>
          <w:snapToGrid w:val="0"/>
          <w:kern w:val="0"/>
          <w:sz w:val="32"/>
          <w:szCs w:val="32"/>
        </w:rPr>
        <w:t>一是</w:t>
      </w:r>
      <w:r>
        <w:rPr>
          <w:rFonts w:hint="default" w:ascii="Times New Roman" w:hAnsi="Times New Roman" w:eastAsia="方正仿宋_GBK" w:cs="Times New Roman"/>
          <w:snapToGrid w:val="0"/>
          <w:kern w:val="0"/>
          <w:sz w:val="32"/>
          <w:szCs w:val="32"/>
        </w:rPr>
        <w:t>设置会计、出纳等财务岗位，明确岗位职责，按规定建立会计账册、设置会计科目，依法依规进行会计核算，做到账证、账账、账表、账实相符。</w:t>
      </w:r>
      <w:r>
        <w:rPr>
          <w:rFonts w:hint="default" w:ascii="Times New Roman" w:hAnsi="Times New Roman" w:eastAsia="方正仿宋_GBK" w:cs="Times New Roman"/>
          <w:b/>
          <w:bCs/>
          <w:snapToGrid w:val="0"/>
          <w:kern w:val="0"/>
          <w:sz w:val="32"/>
          <w:szCs w:val="32"/>
        </w:rPr>
        <w:t>二是</w:t>
      </w:r>
      <w:r>
        <w:rPr>
          <w:rFonts w:hint="default" w:ascii="Times New Roman" w:hAnsi="Times New Roman" w:eastAsia="方正仿宋_GBK" w:cs="Times New Roman"/>
          <w:snapToGrid w:val="0"/>
          <w:kern w:val="0"/>
          <w:sz w:val="32"/>
          <w:szCs w:val="32"/>
        </w:rPr>
        <w:t>建立健全财务管理、预算管理、经费收支</w:t>
      </w:r>
      <w:r>
        <w:rPr>
          <w:rFonts w:hint="eastAsia" w:eastAsia="方正仿宋_GBK" w:cs="Times New Roman"/>
          <w:snapToGrid w:val="0"/>
          <w:kern w:val="0"/>
          <w:sz w:val="32"/>
          <w:szCs w:val="32"/>
          <w:lang w:eastAsia="zh-CN"/>
        </w:rPr>
        <w:t>管理</w:t>
      </w:r>
      <w:r>
        <w:rPr>
          <w:rFonts w:hint="default" w:ascii="Times New Roman" w:hAnsi="Times New Roman" w:eastAsia="方正仿宋_GBK" w:cs="Times New Roman"/>
          <w:snapToGrid w:val="0"/>
          <w:kern w:val="0"/>
          <w:sz w:val="32"/>
          <w:szCs w:val="32"/>
        </w:rPr>
        <w:t>等内控制度，进一步规范政府采购、老年大学学费收缴等程序，从严进行财务报销和资金支付审核，认真开展各类自查自纠工作，切实筑牢资金安全防线。</w:t>
      </w:r>
      <w:r>
        <w:rPr>
          <w:rFonts w:hint="default" w:ascii="Times New Roman" w:hAnsi="Times New Roman" w:eastAsia="方正仿宋_GBK" w:cs="Times New Roman"/>
          <w:b/>
          <w:bCs/>
          <w:snapToGrid w:val="0"/>
          <w:kern w:val="0"/>
          <w:sz w:val="32"/>
          <w:szCs w:val="32"/>
        </w:rPr>
        <w:t>三是</w:t>
      </w:r>
      <w:r>
        <w:rPr>
          <w:rFonts w:hint="default" w:ascii="Times New Roman" w:hAnsi="Times New Roman" w:eastAsia="方正仿宋_GBK" w:cs="Times New Roman"/>
          <w:snapToGrid w:val="0"/>
          <w:kern w:val="0"/>
          <w:sz w:val="32"/>
          <w:szCs w:val="32"/>
        </w:rPr>
        <w:t>严格贯彻“先有预算后有支出”的原则，从严使用各项资金，做到专项资金专款专用，严禁无预算、超预算、超标准、超范围列支经费。根据部门预算绩效评价指标体系，此项自评得分2分。</w:t>
      </w:r>
    </w:p>
    <w:p>
      <w:pPr>
        <w:spacing w:line="550" w:lineRule="exact"/>
        <w:contextualSpacing/>
        <w:jc w:val="left"/>
        <w:rPr>
          <w:rFonts w:hint="default" w:ascii="Times New Roman" w:hAnsi="Times New Roman" w:eastAsia="方正仿宋_GBK" w:cs="Times New Roman"/>
          <w:b/>
          <w:snapToGrid w:val="0"/>
          <w:kern w:val="0"/>
          <w:sz w:val="32"/>
          <w:szCs w:val="32"/>
          <w:lang w:val="zh-CN"/>
        </w:rPr>
      </w:pPr>
      <w:r>
        <w:rPr>
          <w:rFonts w:hint="default" w:ascii="Times New Roman" w:hAnsi="Times New Roman" w:eastAsia="方正仿宋_GBK" w:cs="Times New Roman"/>
          <w:snapToGrid w:val="0"/>
          <w:kern w:val="0"/>
          <w:sz w:val="32"/>
          <w:szCs w:val="32"/>
        </w:rPr>
        <w:t xml:space="preserve">   </w:t>
      </w:r>
      <w:r>
        <w:rPr>
          <w:rFonts w:hint="default" w:ascii="Times New Roman" w:hAnsi="Times New Roman" w:eastAsia="方正仿宋_GBK" w:cs="Times New Roman"/>
          <w:b/>
          <w:snapToGrid w:val="0"/>
          <w:kern w:val="0"/>
          <w:sz w:val="32"/>
          <w:szCs w:val="32"/>
          <w:lang w:val="zh-CN"/>
        </w:rPr>
        <w:t xml:space="preserve"> 4.资产管理</w:t>
      </w:r>
    </w:p>
    <w:p>
      <w:pPr>
        <w:tabs>
          <w:tab w:val="left" w:pos="3792"/>
        </w:tabs>
        <w:spacing w:line="550" w:lineRule="exact"/>
        <w:contextualSpacing/>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bCs/>
          <w:kern w:val="30"/>
          <w:sz w:val="32"/>
          <w:szCs w:val="32"/>
        </w:rPr>
        <w:t xml:space="preserve">    强化资产管理工作，建立健全资产管理制度，明确资产管理人员，细化任务分工，积极开展资产清查工作，进一步摸清家底。规范和加强资产会计核算，对新增资产按规定及时登记入账，按月计提折旧。严格履行资产报废处置程序，规范资产处置，确保了固定资产账账、账卡、账实相符。</w:t>
      </w:r>
      <w:r>
        <w:rPr>
          <w:rFonts w:hint="default" w:ascii="Times New Roman" w:hAnsi="Times New Roman" w:eastAsia="方正仿宋_GBK" w:cs="Times New Roman"/>
          <w:snapToGrid w:val="0"/>
          <w:kern w:val="0"/>
          <w:sz w:val="32"/>
          <w:szCs w:val="32"/>
        </w:rPr>
        <w:t>2024年无闲置资产，人均资产变化率为2.2 %，部门人均资产增长率为0.51%，部门办公家具超最低使用年限资产利用率为0、部门办公设备超最低使用年限资产利用率为68.22%。根据部门预算绩效评价指标体系，此项自评得分5.2分。</w:t>
      </w:r>
    </w:p>
    <w:p>
      <w:pPr>
        <w:spacing w:line="550" w:lineRule="exact"/>
        <w:contextualSpacing/>
        <w:jc w:val="left"/>
        <w:rPr>
          <w:rFonts w:hint="default" w:ascii="Times New Roman" w:hAnsi="Times New Roman" w:eastAsia="方正仿宋_GBK" w:cs="Times New Roman"/>
          <w:b/>
          <w:snapToGrid w:val="0"/>
          <w:kern w:val="0"/>
          <w:sz w:val="32"/>
          <w:szCs w:val="32"/>
          <w:lang w:val="zh-CN"/>
        </w:rPr>
      </w:pPr>
      <w:r>
        <w:rPr>
          <w:rFonts w:hint="default" w:ascii="Times New Roman" w:hAnsi="Times New Roman" w:eastAsia="方正仿宋_GBK" w:cs="Times New Roman"/>
          <w:snapToGrid w:val="0"/>
          <w:kern w:val="0"/>
          <w:sz w:val="32"/>
          <w:szCs w:val="32"/>
        </w:rPr>
        <w:t xml:space="preserve">   </w:t>
      </w:r>
      <w:r>
        <w:rPr>
          <w:rFonts w:hint="default" w:ascii="Times New Roman" w:hAnsi="Times New Roman" w:eastAsia="方正仿宋_GBK" w:cs="Times New Roman"/>
          <w:b/>
          <w:snapToGrid w:val="0"/>
          <w:kern w:val="0"/>
          <w:sz w:val="32"/>
          <w:szCs w:val="32"/>
          <w:lang w:val="zh-CN"/>
        </w:rPr>
        <w:t xml:space="preserve"> 5.采购管理</w:t>
      </w:r>
    </w:p>
    <w:p>
      <w:pPr>
        <w:tabs>
          <w:tab w:val="left" w:pos="3792"/>
        </w:tabs>
        <w:spacing w:line="550" w:lineRule="exact"/>
        <w:contextualSpacing/>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lang w:val="zh-CN"/>
        </w:rPr>
        <w:t xml:space="preserve">    </w:t>
      </w:r>
      <w:r>
        <w:rPr>
          <w:rFonts w:hint="default" w:ascii="Times New Roman" w:hAnsi="Times New Roman" w:eastAsia="方正仿宋_GBK" w:cs="Times New Roman"/>
          <w:kern w:val="0"/>
          <w:sz w:val="32"/>
          <w:szCs w:val="32"/>
        </w:rPr>
        <w:t>严格政府采购预算管理，</w:t>
      </w:r>
      <w:r>
        <w:rPr>
          <w:rStyle w:val="36"/>
          <w:rFonts w:hint="default" w:ascii="Times New Roman" w:hAnsi="Times New Roman" w:eastAsia="方正仿宋_GBK" w:cs="Times New Roman"/>
          <w:sz w:val="32"/>
          <w:szCs w:val="32"/>
        </w:rPr>
        <w:t>科学合理编制政府采购预算，对适宜由中小企业提供的采购项目和采购包，在采购预算中单独列示预留份额。</w:t>
      </w:r>
      <w:r>
        <w:rPr>
          <w:rFonts w:hint="default" w:ascii="Times New Roman" w:hAnsi="Times New Roman" w:eastAsia="方正仿宋_GBK" w:cs="Times New Roman"/>
          <w:kern w:val="0"/>
          <w:sz w:val="32"/>
          <w:szCs w:val="32"/>
        </w:rPr>
        <w:t>坚决执行政府采购制度，按法定采购方式和程序</w:t>
      </w:r>
      <w:r>
        <w:rPr>
          <w:rStyle w:val="36"/>
          <w:rFonts w:hint="default" w:ascii="Times New Roman" w:hAnsi="Times New Roman" w:eastAsia="方正仿宋_GBK" w:cs="Times New Roman"/>
          <w:sz w:val="32"/>
          <w:szCs w:val="32"/>
        </w:rPr>
        <w:t>依法开展政府采购活动。2024年政府采购总预算为168.22万元，完成政府采购合同金额为167.7万元，其中授予中小企业合同金额166.64万元。当年政府采购实际支付 103.77万元，支付比例为61.88%。</w:t>
      </w:r>
      <w:r>
        <w:rPr>
          <w:rFonts w:hint="default" w:ascii="Times New Roman" w:hAnsi="Times New Roman" w:eastAsia="方正仿宋_GBK" w:cs="Times New Roman"/>
          <w:snapToGrid w:val="0"/>
          <w:kern w:val="0"/>
          <w:sz w:val="32"/>
          <w:szCs w:val="32"/>
        </w:rPr>
        <w:t>根据部门预算绩效评价指标体系，此项自评得分4.86分。</w:t>
      </w:r>
    </w:p>
    <w:p>
      <w:pPr>
        <w:tabs>
          <w:tab w:val="left" w:pos="3792"/>
        </w:tabs>
        <w:spacing w:line="550" w:lineRule="exact"/>
        <w:ind w:firstLine="642" w:firstLineChars="200"/>
        <w:contextualSpacing/>
        <w:rPr>
          <w:rFonts w:hint="default" w:ascii="Times New Roman" w:hAnsi="Times New Roman" w:eastAsia="方正楷体_GBK" w:cs="Times New Roman"/>
          <w:b/>
          <w:sz w:val="32"/>
          <w:szCs w:val="32"/>
          <w:lang w:val="zh-CN"/>
        </w:rPr>
      </w:pPr>
      <w:r>
        <w:rPr>
          <w:rFonts w:hint="default" w:ascii="Times New Roman" w:hAnsi="Times New Roman" w:eastAsia="方正楷体_GBK" w:cs="Times New Roman"/>
          <w:b/>
          <w:sz w:val="32"/>
          <w:szCs w:val="32"/>
          <w:lang w:val="zh-CN"/>
        </w:rPr>
        <w:t>（二）部门预算项目绩效分析</w:t>
      </w:r>
    </w:p>
    <w:p>
      <w:pPr>
        <w:spacing w:line="550" w:lineRule="exact"/>
        <w:ind w:firstLine="640" w:firstLineChars="200"/>
        <w:contextualSpacing/>
        <w:jc w:val="left"/>
        <w:rPr>
          <w:rFonts w:hint="default" w:ascii="Times New Roman" w:hAnsi="Times New Roman" w:eastAsia="方正仿宋_GBK" w:cs="Times New Roman"/>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rPr>
        <w:t>常年项目绩效分析。</w:t>
      </w:r>
      <w:r>
        <w:rPr>
          <w:rFonts w:hint="default" w:ascii="Times New Roman" w:hAnsi="Times New Roman" w:eastAsia="方正仿宋_GBK" w:cs="Times New Roman"/>
          <w:color w:val="000000"/>
          <w:kern w:val="0"/>
          <w:sz w:val="32"/>
          <w:szCs w:val="32"/>
          <w:shd w:val="clear" w:color="auto" w:fill="FFFFFF"/>
          <w:lang w:val="zh-CN"/>
        </w:rPr>
        <w:t>该类项目总数4个，涉及预算总金额219.12万元，1—1</w:t>
      </w:r>
      <w:r>
        <w:rPr>
          <w:rFonts w:hint="default" w:ascii="Times New Roman" w:hAnsi="Times New Roman" w:eastAsia="方正仿宋_GBK" w:cs="Times New Roman"/>
          <w:color w:val="000000"/>
          <w:kern w:val="0"/>
          <w:sz w:val="32"/>
          <w:szCs w:val="32"/>
          <w:shd w:val="clear" w:color="auto" w:fill="FFFFFF"/>
        </w:rPr>
        <w:t>2</w:t>
      </w:r>
      <w:r>
        <w:rPr>
          <w:rFonts w:hint="default" w:ascii="Times New Roman" w:hAnsi="Times New Roman" w:eastAsia="方正仿宋_GBK" w:cs="Times New Roman"/>
          <w:color w:val="000000"/>
          <w:kern w:val="0"/>
          <w:sz w:val="32"/>
          <w:szCs w:val="32"/>
          <w:shd w:val="clear" w:color="auto" w:fill="FFFFFF"/>
          <w:lang w:val="zh-CN"/>
        </w:rPr>
        <w:t>月预算执行总体进度为99.7%，其中：预算结余率大于</w:t>
      </w:r>
      <w:r>
        <w:rPr>
          <w:rFonts w:hint="default" w:ascii="Times New Roman" w:hAnsi="Times New Roman" w:eastAsia="方正仿宋_GBK" w:cs="Times New Roman"/>
          <w:color w:val="000000"/>
          <w:kern w:val="0"/>
          <w:sz w:val="32"/>
          <w:szCs w:val="32"/>
          <w:shd w:val="clear" w:color="auto" w:fill="FFFFFF"/>
        </w:rPr>
        <w:t>10%</w:t>
      </w:r>
      <w:r>
        <w:rPr>
          <w:rFonts w:hint="default" w:ascii="Times New Roman" w:hAnsi="Times New Roman" w:eastAsia="方正仿宋_GBK" w:cs="Times New Roman"/>
          <w:color w:val="000000"/>
          <w:kern w:val="0"/>
          <w:sz w:val="32"/>
          <w:szCs w:val="32"/>
          <w:shd w:val="clear" w:color="auto" w:fill="FFFFFF"/>
          <w:lang w:val="zh-CN"/>
        </w:rPr>
        <w:t>的项目共计0个。</w:t>
      </w:r>
    </w:p>
    <w:p>
      <w:pPr>
        <w:spacing w:line="550" w:lineRule="exact"/>
        <w:ind w:firstLine="640" w:firstLineChars="200"/>
        <w:contextualSpacing/>
        <w:jc w:val="left"/>
        <w:rPr>
          <w:rFonts w:hint="default" w:ascii="Times New Roman" w:hAnsi="Times New Roman" w:eastAsia="方正仿宋_GBK" w:cs="Times New Roman"/>
          <w:color w:val="000000"/>
          <w:kern w:val="0"/>
          <w:sz w:val="32"/>
          <w:szCs w:val="32"/>
          <w:shd w:val="clear" w:color="auto" w:fill="FFFFFF"/>
          <w:lang w:val="zh-CN"/>
        </w:rPr>
      </w:pPr>
      <w:r>
        <w:rPr>
          <w:rFonts w:hint="default" w:ascii="Times New Roman" w:hAnsi="Times New Roman" w:eastAsia="方正仿宋_GBK" w:cs="Times New Roman"/>
          <w:color w:val="000000"/>
          <w:kern w:val="0"/>
          <w:sz w:val="32"/>
          <w:szCs w:val="32"/>
          <w:shd w:val="clear" w:color="auto" w:fill="FFFFFF"/>
        </w:rPr>
        <w:t>阶段（含一次性）项目绩效分析。</w:t>
      </w:r>
      <w:r>
        <w:rPr>
          <w:rFonts w:hint="default" w:ascii="Times New Roman" w:hAnsi="Times New Roman" w:eastAsia="方正仿宋_GBK" w:cs="Times New Roman"/>
          <w:color w:val="000000"/>
          <w:kern w:val="0"/>
          <w:sz w:val="32"/>
          <w:szCs w:val="32"/>
          <w:shd w:val="clear" w:color="auto" w:fill="FFFFFF"/>
          <w:lang w:val="zh-CN"/>
        </w:rPr>
        <w:t>该类项目总数5个，涉及预算总金额43.9万元，1—1</w:t>
      </w:r>
      <w:r>
        <w:rPr>
          <w:rFonts w:hint="default" w:ascii="Times New Roman" w:hAnsi="Times New Roman" w:eastAsia="方正仿宋_GBK" w:cs="Times New Roman"/>
          <w:color w:val="000000"/>
          <w:kern w:val="0"/>
          <w:sz w:val="32"/>
          <w:szCs w:val="32"/>
          <w:shd w:val="clear" w:color="auto" w:fill="FFFFFF"/>
        </w:rPr>
        <w:t>2</w:t>
      </w:r>
      <w:r>
        <w:rPr>
          <w:rFonts w:hint="default" w:ascii="Times New Roman" w:hAnsi="Times New Roman" w:eastAsia="方正仿宋_GBK" w:cs="Times New Roman"/>
          <w:color w:val="000000"/>
          <w:kern w:val="0"/>
          <w:sz w:val="32"/>
          <w:szCs w:val="32"/>
          <w:shd w:val="clear" w:color="auto" w:fill="FFFFFF"/>
          <w:lang w:val="zh-CN"/>
        </w:rPr>
        <w:t>月预算执行总体进度为98.84%，其中：预算结余率大于</w:t>
      </w:r>
      <w:r>
        <w:rPr>
          <w:rFonts w:hint="default" w:ascii="Times New Roman" w:hAnsi="Times New Roman" w:eastAsia="方正仿宋_GBK" w:cs="Times New Roman"/>
          <w:color w:val="000000"/>
          <w:kern w:val="0"/>
          <w:sz w:val="32"/>
          <w:szCs w:val="32"/>
          <w:shd w:val="clear" w:color="auto" w:fill="FFFFFF"/>
        </w:rPr>
        <w:t>10%</w:t>
      </w:r>
      <w:r>
        <w:rPr>
          <w:rFonts w:hint="default" w:ascii="Times New Roman" w:hAnsi="Times New Roman" w:eastAsia="方正仿宋_GBK" w:cs="Times New Roman"/>
          <w:color w:val="000000"/>
          <w:kern w:val="0"/>
          <w:sz w:val="32"/>
          <w:szCs w:val="32"/>
          <w:shd w:val="clear" w:color="auto" w:fill="FFFFFF"/>
          <w:lang w:val="zh-CN"/>
        </w:rPr>
        <w:t>的项目共计0个。</w:t>
      </w:r>
    </w:p>
    <w:p>
      <w:pPr>
        <w:tabs>
          <w:tab w:val="left" w:pos="3792"/>
        </w:tabs>
        <w:spacing w:line="550" w:lineRule="exact"/>
        <w:contextualSpacing/>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color w:val="000000"/>
          <w:kern w:val="0"/>
          <w:sz w:val="32"/>
          <w:szCs w:val="32"/>
          <w:shd w:val="clear" w:color="auto" w:fill="FFFFFF"/>
          <w:lang w:val="zh-CN"/>
        </w:rPr>
        <w:t xml:space="preserve">   </w:t>
      </w:r>
      <w:r>
        <w:rPr>
          <w:rFonts w:hint="default" w:ascii="Times New Roman" w:hAnsi="Times New Roman" w:eastAsia="方正仿宋_GBK" w:cs="Times New Roman"/>
          <w:b/>
          <w:snapToGrid w:val="0"/>
          <w:kern w:val="0"/>
          <w:sz w:val="32"/>
          <w:szCs w:val="32"/>
          <w:lang w:val="zh-CN"/>
        </w:rPr>
        <w:t xml:space="preserve"> 1.项目决策。</w:t>
      </w:r>
      <w:r>
        <w:rPr>
          <w:rFonts w:hint="default" w:ascii="Times New Roman" w:hAnsi="Times New Roman" w:eastAsia="方正仿宋_GBK" w:cs="Times New Roman"/>
          <w:color w:val="000000"/>
          <w:kern w:val="0"/>
          <w:sz w:val="32"/>
          <w:szCs w:val="32"/>
          <w:shd w:val="clear" w:color="auto" w:fill="FFFFFF"/>
          <w:lang w:val="zh-CN"/>
        </w:rPr>
        <w:t>严格部门预算项目申报，在年初预算编制时，统筹谋划全年工作任务和计划，据实申报部门预算项目，设置绩效目标。</w:t>
      </w:r>
      <w:r>
        <w:rPr>
          <w:rFonts w:hint="default" w:ascii="Times New Roman" w:hAnsi="Times New Roman" w:eastAsia="方正仿宋_GBK" w:cs="Times New Roman"/>
          <w:snapToGrid w:val="0"/>
          <w:kern w:val="0"/>
          <w:sz w:val="32"/>
          <w:szCs w:val="32"/>
        </w:rPr>
        <w:t>为保证项目预算编制准确合理和绩效目标指标科学、规范完整，细化任务分工，由业务科室（单位）分别编制项目预算和绩效目标，开展项目事前绩效评估，并报经局务会集体研究通过后，及时进行项目申报入库。根据部门预算绩效评价指标体系，此项自评得分4分。</w:t>
      </w:r>
    </w:p>
    <w:p>
      <w:pPr>
        <w:tabs>
          <w:tab w:val="left" w:pos="3792"/>
        </w:tabs>
        <w:spacing w:line="550" w:lineRule="exact"/>
        <w:contextualSpacing/>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color w:val="000000"/>
          <w:kern w:val="0"/>
          <w:sz w:val="32"/>
          <w:szCs w:val="32"/>
          <w:shd w:val="clear" w:color="auto" w:fill="FFFFFF"/>
        </w:rPr>
        <w:t xml:space="preserve">    </w:t>
      </w:r>
      <w:r>
        <w:rPr>
          <w:rFonts w:hint="default" w:ascii="Times New Roman" w:hAnsi="Times New Roman" w:eastAsia="方正仿宋_GBK" w:cs="Times New Roman"/>
          <w:b/>
          <w:snapToGrid w:val="0"/>
          <w:kern w:val="0"/>
          <w:sz w:val="32"/>
          <w:szCs w:val="32"/>
          <w:lang w:val="zh-CN"/>
        </w:rPr>
        <w:t>2.项目执行。</w:t>
      </w:r>
      <w:r>
        <w:rPr>
          <w:rFonts w:hint="default" w:ascii="Times New Roman" w:hAnsi="Times New Roman" w:eastAsia="方正仿宋_GBK" w:cs="Times New Roman"/>
          <w:b/>
          <w:sz w:val="32"/>
          <w:szCs w:val="32"/>
          <w:shd w:val="clear" w:color="auto" w:fill="FFFFFF"/>
        </w:rPr>
        <w:t>一是</w:t>
      </w:r>
      <w:r>
        <w:rPr>
          <w:rFonts w:hint="default" w:ascii="Times New Roman" w:hAnsi="Times New Roman" w:eastAsia="方正仿宋_GBK" w:cs="Times New Roman"/>
          <w:bCs/>
          <w:sz w:val="32"/>
          <w:szCs w:val="32"/>
          <w:shd w:val="clear" w:color="auto" w:fill="FFFFFF"/>
        </w:rPr>
        <w:t>强化资金使用监督。</w:t>
      </w:r>
      <w:r>
        <w:rPr>
          <w:rFonts w:hint="default" w:ascii="Times New Roman" w:hAnsi="Times New Roman" w:eastAsia="方正仿宋_GBK" w:cs="Times New Roman"/>
          <w:sz w:val="32"/>
          <w:szCs w:val="32"/>
          <w:shd w:val="clear" w:color="auto" w:fill="FFFFFF"/>
        </w:rPr>
        <w:t>在项目执行过程中，严格对项目经费进行审核，包括经费使用前预算和计划的审核，经费使用过程中预算执行情况和程序的监督，经费使用后支出内容真实、合理、合法性的审核监督等，确保实际列支内容符合绩效目标设置方向。</w:t>
      </w:r>
      <w:r>
        <w:rPr>
          <w:rFonts w:hint="default" w:ascii="Times New Roman" w:hAnsi="Times New Roman" w:eastAsia="方正仿宋_GBK" w:cs="Times New Roman"/>
          <w:b/>
          <w:sz w:val="32"/>
          <w:szCs w:val="32"/>
          <w:shd w:val="clear" w:color="auto" w:fill="FFFFFF"/>
        </w:rPr>
        <w:t>二是</w:t>
      </w:r>
      <w:r>
        <w:rPr>
          <w:rFonts w:hint="default" w:ascii="Times New Roman" w:hAnsi="Times New Roman" w:eastAsia="方正仿宋_GBK" w:cs="Times New Roman"/>
          <w:bCs/>
          <w:sz w:val="32"/>
          <w:szCs w:val="32"/>
          <w:shd w:val="clear" w:color="auto" w:fill="FFFFFF"/>
        </w:rPr>
        <w:t>严格项目调整程序。</w:t>
      </w:r>
      <w:r>
        <w:rPr>
          <w:rFonts w:hint="default" w:ascii="Times New Roman" w:hAnsi="Times New Roman" w:eastAsia="方正仿宋_GBK" w:cs="Times New Roman"/>
          <w:sz w:val="32"/>
          <w:szCs w:val="32"/>
          <w:shd w:val="clear" w:color="auto" w:fill="FFFFFF"/>
        </w:rPr>
        <w:t>年中因工作计划有变，确需追加或调整项目预算的，</w:t>
      </w:r>
      <w:r>
        <w:rPr>
          <w:rFonts w:hint="default" w:ascii="Times New Roman" w:hAnsi="Times New Roman" w:eastAsia="方正仿宋_GBK" w:cs="Times New Roman"/>
          <w:snapToGrid w:val="0"/>
          <w:kern w:val="0"/>
          <w:sz w:val="32"/>
          <w:szCs w:val="32"/>
        </w:rPr>
        <w:t>制定具体工作方案报局务会研究通过或分管财务领导审核同意后，采取一事一议原则</w:t>
      </w:r>
      <w:r>
        <w:rPr>
          <w:rFonts w:hint="default" w:ascii="Times New Roman" w:hAnsi="Times New Roman" w:eastAsia="方正仿宋_GBK" w:cs="Times New Roman"/>
          <w:sz w:val="32"/>
          <w:szCs w:val="32"/>
          <w:shd w:val="clear" w:color="auto" w:fill="FFFFFF"/>
        </w:rPr>
        <w:t>追加项目预算或调整项目绩效目标。</w:t>
      </w:r>
      <w:r>
        <w:rPr>
          <w:rFonts w:hint="default" w:ascii="Times New Roman" w:hAnsi="Times New Roman" w:eastAsia="方正仿宋_GBK" w:cs="Times New Roman"/>
          <w:b/>
          <w:sz w:val="32"/>
          <w:szCs w:val="32"/>
          <w:shd w:val="clear" w:color="auto" w:fill="FFFFFF"/>
        </w:rPr>
        <w:t>三是</w:t>
      </w:r>
      <w:r>
        <w:rPr>
          <w:rFonts w:hint="default" w:ascii="Times New Roman" w:hAnsi="Times New Roman" w:eastAsia="方正仿宋_GBK" w:cs="Times New Roman"/>
          <w:bCs/>
          <w:sz w:val="32"/>
          <w:szCs w:val="32"/>
          <w:shd w:val="clear" w:color="auto" w:fill="FFFFFF"/>
        </w:rPr>
        <w:t>强化绩效运行监控。</w:t>
      </w:r>
      <w:r>
        <w:rPr>
          <w:rFonts w:hint="default" w:ascii="Times New Roman" w:hAnsi="Times New Roman" w:eastAsia="方正仿宋_GBK" w:cs="Times New Roman"/>
          <w:sz w:val="32"/>
          <w:szCs w:val="32"/>
          <w:shd w:val="clear" w:color="auto" w:fill="FFFFFF"/>
        </w:rPr>
        <w:t>按月进行项目绩效监控，认真开展事中绩效自评工作，每年7月向局务会报告项目实施情况，及时解决项目执行中出现的各种问题，保证了各项目有序推进，项目资金使用高效安全。</w:t>
      </w:r>
      <w:r>
        <w:rPr>
          <w:rFonts w:hint="default" w:ascii="Times New Roman" w:hAnsi="Times New Roman" w:eastAsia="方正仿宋_GBK" w:cs="Times New Roman"/>
          <w:snapToGrid w:val="0"/>
          <w:kern w:val="0"/>
          <w:sz w:val="32"/>
          <w:szCs w:val="32"/>
        </w:rPr>
        <w:t>根据部门预算绩效评价指标体系，此项自评得分4分。</w:t>
      </w:r>
    </w:p>
    <w:p>
      <w:pPr>
        <w:tabs>
          <w:tab w:val="left" w:pos="3792"/>
        </w:tabs>
        <w:spacing w:line="550" w:lineRule="exact"/>
        <w:contextualSpacing/>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color w:val="000000"/>
          <w:kern w:val="0"/>
          <w:sz w:val="32"/>
          <w:szCs w:val="32"/>
          <w:shd w:val="clear" w:color="auto" w:fill="FFFFFF"/>
        </w:rPr>
        <w:t xml:space="preserve">  </w:t>
      </w:r>
      <w:r>
        <w:rPr>
          <w:rFonts w:hint="default" w:ascii="Times New Roman" w:hAnsi="Times New Roman" w:eastAsia="方正仿宋_GBK" w:cs="Times New Roman"/>
          <w:b/>
          <w:snapToGrid w:val="0"/>
          <w:kern w:val="0"/>
          <w:sz w:val="32"/>
          <w:szCs w:val="32"/>
          <w:lang w:val="zh-CN"/>
        </w:rPr>
        <w:t xml:space="preserve">  3.目标实现。</w:t>
      </w:r>
      <w:r>
        <w:rPr>
          <w:rFonts w:hint="default" w:ascii="Times New Roman" w:hAnsi="Times New Roman" w:eastAsia="方正仿宋_GBK" w:cs="Times New Roman"/>
          <w:snapToGrid w:val="0"/>
          <w:kern w:val="0"/>
          <w:sz w:val="32"/>
          <w:szCs w:val="32"/>
        </w:rPr>
        <w:t>根据部门预算绩效评价指标体系，此项自评得分15分。</w:t>
      </w:r>
    </w:p>
    <w:p>
      <w:pPr>
        <w:spacing w:line="550" w:lineRule="exact"/>
        <w:ind w:firstLine="640" w:firstLineChars="200"/>
        <w:contextualSpacing/>
        <w:jc w:val="left"/>
        <w:rPr>
          <w:rFonts w:hint="default" w:ascii="Times New Roman" w:hAnsi="Times New Roman" w:eastAsia="方正仿宋_GBK" w:cs="Times New Roman"/>
          <w:color w:val="000000"/>
          <w:kern w:val="0"/>
          <w:sz w:val="32"/>
          <w:szCs w:val="32"/>
          <w:shd w:val="clear" w:color="auto" w:fill="FFFFFF"/>
        </w:rPr>
      </w:pPr>
      <w:r>
        <w:rPr>
          <w:rFonts w:hint="default" w:ascii="Times New Roman" w:hAnsi="Times New Roman" w:eastAsia="方正仿宋_GBK" w:cs="Times New Roman"/>
          <w:color w:val="000000"/>
          <w:kern w:val="0"/>
          <w:sz w:val="32"/>
          <w:szCs w:val="32"/>
          <w:shd w:val="clear" w:color="auto" w:fill="FFFFFF"/>
        </w:rPr>
        <w:t>常年项目绩效分析如下：</w:t>
      </w:r>
    </w:p>
    <w:p>
      <w:pPr>
        <w:spacing w:line="550" w:lineRule="exact"/>
        <w:ind w:firstLine="642" w:firstLineChars="200"/>
        <w:contextualSpacing/>
        <w:jc w:val="left"/>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b/>
          <w:snapToGrid w:val="0"/>
          <w:kern w:val="0"/>
          <w:sz w:val="32"/>
          <w:szCs w:val="32"/>
          <w:lang w:val="zh-CN"/>
        </w:rPr>
        <w:t>（1）老干部活动经费。</w:t>
      </w:r>
      <w:r>
        <w:rPr>
          <w:rFonts w:hint="default" w:ascii="Times New Roman" w:hAnsi="Times New Roman" w:eastAsia="方正仿宋_GBK" w:cs="Times New Roman"/>
          <w:bCs/>
          <w:snapToGrid w:val="0"/>
          <w:kern w:val="0"/>
          <w:sz w:val="32"/>
          <w:szCs w:val="32"/>
          <w:lang w:val="zh-CN"/>
        </w:rPr>
        <w:t>①</w:t>
      </w:r>
      <w:r>
        <w:rPr>
          <w:rFonts w:hint="default" w:ascii="Times New Roman" w:hAnsi="Times New Roman" w:eastAsia="方正仿宋_GBK" w:cs="Times New Roman"/>
          <w:bCs/>
          <w:sz w:val="32"/>
          <w:szCs w:val="32"/>
        </w:rPr>
        <w:t>目标完成情况：</w:t>
      </w:r>
      <w:r>
        <w:rPr>
          <w:rFonts w:hint="default" w:ascii="Times New Roman" w:hAnsi="Times New Roman" w:eastAsia="方正仿宋_GBK" w:cs="Times New Roman"/>
          <w:bCs/>
          <w:snapToGrid w:val="0"/>
          <w:kern w:val="0"/>
          <w:sz w:val="32"/>
          <w:szCs w:val="32"/>
        </w:rPr>
        <w:t>全力做好老干部各项服务工作，圆满完成了各项工作任务。全年召开情况通报会、老干部学习座谈会等6次；圆满完成春节走访慰问老干部工作，春节走访慰问离退休干部240人次、开展离退休干部特殊困难帮扶32人次、走访慰问炳草岗干部休养所离休干部及遗孀17人次；组织老领导参观考察活动2次；及时慰问生病住院老领导和逝世老领导遗属20人次；走访慰问易地安置离退休干部24人；开展老年书画展、老年摄影展等重阳节活动2场次。②</w:t>
      </w:r>
      <w:r>
        <w:rPr>
          <w:rFonts w:hint="default" w:ascii="Times New Roman" w:hAnsi="Times New Roman" w:eastAsia="方正仿宋_GBK" w:cs="Times New Roman"/>
          <w:bCs/>
          <w:color w:val="000000"/>
          <w:kern w:val="0"/>
          <w:sz w:val="32"/>
          <w:szCs w:val="32"/>
          <w:shd w:val="clear" w:color="auto" w:fill="FFFFFF"/>
          <w:lang w:val="zh-CN"/>
        </w:rPr>
        <w:t>目标偏离情况：无。③实现效果：</w:t>
      </w:r>
      <w:r>
        <w:rPr>
          <w:rFonts w:hint="default" w:ascii="Times New Roman" w:hAnsi="Times New Roman" w:eastAsia="方正仿宋_GBK" w:cs="Times New Roman"/>
          <w:bCs/>
          <w:sz w:val="32"/>
          <w:szCs w:val="32"/>
          <w:lang w:val="zh-CN"/>
        </w:rPr>
        <w:t>统筹抓好离退休干部党的建设、作用发挥、服务管理等重点工作，积极组织引导全市离退休干部多渠道为推动攀枝花高质量发展增添正能量，</w:t>
      </w:r>
      <w:r>
        <w:rPr>
          <w:rFonts w:hint="default" w:ascii="Times New Roman" w:hAnsi="Times New Roman" w:eastAsia="方正仿宋_GBK" w:cs="Times New Roman"/>
          <w:bCs/>
          <w:snapToGrid w:val="0"/>
          <w:kern w:val="0"/>
          <w:sz w:val="32"/>
          <w:szCs w:val="32"/>
        </w:rPr>
        <w:t>保障了老干部政治待遇和生活待遇得到有效落实</w:t>
      </w:r>
      <w:r>
        <w:rPr>
          <w:rFonts w:hint="default" w:ascii="Times New Roman" w:hAnsi="Times New Roman" w:eastAsia="方正仿宋_GBK" w:cs="Times New Roman"/>
          <w:bCs/>
          <w:kern w:val="0"/>
          <w:sz w:val="32"/>
          <w:szCs w:val="32"/>
        </w:rPr>
        <w:t>。</w:t>
      </w:r>
    </w:p>
    <w:p>
      <w:pPr>
        <w:autoSpaceDE w:val="0"/>
        <w:autoSpaceDN w:val="0"/>
        <w:spacing w:line="550" w:lineRule="exact"/>
        <w:ind w:firstLine="642" w:firstLineChars="200"/>
        <w:contextualSpacing/>
        <w:jc w:val="left"/>
        <w:rPr>
          <w:rFonts w:hint="default" w:ascii="Times New Roman" w:hAnsi="Times New Roman" w:eastAsia="方正仿宋_GBK" w:cs="Times New Roman"/>
          <w:bCs/>
          <w:sz w:val="32"/>
          <w:szCs w:val="32"/>
          <w:lang w:val="zh-CN"/>
        </w:rPr>
      </w:pPr>
      <w:r>
        <w:rPr>
          <w:rFonts w:hint="default" w:ascii="Times New Roman" w:hAnsi="Times New Roman" w:eastAsia="方正仿宋_GBK" w:cs="Times New Roman"/>
          <w:b/>
          <w:snapToGrid w:val="0"/>
          <w:kern w:val="0"/>
          <w:sz w:val="32"/>
          <w:szCs w:val="32"/>
          <w:lang w:val="zh-CN"/>
        </w:rPr>
        <w:t>（2）老年大学办学经费。</w:t>
      </w:r>
      <w:r>
        <w:rPr>
          <w:rFonts w:hint="default" w:ascii="Times New Roman" w:hAnsi="Times New Roman" w:eastAsia="方正仿宋_GBK" w:cs="Times New Roman"/>
          <w:bCs/>
          <w:snapToGrid w:val="0"/>
          <w:kern w:val="0"/>
          <w:sz w:val="32"/>
          <w:szCs w:val="32"/>
          <w:lang w:val="zh-CN"/>
        </w:rPr>
        <w:t>①</w:t>
      </w:r>
      <w:r>
        <w:rPr>
          <w:rFonts w:hint="default" w:ascii="Times New Roman" w:hAnsi="Times New Roman" w:eastAsia="方正仿宋_GBK" w:cs="Times New Roman"/>
          <w:bCs/>
          <w:snapToGrid w:val="0"/>
          <w:kern w:val="0"/>
          <w:sz w:val="32"/>
          <w:szCs w:val="32"/>
        </w:rPr>
        <w:t>目标完成情况：及时足额支付教师工资、物业、水电、网络、办公用品等费用，保障了老年大学正常运转。②目标偏离情况：无。</w:t>
      </w:r>
      <w:r>
        <w:rPr>
          <w:rFonts w:hint="default" w:ascii="Times New Roman" w:hAnsi="Times New Roman" w:eastAsia="方正仿宋_GBK" w:cs="Times New Roman"/>
          <w:bCs/>
          <w:color w:val="000000"/>
          <w:kern w:val="0"/>
          <w:sz w:val="32"/>
          <w:szCs w:val="32"/>
          <w:shd w:val="clear" w:color="auto" w:fill="FFFFFF"/>
          <w:lang w:val="zh-CN"/>
        </w:rPr>
        <w:t>③</w:t>
      </w:r>
      <w:r>
        <w:rPr>
          <w:rFonts w:hint="default" w:ascii="Times New Roman" w:hAnsi="Times New Roman" w:eastAsia="方正仿宋_GBK" w:cs="Times New Roman"/>
          <w:bCs/>
          <w:snapToGrid w:val="0"/>
          <w:kern w:val="0"/>
          <w:sz w:val="32"/>
          <w:szCs w:val="32"/>
        </w:rPr>
        <w:t>实现效果：</w:t>
      </w:r>
      <w:r>
        <w:rPr>
          <w:rFonts w:hint="default" w:ascii="Times New Roman" w:hAnsi="Times New Roman" w:eastAsia="方正仿宋_GBK" w:cs="Times New Roman"/>
          <w:bCs/>
          <w:sz w:val="32"/>
          <w:szCs w:val="32"/>
          <w:shd w:val="clear" w:color="auto" w:fill="FFFFFF"/>
        </w:rPr>
        <w:t>2024年老年大学共设置6个系48个专业79个教学班，定期开办保健课程、精品党课及培训；通过通识课、公益课、实践课、文艺展演、志愿服务等方式送教育进社区，为全市离退休干部及老年大学师生提供了学习、教学实践场地，基本满足老干部、老年群体文娱活动和受教育需求，全年在老年大学学习、活动的老同志达4000人以上。</w:t>
      </w:r>
    </w:p>
    <w:p>
      <w:pPr>
        <w:spacing w:line="550" w:lineRule="exact"/>
        <w:ind w:firstLine="720"/>
        <w:contextualSpacing/>
        <w:rPr>
          <w:rFonts w:hint="default" w:ascii="Times New Roman" w:hAnsi="Times New Roman" w:eastAsia="方正仿宋_GBK" w:cs="Times New Roman"/>
          <w:bCs/>
          <w:sz w:val="32"/>
          <w:szCs w:val="32"/>
          <w:lang w:val="zh-CN"/>
        </w:rPr>
      </w:pPr>
      <w:r>
        <w:rPr>
          <w:rFonts w:hint="default" w:ascii="Times New Roman" w:hAnsi="Times New Roman" w:eastAsia="方正仿宋_GBK" w:cs="Times New Roman"/>
          <w:b/>
          <w:snapToGrid w:val="0"/>
          <w:kern w:val="0"/>
          <w:sz w:val="32"/>
          <w:szCs w:val="32"/>
          <w:lang w:val="zh-CN"/>
        </w:rPr>
        <w:t>（3）关工委综合业务费。</w:t>
      </w:r>
      <w:r>
        <w:rPr>
          <w:rFonts w:hint="default" w:ascii="Times New Roman" w:hAnsi="Times New Roman" w:eastAsia="方正仿宋_GBK" w:cs="Times New Roman"/>
          <w:bCs/>
          <w:snapToGrid w:val="0"/>
          <w:kern w:val="0"/>
          <w:sz w:val="32"/>
          <w:szCs w:val="32"/>
          <w:lang w:val="zh-CN"/>
        </w:rPr>
        <w:t>①</w:t>
      </w:r>
      <w:r>
        <w:rPr>
          <w:rFonts w:hint="default" w:ascii="Times New Roman" w:hAnsi="Times New Roman" w:eastAsia="方正仿宋_GBK" w:cs="Times New Roman"/>
          <w:bCs/>
          <w:snapToGrid w:val="0"/>
          <w:kern w:val="0"/>
          <w:sz w:val="32"/>
          <w:szCs w:val="32"/>
        </w:rPr>
        <w:t>目标完成情况：保障了市关工委2024年业务正常运行；加强青少年思想道德教育及关爱帮扶，开展主题教育等活动10场次，实施“三线五老工作室”、青少年社会实践教育体验点等阵地建设9处，开展同心圆公益、夏令营、暖冬行动、阳光成长等青少年关爱帮扶活动，覆盖青少年1230人次；加强关工委建设，发放老同志工作补贴139人次、关爱慰问</w:t>
      </w:r>
      <w:r>
        <w:rPr>
          <w:rFonts w:hint="eastAsia" w:eastAsia="方正仿宋_GBK" w:cs="Times New Roman"/>
          <w:bCs/>
          <w:snapToGrid w:val="0"/>
          <w:kern w:val="0"/>
          <w:sz w:val="32"/>
          <w:szCs w:val="32"/>
          <w:lang w:eastAsia="zh-CN"/>
        </w:rPr>
        <w:t>“</w:t>
      </w:r>
      <w:r>
        <w:rPr>
          <w:rFonts w:hint="default" w:ascii="Times New Roman" w:hAnsi="Times New Roman" w:eastAsia="方正仿宋_GBK" w:cs="Times New Roman"/>
          <w:bCs/>
          <w:snapToGrid w:val="0"/>
          <w:kern w:val="0"/>
          <w:sz w:val="32"/>
          <w:szCs w:val="32"/>
        </w:rPr>
        <w:t>五老</w:t>
      </w:r>
      <w:r>
        <w:rPr>
          <w:rFonts w:hint="eastAsia" w:eastAsia="方正仿宋_GBK" w:cs="Times New Roman"/>
          <w:bCs/>
          <w:snapToGrid w:val="0"/>
          <w:kern w:val="0"/>
          <w:sz w:val="32"/>
          <w:szCs w:val="32"/>
          <w:lang w:eastAsia="zh-CN"/>
        </w:rPr>
        <w:t>”</w:t>
      </w:r>
      <w:r>
        <w:rPr>
          <w:rFonts w:hint="default" w:ascii="Times New Roman" w:hAnsi="Times New Roman" w:eastAsia="方正仿宋_GBK" w:cs="Times New Roman"/>
          <w:bCs/>
          <w:snapToGrid w:val="0"/>
          <w:kern w:val="0"/>
          <w:sz w:val="32"/>
          <w:szCs w:val="32"/>
        </w:rPr>
        <w:t>102人次、开展调查研究、学习培训和交流10场次，推动学习型、服务型、创新型关工委建设。</w:t>
      </w:r>
      <w:r>
        <w:rPr>
          <w:rFonts w:hint="default" w:ascii="Times New Roman" w:hAnsi="Times New Roman" w:eastAsia="方正仿宋_GBK" w:cs="Times New Roman"/>
          <w:bCs/>
          <w:snapToGrid w:val="0"/>
          <w:kern w:val="0"/>
          <w:sz w:val="32"/>
          <w:szCs w:val="32"/>
          <w:lang w:val="zh-CN"/>
        </w:rPr>
        <w:t>②目标偏离情况：</w:t>
      </w:r>
      <w:r>
        <w:rPr>
          <w:rFonts w:hint="default" w:ascii="Times New Roman" w:hAnsi="Times New Roman" w:eastAsia="方正仿宋_GBK" w:cs="Times New Roman"/>
          <w:bCs/>
          <w:snapToGrid w:val="0"/>
          <w:kern w:val="0"/>
          <w:sz w:val="32"/>
          <w:szCs w:val="32"/>
        </w:rPr>
        <w:t>无。</w:t>
      </w:r>
      <w:r>
        <w:rPr>
          <w:rFonts w:hint="default" w:ascii="Times New Roman" w:hAnsi="Times New Roman" w:eastAsia="方正仿宋_GBK" w:cs="Times New Roman"/>
          <w:bCs/>
          <w:color w:val="000000"/>
          <w:kern w:val="0"/>
          <w:sz w:val="32"/>
          <w:szCs w:val="32"/>
          <w:shd w:val="clear" w:color="auto" w:fill="FFFFFF"/>
          <w:lang w:val="zh-CN"/>
        </w:rPr>
        <w:t>③</w:t>
      </w:r>
      <w:r>
        <w:rPr>
          <w:rFonts w:hint="default" w:ascii="Times New Roman" w:hAnsi="Times New Roman" w:eastAsia="方正仿宋_GBK" w:cs="Times New Roman"/>
          <w:bCs/>
          <w:snapToGrid w:val="0"/>
          <w:kern w:val="0"/>
          <w:sz w:val="32"/>
          <w:szCs w:val="32"/>
        </w:rPr>
        <w:t>实现效果：</w:t>
      </w:r>
      <w:r>
        <w:rPr>
          <w:rFonts w:hint="default" w:ascii="Times New Roman" w:hAnsi="Times New Roman" w:eastAsia="方正仿宋_GBK" w:cs="Times New Roman"/>
          <w:bCs/>
          <w:sz w:val="32"/>
          <w:szCs w:val="32"/>
          <w:lang w:val="zh-CN"/>
        </w:rPr>
        <w:t>加强青少年儿童思想道德、法治安全等教育引领，积极开展传承红色基因、法治安全等主题教育和五老宣讲、夏令营、暖冬行动等活动，营造了关爱青少年儿童浓厚氛围，促进了青少年儿童健康成长。</w:t>
      </w:r>
    </w:p>
    <w:p>
      <w:pPr>
        <w:spacing w:line="550" w:lineRule="exact"/>
        <w:contextualSpacing/>
        <w:rPr>
          <w:rFonts w:hint="default" w:ascii="Times New Roman" w:hAnsi="Times New Roman" w:eastAsia="方正仿宋_GBK" w:cs="Times New Roman"/>
          <w:bCs/>
          <w:sz w:val="32"/>
          <w:szCs w:val="32"/>
          <w:lang w:val="zh-CN"/>
        </w:rPr>
      </w:pPr>
      <w:r>
        <w:rPr>
          <w:rFonts w:hint="default" w:ascii="Times New Roman" w:hAnsi="Times New Roman" w:eastAsia="方正仿宋_GBK" w:cs="Times New Roman"/>
          <w:sz w:val="32"/>
          <w:szCs w:val="32"/>
          <w:lang w:val="zh-CN"/>
        </w:rPr>
        <w:t xml:space="preserve">    </w:t>
      </w:r>
      <w:r>
        <w:rPr>
          <w:rFonts w:hint="default" w:ascii="Times New Roman" w:hAnsi="Times New Roman" w:eastAsia="方正仿宋_GBK" w:cs="Times New Roman"/>
          <w:b/>
          <w:snapToGrid w:val="0"/>
          <w:kern w:val="0"/>
          <w:sz w:val="32"/>
          <w:szCs w:val="32"/>
          <w:lang w:val="zh-CN"/>
        </w:rPr>
        <w:t>（4）关工委工作经费。</w:t>
      </w:r>
      <w:r>
        <w:rPr>
          <w:rFonts w:hint="default" w:ascii="Times New Roman" w:hAnsi="Times New Roman" w:eastAsia="方正仿宋_GBK" w:cs="Times New Roman"/>
          <w:bCs/>
          <w:snapToGrid w:val="0"/>
          <w:kern w:val="0"/>
          <w:sz w:val="32"/>
          <w:szCs w:val="32"/>
          <w:lang w:val="zh-CN"/>
        </w:rPr>
        <w:t>①目标完成情况：</w:t>
      </w:r>
      <w:r>
        <w:rPr>
          <w:rFonts w:hint="default" w:ascii="Times New Roman" w:hAnsi="Times New Roman" w:eastAsia="方正仿宋_GBK" w:cs="Times New Roman"/>
          <w:bCs/>
          <w:sz w:val="32"/>
          <w:szCs w:val="32"/>
          <w:lang w:val="zh-CN"/>
        </w:rPr>
        <w:t>完成特殊青少年“绿色救助”22人次；建设老少活动阵地“家风室”1处。</w:t>
      </w:r>
      <w:r>
        <w:rPr>
          <w:rFonts w:hint="default" w:ascii="Times New Roman" w:hAnsi="Times New Roman" w:eastAsia="方正仿宋_GBK" w:cs="Times New Roman"/>
          <w:bCs/>
          <w:snapToGrid w:val="0"/>
          <w:kern w:val="0"/>
          <w:sz w:val="32"/>
          <w:szCs w:val="32"/>
        </w:rPr>
        <w:t>②</w:t>
      </w:r>
      <w:r>
        <w:rPr>
          <w:rFonts w:hint="default" w:ascii="Times New Roman" w:hAnsi="Times New Roman" w:eastAsia="方正仿宋_GBK" w:cs="Times New Roman"/>
          <w:bCs/>
          <w:sz w:val="32"/>
          <w:szCs w:val="32"/>
          <w:lang w:val="zh-CN"/>
        </w:rPr>
        <w:t>目标偏离情况：无。</w:t>
      </w:r>
      <w:r>
        <w:rPr>
          <w:rFonts w:hint="default" w:ascii="Times New Roman" w:hAnsi="Times New Roman" w:eastAsia="方正仿宋_GBK" w:cs="Times New Roman"/>
          <w:bCs/>
          <w:color w:val="000000"/>
          <w:kern w:val="0"/>
          <w:sz w:val="32"/>
          <w:szCs w:val="32"/>
          <w:shd w:val="clear" w:color="auto" w:fill="FFFFFF"/>
          <w:lang w:val="zh-CN"/>
        </w:rPr>
        <w:t>③</w:t>
      </w:r>
      <w:r>
        <w:rPr>
          <w:rFonts w:hint="default" w:ascii="Times New Roman" w:hAnsi="Times New Roman" w:eastAsia="方正仿宋_GBK" w:cs="Times New Roman"/>
          <w:bCs/>
          <w:sz w:val="32"/>
          <w:szCs w:val="32"/>
          <w:lang w:val="zh-CN"/>
        </w:rPr>
        <w:t>实现效果：帮助特殊青少年克服实际困难，促进了青少年身心健康；弘扬家风家训，传承了中华美德。</w:t>
      </w:r>
    </w:p>
    <w:p>
      <w:pPr>
        <w:spacing w:line="550" w:lineRule="exact"/>
        <w:contextualSpacing/>
        <w:jc w:val="left"/>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color w:val="000000"/>
          <w:kern w:val="0"/>
          <w:sz w:val="32"/>
          <w:szCs w:val="32"/>
          <w:shd w:val="clear" w:color="auto" w:fill="FFFFFF"/>
        </w:rPr>
        <w:t xml:space="preserve">   </w:t>
      </w:r>
      <w:r>
        <w:rPr>
          <w:rFonts w:hint="default" w:ascii="Times New Roman" w:hAnsi="Times New Roman" w:eastAsia="方正仿宋_GBK" w:cs="Times New Roman"/>
          <w:snapToGrid w:val="0"/>
          <w:kern w:val="0"/>
          <w:sz w:val="32"/>
          <w:szCs w:val="32"/>
        </w:rPr>
        <w:t xml:space="preserve"> 阶段（含一次性）项目绩效分析如下：</w:t>
      </w:r>
    </w:p>
    <w:p>
      <w:pPr>
        <w:spacing w:line="550" w:lineRule="exact"/>
        <w:contextualSpacing/>
        <w:jc w:val="left"/>
        <w:rPr>
          <w:rFonts w:hint="default" w:ascii="Times New Roman" w:hAnsi="Times New Roman" w:eastAsia="方正仿宋_GBK" w:cs="Times New Roman"/>
          <w:bCs/>
          <w:snapToGrid w:val="0"/>
          <w:kern w:val="0"/>
          <w:sz w:val="32"/>
          <w:szCs w:val="32"/>
        </w:rPr>
      </w:pPr>
      <w:r>
        <w:rPr>
          <w:rFonts w:hint="default" w:ascii="Times New Roman" w:hAnsi="Times New Roman" w:eastAsia="方正仿宋_GBK" w:cs="Times New Roman"/>
          <w:snapToGrid w:val="0"/>
          <w:kern w:val="0"/>
          <w:sz w:val="32"/>
          <w:szCs w:val="32"/>
        </w:rPr>
        <w:t xml:space="preserve">   </w:t>
      </w:r>
      <w:r>
        <w:rPr>
          <w:rFonts w:hint="default" w:ascii="Times New Roman" w:hAnsi="Times New Roman" w:eastAsia="方正仿宋_GBK" w:cs="Times New Roman"/>
          <w:b/>
          <w:snapToGrid w:val="0"/>
          <w:kern w:val="0"/>
          <w:sz w:val="32"/>
          <w:szCs w:val="32"/>
          <w:lang w:val="zh-CN"/>
        </w:rPr>
        <w:t xml:space="preserve"> （1）组织市老领导健康休养经费。</w:t>
      </w:r>
      <w:r>
        <w:rPr>
          <w:rFonts w:hint="default" w:ascii="Times New Roman" w:hAnsi="Times New Roman" w:eastAsia="方正仿宋_GBK" w:cs="Times New Roman"/>
          <w:bCs/>
          <w:snapToGrid w:val="0"/>
          <w:kern w:val="0"/>
          <w:sz w:val="32"/>
          <w:szCs w:val="32"/>
          <w:lang w:val="zh-CN"/>
        </w:rPr>
        <w:t>①目标完成情况：</w:t>
      </w:r>
      <w:r>
        <w:rPr>
          <w:rFonts w:hint="default" w:ascii="Times New Roman" w:hAnsi="Times New Roman" w:eastAsia="方正仿宋_GBK" w:cs="Times New Roman"/>
          <w:bCs/>
          <w:snapToGrid w:val="0"/>
          <w:kern w:val="0"/>
          <w:sz w:val="32"/>
          <w:szCs w:val="32"/>
        </w:rPr>
        <w:t>圆满完成组织34名老领导到西昌开展健康休养工作任务。②目标偏离情况：无。</w:t>
      </w:r>
      <w:r>
        <w:rPr>
          <w:rFonts w:hint="default" w:ascii="Times New Roman" w:hAnsi="Times New Roman" w:eastAsia="方正仿宋_GBK" w:cs="Times New Roman"/>
          <w:bCs/>
          <w:color w:val="000000"/>
          <w:kern w:val="0"/>
          <w:sz w:val="32"/>
          <w:szCs w:val="32"/>
          <w:shd w:val="clear" w:color="auto" w:fill="FFFFFF"/>
          <w:lang w:val="zh-CN"/>
        </w:rPr>
        <w:t>③</w:t>
      </w:r>
      <w:r>
        <w:rPr>
          <w:rFonts w:hint="default" w:ascii="Times New Roman" w:hAnsi="Times New Roman" w:eastAsia="方正仿宋_GBK" w:cs="Times New Roman"/>
          <w:bCs/>
          <w:snapToGrid w:val="0"/>
          <w:kern w:val="0"/>
          <w:sz w:val="32"/>
          <w:szCs w:val="32"/>
        </w:rPr>
        <w:t>实现效果：全力做好老干部服务工作，确保了老干部政治待遇和生活待遇得到有效落实。</w:t>
      </w:r>
    </w:p>
    <w:p>
      <w:pPr>
        <w:spacing w:line="550" w:lineRule="exact"/>
        <w:contextualSpacing/>
        <w:jc w:val="left"/>
        <w:rPr>
          <w:rFonts w:hint="default" w:ascii="Times New Roman" w:hAnsi="Times New Roman" w:eastAsia="方正仿宋_GBK" w:cs="Times New Roman"/>
          <w:bCs/>
          <w:snapToGrid w:val="0"/>
          <w:kern w:val="0"/>
          <w:sz w:val="32"/>
          <w:szCs w:val="32"/>
        </w:rPr>
      </w:pPr>
      <w:r>
        <w:rPr>
          <w:rFonts w:hint="default" w:ascii="Times New Roman" w:hAnsi="Times New Roman" w:eastAsia="方正仿宋_GBK" w:cs="Times New Roman"/>
          <w:snapToGrid w:val="0"/>
          <w:kern w:val="0"/>
          <w:sz w:val="32"/>
          <w:szCs w:val="32"/>
        </w:rPr>
        <w:t xml:space="preserve">   </w:t>
      </w:r>
      <w:r>
        <w:rPr>
          <w:rFonts w:hint="default" w:ascii="Times New Roman" w:hAnsi="Times New Roman" w:eastAsia="方正仿宋_GBK" w:cs="Times New Roman"/>
          <w:b/>
          <w:snapToGrid w:val="0"/>
          <w:kern w:val="0"/>
          <w:sz w:val="32"/>
          <w:szCs w:val="32"/>
          <w:lang w:val="zh-CN"/>
        </w:rPr>
        <w:t xml:space="preserve"> （2）市老年书画研究会活动室维修及办公设备购置经费。</w:t>
      </w:r>
      <w:r>
        <w:rPr>
          <w:rFonts w:hint="default" w:ascii="Times New Roman" w:hAnsi="Times New Roman" w:eastAsia="方正仿宋_GBK" w:cs="Times New Roman"/>
          <w:bCs/>
          <w:snapToGrid w:val="0"/>
          <w:kern w:val="0"/>
          <w:sz w:val="32"/>
          <w:szCs w:val="32"/>
          <w:lang w:val="zh-CN"/>
        </w:rPr>
        <w:t>①目标完成情况：</w:t>
      </w:r>
      <w:r>
        <w:rPr>
          <w:rFonts w:hint="default" w:ascii="Times New Roman" w:hAnsi="Times New Roman" w:eastAsia="方正仿宋_GBK" w:cs="Times New Roman"/>
          <w:bCs/>
          <w:sz w:val="32"/>
          <w:szCs w:val="32"/>
          <w:lang w:val="zh-CN"/>
        </w:rPr>
        <w:t>完成市老年书画研究会活动室会议桌椅、书法桌、电脑、打印机等设施设备采购，改善了会员活动条件。</w:t>
      </w:r>
      <w:r>
        <w:rPr>
          <w:rFonts w:hint="default" w:ascii="Times New Roman" w:hAnsi="Times New Roman" w:eastAsia="方正仿宋_GBK" w:cs="Times New Roman"/>
          <w:bCs/>
          <w:snapToGrid w:val="0"/>
          <w:kern w:val="0"/>
          <w:sz w:val="32"/>
          <w:szCs w:val="32"/>
        </w:rPr>
        <w:t>②</w:t>
      </w:r>
      <w:r>
        <w:rPr>
          <w:rFonts w:hint="default" w:ascii="Times New Roman" w:hAnsi="Times New Roman" w:eastAsia="方正仿宋_GBK" w:cs="Times New Roman"/>
          <w:bCs/>
          <w:sz w:val="32"/>
          <w:szCs w:val="32"/>
          <w:lang w:val="zh-CN"/>
        </w:rPr>
        <w:t>目标偏离情况：无。</w:t>
      </w:r>
      <w:r>
        <w:rPr>
          <w:rFonts w:hint="default" w:ascii="Times New Roman" w:hAnsi="Times New Roman" w:eastAsia="方正仿宋_GBK" w:cs="Times New Roman"/>
          <w:bCs/>
          <w:color w:val="000000"/>
          <w:kern w:val="0"/>
          <w:sz w:val="32"/>
          <w:szCs w:val="32"/>
          <w:shd w:val="clear" w:color="auto" w:fill="FFFFFF"/>
          <w:lang w:val="zh-CN"/>
        </w:rPr>
        <w:t>③</w:t>
      </w:r>
      <w:r>
        <w:rPr>
          <w:rFonts w:hint="default" w:ascii="Times New Roman" w:hAnsi="Times New Roman" w:eastAsia="方正仿宋_GBK" w:cs="Times New Roman"/>
          <w:bCs/>
          <w:sz w:val="32"/>
          <w:szCs w:val="32"/>
          <w:lang w:val="zh-CN"/>
        </w:rPr>
        <w:t>实现效果：设施设备顺利投入使用，为市老年书画研究会开展书画交流等活动提供了方便。</w:t>
      </w:r>
    </w:p>
    <w:p>
      <w:pPr>
        <w:spacing w:line="550" w:lineRule="exact"/>
        <w:contextualSpacing/>
        <w:rPr>
          <w:rFonts w:hint="default" w:ascii="Times New Roman" w:hAnsi="Times New Roman" w:eastAsia="方正仿宋_GBK" w:cs="Times New Roman"/>
          <w:bCs/>
          <w:sz w:val="32"/>
          <w:szCs w:val="32"/>
          <w:lang w:val="zh-CN"/>
        </w:rPr>
      </w:pPr>
      <w:r>
        <w:rPr>
          <w:rFonts w:hint="default" w:ascii="Times New Roman" w:hAnsi="Times New Roman" w:eastAsia="方正仿宋_GBK" w:cs="Times New Roman"/>
          <w:sz w:val="32"/>
          <w:szCs w:val="32"/>
          <w:lang w:val="zh-CN"/>
        </w:rPr>
        <w:t xml:space="preserve">   </w:t>
      </w:r>
      <w:r>
        <w:rPr>
          <w:rFonts w:hint="default" w:ascii="Times New Roman" w:hAnsi="Times New Roman" w:eastAsia="方正仿宋_GBK" w:cs="Times New Roman"/>
          <w:b/>
          <w:snapToGrid w:val="0"/>
          <w:kern w:val="0"/>
          <w:sz w:val="32"/>
          <w:szCs w:val="32"/>
          <w:lang w:val="zh-CN"/>
        </w:rPr>
        <w:t>（3）市级挂职干部补助。</w:t>
      </w:r>
      <w:r>
        <w:rPr>
          <w:rFonts w:hint="default" w:ascii="Times New Roman" w:hAnsi="Times New Roman" w:eastAsia="方正仿宋_GBK" w:cs="Times New Roman"/>
          <w:bCs/>
          <w:snapToGrid w:val="0"/>
          <w:kern w:val="0"/>
          <w:sz w:val="32"/>
          <w:szCs w:val="32"/>
          <w:lang w:val="zh-CN"/>
        </w:rPr>
        <w:t>①目标完成情况：</w:t>
      </w:r>
      <w:r>
        <w:rPr>
          <w:rFonts w:hint="default" w:ascii="Times New Roman" w:hAnsi="Times New Roman" w:eastAsia="方正仿宋_GBK" w:cs="Times New Roman"/>
          <w:bCs/>
          <w:sz w:val="32"/>
          <w:szCs w:val="32"/>
          <w:lang w:val="zh-CN"/>
        </w:rPr>
        <w:t>及时足额发放了驻平地镇波西村第一书记补助。</w:t>
      </w:r>
      <w:r>
        <w:rPr>
          <w:rFonts w:hint="default" w:ascii="Times New Roman" w:hAnsi="Times New Roman" w:eastAsia="方正仿宋_GBK" w:cs="Times New Roman"/>
          <w:bCs/>
          <w:snapToGrid w:val="0"/>
          <w:kern w:val="0"/>
          <w:sz w:val="32"/>
          <w:szCs w:val="32"/>
        </w:rPr>
        <w:t>②</w:t>
      </w:r>
      <w:r>
        <w:rPr>
          <w:rFonts w:hint="default" w:ascii="Times New Roman" w:hAnsi="Times New Roman" w:eastAsia="方正仿宋_GBK" w:cs="Times New Roman"/>
          <w:bCs/>
          <w:sz w:val="32"/>
          <w:szCs w:val="32"/>
          <w:lang w:val="zh-CN"/>
        </w:rPr>
        <w:t>目标偏离情况：无。</w:t>
      </w:r>
      <w:r>
        <w:rPr>
          <w:rFonts w:hint="default" w:ascii="Times New Roman" w:hAnsi="Times New Roman" w:eastAsia="方正仿宋_GBK" w:cs="Times New Roman"/>
          <w:bCs/>
          <w:color w:val="000000"/>
          <w:kern w:val="0"/>
          <w:sz w:val="32"/>
          <w:szCs w:val="32"/>
          <w:shd w:val="clear" w:color="auto" w:fill="FFFFFF"/>
          <w:lang w:val="zh-CN"/>
        </w:rPr>
        <w:t>③</w:t>
      </w:r>
      <w:r>
        <w:rPr>
          <w:rFonts w:hint="default" w:ascii="Times New Roman" w:hAnsi="Times New Roman" w:eastAsia="方正仿宋_GBK" w:cs="Times New Roman"/>
          <w:bCs/>
          <w:sz w:val="32"/>
          <w:szCs w:val="32"/>
          <w:lang w:val="zh-CN"/>
        </w:rPr>
        <w:t>实现效果：加强挂职干部队伍建设和管理，激励挂职干部认真积极工作，在巩固拓展脱贫攻坚成果、全面推进乡村振兴中有效发挥了驻村第一书记和工作队作用。</w:t>
      </w:r>
    </w:p>
    <w:p>
      <w:pPr>
        <w:spacing w:line="550" w:lineRule="exact"/>
        <w:contextualSpacing/>
        <w:rPr>
          <w:rFonts w:hint="default" w:ascii="Times New Roman" w:hAnsi="Times New Roman" w:eastAsia="方正仿宋_GBK" w:cs="Times New Roman"/>
          <w:bCs/>
          <w:sz w:val="32"/>
          <w:szCs w:val="32"/>
          <w:lang w:val="zh-CN"/>
        </w:rPr>
      </w:pPr>
      <w:r>
        <w:rPr>
          <w:rFonts w:hint="default" w:ascii="Times New Roman" w:hAnsi="Times New Roman" w:eastAsia="方正仿宋_GBK" w:cs="Times New Roman"/>
          <w:sz w:val="32"/>
          <w:szCs w:val="32"/>
          <w:lang w:val="zh-CN"/>
        </w:rPr>
        <w:t xml:space="preserve">    </w:t>
      </w:r>
      <w:r>
        <w:rPr>
          <w:rFonts w:hint="default" w:ascii="Times New Roman" w:hAnsi="Times New Roman" w:eastAsia="方正仿宋_GBK" w:cs="Times New Roman"/>
          <w:b/>
          <w:snapToGrid w:val="0"/>
          <w:kern w:val="0"/>
          <w:sz w:val="32"/>
          <w:szCs w:val="32"/>
          <w:lang w:val="zh-CN"/>
        </w:rPr>
        <w:t>（4）干部异地体检：</w:t>
      </w:r>
      <w:r>
        <w:rPr>
          <w:rFonts w:hint="default" w:ascii="Times New Roman" w:hAnsi="Times New Roman" w:eastAsia="方正仿宋_GBK" w:cs="Times New Roman"/>
          <w:bCs/>
          <w:snapToGrid w:val="0"/>
          <w:kern w:val="0"/>
          <w:sz w:val="32"/>
          <w:szCs w:val="32"/>
          <w:lang w:val="zh-CN"/>
        </w:rPr>
        <w:t>①目标完成情况：</w:t>
      </w:r>
      <w:r>
        <w:rPr>
          <w:rFonts w:hint="default" w:ascii="Times New Roman" w:hAnsi="Times New Roman" w:eastAsia="方正仿宋_GBK" w:cs="Times New Roman"/>
          <w:bCs/>
          <w:sz w:val="32"/>
          <w:szCs w:val="32"/>
          <w:lang w:val="zh-CN"/>
        </w:rPr>
        <w:t>及时足额支付3名退休干部异地体检费用。</w:t>
      </w:r>
      <w:r>
        <w:rPr>
          <w:rFonts w:hint="default" w:ascii="Times New Roman" w:hAnsi="Times New Roman" w:eastAsia="方正仿宋_GBK" w:cs="Times New Roman"/>
          <w:bCs/>
          <w:snapToGrid w:val="0"/>
          <w:kern w:val="0"/>
          <w:sz w:val="32"/>
          <w:szCs w:val="32"/>
          <w:lang w:val="zh-CN"/>
        </w:rPr>
        <w:t>②目标偏离情况：</w:t>
      </w:r>
      <w:r>
        <w:rPr>
          <w:rFonts w:hint="default" w:ascii="Times New Roman" w:hAnsi="Times New Roman" w:eastAsia="方正仿宋_GBK" w:cs="Times New Roman"/>
          <w:bCs/>
          <w:sz w:val="32"/>
          <w:szCs w:val="32"/>
          <w:lang w:val="zh-CN"/>
        </w:rPr>
        <w:t>无。</w:t>
      </w:r>
      <w:r>
        <w:rPr>
          <w:rFonts w:hint="default" w:ascii="Times New Roman" w:hAnsi="Times New Roman" w:eastAsia="方正仿宋_GBK" w:cs="Times New Roman"/>
          <w:bCs/>
          <w:snapToGrid w:val="0"/>
          <w:kern w:val="0"/>
          <w:sz w:val="32"/>
          <w:szCs w:val="32"/>
          <w:lang w:val="zh-CN"/>
        </w:rPr>
        <w:t>③实现效果：</w:t>
      </w:r>
      <w:r>
        <w:rPr>
          <w:rFonts w:hint="default" w:ascii="Times New Roman" w:hAnsi="Times New Roman" w:eastAsia="方正仿宋_GBK" w:cs="Times New Roman"/>
          <w:bCs/>
          <w:sz w:val="32"/>
          <w:szCs w:val="32"/>
          <w:lang w:val="zh-CN"/>
        </w:rPr>
        <w:t>顺利完成了干部异地体检工作，确保了干部正常福利待遇。</w:t>
      </w:r>
    </w:p>
    <w:p>
      <w:pPr>
        <w:spacing w:line="550" w:lineRule="exact"/>
        <w:contextualSpacing/>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 xml:space="preserve">    </w:t>
      </w:r>
      <w:r>
        <w:rPr>
          <w:rFonts w:hint="default" w:ascii="Times New Roman" w:hAnsi="Times New Roman" w:eastAsia="方正仿宋_GBK" w:cs="Times New Roman"/>
          <w:b/>
          <w:snapToGrid w:val="0"/>
          <w:kern w:val="0"/>
          <w:sz w:val="32"/>
          <w:szCs w:val="32"/>
          <w:lang w:val="zh-CN"/>
        </w:rPr>
        <w:t>（5）公务用车购置经费：</w:t>
      </w:r>
      <w:r>
        <w:rPr>
          <w:rFonts w:hint="default" w:ascii="Times New Roman" w:hAnsi="Times New Roman" w:eastAsia="方正仿宋_GBK" w:cs="Times New Roman"/>
          <w:bCs/>
          <w:snapToGrid w:val="0"/>
          <w:kern w:val="0"/>
          <w:sz w:val="32"/>
          <w:szCs w:val="32"/>
          <w:lang w:val="zh-CN"/>
        </w:rPr>
        <w:t>①目标完成情况：</w:t>
      </w:r>
      <w:r>
        <w:rPr>
          <w:rFonts w:hint="default" w:ascii="Times New Roman" w:hAnsi="Times New Roman" w:eastAsia="方正仿宋_GBK" w:cs="Times New Roman"/>
          <w:bCs/>
          <w:sz w:val="32"/>
          <w:szCs w:val="32"/>
          <w:lang w:val="zh-CN"/>
        </w:rPr>
        <w:t>顺利完成政府采购公务车1辆。</w:t>
      </w:r>
      <w:r>
        <w:rPr>
          <w:rFonts w:hint="default" w:ascii="Times New Roman" w:hAnsi="Times New Roman" w:eastAsia="方正仿宋_GBK" w:cs="Times New Roman"/>
          <w:bCs/>
          <w:snapToGrid w:val="0"/>
          <w:kern w:val="0"/>
          <w:sz w:val="32"/>
          <w:szCs w:val="32"/>
          <w:lang w:val="zh-CN"/>
        </w:rPr>
        <w:t>②目标偏离情况：</w:t>
      </w:r>
      <w:r>
        <w:rPr>
          <w:rFonts w:hint="default" w:ascii="Times New Roman" w:hAnsi="Times New Roman" w:eastAsia="方正仿宋_GBK" w:cs="Times New Roman"/>
          <w:bCs/>
          <w:sz w:val="32"/>
          <w:szCs w:val="32"/>
          <w:lang w:val="zh-CN"/>
        </w:rPr>
        <w:t>无。</w:t>
      </w:r>
      <w:r>
        <w:rPr>
          <w:rFonts w:hint="default" w:ascii="Times New Roman" w:hAnsi="Times New Roman" w:eastAsia="方正仿宋_GBK" w:cs="Times New Roman"/>
          <w:bCs/>
          <w:snapToGrid w:val="0"/>
          <w:kern w:val="0"/>
          <w:sz w:val="32"/>
          <w:szCs w:val="32"/>
          <w:lang w:val="zh-CN"/>
        </w:rPr>
        <w:t>③实现效果：</w:t>
      </w:r>
      <w:r>
        <w:rPr>
          <w:rFonts w:hint="default" w:ascii="Times New Roman" w:hAnsi="Times New Roman" w:eastAsia="方正仿宋_GBK" w:cs="Times New Roman"/>
          <w:bCs/>
          <w:sz w:val="32"/>
          <w:szCs w:val="32"/>
          <w:lang w:val="zh-CN"/>
        </w:rPr>
        <w:t>为关工委老同志提供必要的工作条件，保障了老同志公务出行。</w:t>
      </w:r>
    </w:p>
    <w:p>
      <w:pPr>
        <w:tabs>
          <w:tab w:val="left" w:pos="3792"/>
        </w:tabs>
        <w:spacing w:line="550" w:lineRule="exact"/>
        <w:ind w:firstLine="642" w:firstLineChars="200"/>
        <w:contextualSpacing/>
        <w:rPr>
          <w:rFonts w:hint="eastAsia" w:ascii="方正楷体_GBK" w:hAnsi="方正楷体_GBK" w:eastAsia="方正楷体_GBK" w:cs="方正楷体_GBK"/>
          <w:b/>
          <w:sz w:val="32"/>
          <w:szCs w:val="32"/>
          <w:lang w:val="zh-CN"/>
        </w:rPr>
      </w:pPr>
      <w:r>
        <w:rPr>
          <w:rFonts w:hint="eastAsia" w:ascii="方正楷体_GBK" w:hAnsi="方正楷体_GBK" w:eastAsia="方正楷体_GBK" w:cs="方正楷体_GBK"/>
          <w:b/>
          <w:sz w:val="32"/>
          <w:szCs w:val="32"/>
          <w:lang w:val="zh-CN"/>
        </w:rPr>
        <w:t>（三）绩效结果应用情况</w:t>
      </w:r>
    </w:p>
    <w:p>
      <w:pPr>
        <w:spacing w:line="550" w:lineRule="exact"/>
        <w:ind w:firstLine="720"/>
        <w:contextualSpacing/>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b/>
          <w:snapToGrid w:val="0"/>
          <w:kern w:val="0"/>
          <w:sz w:val="32"/>
          <w:szCs w:val="32"/>
          <w:lang w:val="zh-CN"/>
        </w:rPr>
        <w:t>1.内部应用情况。</w:t>
      </w:r>
      <w:r>
        <w:rPr>
          <w:rFonts w:hint="default" w:ascii="Times New Roman" w:hAnsi="Times New Roman" w:eastAsia="方正仿宋_GBK" w:cs="Times New Roman"/>
          <w:snapToGrid w:val="0"/>
          <w:kern w:val="0"/>
          <w:sz w:val="32"/>
          <w:szCs w:val="32"/>
          <w:lang w:val="zh-CN"/>
        </w:rPr>
        <w:t>认真组织各内设科室和下属单位开展项目绩效运行监控和预算绩效自评工作，定期通报各科室（单位）项目绩效执行情况。</w:t>
      </w:r>
    </w:p>
    <w:p>
      <w:pPr>
        <w:tabs>
          <w:tab w:val="left" w:pos="3792"/>
        </w:tabs>
        <w:spacing w:line="550" w:lineRule="exact"/>
        <w:contextualSpacing/>
        <w:rPr>
          <w:rFonts w:hint="default" w:ascii="Times New Roman" w:hAnsi="Times New Roman" w:eastAsia="方正仿宋_GBK" w:cs="Times New Roman"/>
          <w:snapToGrid w:val="0"/>
          <w:kern w:val="0"/>
          <w:sz w:val="32"/>
          <w:szCs w:val="32"/>
          <w:lang w:val="zh-CN"/>
        </w:rPr>
      </w:pPr>
      <w:r>
        <w:rPr>
          <w:rFonts w:hint="default" w:ascii="Times New Roman" w:hAnsi="Times New Roman" w:eastAsia="方正仿宋_GBK" w:cs="Times New Roman"/>
          <w:b/>
          <w:bCs/>
          <w:snapToGrid w:val="0"/>
          <w:kern w:val="0"/>
          <w:sz w:val="32"/>
          <w:szCs w:val="32"/>
        </w:rPr>
        <w:t xml:space="preserve">    </w:t>
      </w:r>
      <w:r>
        <w:rPr>
          <w:rFonts w:hint="default" w:ascii="Times New Roman" w:hAnsi="Times New Roman" w:eastAsia="方正仿宋_GBK" w:cs="Times New Roman"/>
          <w:b/>
          <w:snapToGrid w:val="0"/>
          <w:kern w:val="0"/>
          <w:sz w:val="32"/>
          <w:szCs w:val="32"/>
          <w:lang w:val="zh-CN"/>
        </w:rPr>
        <w:t>2.自评公开情况。</w:t>
      </w:r>
      <w:r>
        <w:rPr>
          <w:rFonts w:hint="default" w:ascii="Times New Roman" w:hAnsi="Times New Roman" w:eastAsia="方正仿宋_GBK" w:cs="Times New Roman"/>
          <w:snapToGrid w:val="0"/>
          <w:kern w:val="0"/>
          <w:sz w:val="32"/>
          <w:szCs w:val="32"/>
        </w:rPr>
        <w:t>认真组织开展部门预算绩效自评和专项预算项目支出绩效评价，评价结果及时上报市财政局。按要求将绩效目标、绩效自评信息同部门预算、决算及时向社会公开。</w:t>
      </w:r>
    </w:p>
    <w:p>
      <w:pPr>
        <w:tabs>
          <w:tab w:val="left" w:pos="3792"/>
        </w:tabs>
        <w:spacing w:line="550" w:lineRule="exact"/>
        <w:contextualSpacing/>
        <w:rPr>
          <w:rFonts w:hint="default" w:ascii="Times New Roman" w:hAnsi="Times New Roman" w:eastAsia="方正仿宋_GBK" w:cs="Times New Roman"/>
          <w:snapToGrid w:val="0"/>
          <w:kern w:val="0"/>
          <w:sz w:val="32"/>
          <w:szCs w:val="32"/>
          <w:lang w:val="zh-CN"/>
        </w:rPr>
      </w:pPr>
      <w:r>
        <w:rPr>
          <w:rFonts w:hint="default" w:ascii="Times New Roman" w:hAnsi="Times New Roman" w:eastAsia="方正仿宋_GBK" w:cs="Times New Roman"/>
          <w:b/>
          <w:bCs/>
          <w:snapToGrid w:val="0"/>
          <w:kern w:val="0"/>
          <w:sz w:val="32"/>
          <w:szCs w:val="32"/>
        </w:rPr>
        <w:t xml:space="preserve">    </w:t>
      </w:r>
      <w:r>
        <w:rPr>
          <w:rFonts w:hint="default" w:ascii="Times New Roman" w:hAnsi="Times New Roman" w:eastAsia="方正仿宋_GBK" w:cs="Times New Roman"/>
          <w:b/>
          <w:snapToGrid w:val="0"/>
          <w:kern w:val="0"/>
          <w:sz w:val="32"/>
          <w:szCs w:val="32"/>
          <w:lang w:val="zh-CN"/>
        </w:rPr>
        <w:t>3.问题整改和应用反馈情况。</w:t>
      </w:r>
      <w:r>
        <w:rPr>
          <w:rFonts w:hint="default" w:ascii="Times New Roman" w:hAnsi="Times New Roman" w:eastAsia="方正仿宋_GBK" w:cs="Times New Roman"/>
          <w:snapToGrid w:val="0"/>
          <w:kern w:val="0"/>
          <w:sz w:val="32"/>
          <w:szCs w:val="32"/>
          <w:lang w:val="zh-CN"/>
        </w:rPr>
        <w:t>通过绩效监控和自评发现存在个别项目指标设置不规范，个别项目预算编制缺乏前瞻性导致频繁进行经济科目调剂等问题，及时将问题向各科室（单位）和财政局进行了反馈，并积极进行了整改，</w:t>
      </w:r>
      <w:r>
        <w:rPr>
          <w:rFonts w:hint="default" w:ascii="Times New Roman" w:hAnsi="Times New Roman" w:eastAsia="方正仿宋_GBK" w:cs="Times New Roman"/>
          <w:snapToGrid w:val="0"/>
          <w:kern w:val="0"/>
          <w:sz w:val="32"/>
          <w:szCs w:val="32"/>
        </w:rPr>
        <w:t>不断提高绩效管理水平。</w:t>
      </w:r>
    </w:p>
    <w:p>
      <w:pPr>
        <w:widowControl/>
        <w:spacing w:line="550" w:lineRule="exact"/>
        <w:contextualSpacing/>
        <w:jc w:val="left"/>
        <w:rPr>
          <w:rFonts w:hint="eastAsia" w:ascii="方正黑体_GBK" w:eastAsia="方正黑体_GBK"/>
          <w:b/>
          <w:bCs/>
          <w:color w:val="000000"/>
          <w:kern w:val="0"/>
          <w:sz w:val="32"/>
          <w:szCs w:val="32"/>
          <w:shd w:val="clear" w:color="auto" w:fill="FFFFFF"/>
          <w:lang w:val="zh-CN"/>
        </w:rPr>
      </w:pPr>
      <w:r>
        <w:rPr>
          <w:rFonts w:hint="eastAsia" w:ascii="方正黑体_GBK" w:eastAsia="方正黑体_GBK"/>
          <w:b/>
          <w:bCs/>
          <w:color w:val="000000"/>
          <w:kern w:val="0"/>
          <w:sz w:val="32"/>
          <w:szCs w:val="32"/>
          <w:shd w:val="clear" w:color="auto" w:fill="FFFFFF"/>
          <w:lang w:val="en-US" w:eastAsia="zh-CN"/>
        </w:rPr>
        <w:t xml:space="preserve">    </w:t>
      </w:r>
      <w:r>
        <w:rPr>
          <w:rFonts w:hint="eastAsia" w:ascii="方正黑体_GBK" w:eastAsia="方正黑体_GBK"/>
          <w:b/>
          <w:bCs/>
          <w:color w:val="000000"/>
          <w:kern w:val="0"/>
          <w:sz w:val="32"/>
          <w:szCs w:val="32"/>
          <w:shd w:val="clear" w:color="auto" w:fill="FFFFFF"/>
          <w:lang w:val="zh-CN"/>
        </w:rPr>
        <w:t>四、评价结论及建议</w:t>
      </w:r>
    </w:p>
    <w:p>
      <w:pPr>
        <w:tabs>
          <w:tab w:val="left" w:pos="3792"/>
        </w:tabs>
        <w:spacing w:line="550" w:lineRule="exact"/>
        <w:ind w:firstLine="642" w:firstLineChars="200"/>
        <w:contextualSpacing/>
        <w:rPr>
          <w:rFonts w:hint="eastAsia" w:ascii="方正楷体_GBK" w:hAnsi="方正楷体_GBK" w:eastAsia="方正楷体_GBK" w:cs="方正楷体_GBK"/>
          <w:b/>
          <w:sz w:val="32"/>
          <w:szCs w:val="32"/>
          <w:lang w:val="zh-CN"/>
        </w:rPr>
      </w:pPr>
      <w:r>
        <w:rPr>
          <w:rFonts w:hint="eastAsia" w:ascii="方正楷体_GBK" w:hAnsi="方正楷体_GBK" w:eastAsia="方正楷体_GBK" w:cs="方正楷体_GBK"/>
          <w:b/>
          <w:sz w:val="32"/>
          <w:szCs w:val="32"/>
          <w:lang w:val="zh-CN"/>
        </w:rPr>
        <w:t>（一）评价结论</w:t>
      </w:r>
    </w:p>
    <w:p>
      <w:pPr>
        <w:tabs>
          <w:tab w:val="left" w:pos="3792"/>
        </w:tabs>
        <w:spacing w:line="550" w:lineRule="exact"/>
        <w:contextualSpacing/>
        <w:rPr>
          <w:rFonts w:hint="default" w:ascii="Times New Roman" w:hAnsi="Times New Roman" w:eastAsia="方正仿宋_GBK" w:cs="Times New Roman"/>
          <w:snapToGrid w:val="0"/>
          <w:kern w:val="0"/>
          <w:sz w:val="32"/>
          <w:szCs w:val="32"/>
          <w:lang w:val="zh-CN"/>
        </w:rPr>
      </w:pPr>
      <w:r>
        <w:rPr>
          <w:rFonts w:hint="eastAsia" w:eastAsia="方正仿宋_GBK" w:cs="Times New Roman"/>
          <w:snapToGrid w:val="0"/>
          <w:kern w:val="0"/>
          <w:sz w:val="32"/>
          <w:szCs w:val="32"/>
          <w:lang w:val="en-US" w:eastAsia="zh-CN"/>
        </w:rPr>
        <w:t xml:space="preserve">    </w:t>
      </w:r>
      <w:r>
        <w:rPr>
          <w:rFonts w:hint="default" w:ascii="Times New Roman" w:hAnsi="Times New Roman" w:eastAsia="方正仿宋_GBK" w:cs="Times New Roman"/>
          <w:snapToGrid w:val="0"/>
          <w:kern w:val="0"/>
          <w:sz w:val="32"/>
          <w:szCs w:val="32"/>
          <w:lang w:val="zh-CN"/>
        </w:rPr>
        <w:t>严格对照部门预算绩效评价指标体系逐一进行评价，评价结果为：市委老干部局高度重视预算绩效管理，年度履职效能好，财务管理制度健全，经费支出审核把关严格，资产管理和采购管理规范，项目绩效目标实现较好，自评得分87.18分。</w:t>
      </w:r>
    </w:p>
    <w:p>
      <w:pPr>
        <w:tabs>
          <w:tab w:val="left" w:pos="3792"/>
        </w:tabs>
        <w:spacing w:line="550" w:lineRule="exact"/>
        <w:ind w:firstLine="642" w:firstLineChars="200"/>
        <w:contextualSpacing/>
        <w:rPr>
          <w:rFonts w:hint="eastAsia" w:ascii="方正楷体_GBK" w:hAnsi="方正楷体_GBK" w:eastAsia="方正楷体_GBK" w:cs="方正楷体_GBK"/>
          <w:b/>
          <w:sz w:val="32"/>
          <w:szCs w:val="32"/>
          <w:lang w:val="zh-CN"/>
        </w:rPr>
      </w:pPr>
      <w:r>
        <w:rPr>
          <w:rFonts w:hint="eastAsia" w:ascii="方正楷体_GBK" w:hAnsi="方正楷体_GBK" w:eastAsia="方正楷体_GBK" w:cs="方正楷体_GBK"/>
          <w:b/>
          <w:sz w:val="32"/>
          <w:szCs w:val="32"/>
          <w:lang w:val="zh-CN"/>
        </w:rPr>
        <w:t>（二）存在问题</w:t>
      </w:r>
    </w:p>
    <w:p>
      <w:pPr>
        <w:widowControl/>
        <w:spacing w:line="550" w:lineRule="exact"/>
        <w:ind w:firstLine="608" w:firstLineChars="200"/>
        <w:contextualSpacing/>
        <w:jc w:val="left"/>
        <w:rPr>
          <w:rFonts w:hint="default" w:ascii="Times New Roman" w:hAnsi="Times New Roman" w:eastAsia="方正仿宋_GBK" w:cs="Times New Roman"/>
          <w:w w:val="95"/>
          <w:kern w:val="0"/>
          <w:sz w:val="32"/>
          <w:szCs w:val="32"/>
        </w:rPr>
      </w:pPr>
      <w:r>
        <w:rPr>
          <w:rFonts w:hint="default" w:ascii="Times New Roman" w:hAnsi="Times New Roman" w:eastAsia="方正仿宋_GBK" w:cs="Times New Roman"/>
          <w:w w:val="95"/>
          <w:kern w:val="0"/>
          <w:sz w:val="32"/>
          <w:szCs w:val="32"/>
        </w:rPr>
        <w:t>一是预算编制不够准确。在预算编制时习惯于按往年惯例，对一些工作计划和支出缺乏前瞻性和预见性，在预算执行过程中预算调整频繁，出现追加政府采购预算较多，反复多次调整经费支出计划和项目绩效目标等情况。二是预算执行进度不均衡。由于财政资金紧张和工作安排节点等因素，个别项目资金支付进度较慢，大量资金积压到年底支付，增加资金无法按时支付的风险。</w:t>
      </w:r>
    </w:p>
    <w:p>
      <w:pPr>
        <w:tabs>
          <w:tab w:val="left" w:pos="3792"/>
        </w:tabs>
        <w:spacing w:line="550" w:lineRule="exact"/>
        <w:ind w:firstLine="642" w:firstLineChars="200"/>
        <w:contextualSpacing/>
        <w:rPr>
          <w:rFonts w:hint="eastAsia" w:ascii="方正楷体_GBK" w:hAnsi="方正楷体_GBK" w:eastAsia="方正楷体_GBK" w:cs="方正楷体_GBK"/>
          <w:b/>
          <w:sz w:val="32"/>
          <w:szCs w:val="32"/>
          <w:lang w:val="zh-CN"/>
        </w:rPr>
      </w:pPr>
      <w:r>
        <w:rPr>
          <w:rFonts w:hint="eastAsia" w:ascii="方正楷体_GBK" w:hAnsi="方正楷体_GBK" w:eastAsia="方正楷体_GBK" w:cs="方正楷体_GBK"/>
          <w:b/>
          <w:sz w:val="32"/>
          <w:szCs w:val="32"/>
          <w:lang w:val="zh-CN"/>
        </w:rPr>
        <w:t>（三）改进建议</w:t>
      </w:r>
    </w:p>
    <w:p>
      <w:pPr>
        <w:widowControl/>
        <w:spacing w:line="550" w:lineRule="exact"/>
        <w:ind w:firstLine="608" w:firstLineChars="200"/>
        <w:contextualSpacing/>
        <w:jc w:val="left"/>
        <w:rPr>
          <w:rFonts w:hint="default" w:ascii="Times New Roman" w:hAnsi="Times New Roman" w:eastAsia="方正仿宋_GBK" w:cs="Times New Roman"/>
          <w:w w:val="95"/>
          <w:kern w:val="0"/>
          <w:sz w:val="32"/>
          <w:szCs w:val="32"/>
        </w:rPr>
      </w:pPr>
      <w:r>
        <w:rPr>
          <w:rFonts w:hint="default" w:ascii="Times New Roman" w:hAnsi="Times New Roman" w:eastAsia="方正仿宋_GBK" w:cs="Times New Roman"/>
          <w:w w:val="95"/>
          <w:kern w:val="0"/>
          <w:sz w:val="32"/>
          <w:szCs w:val="32"/>
        </w:rPr>
        <w:t>一是强化预算编制的科学性和准确性。在编制预算时注重前期工作谋划，加强对工作安排和经费使用计划的研究，尽量做到全面准确，从而减少预算调整。二是合理安排项目推进计划，加强与财政部门沟通协调，加大项目资金保障力度，加快资金支付进度，确保项目资金按时支付。</w:t>
      </w:r>
    </w:p>
    <w:p>
      <w:pPr>
        <w:pStyle w:val="8"/>
        <w:spacing w:line="560" w:lineRule="exact"/>
        <w:ind w:left="0" w:leftChars="0" w:firstLine="640"/>
        <w:rPr>
          <w:rFonts w:hint="default" w:ascii="Times New Roman" w:hAnsi="Times New Roman" w:eastAsia="方正仿宋_GBK" w:cs="Times New Roman"/>
          <w:sz w:val="32"/>
          <w:szCs w:val="32"/>
          <w:lang w:val="zh-CN"/>
        </w:rPr>
      </w:pPr>
    </w:p>
    <w:p>
      <w:pPr>
        <w:pStyle w:val="8"/>
        <w:spacing w:line="560" w:lineRule="exact"/>
        <w:ind w:left="0" w:leftChars="0" w:firstLine="640"/>
        <w:rPr>
          <w:rFonts w:ascii="Times New Roman" w:eastAsia="仿宋_GB2312"/>
          <w:sz w:val="32"/>
          <w:lang w:val="zh-CN"/>
        </w:rPr>
      </w:pPr>
      <w:r>
        <w:rPr>
          <w:rFonts w:hint="default" w:ascii="Times New Roman" w:hAnsi="Times New Roman" w:eastAsia="方正仿宋_GBK" w:cs="Times New Roman"/>
          <w:sz w:val="32"/>
          <w:szCs w:val="32"/>
          <w:lang w:val="zh-CN"/>
        </w:rPr>
        <w:t>附表：</w:t>
      </w:r>
      <w:r>
        <w:rPr>
          <w:rFonts w:hint="default" w:ascii="Times New Roman" w:hAnsi="Times New Roman" w:eastAsia="方正仿宋_GBK" w:cs="Times New Roman"/>
          <w:sz w:val="32"/>
          <w:szCs w:val="32"/>
        </w:rPr>
        <w:t>部门预算项目支出绩效自评表（2024年度）</w:t>
      </w:r>
    </w:p>
    <w:p>
      <w:pPr>
        <w:rPr>
          <w:rFonts w:eastAsia="黑体" w:cs="黑体"/>
          <w:kern w:val="0"/>
          <w:sz w:val="32"/>
          <w:szCs w:val="32"/>
          <w:shd w:val="clear" w:color="auto" w:fill="FFFFFF"/>
          <w:lang w:val="zh-CN"/>
        </w:rPr>
      </w:pPr>
      <w:r>
        <w:rPr>
          <w:rFonts w:hint="eastAsia" w:eastAsia="黑体" w:cs="黑体"/>
          <w:kern w:val="0"/>
          <w:sz w:val="32"/>
          <w:szCs w:val="32"/>
          <w:shd w:val="clear" w:color="auto" w:fill="FFFFFF"/>
          <w:lang w:val="zh-CN"/>
        </w:rPr>
        <w:br w:type="page"/>
      </w:r>
    </w:p>
    <w:p>
      <w:pPr>
        <w:pStyle w:val="6"/>
        <w:spacing w:before="93"/>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lang w:val="zh-CN"/>
        </w:rPr>
        <w:t>附件</w:t>
      </w:r>
      <w:r>
        <w:rPr>
          <w:rFonts w:hint="eastAsia" w:ascii="方正仿宋_GBK" w:hAnsi="方正仿宋_GBK" w:eastAsia="方正仿宋_GBK" w:cs="方正仿宋_GBK"/>
          <w:sz w:val="32"/>
          <w:szCs w:val="32"/>
          <w:shd w:val="clear" w:color="auto" w:fill="FFFFFF"/>
        </w:rPr>
        <w:t>2</w:t>
      </w:r>
    </w:p>
    <w:p>
      <w:pPr>
        <w:pStyle w:val="35"/>
        <w:spacing w:line="578" w:lineRule="exact"/>
        <w:jc w:val="center"/>
        <w:rPr>
          <w:rFonts w:ascii="Times New Roman" w:hAnsi="Times New Roman" w:eastAsia="方正小标宋简体" w:cs="方正小标宋简体"/>
          <w:color w:val="auto"/>
          <w:kern w:val="2"/>
          <w:sz w:val="44"/>
          <w:szCs w:val="44"/>
          <w:lang w:val="en-US"/>
        </w:rPr>
      </w:pPr>
    </w:p>
    <w:p>
      <w:pPr>
        <w:pStyle w:val="35"/>
        <w:spacing w:line="578" w:lineRule="exact"/>
        <w:jc w:val="center"/>
        <w:rPr>
          <w:rFonts w:ascii="Times New Roman" w:hAnsi="Times New Roman" w:eastAsia="方正小标宋简体" w:cs="方正小标宋简体"/>
          <w:b/>
          <w:bCs/>
          <w:color w:val="auto"/>
          <w:kern w:val="2"/>
          <w:sz w:val="44"/>
          <w:szCs w:val="44"/>
          <w:lang w:val="en-US"/>
        </w:rPr>
      </w:pPr>
      <w:r>
        <w:rPr>
          <w:rFonts w:hint="eastAsia" w:ascii="Times New Roman" w:hAnsi="Times New Roman" w:eastAsia="方正小标宋简体" w:cs="方正小标宋简体"/>
          <w:b/>
          <w:bCs/>
          <w:color w:val="auto"/>
          <w:kern w:val="2"/>
          <w:sz w:val="44"/>
          <w:szCs w:val="44"/>
          <w:lang w:val="en-US"/>
        </w:rPr>
        <w:t>专项预算项目绩效评价报告</w:t>
      </w:r>
    </w:p>
    <w:p>
      <w:pPr>
        <w:pStyle w:val="35"/>
        <w:spacing w:line="578" w:lineRule="exact"/>
        <w:jc w:val="center"/>
        <w:rPr>
          <w:rFonts w:hint="eastAsia" w:ascii="Times New Roman" w:hAnsi="Times New Roman" w:eastAsia="方正小标宋_GBK"/>
          <w:b w:val="0"/>
          <w:bCs/>
          <w:color w:val="auto"/>
          <w:kern w:val="2"/>
          <w:sz w:val="32"/>
          <w:szCs w:val="32"/>
          <w:lang w:val="en-US" w:eastAsia="zh-CN"/>
        </w:rPr>
      </w:pPr>
      <w:r>
        <w:rPr>
          <w:rFonts w:hint="eastAsia" w:ascii="Times New Roman" w:hAnsi="Times New Roman" w:eastAsia="方正小标宋_GBK"/>
          <w:b w:val="0"/>
          <w:bCs/>
          <w:color w:val="auto"/>
          <w:kern w:val="2"/>
          <w:sz w:val="32"/>
          <w:szCs w:val="32"/>
          <w:lang w:val="en-US" w:eastAsia="zh-CN"/>
        </w:rPr>
        <w:t>（</w:t>
      </w:r>
      <w:r>
        <w:rPr>
          <w:rFonts w:ascii="Times New Roman" w:hAnsi="Times New Roman" w:eastAsia="方正小标宋_GBK"/>
          <w:b w:val="0"/>
          <w:bCs/>
          <w:color w:val="auto"/>
          <w:kern w:val="2"/>
          <w:sz w:val="32"/>
          <w:szCs w:val="32"/>
          <w:lang w:val="en-US"/>
        </w:rPr>
        <w:t>养老服务业发展补助资金（省级）</w:t>
      </w:r>
      <w:r>
        <w:rPr>
          <w:rFonts w:hint="eastAsia" w:ascii="Times New Roman" w:hAnsi="Times New Roman" w:eastAsia="方正小标宋_GBK"/>
          <w:b w:val="0"/>
          <w:bCs/>
          <w:color w:val="auto"/>
          <w:kern w:val="2"/>
          <w:sz w:val="32"/>
          <w:szCs w:val="32"/>
          <w:lang w:val="en-US" w:eastAsia="zh-CN"/>
        </w:rPr>
        <w:t>项目）</w:t>
      </w:r>
    </w:p>
    <w:p>
      <w:pPr>
        <w:pStyle w:val="35"/>
        <w:spacing w:line="578" w:lineRule="exact"/>
        <w:ind w:firstLine="640"/>
        <w:jc w:val="center"/>
        <w:rPr>
          <w:rFonts w:ascii="Times New Roman" w:hAnsi="Times New Roman" w:eastAsia="方正小标宋_GBK"/>
          <w:b w:val="0"/>
          <w:bCs/>
          <w:color w:val="auto"/>
          <w:kern w:val="2"/>
          <w:sz w:val="32"/>
          <w:szCs w:val="32"/>
          <w:lang w:val="en-US"/>
        </w:rPr>
      </w:pPr>
    </w:p>
    <w:p>
      <w:pPr>
        <w:adjustRightInd w:val="0"/>
        <w:snapToGrid w:val="0"/>
        <w:spacing w:line="600" w:lineRule="exact"/>
        <w:ind w:firstLine="720"/>
        <w:rPr>
          <w:rFonts w:ascii="方正黑体_GBK" w:eastAsia="方正黑体_GBK"/>
          <w:b/>
          <w:bCs/>
          <w:sz w:val="32"/>
          <w:szCs w:val="32"/>
          <w:lang w:val="zh-CN"/>
        </w:rPr>
      </w:pPr>
      <w:r>
        <w:rPr>
          <w:rFonts w:hint="eastAsia" w:ascii="方正黑体_GBK" w:eastAsia="方正黑体_GBK"/>
          <w:b/>
          <w:bCs/>
          <w:sz w:val="32"/>
          <w:szCs w:val="32"/>
        </w:rPr>
        <w:t>一、</w:t>
      </w:r>
      <w:r>
        <w:rPr>
          <w:rFonts w:hint="eastAsia" w:ascii="方正黑体_GBK" w:eastAsia="方正黑体_GBK"/>
          <w:b/>
          <w:bCs/>
          <w:sz w:val="32"/>
          <w:szCs w:val="32"/>
          <w:lang w:val="zh-CN"/>
        </w:rPr>
        <w:t>项目概况</w:t>
      </w:r>
    </w:p>
    <w:p>
      <w:pPr>
        <w:adjustRightInd w:val="0"/>
        <w:snapToGrid w:val="0"/>
        <w:spacing w:line="600" w:lineRule="exact"/>
        <w:ind w:firstLine="720"/>
        <w:rPr>
          <w:rFonts w:ascii="方正楷体_GBK" w:eastAsia="方正楷体_GBK"/>
          <w:b/>
          <w:sz w:val="32"/>
          <w:szCs w:val="32"/>
          <w:lang w:val="zh-CN"/>
        </w:rPr>
      </w:pPr>
      <w:r>
        <w:rPr>
          <w:rFonts w:hint="eastAsia" w:ascii="方正楷体_GBK" w:eastAsia="方正楷体_GBK"/>
          <w:b/>
          <w:sz w:val="32"/>
          <w:szCs w:val="32"/>
          <w:lang w:val="zh-CN"/>
        </w:rPr>
        <w:t>（一）项目基本情况</w:t>
      </w:r>
    </w:p>
    <w:p>
      <w:pPr>
        <w:adjustRightInd w:val="0"/>
        <w:snapToGrid w:val="0"/>
        <w:spacing w:line="600" w:lineRule="exact"/>
        <w:ind w:firstLine="720"/>
        <w:rPr>
          <w:rFonts w:eastAsia="方正仿宋_GBK"/>
          <w:b/>
          <w:sz w:val="32"/>
          <w:szCs w:val="32"/>
          <w:lang w:val="zh-CN"/>
        </w:rPr>
      </w:pPr>
      <w:r>
        <w:rPr>
          <w:rFonts w:eastAsia="方正仿宋_GBK"/>
          <w:b/>
          <w:sz w:val="32"/>
          <w:szCs w:val="32"/>
          <w:lang w:val="zh-CN"/>
        </w:rPr>
        <w:t>1</w:t>
      </w:r>
      <w:r>
        <w:rPr>
          <w:rFonts w:eastAsia="方正仿宋_GBK"/>
          <w:b/>
          <w:sz w:val="32"/>
          <w:szCs w:val="32"/>
        </w:rPr>
        <w:t>.市委老干部局</w:t>
      </w:r>
      <w:r>
        <w:rPr>
          <w:rFonts w:eastAsia="方正仿宋_GBK"/>
          <w:b/>
          <w:sz w:val="32"/>
          <w:szCs w:val="32"/>
          <w:lang w:val="zh-CN"/>
        </w:rPr>
        <w:t>在该项目管理中的职能</w:t>
      </w:r>
    </w:p>
    <w:p>
      <w:pPr>
        <w:spacing w:line="240" w:lineRule="auto"/>
        <w:ind w:firstLine="640" w:firstLineChars="200"/>
        <w:rPr>
          <w:rFonts w:eastAsia="方正仿宋_GBK"/>
          <w:sz w:val="32"/>
          <w:szCs w:val="32"/>
          <w:lang w:val="zh-CN"/>
        </w:rPr>
      </w:pPr>
      <w:r>
        <w:rPr>
          <w:rFonts w:eastAsia="方正仿宋_GBK"/>
          <w:sz w:val="32"/>
          <w:szCs w:val="32"/>
        </w:rPr>
        <w:t>养老服务业发展补助资金（省级）为省民政厅实施养老服务业发展补助资金项目，主要用于攀枝花市老年教育提升示范</w:t>
      </w:r>
      <w:r>
        <w:rPr>
          <w:rFonts w:hint="eastAsia" w:eastAsia="方正仿宋_GBK"/>
          <w:sz w:val="32"/>
          <w:szCs w:val="32"/>
          <w:lang w:eastAsia="zh-CN"/>
        </w:rPr>
        <w:t>基地建设</w:t>
      </w:r>
      <w:r>
        <w:rPr>
          <w:rFonts w:eastAsia="方正仿宋_GBK"/>
          <w:sz w:val="32"/>
          <w:szCs w:val="32"/>
        </w:rPr>
        <w:t>，将市老年大学打造成办学规范、管理科学，教育理念和教学质量双优质的</w:t>
      </w:r>
      <w:r>
        <w:rPr>
          <w:rFonts w:eastAsia="方正仿宋_GBK"/>
          <w:sz w:val="32"/>
          <w:szCs w:val="32"/>
          <w:lang w:val="zh-CN"/>
        </w:rPr>
        <w:t>（市级）标准示范校</w:t>
      </w:r>
      <w:r>
        <w:rPr>
          <w:rFonts w:eastAsia="方正仿宋_GBK"/>
          <w:sz w:val="32"/>
          <w:szCs w:val="32"/>
        </w:rPr>
        <w:t>。该项目由市委老干部局下属事业单位市老干部活动中心（</w:t>
      </w:r>
      <w:r>
        <w:rPr>
          <w:rFonts w:hint="eastAsia" w:eastAsia="方正仿宋_GBK"/>
          <w:sz w:val="32"/>
          <w:szCs w:val="32"/>
          <w:lang w:eastAsia="zh-CN"/>
        </w:rPr>
        <w:t>市</w:t>
      </w:r>
      <w:r>
        <w:rPr>
          <w:rFonts w:eastAsia="方正仿宋_GBK"/>
          <w:sz w:val="32"/>
          <w:szCs w:val="32"/>
        </w:rPr>
        <w:t>老年大学）负责具体实施，市委老干部局作为主管部门主要负责</w:t>
      </w:r>
      <w:r>
        <w:rPr>
          <w:rFonts w:eastAsia="方正仿宋_GBK"/>
          <w:sz w:val="32"/>
          <w:szCs w:val="32"/>
          <w:lang w:val="zh-CN"/>
        </w:rPr>
        <w:t>督促和指导项目实施单位按时、按质、按量完成项目建设，并对经费支出进行监管。</w:t>
      </w:r>
    </w:p>
    <w:p>
      <w:pPr>
        <w:adjustRightInd w:val="0"/>
        <w:snapToGrid w:val="0"/>
        <w:spacing w:line="600" w:lineRule="exact"/>
        <w:ind w:firstLine="720"/>
        <w:rPr>
          <w:rFonts w:eastAsia="方正仿宋_GBK"/>
          <w:b/>
          <w:sz w:val="32"/>
          <w:szCs w:val="32"/>
          <w:lang w:val="zh-CN"/>
        </w:rPr>
      </w:pPr>
      <w:r>
        <w:rPr>
          <w:rFonts w:eastAsia="方正仿宋_GBK"/>
          <w:b/>
          <w:sz w:val="32"/>
          <w:szCs w:val="32"/>
          <w:lang w:val="zh-CN"/>
        </w:rPr>
        <w:t>2.项目立项、资金申报的依据</w:t>
      </w:r>
    </w:p>
    <w:p>
      <w:pPr>
        <w:spacing w:line="580" w:lineRule="exact"/>
        <w:ind w:firstLine="640" w:firstLineChars="200"/>
        <w:rPr>
          <w:rFonts w:eastAsia="方正仿宋_GBK"/>
          <w:sz w:val="32"/>
          <w:szCs w:val="32"/>
          <w:lang w:val="zh-CN"/>
        </w:rPr>
      </w:pPr>
      <w:r>
        <w:rPr>
          <w:rFonts w:eastAsia="方正仿宋_GBK"/>
          <w:sz w:val="32"/>
          <w:szCs w:val="32"/>
        </w:rPr>
        <w:t>省民政厅每年在省内选取老年教育发展有特色的5个城市下达专项资金200万元，攀枝花市老年教育提升示范项目</w:t>
      </w:r>
      <w:r>
        <w:rPr>
          <w:rFonts w:eastAsia="方正仿宋_GBK"/>
          <w:spacing w:val="-6"/>
          <w:sz w:val="32"/>
          <w:szCs w:val="32"/>
        </w:rPr>
        <w:t>入选四川省民政厅2023年度老年教育专项省级资金建设项目。</w:t>
      </w:r>
    </w:p>
    <w:p>
      <w:pPr>
        <w:adjustRightInd w:val="0"/>
        <w:snapToGrid w:val="0"/>
        <w:spacing w:line="600" w:lineRule="exact"/>
        <w:ind w:firstLine="720"/>
        <w:rPr>
          <w:rFonts w:eastAsia="方正仿宋_GBK"/>
          <w:b/>
          <w:sz w:val="32"/>
          <w:szCs w:val="32"/>
          <w:lang w:val="zh-CN"/>
        </w:rPr>
      </w:pPr>
      <w:r>
        <w:rPr>
          <w:rFonts w:eastAsia="方正仿宋_GBK"/>
          <w:b/>
          <w:sz w:val="32"/>
          <w:szCs w:val="32"/>
          <w:lang w:val="zh-CN"/>
        </w:rPr>
        <w:t>3.资金管理办法制定情况，资金支持具体项目的条件、范围与支持方式概况</w:t>
      </w:r>
    </w:p>
    <w:p>
      <w:pPr>
        <w:adjustRightInd w:val="0"/>
        <w:snapToGrid w:val="0"/>
        <w:spacing w:line="600" w:lineRule="exact"/>
        <w:ind w:firstLine="720"/>
        <w:rPr>
          <w:rFonts w:eastAsia="方正仿宋_GBK"/>
          <w:b/>
          <w:bCs/>
          <w:color w:val="000000"/>
          <w:sz w:val="32"/>
          <w:szCs w:val="32"/>
          <w:lang w:val="zh-CN"/>
        </w:rPr>
      </w:pPr>
      <w:r>
        <w:rPr>
          <w:rFonts w:eastAsia="方正仿宋_GBK"/>
          <w:color w:val="000000"/>
          <w:sz w:val="32"/>
          <w:szCs w:val="32"/>
        </w:rPr>
        <w:t>2024年1月市老年大学启动项目可研分析，随后制定了项目实施方案，明确了项目具体内容、实施步骤和资金使用计划，并依次提交局务会审议通过。</w:t>
      </w:r>
    </w:p>
    <w:p>
      <w:pPr>
        <w:adjustRightInd w:val="0"/>
        <w:snapToGrid w:val="0"/>
        <w:spacing w:line="600" w:lineRule="exact"/>
        <w:rPr>
          <w:rFonts w:eastAsia="方正仿宋_GBK"/>
          <w:b/>
          <w:sz w:val="32"/>
          <w:szCs w:val="32"/>
          <w:lang w:val="zh-CN"/>
        </w:rPr>
      </w:pPr>
      <w:r>
        <w:rPr>
          <w:rFonts w:hint="eastAsia" w:eastAsia="方正仿宋_GBK"/>
          <w:b/>
          <w:sz w:val="32"/>
          <w:szCs w:val="32"/>
          <w:lang w:val="en-US" w:eastAsia="zh-CN"/>
        </w:rPr>
        <w:t xml:space="preserve">    </w:t>
      </w:r>
      <w:r>
        <w:rPr>
          <w:rFonts w:eastAsia="方正仿宋_GBK"/>
          <w:b/>
          <w:sz w:val="32"/>
          <w:szCs w:val="32"/>
          <w:lang w:val="zh-CN"/>
        </w:rPr>
        <w:t>4.资金分配的原则及考虑因素</w:t>
      </w:r>
    </w:p>
    <w:p>
      <w:pPr>
        <w:adjustRightInd w:val="0"/>
        <w:snapToGrid w:val="0"/>
        <w:spacing w:line="600" w:lineRule="exact"/>
        <w:ind w:firstLine="640" w:firstLineChars="200"/>
        <w:rPr>
          <w:rFonts w:eastAsia="方正仿宋_GBK"/>
          <w:sz w:val="32"/>
          <w:szCs w:val="32"/>
          <w:lang w:val="zh-CN"/>
        </w:rPr>
      </w:pPr>
      <w:r>
        <w:rPr>
          <w:rFonts w:eastAsia="方正仿宋_GBK"/>
          <w:sz w:val="32"/>
          <w:szCs w:val="32"/>
          <w:lang w:val="zh-CN"/>
        </w:rPr>
        <w:t>通过对老年大学现有办学条件和硬件设施、校园环境进行充分摸底调研后，对照老年大学标准示范校创建指标，明确项目建设内容及资金分配计划。</w:t>
      </w:r>
    </w:p>
    <w:p>
      <w:pPr>
        <w:adjustRightInd w:val="0"/>
        <w:snapToGrid w:val="0"/>
        <w:spacing w:line="600" w:lineRule="exact"/>
        <w:ind w:firstLine="720"/>
        <w:rPr>
          <w:rFonts w:ascii="方正楷体_GBK" w:eastAsia="方正楷体_GBK"/>
          <w:b/>
          <w:sz w:val="32"/>
          <w:szCs w:val="32"/>
          <w:lang w:val="zh-CN"/>
        </w:rPr>
      </w:pPr>
      <w:r>
        <w:rPr>
          <w:rFonts w:ascii="方正楷体_GBK" w:eastAsia="方正楷体_GBK"/>
          <w:b/>
          <w:sz w:val="32"/>
          <w:szCs w:val="32"/>
          <w:lang w:val="zh-CN"/>
        </w:rPr>
        <w:t>（二）项目绩效目标</w:t>
      </w:r>
    </w:p>
    <w:p>
      <w:pPr>
        <w:adjustRightInd w:val="0"/>
        <w:snapToGrid w:val="0"/>
        <w:spacing w:line="600" w:lineRule="exact"/>
        <w:ind w:firstLine="720"/>
        <w:rPr>
          <w:rFonts w:eastAsia="方正仿宋_GBK"/>
          <w:b/>
          <w:sz w:val="32"/>
          <w:szCs w:val="32"/>
          <w:lang w:val="zh-CN"/>
        </w:rPr>
      </w:pPr>
      <w:r>
        <w:rPr>
          <w:rFonts w:eastAsia="方正仿宋_GBK"/>
          <w:b/>
          <w:sz w:val="32"/>
          <w:szCs w:val="32"/>
          <w:lang w:val="zh-CN"/>
        </w:rPr>
        <w:t>1.项目主要内容</w:t>
      </w:r>
    </w:p>
    <w:p>
      <w:pPr>
        <w:adjustRightInd w:val="0"/>
        <w:snapToGrid w:val="0"/>
        <w:spacing w:line="600" w:lineRule="exact"/>
        <w:ind w:firstLine="640" w:firstLineChars="200"/>
        <w:rPr>
          <w:rFonts w:eastAsia="方正仿宋_GBK"/>
          <w:sz w:val="32"/>
          <w:szCs w:val="32"/>
          <w:lang w:val="zh-CN"/>
        </w:rPr>
      </w:pPr>
      <w:r>
        <w:rPr>
          <w:rFonts w:eastAsia="方正仿宋_GBK"/>
          <w:sz w:val="32"/>
          <w:szCs w:val="32"/>
        </w:rPr>
        <w:t>项目主要内容为</w:t>
      </w:r>
      <w:bookmarkStart w:id="62" w:name="OLE_LINK6"/>
      <w:bookmarkStart w:id="63" w:name="OLE_LINK7"/>
      <w:bookmarkStart w:id="64" w:name="OLE_LINK5"/>
      <w:r>
        <w:rPr>
          <w:rFonts w:eastAsia="方正仿宋_GBK"/>
          <w:sz w:val="32"/>
          <w:szCs w:val="32"/>
          <w:lang w:val="zh-CN"/>
        </w:rPr>
        <w:t>校园文化打造、基础设施提升、功能性教学场地改造、游学养示范点及老年志愿服务队建设、教学管理系统及网络老年大学课程建设。</w:t>
      </w:r>
    </w:p>
    <w:bookmarkEnd w:id="62"/>
    <w:bookmarkEnd w:id="63"/>
    <w:bookmarkEnd w:id="64"/>
    <w:p>
      <w:pPr>
        <w:adjustRightInd w:val="0"/>
        <w:snapToGrid w:val="0"/>
        <w:spacing w:line="600" w:lineRule="exact"/>
        <w:ind w:firstLine="720"/>
        <w:rPr>
          <w:rFonts w:eastAsia="方正仿宋_GBK"/>
          <w:b/>
          <w:sz w:val="32"/>
          <w:szCs w:val="32"/>
          <w:lang w:val="zh-CN"/>
        </w:rPr>
      </w:pPr>
      <w:bookmarkStart w:id="65" w:name="OLE_LINK1"/>
      <w:bookmarkStart w:id="66" w:name="OLE_LINK2"/>
      <w:r>
        <w:rPr>
          <w:rFonts w:eastAsia="方正仿宋_GBK"/>
          <w:b/>
          <w:sz w:val="32"/>
          <w:szCs w:val="32"/>
          <w:lang w:val="zh-CN"/>
        </w:rPr>
        <w:t>2.项目应实现的具体绩效目标，</w:t>
      </w:r>
      <w:bookmarkEnd w:id="65"/>
      <w:bookmarkEnd w:id="66"/>
      <w:r>
        <w:rPr>
          <w:rFonts w:eastAsia="方正仿宋_GBK"/>
          <w:b/>
          <w:sz w:val="32"/>
          <w:szCs w:val="32"/>
          <w:lang w:val="zh-CN"/>
        </w:rPr>
        <w:t>包括目标的量化、细化情况以及项目实施进度计划等</w:t>
      </w:r>
    </w:p>
    <w:p>
      <w:pPr>
        <w:spacing w:line="580" w:lineRule="exact"/>
        <w:ind w:firstLine="640" w:firstLineChars="200"/>
        <w:rPr>
          <w:rFonts w:eastAsia="方正仿宋_GBK"/>
          <w:sz w:val="32"/>
          <w:szCs w:val="32"/>
          <w:lang w:val="zh-CN"/>
        </w:rPr>
      </w:pPr>
      <w:r>
        <w:rPr>
          <w:rFonts w:eastAsia="方正仿宋_GBK"/>
          <w:sz w:val="32"/>
          <w:szCs w:val="32"/>
          <w:lang w:val="zh-CN"/>
        </w:rPr>
        <w:t>项目应实现的具体绩效目标为</w:t>
      </w:r>
      <w:r>
        <w:rPr>
          <w:rFonts w:eastAsia="方正仿宋_GBK"/>
          <w:sz w:val="32"/>
          <w:szCs w:val="32"/>
        </w:rPr>
        <w:t>将市老年大学打造成办学规范、管理科学，教育理念和教学质量双优质的</w:t>
      </w:r>
      <w:r>
        <w:rPr>
          <w:rFonts w:eastAsia="方正仿宋_GBK"/>
          <w:sz w:val="32"/>
          <w:szCs w:val="32"/>
          <w:lang w:val="zh-CN"/>
        </w:rPr>
        <w:t>（市级）标准示范校</w:t>
      </w:r>
      <w:r>
        <w:rPr>
          <w:rFonts w:eastAsia="方正仿宋_GBK"/>
          <w:sz w:val="32"/>
          <w:szCs w:val="32"/>
        </w:rPr>
        <w:t>。</w:t>
      </w:r>
      <w:r>
        <w:rPr>
          <w:rFonts w:hint="eastAsia" w:eastAsia="方正仿宋_GBK"/>
          <w:sz w:val="32"/>
          <w:szCs w:val="32"/>
        </w:rPr>
        <w:t>绩效目标</w:t>
      </w:r>
      <w:r>
        <w:rPr>
          <w:rFonts w:eastAsia="方正仿宋_GBK"/>
          <w:sz w:val="32"/>
          <w:szCs w:val="32"/>
          <w:lang w:val="zh-CN"/>
        </w:rPr>
        <w:t>具体量化、细化后为：</w:t>
      </w:r>
      <w:r>
        <w:rPr>
          <w:rFonts w:eastAsia="方正仿宋_GBK"/>
          <w:sz w:val="32"/>
          <w:szCs w:val="32"/>
        </w:rPr>
        <w:t>严格按照</w:t>
      </w:r>
      <w:r>
        <w:rPr>
          <w:rFonts w:eastAsia="方正仿宋_GBK"/>
          <w:sz w:val="32"/>
          <w:szCs w:val="32"/>
          <w:lang w:val="zh-CN"/>
        </w:rPr>
        <w:t>《关于打造老年教育提升示范基地项目的方案》</w:t>
      </w:r>
      <w:r>
        <w:rPr>
          <w:rFonts w:hint="eastAsia" w:eastAsia="方正仿宋_GBK"/>
          <w:sz w:val="32"/>
          <w:szCs w:val="32"/>
          <w:lang w:val="zh-CN"/>
        </w:rPr>
        <w:t>，</w:t>
      </w:r>
      <w:r>
        <w:rPr>
          <w:rFonts w:eastAsia="方正仿宋_GBK"/>
          <w:sz w:val="32"/>
          <w:szCs w:val="32"/>
          <w:lang w:val="zh-CN"/>
        </w:rPr>
        <w:t>完成校园文化打造</w:t>
      </w:r>
      <w:r>
        <w:rPr>
          <w:rFonts w:eastAsia="方正仿宋_GBK"/>
          <w:sz w:val="32"/>
          <w:szCs w:val="32"/>
        </w:rPr>
        <w:t>8处</w:t>
      </w:r>
      <w:r>
        <w:rPr>
          <w:rFonts w:eastAsia="方正仿宋_GBK"/>
          <w:sz w:val="32"/>
          <w:szCs w:val="32"/>
          <w:lang w:val="zh-CN"/>
        </w:rPr>
        <w:t>、基础设施提升</w:t>
      </w:r>
      <w:r>
        <w:rPr>
          <w:rFonts w:eastAsia="方正仿宋_GBK"/>
          <w:sz w:val="32"/>
          <w:szCs w:val="32"/>
        </w:rPr>
        <w:t>4处</w:t>
      </w:r>
      <w:r>
        <w:rPr>
          <w:rFonts w:eastAsia="方正仿宋_GBK"/>
          <w:sz w:val="32"/>
          <w:szCs w:val="32"/>
          <w:lang w:val="zh-CN"/>
        </w:rPr>
        <w:t>、功能性教学场地改造</w:t>
      </w:r>
      <w:r>
        <w:rPr>
          <w:rFonts w:eastAsia="方正仿宋_GBK"/>
          <w:sz w:val="32"/>
          <w:szCs w:val="32"/>
        </w:rPr>
        <w:t>11处</w:t>
      </w:r>
      <w:r>
        <w:rPr>
          <w:rFonts w:eastAsia="方正仿宋_GBK"/>
          <w:sz w:val="32"/>
          <w:szCs w:val="32"/>
          <w:lang w:val="zh-CN"/>
        </w:rPr>
        <w:t>、游学养示范点</w:t>
      </w:r>
      <w:r>
        <w:rPr>
          <w:rFonts w:eastAsia="方正仿宋_GBK"/>
          <w:sz w:val="32"/>
          <w:szCs w:val="32"/>
        </w:rPr>
        <w:t>1个、网上老年大学课程建设16科</w:t>
      </w:r>
      <w:r>
        <w:rPr>
          <w:rFonts w:eastAsia="方正仿宋_GBK"/>
          <w:sz w:val="32"/>
          <w:szCs w:val="32"/>
          <w:lang w:val="zh-CN"/>
        </w:rPr>
        <w:t>及</w:t>
      </w:r>
      <w:r>
        <w:rPr>
          <w:rFonts w:hint="eastAsia" w:eastAsia="方正仿宋_GBK"/>
          <w:sz w:val="32"/>
          <w:szCs w:val="32"/>
          <w:lang w:val="zh-CN"/>
        </w:rPr>
        <w:t>组建</w:t>
      </w:r>
      <w:r>
        <w:rPr>
          <w:rFonts w:eastAsia="方正仿宋_GBK"/>
          <w:sz w:val="32"/>
          <w:szCs w:val="32"/>
          <w:lang w:val="zh-CN"/>
        </w:rPr>
        <w:t>老年志愿服务队</w:t>
      </w:r>
      <w:r>
        <w:rPr>
          <w:rFonts w:eastAsia="方正仿宋_GBK"/>
          <w:sz w:val="32"/>
          <w:szCs w:val="32"/>
        </w:rPr>
        <w:t>1支。</w:t>
      </w:r>
    </w:p>
    <w:p>
      <w:pPr>
        <w:spacing w:line="580" w:lineRule="exact"/>
        <w:ind w:firstLine="640" w:firstLineChars="200"/>
        <w:rPr>
          <w:rFonts w:eastAsia="方正仿宋_GBK"/>
          <w:sz w:val="32"/>
          <w:szCs w:val="32"/>
          <w:lang w:val="zh-CN"/>
        </w:rPr>
      </w:pPr>
      <w:r>
        <w:rPr>
          <w:rFonts w:eastAsia="方正仿宋_GBK"/>
          <w:sz w:val="32"/>
          <w:szCs w:val="32"/>
          <w:lang w:val="zh-CN"/>
        </w:rPr>
        <w:t>项目实施进度计划为：2024年1月完成对市老年大学教师、学员代表的意见和建议征集</w:t>
      </w:r>
      <w:r>
        <w:rPr>
          <w:rFonts w:hint="eastAsia" w:eastAsia="方正仿宋_GBK"/>
          <w:sz w:val="32"/>
          <w:szCs w:val="32"/>
          <w:lang w:val="zh-CN"/>
        </w:rPr>
        <w:t>；2月比选产生设计单位；</w:t>
      </w:r>
      <w:r>
        <w:rPr>
          <w:rFonts w:eastAsia="方正仿宋_GBK"/>
          <w:sz w:val="32"/>
          <w:szCs w:val="32"/>
          <w:lang w:val="zh-CN"/>
        </w:rPr>
        <w:t>3月完成项目设计；</w:t>
      </w:r>
      <w:r>
        <w:rPr>
          <w:rFonts w:hint="eastAsia" w:eastAsia="方正仿宋_GBK"/>
          <w:sz w:val="32"/>
          <w:szCs w:val="32"/>
          <w:lang w:val="zh-CN"/>
        </w:rPr>
        <w:t>5月编制采购货物清单，</w:t>
      </w:r>
      <w:r>
        <w:rPr>
          <w:rFonts w:eastAsia="方正仿宋_GBK"/>
          <w:sz w:val="32"/>
          <w:szCs w:val="32"/>
          <w:lang w:val="zh-CN"/>
        </w:rPr>
        <w:t>开展政府采购前期工作； 6月向市财政局申请追加政府采购预算</w:t>
      </w:r>
      <w:r>
        <w:rPr>
          <w:rFonts w:hint="eastAsia" w:eastAsia="方正仿宋_GBK"/>
          <w:sz w:val="32"/>
          <w:szCs w:val="32"/>
          <w:lang w:val="zh-CN"/>
        </w:rPr>
        <w:t>，</w:t>
      </w:r>
      <w:r>
        <w:rPr>
          <w:rFonts w:eastAsia="方正仿宋_GBK"/>
          <w:sz w:val="32"/>
          <w:szCs w:val="32"/>
          <w:lang w:val="zh-CN"/>
        </w:rPr>
        <w:t>采购内容为老年教育提升示范基地装修工程及</w:t>
      </w:r>
      <w:r>
        <w:rPr>
          <w:rFonts w:hint="eastAsia" w:eastAsia="方正仿宋_GBK"/>
          <w:sz w:val="32"/>
          <w:szCs w:val="32"/>
          <w:lang w:val="zh-CN"/>
        </w:rPr>
        <w:t>设施</w:t>
      </w:r>
      <w:r>
        <w:rPr>
          <w:rFonts w:eastAsia="方正仿宋_GBK"/>
          <w:sz w:val="32"/>
          <w:szCs w:val="32"/>
          <w:lang w:val="zh-CN"/>
        </w:rPr>
        <w:t>设备； 7月</w:t>
      </w:r>
      <w:r>
        <w:rPr>
          <w:rFonts w:hint="eastAsia" w:eastAsia="方正仿宋_GBK"/>
          <w:sz w:val="32"/>
          <w:szCs w:val="32"/>
          <w:lang w:val="zh-CN"/>
        </w:rPr>
        <w:t>获得</w:t>
      </w:r>
      <w:r>
        <w:rPr>
          <w:rFonts w:eastAsia="方正仿宋_GBK"/>
          <w:sz w:val="32"/>
          <w:szCs w:val="32"/>
          <w:lang w:val="zh-CN"/>
        </w:rPr>
        <w:t>市财政局政府采购</w:t>
      </w:r>
      <w:r>
        <w:rPr>
          <w:rFonts w:hint="eastAsia" w:eastAsia="方正仿宋_GBK"/>
          <w:sz w:val="32"/>
          <w:szCs w:val="32"/>
          <w:lang w:val="zh-CN"/>
        </w:rPr>
        <w:t>批复</w:t>
      </w:r>
      <w:r>
        <w:rPr>
          <w:rFonts w:eastAsia="方正仿宋_GBK"/>
          <w:sz w:val="32"/>
          <w:szCs w:val="32"/>
          <w:lang w:val="zh-CN"/>
        </w:rPr>
        <w:t>；</w:t>
      </w:r>
      <w:r>
        <w:rPr>
          <w:rFonts w:hint="eastAsia" w:eastAsia="方正仿宋_GBK"/>
          <w:sz w:val="32"/>
          <w:szCs w:val="32"/>
          <w:lang w:val="zh-CN"/>
        </w:rPr>
        <w:t>8月完成工程类采购意向公开、采购需求编制和施工监理单位比选；9</w:t>
      </w:r>
      <w:r>
        <w:rPr>
          <w:rFonts w:eastAsia="方正仿宋_GBK"/>
          <w:sz w:val="32"/>
          <w:szCs w:val="32"/>
          <w:lang w:val="zh-CN"/>
        </w:rPr>
        <w:t>月</w:t>
      </w:r>
      <w:r>
        <w:rPr>
          <w:rFonts w:hint="eastAsia" w:eastAsia="方正仿宋_GBK"/>
          <w:sz w:val="32"/>
          <w:szCs w:val="32"/>
          <w:lang w:val="zh-CN"/>
        </w:rPr>
        <w:t>竞争性磋商产生</w:t>
      </w:r>
      <w:r>
        <w:rPr>
          <w:rFonts w:eastAsia="方正仿宋_GBK"/>
          <w:sz w:val="32"/>
          <w:szCs w:val="32"/>
          <w:lang w:val="zh-CN"/>
        </w:rPr>
        <w:t>装修工程</w:t>
      </w:r>
      <w:r>
        <w:rPr>
          <w:rFonts w:hint="eastAsia" w:eastAsia="方正仿宋_GBK"/>
          <w:sz w:val="32"/>
          <w:szCs w:val="32"/>
          <w:lang w:val="zh-CN"/>
        </w:rPr>
        <w:t>施工单位；10月完成</w:t>
      </w:r>
      <w:r>
        <w:rPr>
          <w:rFonts w:eastAsia="方正仿宋_GBK"/>
          <w:sz w:val="32"/>
          <w:szCs w:val="32"/>
          <w:lang w:val="zh-CN"/>
        </w:rPr>
        <w:t>设施设备政府采购，施工单位进场施工，有序推进工程建设</w:t>
      </w:r>
      <w:r>
        <w:rPr>
          <w:rFonts w:hint="eastAsia" w:eastAsia="方正仿宋_GBK"/>
          <w:sz w:val="32"/>
          <w:szCs w:val="32"/>
          <w:lang w:val="zh-CN"/>
        </w:rPr>
        <w:t>；</w:t>
      </w:r>
      <w:r>
        <w:rPr>
          <w:rFonts w:eastAsia="方正仿宋_GBK"/>
          <w:sz w:val="32"/>
          <w:szCs w:val="32"/>
          <w:lang w:val="zh-CN"/>
        </w:rPr>
        <w:t>12月开展装修工程验收工作。</w:t>
      </w:r>
    </w:p>
    <w:p>
      <w:pPr>
        <w:adjustRightInd w:val="0"/>
        <w:snapToGrid w:val="0"/>
        <w:spacing w:line="600" w:lineRule="exact"/>
        <w:ind w:firstLine="720"/>
        <w:rPr>
          <w:rFonts w:eastAsia="方正仿宋_GBK"/>
          <w:b/>
          <w:sz w:val="32"/>
          <w:szCs w:val="32"/>
          <w:lang w:val="zh-CN"/>
        </w:rPr>
      </w:pPr>
      <w:r>
        <w:rPr>
          <w:rFonts w:eastAsia="方正仿宋_GBK"/>
          <w:b/>
          <w:sz w:val="32"/>
          <w:szCs w:val="32"/>
          <w:lang w:val="zh-CN"/>
        </w:rPr>
        <w:t>3.分析评价申报内容是否与实际相符，申报目标是否合理可行</w:t>
      </w:r>
    </w:p>
    <w:p>
      <w:pPr>
        <w:adjustRightInd w:val="0"/>
        <w:snapToGrid w:val="0"/>
        <w:spacing w:line="600" w:lineRule="exact"/>
        <w:ind w:firstLine="720"/>
        <w:rPr>
          <w:rFonts w:eastAsia="方正仿宋_GBK"/>
          <w:sz w:val="32"/>
          <w:szCs w:val="32"/>
        </w:rPr>
      </w:pPr>
      <w:r>
        <w:rPr>
          <w:rFonts w:eastAsia="方正仿宋_GBK"/>
          <w:sz w:val="32"/>
          <w:szCs w:val="32"/>
        </w:rPr>
        <w:t>项目申报内容符合省民政厅老年教育省级专项资金建设范围，与市老年大学发展目标</w:t>
      </w:r>
      <w:r>
        <w:rPr>
          <w:rFonts w:hint="eastAsia" w:eastAsia="方正仿宋_GBK"/>
          <w:sz w:val="32"/>
          <w:szCs w:val="32"/>
        </w:rPr>
        <w:t>和实际需求一致</w:t>
      </w:r>
      <w:r>
        <w:rPr>
          <w:rFonts w:eastAsia="方正仿宋_GBK"/>
          <w:sz w:val="32"/>
          <w:szCs w:val="32"/>
        </w:rPr>
        <w:t>。申报目标</w:t>
      </w:r>
      <w:r>
        <w:rPr>
          <w:rFonts w:hint="eastAsia" w:eastAsia="方正仿宋_GBK"/>
          <w:sz w:val="32"/>
          <w:szCs w:val="32"/>
        </w:rPr>
        <w:t>可操作、可评价，目标设置</w:t>
      </w:r>
      <w:r>
        <w:rPr>
          <w:rFonts w:eastAsia="方正仿宋_GBK"/>
          <w:sz w:val="32"/>
          <w:szCs w:val="32"/>
        </w:rPr>
        <w:t>科学合理，切实可行。</w:t>
      </w:r>
    </w:p>
    <w:p>
      <w:pPr>
        <w:adjustRightInd w:val="0"/>
        <w:snapToGrid w:val="0"/>
        <w:spacing w:line="600" w:lineRule="exact"/>
        <w:ind w:firstLine="720"/>
        <w:rPr>
          <w:rFonts w:ascii="方正楷体_GBK" w:eastAsia="方正楷体_GBK"/>
          <w:b/>
          <w:sz w:val="32"/>
          <w:szCs w:val="32"/>
          <w:lang w:val="zh-CN"/>
        </w:rPr>
      </w:pPr>
      <w:r>
        <w:rPr>
          <w:rFonts w:ascii="方正楷体_GBK" w:eastAsia="方正楷体_GBK"/>
          <w:b/>
          <w:sz w:val="32"/>
          <w:szCs w:val="32"/>
          <w:lang w:val="zh-CN"/>
        </w:rPr>
        <w:t>（三）项目自评步骤及方法</w:t>
      </w:r>
    </w:p>
    <w:p>
      <w:pPr>
        <w:adjustRightInd w:val="0"/>
        <w:snapToGrid w:val="0"/>
        <w:spacing w:line="600" w:lineRule="exact"/>
        <w:ind w:firstLine="720"/>
        <w:rPr>
          <w:rFonts w:eastAsia="方正仿宋_GBK"/>
          <w:sz w:val="32"/>
          <w:szCs w:val="32"/>
          <w:lang w:val="zh-CN"/>
        </w:rPr>
      </w:pPr>
      <w:r>
        <w:rPr>
          <w:rFonts w:eastAsia="方正仿宋_GBK"/>
          <w:sz w:val="32"/>
          <w:szCs w:val="32"/>
          <w:lang w:val="zh-CN"/>
        </w:rPr>
        <w:t>加强</w:t>
      </w:r>
      <w:r>
        <w:rPr>
          <w:rFonts w:hint="eastAsia" w:eastAsia="方正仿宋_GBK"/>
          <w:sz w:val="32"/>
          <w:szCs w:val="32"/>
          <w:lang w:val="zh-CN"/>
        </w:rPr>
        <w:t>项目</w:t>
      </w:r>
      <w:r>
        <w:rPr>
          <w:rFonts w:eastAsia="方正仿宋_GBK"/>
          <w:sz w:val="32"/>
          <w:szCs w:val="32"/>
          <w:lang w:val="zh-CN"/>
        </w:rPr>
        <w:t>绩效自评组织管理，细化任务分工，明确专人具体负责，采取项目实施单位自评与主管部门评价相结合的方式，对照专项预算项目绩效评价指标体系和设定的绩效目标，逐一开展自评，确保数据准确、分值合理、结果客观。</w:t>
      </w:r>
    </w:p>
    <w:p>
      <w:pPr>
        <w:adjustRightInd w:val="0"/>
        <w:snapToGrid w:val="0"/>
        <w:spacing w:line="600" w:lineRule="exact"/>
        <w:ind w:firstLine="720"/>
        <w:rPr>
          <w:rFonts w:ascii="方正黑体_GBK" w:eastAsia="方正黑体_GBK"/>
          <w:sz w:val="32"/>
          <w:szCs w:val="32"/>
        </w:rPr>
      </w:pPr>
      <w:r>
        <w:rPr>
          <w:rFonts w:ascii="方正黑体_GBK" w:eastAsia="方正黑体_GBK"/>
          <w:sz w:val="32"/>
          <w:szCs w:val="32"/>
        </w:rPr>
        <w:t>二、项目资金申报及使用情况</w:t>
      </w:r>
    </w:p>
    <w:p>
      <w:pPr>
        <w:adjustRightInd w:val="0"/>
        <w:snapToGrid w:val="0"/>
        <w:spacing w:line="600" w:lineRule="exact"/>
        <w:ind w:firstLine="720"/>
        <w:rPr>
          <w:rFonts w:ascii="方正楷体_GBK" w:eastAsia="方正楷体_GBK"/>
          <w:b/>
          <w:sz w:val="32"/>
          <w:szCs w:val="32"/>
          <w:lang w:val="zh-CN"/>
        </w:rPr>
      </w:pPr>
      <w:r>
        <w:rPr>
          <w:rFonts w:ascii="方正楷体_GBK" w:eastAsia="方正楷体_GBK"/>
          <w:b/>
          <w:sz w:val="32"/>
          <w:szCs w:val="32"/>
          <w:lang w:val="zh-CN"/>
        </w:rPr>
        <w:t>（一）项目资金申报及批复情况</w:t>
      </w:r>
    </w:p>
    <w:p>
      <w:pPr>
        <w:spacing w:line="580" w:lineRule="exact"/>
        <w:ind w:firstLine="640" w:firstLineChars="200"/>
        <w:rPr>
          <w:rFonts w:eastAsia="方正仿宋_GBK"/>
          <w:sz w:val="32"/>
          <w:szCs w:val="32"/>
          <w:lang w:val="zh-CN"/>
        </w:rPr>
      </w:pPr>
      <w:r>
        <w:rPr>
          <w:rFonts w:eastAsia="方正仿宋_GBK"/>
          <w:sz w:val="32"/>
          <w:szCs w:val="32"/>
        </w:rPr>
        <w:t>2023年底省财政厅下达我市养老服务业发展补助资金200万元。2023年</w:t>
      </w:r>
      <w:r>
        <w:rPr>
          <w:rFonts w:eastAsia="方正仿宋_GBK"/>
          <w:sz w:val="32"/>
          <w:szCs w:val="32"/>
          <w:lang w:val="zh-CN"/>
        </w:rPr>
        <w:t>12月28日，市财政局将</w:t>
      </w:r>
      <w:r>
        <w:rPr>
          <w:rFonts w:eastAsia="方正仿宋_GBK"/>
          <w:sz w:val="32"/>
          <w:szCs w:val="32"/>
        </w:rPr>
        <w:t>专项资金下达我局。因当年工作未启动，预算指标结转至2024年。</w:t>
      </w:r>
    </w:p>
    <w:p>
      <w:pPr>
        <w:numPr>
          <w:ilvl w:val="0"/>
          <w:numId w:val="1"/>
        </w:numPr>
        <w:adjustRightInd w:val="0"/>
        <w:snapToGrid w:val="0"/>
        <w:spacing w:line="600" w:lineRule="exact"/>
        <w:ind w:left="642" w:leftChars="0" w:firstLine="0" w:firstLineChars="0"/>
        <w:rPr>
          <w:rFonts w:ascii="方正楷体_GBK" w:eastAsia="方正楷体_GBK"/>
          <w:b/>
          <w:sz w:val="32"/>
          <w:szCs w:val="32"/>
          <w:lang w:val="zh-CN"/>
        </w:rPr>
      </w:pPr>
      <w:r>
        <w:rPr>
          <w:rFonts w:ascii="方正楷体_GBK" w:eastAsia="方正楷体_GBK"/>
          <w:b/>
          <w:sz w:val="32"/>
          <w:szCs w:val="32"/>
          <w:lang w:val="zh-CN"/>
        </w:rPr>
        <w:t>资金计划、到位及使用情况</w:t>
      </w:r>
    </w:p>
    <w:p>
      <w:pPr>
        <w:pStyle w:val="2"/>
        <w:numPr>
          <w:ilvl w:val="0"/>
          <w:numId w:val="0"/>
        </w:numPr>
        <w:ind w:left="642" w:leftChars="0"/>
        <w:rPr>
          <w:lang w:val="zh-CN"/>
        </w:rPr>
      </w:pPr>
    </w:p>
    <w:tbl>
      <w:tblPr>
        <w:tblStyle w:val="16"/>
        <w:tblW w:w="86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17"/>
        <w:gridCol w:w="1211"/>
        <w:gridCol w:w="1134"/>
        <w:gridCol w:w="1134"/>
        <w:gridCol w:w="2155"/>
        <w:gridCol w:w="18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17" w:type="dxa"/>
            <w:noWrap w:val="0"/>
            <w:vAlign w:val="center"/>
          </w:tcPr>
          <w:p>
            <w:pPr>
              <w:autoSpaceDE w:val="0"/>
              <w:autoSpaceDN w:val="0"/>
              <w:adjustRightInd w:val="0"/>
              <w:spacing w:line="0" w:lineRule="atLeast"/>
              <w:jc w:val="center"/>
              <w:rPr>
                <w:bCs/>
                <w:kern w:val="0"/>
                <w:sz w:val="22"/>
                <w:szCs w:val="22"/>
              </w:rPr>
            </w:pPr>
            <w:r>
              <w:rPr>
                <w:bCs/>
                <w:kern w:val="0"/>
                <w:sz w:val="22"/>
                <w:szCs w:val="22"/>
              </w:rPr>
              <w:t>资金计划（万元）</w:t>
            </w:r>
          </w:p>
        </w:tc>
        <w:tc>
          <w:tcPr>
            <w:tcW w:w="1211" w:type="dxa"/>
            <w:noWrap w:val="0"/>
            <w:vAlign w:val="center"/>
          </w:tcPr>
          <w:p>
            <w:pPr>
              <w:autoSpaceDE w:val="0"/>
              <w:autoSpaceDN w:val="0"/>
              <w:adjustRightInd w:val="0"/>
              <w:spacing w:line="0" w:lineRule="atLeast"/>
              <w:jc w:val="center"/>
              <w:rPr>
                <w:bCs/>
                <w:kern w:val="0"/>
                <w:sz w:val="22"/>
                <w:szCs w:val="22"/>
              </w:rPr>
            </w:pPr>
            <w:r>
              <w:rPr>
                <w:bCs/>
                <w:kern w:val="0"/>
                <w:sz w:val="22"/>
                <w:szCs w:val="22"/>
              </w:rPr>
              <w:t>资金到位（万元）</w:t>
            </w:r>
          </w:p>
        </w:tc>
        <w:tc>
          <w:tcPr>
            <w:tcW w:w="1134" w:type="dxa"/>
            <w:noWrap w:val="0"/>
            <w:vAlign w:val="top"/>
          </w:tcPr>
          <w:p>
            <w:pPr>
              <w:autoSpaceDE w:val="0"/>
              <w:autoSpaceDN w:val="0"/>
              <w:adjustRightInd w:val="0"/>
              <w:spacing w:line="0" w:lineRule="atLeast"/>
              <w:jc w:val="center"/>
              <w:rPr>
                <w:bCs/>
                <w:kern w:val="0"/>
                <w:sz w:val="22"/>
                <w:szCs w:val="22"/>
              </w:rPr>
            </w:pPr>
            <w:r>
              <w:rPr>
                <w:bCs/>
                <w:kern w:val="0"/>
                <w:sz w:val="22"/>
                <w:szCs w:val="22"/>
              </w:rPr>
              <w:t>资金使用（万元）</w:t>
            </w:r>
          </w:p>
        </w:tc>
        <w:tc>
          <w:tcPr>
            <w:tcW w:w="1134" w:type="dxa"/>
            <w:noWrap w:val="0"/>
            <w:vAlign w:val="center"/>
          </w:tcPr>
          <w:p>
            <w:pPr>
              <w:autoSpaceDE w:val="0"/>
              <w:autoSpaceDN w:val="0"/>
              <w:adjustRightInd w:val="0"/>
              <w:spacing w:line="0" w:lineRule="atLeast"/>
              <w:jc w:val="center"/>
              <w:rPr>
                <w:bCs/>
                <w:kern w:val="0"/>
                <w:sz w:val="22"/>
                <w:szCs w:val="22"/>
              </w:rPr>
            </w:pPr>
            <w:r>
              <w:rPr>
                <w:bCs/>
                <w:kern w:val="0"/>
                <w:sz w:val="22"/>
                <w:szCs w:val="22"/>
              </w:rPr>
              <w:t>资金支付（万元）</w:t>
            </w:r>
          </w:p>
        </w:tc>
        <w:tc>
          <w:tcPr>
            <w:tcW w:w="2155" w:type="dxa"/>
            <w:noWrap w:val="0"/>
            <w:vAlign w:val="center"/>
          </w:tcPr>
          <w:p>
            <w:pPr>
              <w:autoSpaceDE w:val="0"/>
              <w:autoSpaceDN w:val="0"/>
              <w:adjustRightInd w:val="0"/>
              <w:spacing w:line="0" w:lineRule="atLeast"/>
              <w:jc w:val="center"/>
              <w:rPr>
                <w:bCs/>
                <w:kern w:val="0"/>
                <w:sz w:val="22"/>
                <w:szCs w:val="22"/>
              </w:rPr>
            </w:pPr>
            <w:r>
              <w:rPr>
                <w:bCs/>
                <w:kern w:val="0"/>
                <w:sz w:val="22"/>
                <w:szCs w:val="22"/>
              </w:rPr>
              <w:t>资金使用范围</w:t>
            </w:r>
          </w:p>
        </w:tc>
        <w:tc>
          <w:tcPr>
            <w:tcW w:w="1879" w:type="dxa"/>
            <w:noWrap w:val="0"/>
            <w:vAlign w:val="center"/>
          </w:tcPr>
          <w:p>
            <w:pPr>
              <w:autoSpaceDE w:val="0"/>
              <w:autoSpaceDN w:val="0"/>
              <w:adjustRightInd w:val="0"/>
              <w:spacing w:line="0" w:lineRule="atLeast"/>
              <w:jc w:val="center"/>
              <w:rPr>
                <w:bCs/>
                <w:kern w:val="0"/>
                <w:sz w:val="22"/>
                <w:szCs w:val="22"/>
              </w:rPr>
            </w:pPr>
            <w:r>
              <w:rPr>
                <w:bCs/>
                <w:kern w:val="0"/>
                <w:sz w:val="22"/>
                <w:szCs w:val="22"/>
              </w:rPr>
              <w:t>情况说明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17" w:type="dxa"/>
            <w:noWrap w:val="0"/>
            <w:vAlign w:val="center"/>
          </w:tcPr>
          <w:p>
            <w:pPr>
              <w:autoSpaceDE w:val="0"/>
              <w:autoSpaceDN w:val="0"/>
              <w:adjustRightInd w:val="0"/>
              <w:spacing w:line="0" w:lineRule="atLeast"/>
              <w:jc w:val="center"/>
              <w:rPr>
                <w:bCs/>
                <w:kern w:val="0"/>
                <w:sz w:val="22"/>
                <w:szCs w:val="22"/>
              </w:rPr>
            </w:pPr>
            <w:r>
              <w:rPr>
                <w:rFonts w:eastAsia="方正仿宋_GBK"/>
                <w:sz w:val="22"/>
                <w:szCs w:val="22"/>
              </w:rPr>
              <w:t>200</w:t>
            </w:r>
          </w:p>
        </w:tc>
        <w:tc>
          <w:tcPr>
            <w:tcW w:w="1211" w:type="dxa"/>
            <w:noWrap w:val="0"/>
            <w:vAlign w:val="center"/>
          </w:tcPr>
          <w:p>
            <w:pPr>
              <w:autoSpaceDE w:val="0"/>
              <w:autoSpaceDN w:val="0"/>
              <w:adjustRightInd w:val="0"/>
              <w:spacing w:line="0" w:lineRule="atLeast"/>
              <w:jc w:val="center"/>
              <w:rPr>
                <w:bCs/>
                <w:kern w:val="0"/>
                <w:sz w:val="22"/>
                <w:szCs w:val="22"/>
              </w:rPr>
            </w:pPr>
            <w:r>
              <w:rPr>
                <w:rFonts w:eastAsia="方正仿宋_GBK"/>
                <w:sz w:val="22"/>
                <w:szCs w:val="22"/>
              </w:rPr>
              <w:t>200</w:t>
            </w:r>
          </w:p>
        </w:tc>
        <w:tc>
          <w:tcPr>
            <w:tcW w:w="1134" w:type="dxa"/>
            <w:noWrap w:val="0"/>
            <w:vAlign w:val="center"/>
          </w:tcPr>
          <w:p>
            <w:pPr>
              <w:autoSpaceDE w:val="0"/>
              <w:autoSpaceDN w:val="0"/>
              <w:adjustRightInd w:val="0"/>
              <w:spacing w:line="0" w:lineRule="atLeast"/>
              <w:jc w:val="center"/>
              <w:rPr>
                <w:rFonts w:eastAsia="方正仿宋_GBK"/>
                <w:sz w:val="22"/>
                <w:szCs w:val="22"/>
              </w:rPr>
            </w:pPr>
            <w:r>
              <w:rPr>
                <w:rFonts w:eastAsia="方正仿宋_GBK"/>
                <w:sz w:val="22"/>
                <w:szCs w:val="22"/>
              </w:rPr>
              <w:t>200</w:t>
            </w:r>
          </w:p>
        </w:tc>
        <w:tc>
          <w:tcPr>
            <w:tcW w:w="1134" w:type="dxa"/>
            <w:noWrap w:val="0"/>
            <w:vAlign w:val="center"/>
          </w:tcPr>
          <w:p>
            <w:pPr>
              <w:autoSpaceDE w:val="0"/>
              <w:autoSpaceDN w:val="0"/>
              <w:adjustRightInd w:val="0"/>
              <w:spacing w:line="0" w:lineRule="atLeast"/>
              <w:jc w:val="center"/>
              <w:rPr>
                <w:rFonts w:eastAsia="方正仿宋_GBK"/>
                <w:sz w:val="22"/>
                <w:szCs w:val="22"/>
              </w:rPr>
            </w:pPr>
            <w:r>
              <w:rPr>
                <w:rFonts w:eastAsia="方正仿宋_GBK"/>
                <w:sz w:val="22"/>
                <w:szCs w:val="22"/>
              </w:rPr>
              <w:t>93.66</w:t>
            </w:r>
          </w:p>
        </w:tc>
        <w:tc>
          <w:tcPr>
            <w:tcW w:w="2155" w:type="dxa"/>
            <w:noWrap w:val="0"/>
            <w:vAlign w:val="center"/>
          </w:tcPr>
          <w:p>
            <w:pPr>
              <w:autoSpaceDE w:val="0"/>
              <w:autoSpaceDN w:val="0"/>
              <w:adjustRightInd w:val="0"/>
              <w:spacing w:line="0" w:lineRule="atLeast"/>
              <w:jc w:val="center"/>
              <w:rPr>
                <w:bCs/>
                <w:kern w:val="0"/>
                <w:sz w:val="22"/>
                <w:szCs w:val="22"/>
              </w:rPr>
            </w:pPr>
            <w:r>
              <w:rPr>
                <w:rFonts w:eastAsia="方正仿宋_GBK"/>
                <w:sz w:val="22"/>
                <w:szCs w:val="22"/>
                <w:lang w:val="zh-CN"/>
              </w:rPr>
              <w:t>校园文化打造</w:t>
            </w:r>
            <w:r>
              <w:rPr>
                <w:rFonts w:eastAsia="方正仿宋_GBK"/>
                <w:sz w:val="22"/>
                <w:szCs w:val="22"/>
              </w:rPr>
              <w:t>8处</w:t>
            </w:r>
            <w:r>
              <w:rPr>
                <w:rFonts w:eastAsia="方正仿宋_GBK"/>
                <w:sz w:val="22"/>
                <w:szCs w:val="22"/>
                <w:lang w:val="zh-CN"/>
              </w:rPr>
              <w:t>、基础设施提升</w:t>
            </w:r>
            <w:r>
              <w:rPr>
                <w:rFonts w:eastAsia="方正仿宋_GBK"/>
                <w:sz w:val="22"/>
                <w:szCs w:val="22"/>
              </w:rPr>
              <w:t>4处</w:t>
            </w:r>
            <w:r>
              <w:rPr>
                <w:rFonts w:eastAsia="方正仿宋_GBK"/>
                <w:sz w:val="22"/>
                <w:szCs w:val="22"/>
                <w:lang w:val="zh-CN"/>
              </w:rPr>
              <w:t>、功能性教学场地改造</w:t>
            </w:r>
            <w:r>
              <w:rPr>
                <w:rFonts w:eastAsia="方正仿宋_GBK"/>
                <w:sz w:val="22"/>
                <w:szCs w:val="22"/>
              </w:rPr>
              <w:t>11处</w:t>
            </w:r>
            <w:r>
              <w:rPr>
                <w:rFonts w:eastAsia="方正仿宋_GBK"/>
                <w:sz w:val="22"/>
                <w:szCs w:val="22"/>
                <w:lang w:val="zh-CN"/>
              </w:rPr>
              <w:t>、游学养示范点</w:t>
            </w:r>
            <w:r>
              <w:rPr>
                <w:rFonts w:eastAsia="方正仿宋_GBK"/>
                <w:sz w:val="22"/>
                <w:szCs w:val="22"/>
              </w:rPr>
              <w:t>1个、网上老年大学课程建设16科</w:t>
            </w:r>
            <w:r>
              <w:rPr>
                <w:rFonts w:eastAsia="方正仿宋_GBK"/>
                <w:sz w:val="22"/>
                <w:szCs w:val="22"/>
                <w:lang w:val="zh-CN"/>
              </w:rPr>
              <w:t>及老年志愿服务队</w:t>
            </w:r>
            <w:r>
              <w:rPr>
                <w:rFonts w:eastAsia="方正仿宋_GBK"/>
                <w:sz w:val="22"/>
                <w:szCs w:val="22"/>
              </w:rPr>
              <w:t>1支。</w:t>
            </w:r>
          </w:p>
        </w:tc>
        <w:tc>
          <w:tcPr>
            <w:tcW w:w="1879" w:type="dxa"/>
            <w:noWrap w:val="0"/>
            <w:vAlign w:val="center"/>
          </w:tcPr>
          <w:p>
            <w:pPr>
              <w:autoSpaceDE w:val="0"/>
              <w:autoSpaceDN w:val="0"/>
              <w:adjustRightInd w:val="0"/>
              <w:spacing w:line="0" w:lineRule="atLeast"/>
              <w:jc w:val="center"/>
              <w:rPr>
                <w:rFonts w:eastAsia="方正仿宋_GBK"/>
                <w:sz w:val="22"/>
                <w:szCs w:val="22"/>
                <w:lang w:val="zh-CN"/>
              </w:rPr>
            </w:pPr>
            <w:r>
              <w:rPr>
                <w:rFonts w:eastAsia="方正仿宋_GBK"/>
                <w:sz w:val="22"/>
                <w:szCs w:val="22"/>
              </w:rPr>
              <w:t>项目资金支付严格按照项目支出范围、标准支付，支付方式为财政授权支付，支付进度、支付依据合规合法，与预算相符。因工程竣工决算审计等原因，当年仅支付部分项目资金。</w:t>
            </w:r>
          </w:p>
        </w:tc>
      </w:tr>
    </w:tbl>
    <w:p>
      <w:pPr>
        <w:adjustRightInd w:val="0"/>
        <w:snapToGrid w:val="0"/>
        <w:spacing w:line="600" w:lineRule="exact"/>
        <w:ind w:firstLine="720"/>
        <w:rPr>
          <w:rFonts w:ascii="方正楷体_GBK" w:eastAsia="方正楷体_GBK"/>
          <w:b/>
          <w:sz w:val="32"/>
          <w:szCs w:val="32"/>
          <w:lang w:val="zh-CN"/>
        </w:rPr>
      </w:pPr>
      <w:r>
        <w:rPr>
          <w:rFonts w:ascii="方正楷体_GBK" w:eastAsia="方正楷体_GBK"/>
          <w:b/>
          <w:sz w:val="32"/>
          <w:szCs w:val="32"/>
          <w:lang w:val="zh-CN"/>
        </w:rPr>
        <w:t>（三）项目财务管理情况</w:t>
      </w:r>
    </w:p>
    <w:p>
      <w:pPr>
        <w:adjustRightInd w:val="0"/>
        <w:snapToGrid w:val="0"/>
        <w:spacing w:line="600" w:lineRule="exact"/>
        <w:ind w:firstLine="720"/>
        <w:rPr>
          <w:rFonts w:eastAsia="方正仿宋_GBK"/>
          <w:sz w:val="32"/>
          <w:szCs w:val="32"/>
          <w:shd w:val="clear" w:color="auto" w:fill="FFFFFF"/>
        </w:rPr>
      </w:pPr>
      <w:r>
        <w:rPr>
          <w:rFonts w:eastAsia="方正仿宋_GBK"/>
          <w:sz w:val="32"/>
          <w:szCs w:val="32"/>
          <w:shd w:val="clear" w:color="auto" w:fill="FFFFFF"/>
        </w:rPr>
        <w:t>市委老干部局建立健全了财务管理</w:t>
      </w:r>
      <w:r>
        <w:rPr>
          <w:rFonts w:hint="eastAsia" w:eastAsia="方正仿宋_GBK"/>
          <w:sz w:val="32"/>
          <w:szCs w:val="32"/>
          <w:shd w:val="clear" w:color="auto" w:fill="FFFFFF"/>
        </w:rPr>
        <w:t>、预算管理、经费收支、采购管理、合同管理等内控</w:t>
      </w:r>
      <w:r>
        <w:rPr>
          <w:rFonts w:eastAsia="方正仿宋_GBK"/>
          <w:sz w:val="32"/>
          <w:szCs w:val="32"/>
          <w:shd w:val="clear" w:color="auto" w:fill="FFFFFF"/>
        </w:rPr>
        <w:t>制度，</w:t>
      </w:r>
      <w:r>
        <w:rPr>
          <w:rFonts w:hint="eastAsia" w:eastAsia="方正仿宋_GBK"/>
          <w:sz w:val="32"/>
          <w:szCs w:val="32"/>
          <w:shd w:val="clear" w:color="auto" w:fill="FFFFFF"/>
        </w:rPr>
        <w:t>为项目财务管理提供了制度保障</w:t>
      </w:r>
      <w:r>
        <w:rPr>
          <w:rFonts w:eastAsia="方正仿宋_GBK"/>
          <w:sz w:val="32"/>
          <w:szCs w:val="32"/>
          <w:shd w:val="clear" w:color="auto" w:fill="FFFFFF"/>
        </w:rPr>
        <w:t>。在项目预算执行中，</w:t>
      </w:r>
      <w:r>
        <w:rPr>
          <w:rFonts w:eastAsia="方正仿宋_GBK"/>
          <w:snapToGrid w:val="0"/>
          <w:kern w:val="0"/>
          <w:sz w:val="32"/>
          <w:szCs w:val="32"/>
        </w:rPr>
        <w:t>严格执行国家财经法规和财务管理制度及有关专项资金管理办法规定，</w:t>
      </w:r>
      <w:r>
        <w:rPr>
          <w:rFonts w:eastAsia="方正仿宋_GBK"/>
          <w:sz w:val="32"/>
          <w:szCs w:val="32"/>
          <w:shd w:val="clear" w:color="auto" w:fill="FFFFFF"/>
        </w:rPr>
        <w:t>严肃财经纪律，切实加强监督审核力度，从预算、执行、资金支付等流程层层把关，确保专款专用，项目资金使用高效安全。项目资金支付后，及时进行账务处理，确保了会计核算规范。</w:t>
      </w:r>
    </w:p>
    <w:p>
      <w:pPr>
        <w:adjustRightInd w:val="0"/>
        <w:snapToGrid w:val="0"/>
        <w:spacing w:line="600" w:lineRule="exact"/>
        <w:ind w:firstLine="720"/>
        <w:rPr>
          <w:rFonts w:ascii="方正黑体_GBK" w:eastAsia="方正黑体_GBK"/>
          <w:sz w:val="32"/>
          <w:szCs w:val="32"/>
        </w:rPr>
      </w:pPr>
      <w:r>
        <w:rPr>
          <w:rFonts w:ascii="方正黑体_GBK" w:eastAsia="方正黑体_GBK"/>
          <w:sz w:val="32"/>
          <w:szCs w:val="32"/>
        </w:rPr>
        <w:t>三、项目实施及管理情况</w:t>
      </w:r>
    </w:p>
    <w:p>
      <w:pPr>
        <w:adjustRightInd w:val="0"/>
        <w:snapToGrid w:val="0"/>
        <w:spacing w:line="600" w:lineRule="exact"/>
        <w:ind w:firstLine="720"/>
        <w:rPr>
          <w:rFonts w:ascii="方正楷体_GBK" w:eastAsia="方正楷体_GBK"/>
          <w:b/>
          <w:sz w:val="32"/>
          <w:szCs w:val="32"/>
          <w:lang w:val="zh-CN"/>
        </w:rPr>
      </w:pPr>
      <w:r>
        <w:rPr>
          <w:rFonts w:ascii="方正楷体_GBK" w:eastAsia="方正楷体_GBK"/>
          <w:b/>
          <w:sz w:val="32"/>
          <w:szCs w:val="32"/>
          <w:lang w:val="zh-CN"/>
        </w:rPr>
        <w:t>（一）项目组织架构及实施流程</w:t>
      </w:r>
    </w:p>
    <w:p>
      <w:pPr>
        <w:adjustRightInd w:val="0"/>
        <w:snapToGrid w:val="0"/>
        <w:spacing w:line="600" w:lineRule="exact"/>
        <w:ind w:firstLine="720"/>
        <w:rPr>
          <w:rFonts w:eastAsia="方正仿宋_GBK"/>
          <w:sz w:val="32"/>
          <w:szCs w:val="32"/>
          <w:lang w:val="zh-CN"/>
        </w:rPr>
      </w:pPr>
      <w:r>
        <w:rPr>
          <w:rFonts w:eastAsia="方正仿宋_GBK"/>
          <w:sz w:val="32"/>
          <w:szCs w:val="32"/>
        </w:rPr>
        <w:t>为确保老年教育提升示范项目的高质量推进</w:t>
      </w:r>
      <w:r>
        <w:rPr>
          <w:rFonts w:eastAsia="方正仿宋_GBK"/>
          <w:sz w:val="32"/>
          <w:szCs w:val="32"/>
          <w:lang w:val="zh-CN"/>
        </w:rPr>
        <w:t>，成立以局长为组长，</w:t>
      </w:r>
      <w:r>
        <w:rPr>
          <w:rFonts w:hint="eastAsia" w:eastAsia="方正仿宋_GBK"/>
          <w:sz w:val="32"/>
          <w:szCs w:val="32"/>
          <w:lang w:val="zh-CN"/>
        </w:rPr>
        <w:t>分管</w:t>
      </w:r>
      <w:r>
        <w:rPr>
          <w:rFonts w:eastAsia="方正仿宋_GBK"/>
          <w:sz w:val="32"/>
          <w:szCs w:val="32"/>
          <w:lang w:val="zh-CN"/>
        </w:rPr>
        <w:t>副局长为副组长，市民政局养老服务科、市委老干部局各科室负责人及办公室相关人员为成员的老年教育提升示范基地项目领导小组，</w:t>
      </w:r>
      <w:r>
        <w:rPr>
          <w:rFonts w:eastAsia="方正仿宋_GBK"/>
          <w:sz w:val="32"/>
          <w:szCs w:val="32"/>
        </w:rPr>
        <w:t>负责老年教育提升示范项目的统筹协调、纪律监督、工作落实等工作。领导小组下设办公室，办公室设在市老年大学，负责项目各实施方联络沟通</w:t>
      </w:r>
      <w:r>
        <w:rPr>
          <w:rFonts w:eastAsia="方正仿宋_GBK"/>
          <w:sz w:val="32"/>
          <w:szCs w:val="32"/>
          <w:lang w:val="zh-CN"/>
        </w:rPr>
        <w:t>，征求需求意见统计、协调项目建设及</w:t>
      </w:r>
      <w:r>
        <w:rPr>
          <w:rFonts w:hint="eastAsia" w:eastAsia="方正仿宋_GBK"/>
          <w:sz w:val="32"/>
          <w:szCs w:val="32"/>
          <w:lang w:val="zh-CN"/>
        </w:rPr>
        <w:t>组织</w:t>
      </w:r>
      <w:r>
        <w:rPr>
          <w:rFonts w:eastAsia="方正仿宋_GBK"/>
          <w:sz w:val="32"/>
          <w:szCs w:val="32"/>
          <w:lang w:val="zh-CN"/>
        </w:rPr>
        <w:t>验收、审计等事宜。</w:t>
      </w:r>
    </w:p>
    <w:p>
      <w:pPr>
        <w:adjustRightInd w:val="0"/>
        <w:snapToGrid w:val="0"/>
        <w:spacing w:line="600" w:lineRule="exact"/>
        <w:ind w:firstLine="720"/>
        <w:rPr>
          <w:rFonts w:eastAsia="方正仿宋_GBK"/>
          <w:sz w:val="32"/>
          <w:szCs w:val="32"/>
          <w:lang w:val="zh-CN"/>
        </w:rPr>
      </w:pPr>
      <w:r>
        <w:rPr>
          <w:rFonts w:eastAsia="方正仿宋_GBK"/>
          <w:sz w:val="32"/>
          <w:szCs w:val="32"/>
        </w:rPr>
        <w:t>根据《</w:t>
      </w:r>
      <w:r>
        <w:rPr>
          <w:rFonts w:hint="eastAsia" w:eastAsia="方正仿宋_GBK"/>
          <w:sz w:val="32"/>
          <w:szCs w:val="32"/>
          <w:lang w:eastAsia="zh-CN"/>
        </w:rPr>
        <w:t>关于</w:t>
      </w:r>
      <w:r>
        <w:rPr>
          <w:rFonts w:eastAsia="方正仿宋_GBK"/>
          <w:sz w:val="32"/>
          <w:szCs w:val="32"/>
        </w:rPr>
        <w:t>打造老年教育提升示范基地项目的工作方案》，项目实施按照征求需求统计、前期设计、工程造价、施工招标和监理招标、</w:t>
      </w:r>
      <w:r>
        <w:rPr>
          <w:rFonts w:hint="eastAsia" w:eastAsia="方正仿宋_GBK"/>
          <w:sz w:val="32"/>
          <w:szCs w:val="32"/>
        </w:rPr>
        <w:t>货物采购、</w:t>
      </w:r>
      <w:r>
        <w:rPr>
          <w:rFonts w:eastAsia="方正仿宋_GBK"/>
          <w:sz w:val="32"/>
          <w:szCs w:val="32"/>
        </w:rPr>
        <w:t>工程施工、工程验收、竣工结算审计和财务决算审计等流程有序推进，确保建设合法合规。</w:t>
      </w:r>
    </w:p>
    <w:p>
      <w:pPr>
        <w:adjustRightInd w:val="0"/>
        <w:snapToGrid w:val="0"/>
        <w:spacing w:line="600" w:lineRule="exact"/>
        <w:ind w:firstLine="720"/>
        <w:rPr>
          <w:rFonts w:ascii="方正楷体_GBK" w:eastAsia="方正楷体_GBK"/>
          <w:b/>
          <w:sz w:val="32"/>
          <w:szCs w:val="32"/>
          <w:lang w:val="zh-CN"/>
        </w:rPr>
      </w:pPr>
      <w:r>
        <w:rPr>
          <w:rFonts w:hint="eastAsia" w:ascii="方正楷体_GBK" w:eastAsia="方正楷体_GBK"/>
          <w:b/>
          <w:sz w:val="32"/>
          <w:szCs w:val="32"/>
          <w:lang w:val="zh-CN"/>
        </w:rPr>
        <w:t>（二）</w:t>
      </w:r>
      <w:r>
        <w:rPr>
          <w:rFonts w:ascii="方正楷体_GBK" w:eastAsia="方正楷体_GBK"/>
          <w:b/>
          <w:sz w:val="32"/>
          <w:szCs w:val="32"/>
          <w:lang w:val="zh-CN"/>
        </w:rPr>
        <w:t>项目管理情况。</w:t>
      </w:r>
    </w:p>
    <w:p>
      <w:pPr>
        <w:adjustRightInd w:val="0"/>
        <w:snapToGrid w:val="0"/>
        <w:spacing w:line="600" w:lineRule="exact"/>
        <w:ind w:firstLine="640" w:firstLineChars="200"/>
        <w:rPr>
          <w:rFonts w:eastAsia="方正仿宋_GBK"/>
          <w:sz w:val="32"/>
          <w:szCs w:val="32"/>
          <w:lang w:val="zh-CN"/>
        </w:rPr>
      </w:pPr>
      <w:r>
        <w:rPr>
          <w:rFonts w:eastAsia="方正仿宋_GBK"/>
          <w:sz w:val="32"/>
          <w:szCs w:val="32"/>
        </w:rPr>
        <w:t>老年教育提升示范基地项目资金使用主要分为集中采购和自行采购及管理配套（</w:t>
      </w:r>
      <w:r>
        <w:rPr>
          <w:rFonts w:eastAsia="方正仿宋_GBK"/>
          <w:sz w:val="32"/>
          <w:szCs w:val="32"/>
          <w:lang w:val="zh-CN"/>
        </w:rPr>
        <w:t>项目设计、项目施工监理、项目审计</w:t>
      </w:r>
      <w:r>
        <w:rPr>
          <w:rFonts w:eastAsia="方正仿宋_GBK"/>
          <w:sz w:val="32"/>
          <w:szCs w:val="32"/>
        </w:rPr>
        <w:t>）3部分。在项目管理中，</w:t>
      </w:r>
      <w:r>
        <w:rPr>
          <w:rFonts w:eastAsia="方正仿宋_GBK"/>
          <w:kern w:val="0"/>
          <w:sz w:val="32"/>
          <w:szCs w:val="32"/>
        </w:rPr>
        <w:t>坚决执行政府采购制度，按法定采购方式和程序</w:t>
      </w:r>
      <w:r>
        <w:rPr>
          <w:rStyle w:val="36"/>
          <w:rFonts w:ascii="Times New Roman" w:hAnsi="Times New Roman" w:eastAsia="方正仿宋_GBK"/>
          <w:sz w:val="32"/>
          <w:szCs w:val="32"/>
        </w:rPr>
        <w:t>依法开展政府采购活动。</w:t>
      </w:r>
      <w:r>
        <w:rPr>
          <w:rFonts w:eastAsia="方正仿宋_GBK"/>
          <w:sz w:val="32"/>
          <w:szCs w:val="32"/>
        </w:rPr>
        <w:t>集中采购部分的装修工程和设施设备，分别采取竞争性磋商、框架协议采购方式进行采购；对不在政府集中采购目录中的自行采购部分，根据采购货物特点采取委托第三方招标代理公司进行采购和自行询价比选方式逐一采购</w:t>
      </w:r>
      <w:r>
        <w:rPr>
          <w:rFonts w:eastAsia="方正仿宋_GBK"/>
          <w:sz w:val="32"/>
          <w:szCs w:val="32"/>
          <w:lang w:val="zh-CN"/>
        </w:rPr>
        <w:t>。根据项目推进进度，市老干部活动中心（市老年大学）结合实际发生费用提供相关原始凭据报账，我局根据财务管理、经费收支、采购管理、资产管理等工作制度，进行审核后，通过财政预算一体化平台申报资金计划，进行支付、核算。</w:t>
      </w:r>
    </w:p>
    <w:p>
      <w:pPr>
        <w:adjustRightInd w:val="0"/>
        <w:snapToGrid w:val="0"/>
        <w:spacing w:line="600" w:lineRule="exact"/>
        <w:ind w:firstLine="720"/>
        <w:rPr>
          <w:rFonts w:ascii="方正楷体_GBK" w:eastAsia="方正楷体_GBK"/>
          <w:b/>
          <w:sz w:val="32"/>
          <w:szCs w:val="32"/>
          <w:lang w:val="zh-CN"/>
        </w:rPr>
      </w:pPr>
      <w:r>
        <w:rPr>
          <w:rFonts w:hint="eastAsia" w:ascii="方正楷体_GBK" w:eastAsia="方正楷体_GBK"/>
          <w:b/>
          <w:sz w:val="32"/>
          <w:szCs w:val="32"/>
          <w:lang w:val="zh-CN"/>
        </w:rPr>
        <w:t>（三）</w:t>
      </w:r>
      <w:r>
        <w:rPr>
          <w:rFonts w:ascii="方正楷体_GBK" w:eastAsia="方正楷体_GBK"/>
          <w:b/>
          <w:sz w:val="32"/>
          <w:szCs w:val="32"/>
          <w:lang w:val="zh-CN"/>
        </w:rPr>
        <w:t>项目监管情况</w:t>
      </w:r>
    </w:p>
    <w:p>
      <w:pPr>
        <w:adjustRightInd w:val="0"/>
        <w:snapToGrid w:val="0"/>
        <w:spacing w:line="600" w:lineRule="exact"/>
        <w:ind w:firstLine="640" w:firstLineChars="200"/>
        <w:rPr>
          <w:rFonts w:eastAsia="方正仿宋_GBK"/>
          <w:sz w:val="32"/>
          <w:szCs w:val="32"/>
          <w:lang w:val="zh-CN"/>
        </w:rPr>
      </w:pPr>
      <w:r>
        <w:rPr>
          <w:rFonts w:eastAsia="方正仿宋_GBK"/>
          <w:sz w:val="32"/>
          <w:szCs w:val="32"/>
        </w:rPr>
        <w:t>严格按照</w:t>
      </w:r>
      <w:r>
        <w:rPr>
          <w:rFonts w:eastAsia="方正仿宋_GBK"/>
          <w:sz w:val="32"/>
          <w:szCs w:val="32"/>
          <w:lang w:val="zh-CN"/>
        </w:rPr>
        <w:t>《关于打造老年教育提升示范基地项目的方案》工作安排，进行项目申报和组织实施，加强对项目的实施前、实施中、实施后的监督管理，确保专款专用。</w:t>
      </w:r>
      <w:r>
        <w:rPr>
          <w:rFonts w:hint="eastAsia" w:eastAsia="方正仿宋_GBK"/>
          <w:sz w:val="32"/>
          <w:szCs w:val="32"/>
          <w:lang w:val="zh-CN"/>
        </w:rPr>
        <w:t>项目实施前，将项目建设内容和资金分配和使用计划上报局务会集体研究。项目实施中，加强资金使用监管、绩效运行监控。根据项目资金分配计划和政府采购预算，开展施工工程建设和设施设备采购等相关工作。</w:t>
      </w:r>
      <w:r>
        <w:rPr>
          <w:rFonts w:eastAsia="方正仿宋_GBK"/>
          <w:sz w:val="32"/>
          <w:szCs w:val="32"/>
          <w:shd w:val="clear" w:color="auto" w:fill="FFFFFF"/>
        </w:rPr>
        <w:t>按月进行项目绩效监控，认真开展事中绩效自评工作，</w:t>
      </w:r>
      <w:r>
        <w:rPr>
          <w:rFonts w:hint="eastAsia" w:eastAsia="方正仿宋_GBK"/>
          <w:sz w:val="32"/>
          <w:szCs w:val="32"/>
          <w:shd w:val="clear" w:color="auto" w:fill="FFFFFF"/>
        </w:rPr>
        <w:t>及时</w:t>
      </w:r>
      <w:r>
        <w:rPr>
          <w:rFonts w:eastAsia="方正仿宋_GBK"/>
          <w:sz w:val="32"/>
          <w:szCs w:val="32"/>
          <w:shd w:val="clear" w:color="auto" w:fill="FFFFFF"/>
        </w:rPr>
        <w:t>向局务会报告项目实施情况，及时解决项目执行中出现的各种问题，</w:t>
      </w:r>
      <w:r>
        <w:rPr>
          <w:rFonts w:hint="eastAsia" w:eastAsia="方正仿宋_GBK"/>
          <w:sz w:val="32"/>
          <w:szCs w:val="32"/>
          <w:shd w:val="clear" w:color="auto" w:fill="FFFFFF"/>
        </w:rPr>
        <w:t>确保</w:t>
      </w:r>
      <w:r>
        <w:rPr>
          <w:rFonts w:eastAsia="方正仿宋_GBK"/>
          <w:sz w:val="32"/>
          <w:szCs w:val="32"/>
          <w:shd w:val="clear" w:color="auto" w:fill="FFFFFF"/>
        </w:rPr>
        <w:t>项目有序推进</w:t>
      </w:r>
      <w:r>
        <w:rPr>
          <w:rFonts w:hint="eastAsia" w:eastAsia="方正仿宋_GBK"/>
          <w:sz w:val="32"/>
          <w:szCs w:val="32"/>
          <w:shd w:val="clear" w:color="auto" w:fill="FFFFFF"/>
        </w:rPr>
        <w:t>。</w:t>
      </w:r>
      <w:r>
        <w:rPr>
          <w:rFonts w:hint="eastAsia" w:eastAsia="方正仿宋_GBK"/>
          <w:sz w:val="32"/>
          <w:szCs w:val="32"/>
          <w:lang w:val="zh-CN"/>
        </w:rPr>
        <w:t>项目实施后，加强对</w:t>
      </w:r>
      <w:r>
        <w:rPr>
          <w:rFonts w:eastAsia="方正仿宋_GBK"/>
          <w:sz w:val="32"/>
          <w:szCs w:val="32"/>
          <w:shd w:val="clear" w:color="auto" w:fill="FFFFFF"/>
        </w:rPr>
        <w:t>支出内容真实、合理、合法性的审核监督等，确保实际列支内容符合绩效目标设置方向。</w:t>
      </w:r>
    </w:p>
    <w:p>
      <w:pPr>
        <w:adjustRightInd w:val="0"/>
        <w:snapToGrid w:val="0"/>
        <w:spacing w:line="600" w:lineRule="exact"/>
        <w:ind w:firstLine="720"/>
        <w:rPr>
          <w:rFonts w:ascii="方正黑体_GBK" w:eastAsia="方正黑体_GBK"/>
          <w:sz w:val="32"/>
          <w:szCs w:val="32"/>
        </w:rPr>
      </w:pPr>
      <w:r>
        <w:rPr>
          <w:rFonts w:ascii="方正黑体_GBK" w:eastAsia="方正黑体_GBK"/>
          <w:sz w:val="32"/>
          <w:szCs w:val="32"/>
        </w:rPr>
        <w:t>四、项目绩效情况</w:t>
      </w:r>
      <w:r>
        <w:rPr>
          <w:rFonts w:ascii="方正黑体_GBK" w:eastAsia="方正黑体_GBK"/>
          <w:sz w:val="32"/>
          <w:szCs w:val="32"/>
        </w:rPr>
        <w:tab/>
      </w:r>
    </w:p>
    <w:p>
      <w:pPr>
        <w:adjustRightInd w:val="0"/>
        <w:snapToGrid w:val="0"/>
        <w:spacing w:line="600" w:lineRule="exact"/>
        <w:ind w:firstLine="720"/>
        <w:rPr>
          <w:rFonts w:ascii="方正楷体_GBK" w:eastAsia="方正楷体_GBK"/>
          <w:b/>
          <w:sz w:val="32"/>
          <w:szCs w:val="32"/>
          <w:lang w:val="zh-CN"/>
        </w:rPr>
      </w:pPr>
      <w:r>
        <w:rPr>
          <w:rFonts w:ascii="方正楷体_GBK" w:eastAsia="方正楷体_GBK"/>
          <w:b/>
          <w:sz w:val="32"/>
          <w:szCs w:val="32"/>
          <w:lang w:val="zh-CN"/>
        </w:rPr>
        <w:t>（一）项目完成情况</w:t>
      </w:r>
    </w:p>
    <w:p>
      <w:pPr>
        <w:adjustRightInd w:val="0"/>
        <w:snapToGrid w:val="0"/>
        <w:spacing w:line="560" w:lineRule="exact"/>
        <w:ind w:firstLine="720"/>
        <w:rPr>
          <w:rFonts w:eastAsia="方正仿宋_GBK"/>
          <w:sz w:val="32"/>
          <w:szCs w:val="32"/>
        </w:rPr>
      </w:pPr>
      <w:r>
        <w:rPr>
          <w:rFonts w:eastAsia="方正仿宋_GBK"/>
          <w:sz w:val="32"/>
          <w:szCs w:val="32"/>
        </w:rPr>
        <w:t>截至2024年底，市老年教育提升示范项目建设全部完成，完成11处功能教学场地改造，改善了硬件条件；对4处基础设施进行了隐患整治，保障了安全；完成校园文化、教学管理系统、志愿服务及网上课程建设等软件条件的升级，为创建标准示范校和特色办学示范点打下了坚实的基础。项目</w:t>
      </w:r>
      <w:r>
        <w:rPr>
          <w:rFonts w:eastAsia="方正仿宋_GBK"/>
          <w:sz w:val="32"/>
          <w:szCs w:val="32"/>
          <w:lang w:val="zh-CN"/>
        </w:rPr>
        <w:t>资金</w:t>
      </w:r>
      <w:r>
        <w:rPr>
          <w:rFonts w:eastAsia="方正仿宋_GBK"/>
          <w:sz w:val="32"/>
          <w:szCs w:val="32"/>
        </w:rPr>
        <w:t>已全部使用，因工程竣工决算审计未完成及</w:t>
      </w:r>
      <w:r>
        <w:rPr>
          <w:rFonts w:hint="eastAsia" w:eastAsia="方正仿宋_GBK"/>
          <w:sz w:val="32"/>
          <w:szCs w:val="32"/>
          <w:lang w:eastAsia="zh-CN"/>
        </w:rPr>
        <w:t>财政</w:t>
      </w:r>
      <w:r>
        <w:rPr>
          <w:rFonts w:eastAsia="方正仿宋_GBK"/>
          <w:sz w:val="32"/>
          <w:szCs w:val="32"/>
        </w:rPr>
        <w:t>资金</w:t>
      </w:r>
      <w:r>
        <w:rPr>
          <w:rFonts w:hint="eastAsia" w:eastAsia="方正仿宋_GBK"/>
          <w:sz w:val="32"/>
          <w:szCs w:val="32"/>
          <w:lang w:eastAsia="zh-CN"/>
        </w:rPr>
        <w:t>拨付</w:t>
      </w:r>
      <w:r>
        <w:rPr>
          <w:rFonts w:eastAsia="方正仿宋_GBK"/>
          <w:sz w:val="32"/>
          <w:szCs w:val="32"/>
        </w:rPr>
        <w:t>等原因，当年仅完成支付93.66万元。</w:t>
      </w:r>
    </w:p>
    <w:p>
      <w:pPr>
        <w:adjustRightInd w:val="0"/>
        <w:snapToGrid w:val="0"/>
        <w:spacing w:line="600" w:lineRule="exact"/>
        <w:ind w:firstLine="720"/>
        <w:rPr>
          <w:rFonts w:ascii="方正楷体_GBK" w:eastAsia="方正楷体_GBK"/>
          <w:b/>
          <w:sz w:val="32"/>
          <w:szCs w:val="32"/>
          <w:lang w:val="zh-CN"/>
        </w:rPr>
      </w:pPr>
      <w:r>
        <w:rPr>
          <w:rFonts w:ascii="方正楷体_GBK" w:eastAsia="方正楷体_GBK"/>
          <w:b/>
          <w:sz w:val="32"/>
          <w:szCs w:val="32"/>
          <w:lang w:val="zh-CN"/>
        </w:rPr>
        <w:t>（二）项目效益情况</w:t>
      </w:r>
    </w:p>
    <w:p>
      <w:pPr>
        <w:adjustRightInd w:val="0"/>
        <w:snapToGrid w:val="0"/>
        <w:spacing w:line="560" w:lineRule="exact"/>
        <w:ind w:firstLine="720"/>
        <w:rPr>
          <w:rFonts w:eastAsia="方正仿宋_GBK"/>
          <w:sz w:val="32"/>
          <w:szCs w:val="32"/>
        </w:rPr>
      </w:pPr>
      <w:r>
        <w:rPr>
          <w:rFonts w:eastAsia="方正仿宋_GBK"/>
          <w:sz w:val="32"/>
          <w:szCs w:val="32"/>
        </w:rPr>
        <w:t>通过教学场地改造、安全隐患整治和软件条件升级，确保了教学环境安全舒适、功能完善、管理与服务高效，</w:t>
      </w:r>
      <w:r>
        <w:rPr>
          <w:rFonts w:hint="eastAsia" w:eastAsia="方正仿宋_GBK"/>
          <w:sz w:val="32"/>
          <w:szCs w:val="32"/>
        </w:rPr>
        <w:t>创建标准示范校和特色办学示范点</w:t>
      </w:r>
      <w:r>
        <w:rPr>
          <w:rFonts w:eastAsia="方正仿宋_GBK"/>
          <w:sz w:val="32"/>
          <w:szCs w:val="32"/>
        </w:rPr>
        <w:t>，在川内形成具有康养特色的老年教育提升示范基地，助力老年教育高质量发展</w:t>
      </w:r>
      <w:r>
        <w:rPr>
          <w:rFonts w:hint="eastAsia" w:eastAsia="方正仿宋_GBK"/>
          <w:sz w:val="32"/>
          <w:szCs w:val="32"/>
        </w:rPr>
        <w:t>，学员满意度达95%。</w:t>
      </w:r>
    </w:p>
    <w:p>
      <w:pPr>
        <w:adjustRightInd w:val="0"/>
        <w:snapToGrid w:val="0"/>
        <w:spacing w:line="600" w:lineRule="exact"/>
        <w:ind w:firstLine="720"/>
        <w:rPr>
          <w:rFonts w:ascii="方正黑体_GBK" w:eastAsia="方正黑体_GBK"/>
          <w:sz w:val="32"/>
          <w:szCs w:val="32"/>
        </w:rPr>
      </w:pPr>
      <w:r>
        <w:rPr>
          <w:rFonts w:ascii="方正黑体_GBK" w:eastAsia="方正黑体_GBK"/>
          <w:sz w:val="32"/>
          <w:szCs w:val="32"/>
        </w:rPr>
        <w:t>五、评价结论及建议</w:t>
      </w:r>
    </w:p>
    <w:p>
      <w:pPr>
        <w:adjustRightInd w:val="0"/>
        <w:snapToGrid w:val="0"/>
        <w:spacing w:line="600" w:lineRule="exact"/>
        <w:ind w:firstLine="720"/>
        <w:rPr>
          <w:rFonts w:ascii="方正楷体_GBK" w:eastAsia="方正楷体_GBK"/>
          <w:b/>
          <w:sz w:val="32"/>
          <w:szCs w:val="32"/>
          <w:lang w:val="zh-CN"/>
        </w:rPr>
      </w:pPr>
      <w:r>
        <w:rPr>
          <w:rFonts w:ascii="方正楷体_GBK" w:eastAsia="方正楷体_GBK"/>
          <w:b/>
          <w:sz w:val="32"/>
          <w:szCs w:val="32"/>
          <w:lang w:val="zh-CN"/>
        </w:rPr>
        <w:t>（一）评价结论</w:t>
      </w:r>
    </w:p>
    <w:p>
      <w:pPr>
        <w:adjustRightInd w:val="0"/>
        <w:snapToGrid w:val="0"/>
        <w:spacing w:line="600" w:lineRule="exact"/>
        <w:ind w:firstLine="640" w:firstLineChars="200"/>
        <w:rPr>
          <w:rFonts w:eastAsia="方正仿宋_GBK"/>
          <w:sz w:val="32"/>
          <w:szCs w:val="32"/>
          <w:lang w:val="zh-CN"/>
        </w:rPr>
      </w:pPr>
      <w:r>
        <w:rPr>
          <w:rFonts w:hint="eastAsia" w:eastAsia="方正仿宋_GBK"/>
          <w:sz w:val="32"/>
          <w:szCs w:val="32"/>
          <w:lang w:val="zh-CN"/>
        </w:rPr>
        <w:t>结合项目自身特点，重点围绕项目实施过程、目标完成情况进行评价，该项目</w:t>
      </w:r>
      <w:r>
        <w:rPr>
          <w:rFonts w:eastAsia="方正仿宋_GBK"/>
          <w:sz w:val="32"/>
          <w:szCs w:val="32"/>
          <w:lang w:val="zh-CN"/>
        </w:rPr>
        <w:t>决策程序严密，管理制度完备，实施计划周全，资金使用合规，绩效目标完成较好，达到了预期社会效益，受益老同志满意度较好。</w:t>
      </w:r>
      <w:r>
        <w:rPr>
          <w:rFonts w:hint="eastAsia" w:eastAsia="方正仿宋_GBK"/>
          <w:sz w:val="32"/>
          <w:szCs w:val="32"/>
          <w:lang w:val="zh-CN"/>
        </w:rPr>
        <w:t>根据专项预算项目绩效评价指标体系逐一自评打分，该项目得分95分。</w:t>
      </w:r>
    </w:p>
    <w:p>
      <w:pPr>
        <w:adjustRightInd w:val="0"/>
        <w:snapToGrid w:val="0"/>
        <w:spacing w:line="600" w:lineRule="exact"/>
        <w:ind w:firstLine="720"/>
        <w:rPr>
          <w:rFonts w:ascii="方正楷体_GBK" w:eastAsia="方正楷体_GBK"/>
          <w:b/>
          <w:sz w:val="32"/>
          <w:szCs w:val="32"/>
          <w:lang w:val="zh-CN"/>
        </w:rPr>
      </w:pPr>
      <w:r>
        <w:rPr>
          <w:rFonts w:ascii="方正楷体_GBK" w:eastAsia="方正楷体_GBK"/>
          <w:b/>
          <w:sz w:val="32"/>
          <w:szCs w:val="32"/>
          <w:lang w:val="zh-CN"/>
        </w:rPr>
        <w:t>（二）存在的问题</w:t>
      </w:r>
    </w:p>
    <w:p>
      <w:pPr>
        <w:adjustRightInd w:val="0"/>
        <w:snapToGrid w:val="0"/>
        <w:spacing w:line="560" w:lineRule="exact"/>
        <w:ind w:firstLine="720"/>
        <w:rPr>
          <w:rFonts w:eastAsia="方正仿宋_GBK"/>
          <w:sz w:val="32"/>
          <w:szCs w:val="32"/>
          <w:lang w:val="zh-CN"/>
        </w:rPr>
      </w:pPr>
      <w:r>
        <w:rPr>
          <w:rFonts w:eastAsia="方正仿宋_GBK"/>
          <w:sz w:val="32"/>
          <w:szCs w:val="32"/>
          <w:lang w:val="zh-CN"/>
        </w:rPr>
        <w:t>项目</w:t>
      </w:r>
      <w:r>
        <w:rPr>
          <w:rFonts w:hint="eastAsia" w:eastAsia="方正仿宋_GBK"/>
          <w:sz w:val="32"/>
          <w:szCs w:val="32"/>
          <w:lang w:val="zh-CN"/>
        </w:rPr>
        <w:t>预算</w:t>
      </w:r>
      <w:r>
        <w:rPr>
          <w:rFonts w:eastAsia="方正仿宋_GBK"/>
          <w:sz w:val="32"/>
          <w:szCs w:val="32"/>
          <w:lang w:val="zh-CN"/>
        </w:rPr>
        <w:t>执行进度不均衡，项目资金支付</w:t>
      </w:r>
      <w:r>
        <w:rPr>
          <w:rFonts w:hint="eastAsia" w:eastAsia="方正仿宋_GBK"/>
          <w:sz w:val="32"/>
          <w:szCs w:val="32"/>
          <w:lang w:val="zh-CN"/>
        </w:rPr>
        <w:t>不够及时</w:t>
      </w:r>
      <w:r>
        <w:rPr>
          <w:rFonts w:eastAsia="方正仿宋_GBK"/>
          <w:sz w:val="32"/>
          <w:szCs w:val="32"/>
          <w:lang w:val="zh-CN"/>
        </w:rPr>
        <w:t>。</w:t>
      </w:r>
    </w:p>
    <w:p>
      <w:pPr>
        <w:adjustRightInd w:val="0"/>
        <w:snapToGrid w:val="0"/>
        <w:spacing w:line="600" w:lineRule="exact"/>
        <w:ind w:firstLine="720"/>
        <w:rPr>
          <w:rFonts w:ascii="方正楷体_GBK" w:eastAsia="方正楷体_GBK"/>
          <w:b/>
          <w:sz w:val="32"/>
          <w:szCs w:val="32"/>
          <w:lang w:val="zh-CN"/>
        </w:rPr>
      </w:pPr>
      <w:r>
        <w:rPr>
          <w:rFonts w:ascii="方正楷体_GBK" w:eastAsia="方正楷体_GBK"/>
          <w:b/>
          <w:sz w:val="32"/>
          <w:szCs w:val="32"/>
          <w:lang w:val="zh-CN"/>
        </w:rPr>
        <w:t>（三）相关建议</w:t>
      </w:r>
    </w:p>
    <w:p>
      <w:pPr>
        <w:widowControl/>
        <w:spacing w:line="560" w:lineRule="exact"/>
        <w:ind w:firstLine="608" w:firstLineChars="200"/>
        <w:contextualSpacing/>
        <w:jc w:val="left"/>
        <w:rPr>
          <w:rFonts w:eastAsia="方正仿宋_GBK"/>
          <w:spacing w:val="-6"/>
          <w:w w:val="95"/>
          <w:kern w:val="0"/>
          <w:sz w:val="32"/>
          <w:szCs w:val="32"/>
        </w:rPr>
      </w:pPr>
      <w:r>
        <w:rPr>
          <w:rFonts w:hint="eastAsia" w:eastAsia="方正仿宋_GBK"/>
          <w:w w:val="95"/>
          <w:kern w:val="0"/>
          <w:sz w:val="32"/>
          <w:szCs w:val="32"/>
        </w:rPr>
        <w:t>合理</w:t>
      </w:r>
      <w:r>
        <w:rPr>
          <w:rFonts w:eastAsia="方正仿宋_GBK"/>
          <w:w w:val="95"/>
          <w:kern w:val="0"/>
          <w:sz w:val="32"/>
          <w:szCs w:val="32"/>
        </w:rPr>
        <w:t>安排</w:t>
      </w:r>
      <w:r>
        <w:rPr>
          <w:rFonts w:hint="eastAsia" w:eastAsia="方正仿宋_GBK"/>
          <w:w w:val="95"/>
          <w:kern w:val="0"/>
          <w:sz w:val="32"/>
          <w:szCs w:val="32"/>
        </w:rPr>
        <w:t>项目推进计划</w:t>
      </w:r>
      <w:r>
        <w:rPr>
          <w:rFonts w:eastAsia="方正仿宋_GBK"/>
          <w:w w:val="95"/>
          <w:kern w:val="0"/>
          <w:sz w:val="32"/>
          <w:szCs w:val="32"/>
        </w:rPr>
        <w:t>，加强</w:t>
      </w:r>
      <w:r>
        <w:rPr>
          <w:rFonts w:hint="eastAsia" w:eastAsia="方正仿宋_GBK"/>
          <w:w w:val="95"/>
          <w:kern w:val="0"/>
          <w:sz w:val="32"/>
          <w:szCs w:val="32"/>
        </w:rPr>
        <w:t>与</w:t>
      </w:r>
      <w:r>
        <w:rPr>
          <w:rFonts w:eastAsia="方正仿宋_GBK"/>
          <w:w w:val="95"/>
          <w:kern w:val="0"/>
          <w:sz w:val="32"/>
          <w:szCs w:val="32"/>
        </w:rPr>
        <w:t>财政部门沟通协调，加大</w:t>
      </w:r>
      <w:r>
        <w:rPr>
          <w:rFonts w:eastAsia="方正仿宋_GBK"/>
          <w:spacing w:val="-6"/>
          <w:w w:val="95"/>
          <w:kern w:val="0"/>
          <w:sz w:val="32"/>
          <w:szCs w:val="32"/>
        </w:rPr>
        <w:t>项目资金保障力度，加快资金支付进度，确保</w:t>
      </w:r>
      <w:r>
        <w:rPr>
          <w:rFonts w:hint="eastAsia" w:eastAsia="方正仿宋_GBK"/>
          <w:spacing w:val="-6"/>
          <w:w w:val="95"/>
          <w:kern w:val="0"/>
          <w:sz w:val="32"/>
          <w:szCs w:val="32"/>
        </w:rPr>
        <w:t>项目资金按时支付</w:t>
      </w:r>
      <w:r>
        <w:rPr>
          <w:rFonts w:eastAsia="方正仿宋_GBK"/>
          <w:spacing w:val="-6"/>
          <w:w w:val="95"/>
          <w:kern w:val="0"/>
          <w:sz w:val="32"/>
          <w:szCs w:val="32"/>
        </w:rPr>
        <w:t>。</w:t>
      </w:r>
    </w:p>
    <w:p>
      <w:pPr>
        <w:pStyle w:val="27"/>
        <w:rPr>
          <w:sz w:val="32"/>
          <w:szCs w:val="32"/>
        </w:rPr>
      </w:pPr>
    </w:p>
    <w:p>
      <w:pPr>
        <w:spacing w:line="578" w:lineRule="exact"/>
        <w:ind w:firstLine="640"/>
        <w:rPr>
          <w:rFonts w:eastAsia="仿宋_GB2312" w:cs="仿宋_GB2312"/>
          <w:kern w:val="0"/>
          <w:sz w:val="32"/>
          <w:szCs w:val="32"/>
        </w:rPr>
      </w:pPr>
    </w:p>
    <w:p>
      <w:pPr>
        <w:spacing w:line="578" w:lineRule="exact"/>
        <w:ind w:firstLine="640"/>
        <w:rPr>
          <w:rFonts w:eastAsia="仿宋_GB2312" w:cs="仿宋_GB2312"/>
          <w:kern w:val="0"/>
          <w:sz w:val="32"/>
          <w:szCs w:val="32"/>
        </w:rPr>
      </w:pPr>
      <w:bookmarkStart w:id="67" w:name="_Toc15396618"/>
      <w:r>
        <w:rPr>
          <w:rFonts w:hint="eastAsia" w:eastAsia="仿宋_GB2312" w:cs="仿宋_GB2312"/>
          <w:kern w:val="0"/>
          <w:sz w:val="32"/>
          <w:szCs w:val="32"/>
        </w:rPr>
        <w:br w:type="page"/>
      </w:r>
    </w:p>
    <w:p>
      <w:pPr>
        <w:widowControl/>
        <w:jc w:val="center"/>
        <w:rPr>
          <w:rFonts w:eastAsia="仿宋"/>
        </w:rPr>
      </w:pPr>
      <w:r>
        <w:rPr>
          <w:rFonts w:hint="eastAsia" w:eastAsia="黑体"/>
          <w:sz w:val="44"/>
          <w:szCs w:val="44"/>
        </w:rPr>
        <w:t>第</w:t>
      </w:r>
      <w:r>
        <w:rPr>
          <w:rStyle w:val="29"/>
          <w:rFonts w:hint="eastAsia" w:eastAsia="黑体"/>
          <w:b w:val="0"/>
        </w:rPr>
        <w:t>五部分</w:t>
      </w:r>
      <w:r>
        <w:rPr>
          <w:rStyle w:val="29"/>
          <w:rFonts w:hint="eastAsia" w:eastAsia="黑体"/>
          <w:b w:val="0"/>
          <w:lang w:val="en-US" w:eastAsia="zh-CN"/>
        </w:rPr>
        <w:t xml:space="preserve">  </w:t>
      </w:r>
      <w:r>
        <w:rPr>
          <w:rStyle w:val="29"/>
          <w:rFonts w:hint="eastAsia" w:eastAsia="黑体"/>
          <w:b w:val="0"/>
        </w:rPr>
        <w:t>附表</w:t>
      </w:r>
      <w:bookmarkEnd w:id="60"/>
      <w:bookmarkEnd w:id="67"/>
      <w:bookmarkStart w:id="68" w:name="_Toc15396619"/>
    </w:p>
    <w:p>
      <w:pPr>
        <w:pStyle w:val="15"/>
        <w:adjustRightInd w:val="0"/>
        <w:snapToGrid w:val="0"/>
        <w:spacing w:line="560" w:lineRule="exact"/>
        <w:jc w:val="left"/>
        <w:rPr>
          <w:rFonts w:eastAsia="仿宋_GB2312" w:cs="仿宋_GB2312"/>
          <w:sz w:val="32"/>
          <w:szCs w:val="32"/>
        </w:rPr>
      </w:pPr>
    </w:p>
    <w:p>
      <w:pPr>
        <w:pStyle w:val="15"/>
        <w:adjustRightInd w:val="0"/>
        <w:snapToGrid w:val="0"/>
        <w:spacing w:line="56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一、收入支出决算总表</w:t>
      </w:r>
      <w:bookmarkEnd w:id="68"/>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69" w:name="_Toc15396620"/>
      <w:r>
        <w:rPr>
          <w:rFonts w:hint="default" w:ascii="Times New Roman" w:hAnsi="Times New Roman" w:eastAsia="方正仿宋_GBK" w:cs="Times New Roman"/>
          <w:sz w:val="32"/>
          <w:szCs w:val="32"/>
        </w:rPr>
        <w:t>二、收入决算表</w:t>
      </w:r>
      <w:bookmarkEnd w:id="69"/>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70" w:name="_Toc15396621"/>
      <w:r>
        <w:rPr>
          <w:rFonts w:hint="default" w:ascii="Times New Roman" w:hAnsi="Times New Roman" w:eastAsia="方正仿宋_GBK" w:cs="Times New Roman"/>
          <w:sz w:val="32"/>
          <w:szCs w:val="32"/>
        </w:rPr>
        <w:t>三、支出决算表</w:t>
      </w:r>
      <w:bookmarkEnd w:id="70"/>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71" w:name="_Toc15396622"/>
      <w:r>
        <w:rPr>
          <w:rFonts w:hint="default" w:ascii="Times New Roman" w:hAnsi="Times New Roman" w:eastAsia="方正仿宋_GBK" w:cs="Times New Roman"/>
          <w:sz w:val="32"/>
          <w:szCs w:val="32"/>
        </w:rPr>
        <w:t>四、财政拨款收入支出决算总表</w:t>
      </w:r>
      <w:bookmarkEnd w:id="71"/>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72" w:name="_Toc15396623"/>
      <w:r>
        <w:rPr>
          <w:rFonts w:hint="default" w:ascii="Times New Roman" w:hAnsi="Times New Roman" w:eastAsia="方正仿宋_GBK" w:cs="Times New Roman"/>
          <w:sz w:val="32"/>
          <w:szCs w:val="32"/>
        </w:rPr>
        <w:t>五、财政拨款支出决算明细表</w:t>
      </w:r>
      <w:bookmarkEnd w:id="72"/>
      <w:bookmarkStart w:id="73" w:name="_Toc15396624"/>
    </w:p>
    <w:p>
      <w:pPr>
        <w:pStyle w:val="15"/>
        <w:adjustRightInd w:val="0"/>
        <w:snapToGrid w:val="0"/>
        <w:spacing w:line="56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六、一般公共预算财政拨款支出决算表</w:t>
      </w:r>
      <w:bookmarkEnd w:id="73"/>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74" w:name="_Toc15396625"/>
      <w:r>
        <w:rPr>
          <w:rFonts w:hint="default" w:ascii="Times New Roman" w:hAnsi="Times New Roman" w:eastAsia="方正仿宋_GBK" w:cs="Times New Roman"/>
          <w:sz w:val="32"/>
          <w:szCs w:val="32"/>
        </w:rPr>
        <w:t>七、一般公共预算财政拨款支出决算明细表</w:t>
      </w:r>
      <w:bookmarkEnd w:id="74"/>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75" w:name="_Toc15396626"/>
      <w:r>
        <w:rPr>
          <w:rFonts w:hint="default" w:ascii="Times New Roman" w:hAnsi="Times New Roman" w:eastAsia="方正仿宋_GBK" w:cs="Times New Roman"/>
          <w:sz w:val="32"/>
          <w:szCs w:val="32"/>
        </w:rPr>
        <w:t>八、一般公共预算财政拨款基本支出决算表</w:t>
      </w:r>
      <w:bookmarkEnd w:id="75"/>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76" w:name="_Toc15396627"/>
      <w:r>
        <w:rPr>
          <w:rFonts w:hint="default" w:ascii="Times New Roman" w:hAnsi="Times New Roman" w:eastAsia="方正仿宋_GBK" w:cs="Times New Roman"/>
          <w:sz w:val="32"/>
          <w:szCs w:val="32"/>
        </w:rPr>
        <w:t>九、一般公共预算财政拨款项目支出决算表</w:t>
      </w:r>
      <w:bookmarkEnd w:id="76"/>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77" w:name="_Toc15396628"/>
      <w:r>
        <w:rPr>
          <w:rFonts w:hint="default" w:ascii="Times New Roman" w:hAnsi="Times New Roman" w:eastAsia="方正仿宋_GBK" w:cs="Times New Roman"/>
          <w:sz w:val="32"/>
          <w:szCs w:val="32"/>
        </w:rPr>
        <w:t>十、</w:t>
      </w:r>
      <w:bookmarkEnd w:id="77"/>
      <w:r>
        <w:rPr>
          <w:rFonts w:hint="default" w:ascii="Times New Roman" w:hAnsi="Times New Roman" w:eastAsia="方正仿宋_GBK" w:cs="Times New Roman"/>
          <w:sz w:val="32"/>
          <w:szCs w:val="32"/>
        </w:rPr>
        <w:t>政府性基金预算财政拨款收入支出决算表</w:t>
      </w:r>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78" w:name="_Toc15396629"/>
      <w:r>
        <w:rPr>
          <w:rFonts w:hint="default" w:ascii="Times New Roman" w:hAnsi="Times New Roman" w:eastAsia="方正仿宋_GBK" w:cs="Times New Roman"/>
          <w:sz w:val="32"/>
          <w:szCs w:val="32"/>
        </w:rPr>
        <w:t>十一、</w:t>
      </w:r>
      <w:bookmarkEnd w:id="78"/>
      <w:r>
        <w:rPr>
          <w:rFonts w:hint="default" w:ascii="Times New Roman" w:hAnsi="Times New Roman" w:eastAsia="方正仿宋_GBK" w:cs="Times New Roman"/>
          <w:sz w:val="32"/>
          <w:szCs w:val="32"/>
        </w:rPr>
        <w:t>国有资本经营预算财政拨款收入支出决算表</w:t>
      </w:r>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79" w:name="_Toc15396630"/>
      <w:r>
        <w:rPr>
          <w:rFonts w:hint="default" w:ascii="Times New Roman" w:hAnsi="Times New Roman" w:eastAsia="方正仿宋_GBK" w:cs="Times New Roman"/>
          <w:sz w:val="32"/>
          <w:szCs w:val="32"/>
        </w:rPr>
        <w:t>十二、</w:t>
      </w:r>
      <w:bookmarkEnd w:id="79"/>
      <w:r>
        <w:rPr>
          <w:rFonts w:hint="default" w:ascii="Times New Roman" w:hAnsi="Times New Roman" w:eastAsia="方正仿宋_GBK" w:cs="Times New Roman"/>
          <w:sz w:val="32"/>
          <w:szCs w:val="32"/>
        </w:rPr>
        <w:t>国有资本经营预算财政拨款支出决算表</w:t>
      </w:r>
    </w:p>
    <w:p>
      <w:pPr>
        <w:pStyle w:val="15"/>
        <w:adjustRightInd w:val="0"/>
        <w:snapToGrid w:val="0"/>
        <w:spacing w:line="560" w:lineRule="exact"/>
        <w:jc w:val="left"/>
        <w:rPr>
          <w:rFonts w:hint="default" w:ascii="Times New Roman" w:hAnsi="Times New Roman" w:eastAsia="方正仿宋_GBK" w:cs="Times New Roman"/>
          <w:sz w:val="32"/>
          <w:szCs w:val="32"/>
        </w:rPr>
      </w:pPr>
      <w:bookmarkStart w:id="80" w:name="_Toc15396631"/>
      <w:r>
        <w:rPr>
          <w:rFonts w:hint="default" w:ascii="Times New Roman" w:hAnsi="Times New Roman" w:eastAsia="方正仿宋_GBK" w:cs="Times New Roman"/>
          <w:sz w:val="32"/>
          <w:szCs w:val="32"/>
        </w:rPr>
        <w:t>十三、</w:t>
      </w:r>
      <w:bookmarkEnd w:id="80"/>
      <w:r>
        <w:rPr>
          <w:rFonts w:hint="default" w:ascii="Times New Roman" w:hAnsi="Times New Roman" w:eastAsia="方正仿宋_GBK" w:cs="Times New Roman"/>
          <w:sz w:val="32"/>
          <w:szCs w:val="32"/>
        </w:rPr>
        <w:t>财政拨款“三公”经费支出决算表</w:t>
      </w:r>
    </w:p>
    <w:p>
      <w:pPr>
        <w:rPr>
          <w:rFonts w:hint="default" w:ascii="Times New Roman" w:hAnsi="Times New Roman" w:eastAsia="方正仿宋_GBK" w:cs="Times New Roman"/>
          <w:sz w:val="32"/>
          <w:szCs w:val="32"/>
        </w:rPr>
      </w:pPr>
    </w:p>
    <w:sectPr>
      <w:footerReference r:id="rId7" w:type="first"/>
      <w:footerReference r:id="rId6" w:type="default"/>
      <w:pgSz w:w="11850" w:h="16840"/>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仿宋"/>
    <w:panose1 w:val="00000000000000000000"/>
    <w:charset w:val="00"/>
    <w:family w:val="roman"/>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BEOMHAIAACk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wRDjBwCAAApBAAADgAAAAAAAAABACAAAAA1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- 2 -</w:t>
                    </w:r>
                    <w:r>
                      <w:fldChar w:fldCharType="end"/>
                    </w:r>
                  </w:p>
                </w:txbxContent>
              </v:textbox>
            </v:shape>
          </w:pict>
        </mc:Fallback>
      </mc:AlternateContent>
    </w:r>
  </w:p>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ECA291"/>
    <w:multiLevelType w:val="singleLevel"/>
    <w:tmpl w:val="E7ECA291"/>
    <w:lvl w:ilvl="0" w:tentative="0">
      <w:start w:val="2"/>
      <w:numFmt w:val="chineseCounting"/>
      <w:suff w:val="nothing"/>
      <w:lvlText w:val="（%1）"/>
      <w:lvlJc w:val="left"/>
      <w:pPr>
        <w:ind w:left="642"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04B8"/>
    <w:rsid w:val="001C0962"/>
    <w:rsid w:val="001D7531"/>
    <w:rsid w:val="001E737D"/>
    <w:rsid w:val="001F0592"/>
    <w:rsid w:val="001F7506"/>
    <w:rsid w:val="002006CD"/>
    <w:rsid w:val="00202B36"/>
    <w:rsid w:val="00204B7A"/>
    <w:rsid w:val="00204CDE"/>
    <w:rsid w:val="0021101A"/>
    <w:rsid w:val="00220536"/>
    <w:rsid w:val="00235629"/>
    <w:rsid w:val="00256F1E"/>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A2ED9"/>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E8440E"/>
    <w:rsid w:val="1D155CEE"/>
    <w:rsid w:val="1D1638FE"/>
    <w:rsid w:val="1E312DEB"/>
    <w:rsid w:val="1E740ACF"/>
    <w:rsid w:val="1FF35744"/>
    <w:rsid w:val="1FF6BC77"/>
    <w:rsid w:val="2186353C"/>
    <w:rsid w:val="233F965C"/>
    <w:rsid w:val="23860B96"/>
    <w:rsid w:val="240371BF"/>
    <w:rsid w:val="244F3473"/>
    <w:rsid w:val="24C97D99"/>
    <w:rsid w:val="25A718F0"/>
    <w:rsid w:val="25BB59F6"/>
    <w:rsid w:val="260F557C"/>
    <w:rsid w:val="26970054"/>
    <w:rsid w:val="281408E2"/>
    <w:rsid w:val="29FD04D3"/>
    <w:rsid w:val="2BBC25DE"/>
    <w:rsid w:val="2BFF7BC6"/>
    <w:rsid w:val="2C8A61B5"/>
    <w:rsid w:val="2DF04E50"/>
    <w:rsid w:val="2E586DFA"/>
    <w:rsid w:val="2F040D46"/>
    <w:rsid w:val="2F6B035B"/>
    <w:rsid w:val="2FAE5751"/>
    <w:rsid w:val="2FB1A395"/>
    <w:rsid w:val="2FD9A7D8"/>
    <w:rsid w:val="2FDBF714"/>
    <w:rsid w:val="2FF8A06F"/>
    <w:rsid w:val="30AB6865"/>
    <w:rsid w:val="319F7F4E"/>
    <w:rsid w:val="32BD1EF1"/>
    <w:rsid w:val="3304709D"/>
    <w:rsid w:val="33A773CB"/>
    <w:rsid w:val="349D6851"/>
    <w:rsid w:val="36AA5135"/>
    <w:rsid w:val="36BE0DA7"/>
    <w:rsid w:val="373FCB63"/>
    <w:rsid w:val="376B6AA6"/>
    <w:rsid w:val="376D39B2"/>
    <w:rsid w:val="37E16F03"/>
    <w:rsid w:val="37F3B609"/>
    <w:rsid w:val="37F53A3B"/>
    <w:rsid w:val="389B6C89"/>
    <w:rsid w:val="38D469F0"/>
    <w:rsid w:val="39627CCD"/>
    <w:rsid w:val="397BAF1F"/>
    <w:rsid w:val="3AB79AF3"/>
    <w:rsid w:val="3AE834C0"/>
    <w:rsid w:val="3B7EF35A"/>
    <w:rsid w:val="3B9FDB6C"/>
    <w:rsid w:val="3BF5BC2F"/>
    <w:rsid w:val="3CEBA265"/>
    <w:rsid w:val="3D98207C"/>
    <w:rsid w:val="3DEE7CF3"/>
    <w:rsid w:val="3E740A63"/>
    <w:rsid w:val="3E78745D"/>
    <w:rsid w:val="3EE17838"/>
    <w:rsid w:val="3F55381A"/>
    <w:rsid w:val="3F5B302A"/>
    <w:rsid w:val="3F7D0989"/>
    <w:rsid w:val="3F7F7599"/>
    <w:rsid w:val="3FF4CAE0"/>
    <w:rsid w:val="3FF7B227"/>
    <w:rsid w:val="44E268DA"/>
    <w:rsid w:val="450D13D7"/>
    <w:rsid w:val="45506656"/>
    <w:rsid w:val="486A6C7A"/>
    <w:rsid w:val="4A627F82"/>
    <w:rsid w:val="4B0E749A"/>
    <w:rsid w:val="4B2477C4"/>
    <w:rsid w:val="4B4F25DA"/>
    <w:rsid w:val="4BE068DB"/>
    <w:rsid w:val="4D577224"/>
    <w:rsid w:val="4DBF1CEB"/>
    <w:rsid w:val="4DF0007C"/>
    <w:rsid w:val="4EAB630A"/>
    <w:rsid w:val="4ECE2238"/>
    <w:rsid w:val="4F3B5AF6"/>
    <w:rsid w:val="4F833267"/>
    <w:rsid w:val="4FE9BD67"/>
    <w:rsid w:val="4FF1F930"/>
    <w:rsid w:val="4FFB052F"/>
    <w:rsid w:val="537E6D0A"/>
    <w:rsid w:val="53F74C96"/>
    <w:rsid w:val="55170BA8"/>
    <w:rsid w:val="553218C9"/>
    <w:rsid w:val="567E1AA5"/>
    <w:rsid w:val="56E47B74"/>
    <w:rsid w:val="57175D52"/>
    <w:rsid w:val="57BD3DD4"/>
    <w:rsid w:val="5AEE00BF"/>
    <w:rsid w:val="5AF92295"/>
    <w:rsid w:val="5B250254"/>
    <w:rsid w:val="5BDD79E6"/>
    <w:rsid w:val="5BF561CA"/>
    <w:rsid w:val="5BFF5DFC"/>
    <w:rsid w:val="5CD71FC4"/>
    <w:rsid w:val="5D1F11B5"/>
    <w:rsid w:val="5D695134"/>
    <w:rsid w:val="5DAE1B18"/>
    <w:rsid w:val="5DE7D9E5"/>
    <w:rsid w:val="5ECEC941"/>
    <w:rsid w:val="5EFEF5E8"/>
    <w:rsid w:val="5FB5BF56"/>
    <w:rsid w:val="5FBF9FF3"/>
    <w:rsid w:val="5FCD4E2C"/>
    <w:rsid w:val="5FE746B5"/>
    <w:rsid w:val="5FEF394A"/>
    <w:rsid w:val="5FF67715"/>
    <w:rsid w:val="62BF3928"/>
    <w:rsid w:val="63B3701E"/>
    <w:rsid w:val="647F5392"/>
    <w:rsid w:val="654F6A0E"/>
    <w:rsid w:val="65E66580"/>
    <w:rsid w:val="664B1D71"/>
    <w:rsid w:val="664B4E8E"/>
    <w:rsid w:val="67277B67"/>
    <w:rsid w:val="67AA3209"/>
    <w:rsid w:val="67E9A10E"/>
    <w:rsid w:val="698D0931"/>
    <w:rsid w:val="6A7FE5F3"/>
    <w:rsid w:val="6B053271"/>
    <w:rsid w:val="6B7D9399"/>
    <w:rsid w:val="6BDD78B3"/>
    <w:rsid w:val="6C4A05C8"/>
    <w:rsid w:val="6C8742B8"/>
    <w:rsid w:val="6CF647ED"/>
    <w:rsid w:val="6DBF5E93"/>
    <w:rsid w:val="6DFF077E"/>
    <w:rsid w:val="6E714EF0"/>
    <w:rsid w:val="6E7E3605"/>
    <w:rsid w:val="6E7FDCC7"/>
    <w:rsid w:val="6ED6A62E"/>
    <w:rsid w:val="6EE00B15"/>
    <w:rsid w:val="6F6FB3EB"/>
    <w:rsid w:val="6F77901E"/>
    <w:rsid w:val="6F8731EA"/>
    <w:rsid w:val="6F9091A3"/>
    <w:rsid w:val="6FCE6052"/>
    <w:rsid w:val="6FD57C00"/>
    <w:rsid w:val="6FEFFFD8"/>
    <w:rsid w:val="6FF5CC65"/>
    <w:rsid w:val="6FFB47EC"/>
    <w:rsid w:val="6FFB9788"/>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62E192"/>
    <w:rsid w:val="76BF0511"/>
    <w:rsid w:val="76E3355F"/>
    <w:rsid w:val="76FF5125"/>
    <w:rsid w:val="770B4365"/>
    <w:rsid w:val="776F6FFA"/>
    <w:rsid w:val="778769C8"/>
    <w:rsid w:val="77A75DCA"/>
    <w:rsid w:val="77DC22F5"/>
    <w:rsid w:val="783E271A"/>
    <w:rsid w:val="78616DE9"/>
    <w:rsid w:val="78E875D7"/>
    <w:rsid w:val="79086DAD"/>
    <w:rsid w:val="795D77B8"/>
    <w:rsid w:val="79D7FD79"/>
    <w:rsid w:val="79EA36BF"/>
    <w:rsid w:val="79EE5BA4"/>
    <w:rsid w:val="7A36C3EA"/>
    <w:rsid w:val="7A57C251"/>
    <w:rsid w:val="7A894339"/>
    <w:rsid w:val="7AD284E8"/>
    <w:rsid w:val="7AFF7572"/>
    <w:rsid w:val="7B6C7DFB"/>
    <w:rsid w:val="7BBFBED0"/>
    <w:rsid w:val="7BC3E394"/>
    <w:rsid w:val="7BF7FCAD"/>
    <w:rsid w:val="7C1F3737"/>
    <w:rsid w:val="7CBFC87B"/>
    <w:rsid w:val="7CFE0F48"/>
    <w:rsid w:val="7D272ABC"/>
    <w:rsid w:val="7D7EC23E"/>
    <w:rsid w:val="7DB76CE3"/>
    <w:rsid w:val="7DC68A81"/>
    <w:rsid w:val="7E8ADEBF"/>
    <w:rsid w:val="7EEF11D3"/>
    <w:rsid w:val="7EFE4840"/>
    <w:rsid w:val="7F0971A6"/>
    <w:rsid w:val="7F1D62E7"/>
    <w:rsid w:val="7F3F679B"/>
    <w:rsid w:val="7F4FC4EF"/>
    <w:rsid w:val="7F5E4D54"/>
    <w:rsid w:val="7F6E0135"/>
    <w:rsid w:val="7F79F205"/>
    <w:rsid w:val="7F7FA198"/>
    <w:rsid w:val="7FA30C79"/>
    <w:rsid w:val="7FA79C44"/>
    <w:rsid w:val="7FAF8ABF"/>
    <w:rsid w:val="7FB7269E"/>
    <w:rsid w:val="7FC96657"/>
    <w:rsid w:val="7FDA9588"/>
    <w:rsid w:val="7FDE1A1C"/>
    <w:rsid w:val="7FDF220F"/>
    <w:rsid w:val="7FEDC5F7"/>
    <w:rsid w:val="7FEDD9DE"/>
    <w:rsid w:val="7FF3EDA9"/>
    <w:rsid w:val="7FF5890D"/>
    <w:rsid w:val="7FF93490"/>
    <w:rsid w:val="7FFAD365"/>
    <w:rsid w:val="7FFF77FA"/>
    <w:rsid w:val="99FF2014"/>
    <w:rsid w:val="9AFFF7C5"/>
    <w:rsid w:val="9BB3048B"/>
    <w:rsid w:val="9D776FF5"/>
    <w:rsid w:val="A6DD0D7F"/>
    <w:rsid w:val="ACFF4FBB"/>
    <w:rsid w:val="ADC6F725"/>
    <w:rsid w:val="B7CF06AB"/>
    <w:rsid w:val="B7CFA926"/>
    <w:rsid w:val="B7F8786B"/>
    <w:rsid w:val="B9D7AA88"/>
    <w:rsid w:val="BABB6AA1"/>
    <w:rsid w:val="BB2F4199"/>
    <w:rsid w:val="BB314ED2"/>
    <w:rsid w:val="BCFFB442"/>
    <w:rsid w:val="BD079C78"/>
    <w:rsid w:val="BD733540"/>
    <w:rsid w:val="BF3735D5"/>
    <w:rsid w:val="BF7F09AC"/>
    <w:rsid w:val="BFD475C3"/>
    <w:rsid w:val="BFDE5EA6"/>
    <w:rsid w:val="BFFD4BE0"/>
    <w:rsid w:val="BFFDB02C"/>
    <w:rsid w:val="C7FF5CC7"/>
    <w:rsid w:val="CF6FC6F3"/>
    <w:rsid w:val="CFD3D3D7"/>
    <w:rsid w:val="CFDF1009"/>
    <w:rsid w:val="D1DF50DD"/>
    <w:rsid w:val="D7D7B16A"/>
    <w:rsid w:val="D8D6DB89"/>
    <w:rsid w:val="DB6F4CAB"/>
    <w:rsid w:val="DB777682"/>
    <w:rsid w:val="DD1FB521"/>
    <w:rsid w:val="DEBDF11D"/>
    <w:rsid w:val="DEFBFEAE"/>
    <w:rsid w:val="DEFE7400"/>
    <w:rsid w:val="DF1F3B80"/>
    <w:rsid w:val="DF6F9789"/>
    <w:rsid w:val="DFE9BE81"/>
    <w:rsid w:val="DFFFA9E8"/>
    <w:rsid w:val="E5ED1A94"/>
    <w:rsid w:val="E5F4E9DC"/>
    <w:rsid w:val="E70FE695"/>
    <w:rsid w:val="EB2E368B"/>
    <w:rsid w:val="EB69BFEC"/>
    <w:rsid w:val="ECFED1BC"/>
    <w:rsid w:val="ED1D69BB"/>
    <w:rsid w:val="ED3EF1D8"/>
    <w:rsid w:val="ED7FD312"/>
    <w:rsid w:val="EF2E1AC6"/>
    <w:rsid w:val="EF53993F"/>
    <w:rsid w:val="EF6FD633"/>
    <w:rsid w:val="EFAF9814"/>
    <w:rsid w:val="EFBFB2F4"/>
    <w:rsid w:val="EFBFFA21"/>
    <w:rsid w:val="EFCF644B"/>
    <w:rsid w:val="F2BEBCB8"/>
    <w:rsid w:val="F36FB518"/>
    <w:rsid w:val="F3DE1A04"/>
    <w:rsid w:val="F3F722E5"/>
    <w:rsid w:val="F4FBCD07"/>
    <w:rsid w:val="F6FEE979"/>
    <w:rsid w:val="F7BE3335"/>
    <w:rsid w:val="FA5F1E70"/>
    <w:rsid w:val="FA5FDB97"/>
    <w:rsid w:val="FB2F0BF3"/>
    <w:rsid w:val="FB326754"/>
    <w:rsid w:val="FB7F486A"/>
    <w:rsid w:val="FBFF5B2E"/>
    <w:rsid w:val="FBFF9045"/>
    <w:rsid w:val="FC3548A9"/>
    <w:rsid w:val="FD7FFE2B"/>
    <w:rsid w:val="FDB50F28"/>
    <w:rsid w:val="FDDD8E7E"/>
    <w:rsid w:val="FDED5535"/>
    <w:rsid w:val="FDEE196B"/>
    <w:rsid w:val="FDFE6575"/>
    <w:rsid w:val="FDFF1E1E"/>
    <w:rsid w:val="FE7483E3"/>
    <w:rsid w:val="FE8F20B4"/>
    <w:rsid w:val="FEDFDDC2"/>
    <w:rsid w:val="FEE95A73"/>
    <w:rsid w:val="FEED32F6"/>
    <w:rsid w:val="FEF781DD"/>
    <w:rsid w:val="FF3F7E3F"/>
    <w:rsid w:val="FF6F3F01"/>
    <w:rsid w:val="FFBA12D7"/>
    <w:rsid w:val="FFBF9808"/>
    <w:rsid w:val="FFCBD314"/>
    <w:rsid w:val="FFDB0B43"/>
    <w:rsid w:val="FFDFF91C"/>
    <w:rsid w:val="FFDFFAEE"/>
    <w:rsid w:val="FFEF6777"/>
    <w:rsid w:val="FFF9B57B"/>
    <w:rsid w:val="FFFD1894"/>
    <w:rsid w:val="FFFD61D9"/>
    <w:rsid w:val="FFFD8F59"/>
    <w:rsid w:val="FFFF2BB1"/>
    <w:rsid w:val="FFFFB04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style>
  <w:style w:type="paragraph" w:styleId="6">
    <w:name w:val="Body Text"/>
    <w:basedOn w:val="1"/>
    <w:link w:val="26"/>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2"/>
    <w:semiHidden/>
    <w:unhideWhenUsed/>
    <w:qFormat/>
    <w:uiPriority w:val="99"/>
    <w:rPr>
      <w:sz w:val="18"/>
      <w:szCs w:val="18"/>
    </w:rPr>
  </w:style>
  <w:style w:type="paragraph" w:styleId="11">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2"/>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1"/>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3"/>
    <w:qFormat/>
    <w:uiPriority w:val="9"/>
    <w:rPr>
      <w:rFonts w:ascii="Times New Roman" w:hAnsi="Times New Roman"/>
      <w:b/>
      <w:bCs/>
      <w:kern w:val="44"/>
      <w:sz w:val="44"/>
      <w:szCs w:val="44"/>
    </w:rPr>
  </w:style>
  <w:style w:type="character" w:customStyle="1" w:styleId="30">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7"/>
    <w:link w:val="10"/>
    <w:semiHidden/>
    <w:qFormat/>
    <w:uiPriority w:val="99"/>
    <w:rPr>
      <w:rFonts w:ascii="Times New Roman" w:hAnsi="Times New Roman"/>
      <w:kern w:val="2"/>
      <w:sz w:val="18"/>
      <w:szCs w:val="18"/>
    </w:rPr>
  </w:style>
  <w:style w:type="character" w:customStyle="1" w:styleId="33">
    <w:name w:val="标题 3 Char"/>
    <w:basedOn w:val="17"/>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 w:type="character" w:customStyle="1" w:styleId="36">
    <w:name w:val="NormalCharacter"/>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7.png"/><Relationship Id="rId21" Type="http://schemas.openxmlformats.org/officeDocument/2006/relationships/oleObject" Target="embeddings/oleObject7.bin"/><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5.png"/><Relationship Id="rId17" Type="http://schemas.openxmlformats.org/officeDocument/2006/relationships/oleObject" Target="embeddings/oleObject5.bin"/><Relationship Id="rId16" Type="http://schemas.openxmlformats.org/officeDocument/2006/relationships/image" Target="media/image4.png"/><Relationship Id="rId15" Type="http://schemas.openxmlformats.org/officeDocument/2006/relationships/oleObject" Target="embeddings/oleObject4.bin"/><Relationship Id="rId14" Type="http://schemas.openxmlformats.org/officeDocument/2006/relationships/image" Target="media/image3.png"/><Relationship Id="rId13" Type="http://schemas.openxmlformats.org/officeDocument/2006/relationships/oleObject" Target="embeddings/oleObject3.bin"/><Relationship Id="rId12" Type="http://schemas.openxmlformats.org/officeDocument/2006/relationships/image" Target="media/image2.png"/><Relationship Id="rId11" Type="http://schemas.openxmlformats.org/officeDocument/2006/relationships/oleObject" Target="embeddings/oleObject2.bin"/><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2051"/>
    <customShpInfo spid="_x0000_s2052"/>
    <customShpInfo spid="_x0000_s2053"/>
    <customShpInfo spid="_x0000_s2055"/>
    <customShpInfo spid="_x0000_s205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23</Pages>
  <Words>1298</Words>
  <Characters>7405</Characters>
  <Lines>61</Lines>
  <Paragraphs>17</Paragraphs>
  <TotalTime>102</TotalTime>
  <ScaleCrop>false</ScaleCrop>
  <LinksUpToDate>false</LinksUpToDate>
  <CharactersWithSpaces>8686</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2025-09-10T01:46:00Z</dcterms:created>
  <dc:creator>曹颖</dc:creator>
  <cp:lastModifiedBy>user</cp:lastModifiedBy>
  <cp:lastPrinted>2025-09-13T09:42:00Z</cp:lastPrinted>
  <dcterms:modified xsi:type="dcterms:W3CDTF">2025-09-15T17:26:10Z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04787F2533EB45DC91BCDE4AB213247F</vt:lpwstr>
  </property>
</Properties>
</file>